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8AC9" w14:textId="77777777" w:rsidR="00000000" w:rsidRDefault="003C49E9">
      <w:pPr>
        <w:divId w:val="1737047954"/>
        <w:rPr>
          <w:rFonts w:eastAsia="Times New Roman"/>
          <w:vanish/>
        </w:rPr>
      </w:pPr>
      <w:r>
        <w:rPr>
          <w:rFonts w:eastAsia="Times New Roman"/>
          <w:vanish/>
        </w:rPr>
        <w:t>0001404655--12-31falseQ2http://fasb.org/us-gaap/2022#OtherAssetsP3Dhttp://fasb.org/us-gaap/2022#OtherAssetshttp://fasb.org/us-gaap/2022#OtherAssetsP1Y0001404655us-gaap:EmployeeStockMember2021-04-012021-06-300001404655</w:t>
      </w:r>
      <w:r>
        <w:rPr>
          <w:rFonts w:eastAsia="Times New Roman"/>
          <w:vanish/>
        </w:rPr>
        <w:t>hubs:ZeroPointTwoFivePercentConvertibleSeniorNotesDueTwoThousandTwentyTwoAsLiabilityComponentMemberus-gaap:AdditionalPaidInCapitalMember2021-01-012021-03-310001404655hubs:ZeroPointThreeSevenFivePercentConvertibleSeniorNotesDueTwoThousandTwentyFiveMember202</w:t>
      </w:r>
      <w:r>
        <w:rPr>
          <w:rFonts w:eastAsia="Times New Roman"/>
          <w:vanish/>
        </w:rPr>
        <w:t>2-01-012022-06-300001404655hubs:CapitalizedSoftwareAndPropertyPlantAndEquipmentMember2021-01-012021-06-300001404655us-gaap:AdditionalPaidInCapitalMember2022-06-300001404655us-gaap:LeaseholdImprovementsMember2022-06-300001404655srt:AsiaPacificMember2022-04-</w:t>
      </w:r>
      <w:r>
        <w:rPr>
          <w:rFonts w:eastAsia="Times New Roman"/>
          <w:vanish/>
        </w:rPr>
        <w:t>012022-06-300001404655us-gaap:EmployeeStockOptionMember2021-01-012021-06-300001404655us-gaap:AccumulatedOtherComprehensiveIncomeMember2022-03-310001404655us-gaap:AccumulatedOtherComprehensiveIncomeMember2021-04-012021-06-300001404655us-gaap:FairValueInputs</w:t>
      </w:r>
      <w:r>
        <w:rPr>
          <w:rFonts w:eastAsia="Times New Roman"/>
          <w:vanish/>
        </w:rPr>
        <w:t>Level1Member2021-12-310001404655hubs:ZeroPointThreeSevenFivePercentConvertibleSeniorNotesDueTwoThousandTwentyFiveAsLiabilityComponentMember2022-01-012022-03-310001404655us-gaap:RestrictedStockUnitsRSUMember2022-01-012022-06-300001404655us-gaap:TreasuryStoc</w:t>
      </w:r>
      <w:r>
        <w:rPr>
          <w:rFonts w:eastAsia="Times New Roman"/>
          <w:vanish/>
        </w:rPr>
        <w:t>kMember2021-03-310001404655us-gaap:TreasuryStockMember2021-01-012021-03-310001404655us-gaap:CommercialPaperMember2021-12-310001404655us-gaap:GeographicConcentrationRiskMemberhubs:OutsideOfAmericasMemberus-gaap:AssetsTotalMember2021-01-012021-12-31000140465</w:t>
      </w:r>
      <w:r>
        <w:rPr>
          <w:rFonts w:eastAsia="Times New Roman"/>
          <w:vanish/>
        </w:rPr>
        <w:t>5hubs:CostOfSubscriptionRevenuesMember2021-04-012021-06-3000014046552022-01-012022-06-300001404655us-gaap:OverAllotmentOptionMemberhubs:ZeroPointTwoFivePercentConvertibleSeniorNotesDueTwoThousandTwentyTwoMember2017-05-310001404655us-gaap:CommonStockMemberh</w:t>
      </w:r>
      <w:r>
        <w:rPr>
          <w:rFonts w:eastAsia="Times New Roman"/>
          <w:vanish/>
        </w:rPr>
        <w:t>ubs:ZeroPointTwoFivePercentConvertibleSeniorNotesDueTwoThousandTwentyTwoMember2022-06-300001404655us-gaap:RetainedEarningsMember2022-06-300001404655us-gaap:LeaseholdImprovementsMember2021-12-310001404655us-gaap:CommonStockMember2021-04-012021-06-3000014046</w:t>
      </w:r>
      <w:r>
        <w:rPr>
          <w:rFonts w:eastAsia="Times New Roman"/>
          <w:vanish/>
        </w:rPr>
        <w:t>55us-gaap:SubscriptionAndCirculationMember2022-04-012022-06-300001404655us-gaap:GeneralAndAdministrativeExpenseMember2022-01-012022-06-300001404655hubs:EmployeeRelatedComputerEquipmentMember2022-06-300001404655hubs:ZeroPointTwoFivePercentConvertibleSeniorN</w:t>
      </w:r>
      <w:r>
        <w:rPr>
          <w:rFonts w:eastAsia="Times New Roman"/>
          <w:vanish/>
        </w:rPr>
        <w:t>otesDueTwoThousandTwentyTwoMember2022-01-012022-06-300001404655hubs:StrategicInvestmentsMember2021-12-310001404655hubs:EmployeeRelatedComputerEquipmentMember2021-12-310001404655us-gaap:CommonStockMember2022-04-012022-06-300001404655hubs:ComputerEquipmentAn</w:t>
      </w:r>
      <w:r>
        <w:rPr>
          <w:rFonts w:eastAsia="Times New Roman"/>
          <w:vanish/>
        </w:rPr>
        <w:t>dPurchasedSoftwareMember2021-12-310001404655us-gaap:USTreasurySecuritiesMember2022-06-300001404655us-gaap:EmployeeStockOptionMember2021-01-012021-06-300001404655us-gaap:ConstructionInProgressMember2022-06-300001404655us-gaap:EmployeeStockMember2022-01-0120</w:t>
      </w:r>
      <w:r>
        <w:rPr>
          <w:rFonts w:eastAsia="Times New Roman"/>
          <w:vanish/>
        </w:rPr>
        <w:t>22-06-300001404655us-gaap:GeographicConcentrationRiskMemberus-gaap:SalesRevenueNetMemberhubs:OutsideOfAmericasMember2021-04-012021-06-300001404655hubs:ZeroPointTwoFivePercentConvertibleSeniorNotesDueTwoThousandTwentyTwoAsLiabilityComponentMemberus-gaap:Add</w:t>
      </w:r>
      <w:r>
        <w:rPr>
          <w:rFonts w:eastAsia="Times New Roman"/>
          <w:vanish/>
        </w:rPr>
        <w:t>itionalPaidInCapitalMember2021-04-012021-06-300001404655hubs:ProductRelatedObligationsMember2022-06-300001404655us-gaap:FairValueInputsLevel2Memberus-gaap:USTreasurySecuritiesMember2022-06-300001404655us-gaap:USGovernmentAgenciesShorttermDebtSecuritiesMemb</w:t>
      </w:r>
      <w:r>
        <w:rPr>
          <w:rFonts w:eastAsia="Times New Roman"/>
          <w:vanish/>
        </w:rPr>
        <w:t>er2022-06-300001404655us-gaap:FairValueInputsLevel2Member2022-06-3000014046552021-01-012021-03-310001404655us-gaap:AdditionalPaidInCapitalMemberhubs:ZeroPointThreeSevenFivePercentConvertibleSeniorNotesDueTwoThousandTwentyFiveAsLiabilityComponentMember2022-</w:t>
      </w:r>
      <w:r>
        <w:rPr>
          <w:rFonts w:eastAsia="Times New Roman"/>
          <w:vanish/>
        </w:rPr>
        <w:t>01-012022-03-310001404655us-gaap:CorporateBondSecuritiesMember2021-12-310001404655hubs:ZeroPointTwoFivePercentConvertibleSeniorNotesDueTwoThousandTwentyTwoAsLiabilityComponentMemberus-gaap:CommonStockMember2021-01-012021-03-310001404655hubs:ZeroPointTwoFiv</w:t>
      </w:r>
      <w:r>
        <w:rPr>
          <w:rFonts w:eastAsia="Times New Roman"/>
          <w:vanish/>
        </w:rPr>
        <w:t>ePercentConvertibleSeniorNotesDueTwoThousandTwentyTwoAsLiabilityComponentMember2021-01-012021-03-310001404655us-gaap:ServiceMember2022-01-012022-06-300001404655us-gaap:ServiceMember2021-01-012021-06-300001404655us-gaap:MoneyMarketFundsMember2021-12-3100014</w:t>
      </w:r>
      <w:r>
        <w:rPr>
          <w:rFonts w:eastAsia="Times New Roman"/>
          <w:vanish/>
        </w:rPr>
        <w:t>04655hubs:ConvertibleSeniorNotesDueTwoThousandTwentyFiveMember2022-01-012022-06-300001404655us-gaap:RestrictedStockUnitsRSUMember2022-01-012022-06-300001404655srt:MaximumMember2022-01-012022-06-300001404655us-gaap:TreasuryStockMember2022-03-310001404655srt</w:t>
      </w:r>
      <w:r>
        <w:rPr>
          <w:rFonts w:eastAsia="Times New Roman"/>
          <w:vanish/>
        </w:rPr>
        <w:t>:EuropeMember2021-12-310001404655us-gaap:RetainedEarningsMember2022-01-012022-03-310001404655us-gaap:SubscriptionAndCirculationMember2021-04-012021-06-300001404655us-gaap:MoneyMarketFundsMemberus-gaap:FairValueInputsLevel1Member2022-06-300001404655us-gaap:</w:t>
      </w:r>
      <w:r>
        <w:rPr>
          <w:rFonts w:eastAsia="Times New Roman"/>
          <w:vanish/>
        </w:rPr>
        <w:t>RetainedEarningsMember2022-04-012022-06-300001404655hubs:ZeroPointThreeSevenFivePercentConvertibleSeniorNotesDueTwoThousandTwentyFiveMember2021-01-012021-06-3000014046552022-07-290001404655us-gaap:CommercialPaperNotIncludedWithCashAndCashEquivalentsMember2</w:t>
      </w:r>
      <w:r>
        <w:rPr>
          <w:rFonts w:eastAsia="Times New Roman"/>
          <w:vanish/>
        </w:rPr>
        <w:t>022-06-300001404655us-gaap:EmployeeStockOptionMember2022-01-012022-06-300001404655srt:AmericasMember2021-12-310001404655hubs:ZeroPointThreeSevenFivePercentConvertibleSeniorNotesDueTwoThousandTwentyFiveAsLiabilityComponentMember2022-06-300001404655us-gaap:A</w:t>
      </w:r>
      <w:r>
        <w:rPr>
          <w:rFonts w:eastAsia="Times New Roman"/>
          <w:vanish/>
        </w:rPr>
        <w:t>dditionalPaidInCapitalMember2021-12-310001404655us-gaap:RetainedEarningsMember2021-12-310001404655hubs:ZeroPointTwoFivePercentConvertibleSeniorNotesDueTwoThousandTwentyTwoMember2022-06-3000014046552021-07-012022-06-300001404655us-gaap:RetainedEarningsMembe</w:t>
      </w:r>
      <w:r>
        <w:rPr>
          <w:rFonts w:eastAsia="Times New Roman"/>
          <w:vanish/>
        </w:rPr>
        <w:t>r2021-04-012021-06-300001404655us-gaap:ServiceMember2021-04-012021-06-300001404655srt:EuropeMember2022-01-012022-06-300001404655hubs:AccruedExpensesAndOtherCurrentLiabilitiesMember2021-12-310001404655us-gaap:FairValueInputsLevel2Memberus-gaap:CorporateBond</w:t>
      </w:r>
      <w:r>
        <w:rPr>
          <w:rFonts w:eastAsia="Times New Roman"/>
          <w:vanish/>
        </w:rPr>
        <w:t>SecuritiesMember2022-06-300001404655us-gaap:RetainedEarningsMember2021-03-310001404655hubs:ConvertibleSeniorNotesDueTwoThousandTwentyFiveMember2021-01-012021-06-300001404655us-gaap:TreasuryStockMember2021-12-310001404655us-gaap:FurnitureAndFixturesMember20</w:t>
      </w:r>
      <w:r>
        <w:rPr>
          <w:rFonts w:eastAsia="Times New Roman"/>
          <w:vanish/>
        </w:rPr>
        <w:t>21-12-310001404655us-gaap:AccumulatedOtherComprehensiveIncomeMember2020-12-310001404655us-gaap:GeographicConcentrationRiskMemberhubs:OutsideOfAmericasMemberus-gaap:AssetsTotalMember2022-01-012022-06-300001404655srt:AsiaPacificMember2021-01-012021-06-300001</w:t>
      </w:r>
      <w:r>
        <w:rPr>
          <w:rFonts w:eastAsia="Times New Roman"/>
          <w:vanish/>
        </w:rPr>
        <w:t>404655us-gaap:TreasuryStockMember2020-12-310001404655us-gaap:CommonStockMember2022-01-012022-03-310001404655us-gaap:FairValueInputsLevel2Memberus-gaap:USGovernmentAgenciesShorttermDebtSecuritiesMember2022-06-300001404655us-gaap:CommonStockMember2022-06-300</w:t>
      </w:r>
      <w:r>
        <w:rPr>
          <w:rFonts w:eastAsia="Times New Roman"/>
          <w:vanish/>
        </w:rPr>
        <w:t>001404655us-gaap:RetainedEarningsMember2020-12-310001404655us-gaap:USTreasurySecuritiesMember2021-12-310001404655us-gaap:AccumulatedNetUnrealizedInvestmentGainLossMember2022-01-012022-06-300001404655us-gaap:FairValueInputsLevel2Memberus-gaap:CommercialPape</w:t>
      </w:r>
      <w:r>
        <w:rPr>
          <w:rFonts w:eastAsia="Times New Roman"/>
          <w:vanish/>
        </w:rPr>
        <w:t>rMember2021-12-310001404655us-gaap:AdditionalPaidInCapitalMember2021-04-012021-06-300001404655us-gaap:AdditionalPaidInCapitalMember2021-03-310001404655hubs:ZeroPointTwoFivePercentConvertibleSeniorNotesDueTwoThousandTwentyTwoMember2017-05-310001404655hubs:C</w:t>
      </w:r>
      <w:r>
        <w:rPr>
          <w:rFonts w:eastAsia="Times New Roman"/>
          <w:vanish/>
        </w:rPr>
        <w:t>omputerEquipmentAndPurchasedSoftwareMember2022-06-300001404655hubs:ZeroPointTwoFivePercentConvertibleSeniorNotesDueTwoThousandTwentyTwoAsLiabilityComponentMemberus-gaap:CommonStockMember2021-04-012021-06-300001404655us-gaap:CommercialPaperNotIncludedWithCa</w:t>
      </w:r>
      <w:r>
        <w:rPr>
          <w:rFonts w:eastAsia="Times New Roman"/>
          <w:vanish/>
        </w:rPr>
        <w:t>shAndCashEquivalentsMember2021-12-310001404655hubs:ZeroPointThreeSevenFivePercentConvertibleSeniorNotesDueTwoThousandTwentyFiveMemberhubs:CappedCallOptionsMember2020-06-300001404655hubs:ZeroPointThreeSevenFivePercentConvertibleSeniorNotesDueTwoThousandTwen</w:t>
      </w:r>
      <w:r>
        <w:rPr>
          <w:rFonts w:eastAsia="Times New Roman"/>
          <w:vanish/>
        </w:rPr>
        <w:t>tyFiveMembersrt:MaximumMemberhubs:CappedCallOptionsMember2020-06-012020-06-300001404655srt:EuropeMember2022-06-300001404655us-gaap:ConstructionInProgressMember2021-12-3100014046552021-03-310001404655us-gaap:CommonStockMember2020-12-310001404655hubs:ZeroPoi</w:t>
      </w:r>
      <w:r>
        <w:rPr>
          <w:rFonts w:eastAsia="Times New Roman"/>
          <w:vanish/>
        </w:rPr>
        <w:t>ntTwoFivePercentConvertibleSeniorNotesDueTwoThousandTwentyTwoMember2022-06-012022-06-010001404655hubs:ZeroPointThreeSevenFivePercentConvertibleSeniorNotesDueTwoThousandTwentyFiveMemberus-gaap:PrivatePlacementMember2020-06-300001404655us-gaap:CommercialPape</w:t>
      </w:r>
      <w:r>
        <w:rPr>
          <w:rFonts w:eastAsia="Times New Roman"/>
          <w:vanish/>
        </w:rPr>
        <w:t>rMember2022-06-300001404655us-gaap:AccumulatedOtherComprehensiveIncomeMember2021-01-012021-03-310001404655hubs:AccruedExpensesAndOtherCurrentLiabilitiesMember2022-06-300001404655us-gaap:SoftwareDevelopmentMember2021-12-310001404655us-gaap:TreasuryStockMemb</w:t>
      </w:r>
      <w:r>
        <w:rPr>
          <w:rFonts w:eastAsia="Times New Roman"/>
          <w:vanish/>
        </w:rPr>
        <w:t>er2022-06-300001404655us-gaap:AccumulatedTranslationAdjustmentMember2022-06-300001404655srt:EuropeMember2021-01-012021-06-3000014046552022-01-012022-01-010001404655us-gaap:FairValueInputsLevel2Memberus-gaap:USTreasurySecuritiesMember2021-12-310001404655hub</w:t>
      </w:r>
      <w:r>
        <w:rPr>
          <w:rFonts w:eastAsia="Times New Roman"/>
          <w:vanish/>
        </w:rPr>
        <w:t>s:CapitalizedSoftwareAndPropertyPlantAndEquipmentMember2021-04-012021-06-300001404655hubs:ZeroPointThreeSevenFivePercentConvertibleSeniorNotesDueTwoThousandTwentyFiveMember2020-06-012020-06-300001404655hubs:CapitalizedSoftwareAndPropertyPlantAndEquipmentMe</w:t>
      </w:r>
      <w:r>
        <w:rPr>
          <w:rFonts w:eastAsia="Times New Roman"/>
          <w:vanish/>
        </w:rPr>
        <w:t>mber2022-04-012022-06-300001404655us-gaap:AccumulatedTranslationAdjustmentMember2022-01-012022-06-300001404655us-gaap:SubscriptionAndCirculationMember2022-01-012022-06-300001404655hubs:StrategicInvestmentsMember2022-06-300001404655us-gaap:GeographicConcent</w:t>
      </w:r>
      <w:r>
        <w:rPr>
          <w:rFonts w:eastAsia="Times New Roman"/>
          <w:vanish/>
        </w:rPr>
        <w:t>rationRiskMemberus-gaap:SalesRevenueNetMemberhubs:RestOfTheWorldMember2022-01-012022-06-300001404655us-gaap:EmployeeStockOptionMember2021-04-012021-06-300001404655us-gaap:FairValueInputsLevel2Memberus-gaap:MoneyMarketFundsMember2022-06-300001404655hubs:UST</w:t>
      </w:r>
      <w:r>
        <w:rPr>
          <w:rFonts w:eastAsia="Times New Roman"/>
          <w:vanish/>
        </w:rPr>
        <w:t>reasurySecuritiesExcludingCashAndCashEquivalentsMember2021-12-310001404655us-gaap:AdditionalPaidInCapitalMember2020-12-310001404655us-gaap:GeographicConcentrationRiskMemberus-gaap:SalesRevenueNetMemberhubs:OutsideOfAmericasMember2022-04-012022-06-300001404</w:t>
      </w:r>
      <w:r>
        <w:rPr>
          <w:rFonts w:eastAsia="Times New Roman"/>
          <w:vanish/>
        </w:rPr>
        <w:t>655srt:AmericasMember2022-06-300001404655us-gaap:CorporateBondSecuritiesMember2022-06-300001404655us-gaap:ResearchAndDevelopmentExpenseMember2021-01-012021-06-300001404655us-gaap:FairValueInputsLevel2Memberus-gaap:MoneyMarketFundsMember2021-12-310001404655</w:t>
      </w:r>
      <w:r>
        <w:rPr>
          <w:rFonts w:eastAsia="Times New Roman"/>
          <w:vanish/>
        </w:rPr>
        <w:t>us-gaap:SellingAndMarketingExpenseMember2022-01-012022-06-300001404655srt:AmericasMember2022-04-012022-06-300001404655us-gaap:CommonStockMember2021-12-310001404655us-gaap:CommonStockMember2021-01-012021-03-310001404655srt:AmericasMember2021-01-012021-06-30</w:t>
      </w:r>
      <w:r>
        <w:rPr>
          <w:rFonts w:eastAsia="Times New Roman"/>
          <w:vanish/>
        </w:rPr>
        <w:t>0001404655us-gaap:CommonStockMember2021-06-300001404655hubs:ZeroPointTwoFivePercentConvertibleSeniorNotesDueTwoThousandTwentyTwoMember2021-01-012021-06-300001404655hubs:ZeroPointThreeSevenFivePercentConvertibleSeniorNotesDueTwoThousandTwentyFiveMemberus-ga</w:t>
      </w:r>
      <w:r>
        <w:rPr>
          <w:rFonts w:eastAsia="Times New Roman"/>
          <w:vanish/>
        </w:rPr>
        <w:t>ap:OverAllotmentOptionMember2020-06-300001404655us-gaap:AccumulatedNetUnrealizedInvestmentGainLossMember2021-12-310001404655us-gaap:RestrictedStockUnitsRSUMember2021-01-012021-06-300001404655us-gaap:GeographicConcentrationRiskMemberus-gaap:SalesRevenueNetM</w:t>
      </w:r>
      <w:r>
        <w:rPr>
          <w:rFonts w:eastAsia="Times New Roman"/>
          <w:vanish/>
        </w:rPr>
        <w:t>emberhubs:OutsideOfAmericasMember2022-01-012022-06-3000014046552021-04-012021-06-300001404655us-gaap:MoneyMarketFundsMember2022-06-300001404655us-gaap:AccumulatedOtherComprehensiveIncomeMember2022-04-012022-06-300001404655srt:EuropeMember2021-04-012021-06-</w:t>
      </w:r>
      <w:r>
        <w:rPr>
          <w:rFonts w:eastAsia="Times New Roman"/>
          <w:vanish/>
        </w:rPr>
        <w:t>300001404655hubs:CapitalizedSoftwareAndPropertyPlantAndEquipmentMember2022-01-012022-06-300001404655us-gaap:GeographicConcentrationRiskMemberus-gaap:SalesRevenueNetMemberhubs:RestOfTheWorldMember2022-04-012022-06-300001404655us-gaap:PrivatePlacementMemberh</w:t>
      </w:r>
      <w:r>
        <w:rPr>
          <w:rFonts w:eastAsia="Times New Roman"/>
          <w:vanish/>
        </w:rPr>
        <w:t>ubs:ZeroPointTwoFivePercentConvertibleSeniorNotesDueTwoThousandTwentyTwoMember2017-05-310001404655srt:AsiaPacificMember2021-12-310001404655hubs:ZeroPointTwoFivePercentConvertibleSeniorNotesDueTwoThousandTwentyTwoMember2017-05-012017-05-310001404655us-gaap:</w:t>
      </w:r>
      <w:r>
        <w:rPr>
          <w:rFonts w:eastAsia="Times New Roman"/>
          <w:vanish/>
        </w:rPr>
        <w:t>RetainedEarningsMember2021-01-012021-03-310001404655us-gaap:AdditionalPaidInCapitalMember2022-03-310001404655us-gaap:AccumulatedNetUnrealizedInvestmentGainLossMember2022-06-300001404655us-gaap:RetainedEarningsMember2021-06-300001404655us-gaap:ConvertibleDe</w:t>
      </w:r>
      <w:r>
        <w:rPr>
          <w:rFonts w:eastAsia="Times New Roman"/>
          <w:vanish/>
        </w:rPr>
        <w:t>btSecuritiesMember2022-01-012022-06-300001404655us-gaap:ResearchAndDevelopmentExpenseMember2022-04-012022-06-300001404655us-gaap:RestrictedStockUnitsRSUMember2021-01-012021-06-300001404655hubs:CostOfRevenueProfessionalServicesAndOtherMember2021-01-012021-0</w:t>
      </w:r>
      <w:r>
        <w:rPr>
          <w:rFonts w:eastAsia="Times New Roman"/>
          <w:vanish/>
        </w:rPr>
        <w:t>6-300001404655us-gaap:CommonStockMember2022-03-310001404655us-gaap:ResearchAndDevelopmentExpenseMember2021-04-012021-06-300001404655us-gaap:EmployeeStockMember2021-01-012021-06-300001404655us-gaap:SoftwareDevelopmentMember2022-06-300001404655hubs:ZeroPoint</w:t>
      </w:r>
      <w:r>
        <w:rPr>
          <w:rFonts w:eastAsia="Times New Roman"/>
          <w:vanish/>
        </w:rPr>
        <w:t>ThreeSevenFivePercentConvertibleSeniorNotesDueTwoThousandTwentyFiveAsLiabilityComponentMember2022-01-012022-06-300001404655srt:MinimumMember2022-01-012022-06-300001404655us-gaap:AdditionalPaidInCapitalMember2021-06-300001404655srt:AsiaPacificMember2022-06-</w:t>
      </w:r>
      <w:r>
        <w:rPr>
          <w:rFonts w:eastAsia="Times New Roman"/>
          <w:vanish/>
        </w:rPr>
        <w:t>300001404655hubs:CostOfRevenueProfessionalServicesAndOtherMember2022-04-012022-06-300001404655us-gaap:WarrantMemberhubs:TwoThousandAndTwentyTwoNotesConvertibleNoteHedgesMember2022-01-012022-06-300001404655srt:AsiaPacificMember2022-01-012022-06-300001404655</w:t>
      </w:r>
      <w:r>
        <w:rPr>
          <w:rFonts w:eastAsia="Times New Roman"/>
          <w:vanish/>
        </w:rPr>
        <w:t>2021-06-300001404655srt:AmericasMember2022-01-012022-06-3000014046552021-12-310001404655hubs:ZeroPointThreeSevenFivePercentConvertibleSeniorNotesDueTwoThousandTwentyFiveMember2022-04-012022-06-300001404655us-gaap:AdditionalPaidInCapitalMember2022-01-012022</w:t>
      </w:r>
      <w:r>
        <w:rPr>
          <w:rFonts w:eastAsia="Times New Roman"/>
          <w:vanish/>
        </w:rPr>
        <w:t>-03-310001404655us-gaap:TreasuryStockMember2021-04-012021-06-300001404655hubs:CostOfSubscriptionRevenuesMember2022-01-012022-06-3000014046552021-01-012021-06-300001404655us-gaap:AdditionalPaidInCapitalMember2021-01-012021-03-310001404655us-gaap:Accumulated</w:t>
      </w:r>
      <w:r>
        <w:rPr>
          <w:rFonts w:eastAsia="Times New Roman"/>
          <w:vanish/>
        </w:rPr>
        <w:t>OtherComprehensiveIncomeMember2022-06-3000014046552022-03-310001404655srt:EuropeMember2022-04-012022-06-300001404655hubs:ZeroPointThreeSevenFivePercentConvertibleSeniorNotesDueTwoThousandTwentyFiveMemberus-gaap:FairValueInputsLevel2Member2022-06-3000014046</w:t>
      </w:r>
      <w:r>
        <w:rPr>
          <w:rFonts w:eastAsia="Times New Roman"/>
          <w:vanish/>
        </w:rPr>
        <w:t>55srt:AsiaPacificMember2021-04-012021-06-300001404655us-gaap:AccumulatedOtherComprehensiveIncomeMember2021-03-310001404655us-gaap:EmployeeStockOptionMember2022-04-012022-06-300001404655us-gaap:GeneralAndAdministrativeExpenseMember2021-01-012021-06-30000140</w:t>
      </w:r>
      <w:r>
        <w:rPr>
          <w:rFonts w:eastAsia="Times New Roman"/>
          <w:vanish/>
        </w:rPr>
        <w:t>4655us-gaap:TreasuryStockMember2021-06-300001404655hubs:CostOfRevenueProfessionalServicesAndOtherMember2022-01-012022-06-300001404655us-gaap:CommonStockMember2021-03-310001404655us-gaap:AdditionalPaidInCapitalMember2022-04-012022-06-300001404655us-gaap:Res</w:t>
      </w:r>
      <w:r>
        <w:rPr>
          <w:rFonts w:eastAsia="Times New Roman"/>
          <w:vanish/>
        </w:rPr>
        <w:t>trictedStockUnitsRSUMember2021-04-012021-06-300001404655us-gaap:EmployeeStockMember2022-04-012022-06-300001404655us-gaap:FurnitureAndFixturesMember2022-06-3000014046552020-12-310001404655us-gaap:MoneyMarketFundsMemberus-gaap:FairValueInputsLevel1Member2021</w:t>
      </w:r>
      <w:r>
        <w:rPr>
          <w:rFonts w:eastAsia="Times New Roman"/>
          <w:vanish/>
        </w:rPr>
        <w:t>-12-310001404655hubs:ZeroPointTwoFivePercentConvertibleSeniorNotesDueTwoThousandTwentyTwoMember2022-04-012022-06-300001404655hubs:ZeroPointTwoFivePercentConvertibleSeniorNotesDueTwoThousandTwentyTwoAsLiabilityComponentMember2022-04-012022-06-300001404655us</w:t>
      </w:r>
      <w:r>
        <w:rPr>
          <w:rFonts w:eastAsia="Times New Roman"/>
          <w:vanish/>
        </w:rPr>
        <w:t>-gaap:AccumulatedTranslationAdjustmentMember2021-12-310001404655us-gaap:AccumulatedOtherComprehensiveIncomeMember2021-12-310001404655us-gaap:SellingAndMarketingExpenseMember2021-04-012021-06-300001404655us-gaap:SubscriptionAndCirculationMember2021-01-01202</w:t>
      </w:r>
      <w:r>
        <w:rPr>
          <w:rFonts w:eastAsia="Times New Roman"/>
          <w:vanish/>
        </w:rPr>
        <w:t>1-06-300001404655us-gaap:FairValueInputsLevel1Member2022-06-300001404655hubs:ZeroPointThreeSevenFivePercentConvertibleSeniorNotesDueTwoThousandTwentyFiveMemberhubs:CappedCallOptionsMember2020-06-012020-06-300001404655us-gaap:GeographicConcentrationRiskMemb</w:t>
      </w:r>
      <w:r>
        <w:rPr>
          <w:rFonts w:eastAsia="Times New Roman"/>
          <w:vanish/>
        </w:rPr>
        <w:t>erus-gaap:SalesRevenueNetMemberhubs:RestOfTheWorldMember2021-01-012021-06-300001404655hubs:ZeroPointTwoFivePercentConvertibleSeniorNotesDueTwoThousandTwentyTwoAsLiabilityComponentMember2021-04-012021-06-300001404655us-gaap:SellingAndMarketingExpenseMember2</w:t>
      </w:r>
      <w:r>
        <w:rPr>
          <w:rFonts w:eastAsia="Times New Roman"/>
          <w:vanish/>
        </w:rPr>
        <w:t>021-01-012021-06-300001404655hubs:ZeroPointTwoFivePercentConvertibleSeniorNotesDueTwoThousandTwentyTwoAsLiabilityComponentMemberus-gaap:AdditionalPaidInCapitalMember2022-04-012022-06-3000014046552022-06-300001404655us-gaap:AccumulatedOtherComprehensiveInco</w:t>
      </w:r>
      <w:r>
        <w:rPr>
          <w:rFonts w:eastAsia="Times New Roman"/>
          <w:vanish/>
        </w:rPr>
        <w:t>meMember2022-01-012022-03-310001404655hubs:USTreasurySecuritiesExcludingCashAndCashEquivalentsMember2022-06-300001404655us-gaap:ServiceMember2022-04-012022-06-300001404655us-gaap:GeographicConcentrationRiskMemberus-gaap:SalesRevenueNetMemberhubs:OutsideOfA</w:t>
      </w:r>
      <w:r>
        <w:rPr>
          <w:rFonts w:eastAsia="Times New Roman"/>
          <w:vanish/>
        </w:rPr>
        <w:t>mericasMember2021-01-012021-06-300001404655hubs:CostOfSubscriptionRevenuesMember2021-01-012021-06-300001404655us-gaap:FairValueInputsLevel2Memberus-gaap:USGovernmentAgenciesShorttermDebtSecuritiesMember2021-12-310001404655hubs:CostOfRevenueProfessionalServ</w:t>
      </w:r>
      <w:r>
        <w:rPr>
          <w:rFonts w:eastAsia="Times New Roman"/>
          <w:vanish/>
        </w:rPr>
        <w:t>icesAndOtherMember2021-04-012021-06-300001404655us-gaap:RestrictedStockUnitsRSUMember2022-04-012022-06-300001404655us-gaap:GeneralAndAdministrativeExpenseMember2022-04-012022-06-3000014046552022-04-012022-06-300001404655srt:AmericasMember2021-04-012021-06-</w:t>
      </w:r>
      <w:r>
        <w:rPr>
          <w:rFonts w:eastAsia="Times New Roman"/>
          <w:vanish/>
        </w:rPr>
        <w:t>300001404655hubs:ZeroPointThreeSevenFivePercentConvertibleSeniorNotesDueTwoThousandTwentyFiveAsLiabilityComponentMember2021-12-310001404655us-gaap:ConvertibleDebtSecuritiesMember2021-01-012021-06-300001404655us-gaap:FairValueInputsLevel2Memberus-gaap:Corpo</w:t>
      </w:r>
      <w:r>
        <w:rPr>
          <w:rFonts w:eastAsia="Times New Roman"/>
          <w:vanish/>
        </w:rPr>
        <w:t>rateBondSecuritiesMember2021-12-310001404655us-gaap:GeographicConcentrationRiskMemberus-gaap:SalesRevenueNetMemberhubs:RestOfTheWorldMember2021-04-012021-06-300001404655us-gaap:SellingAndMarketingExpenseMember2022-04-012022-06-300001404655hubs:ZeroPointTwo</w:t>
      </w:r>
      <w:r>
        <w:rPr>
          <w:rFonts w:eastAsia="Times New Roman"/>
          <w:vanish/>
        </w:rPr>
        <w:t>FivePercentConvertibleSeniorNotesDueTwoThousandTwentyTwoMember2021-04-012021-06-300001404655hubs:ZeroPointThreeSevenFivePercentConvertibleSeniorNotesDueTwoThousandTwentyFiveMember2020-06-300001404655us-gaap:USGovernmentAgenciesShorttermDebtSecuritiesMember</w:t>
      </w:r>
      <w:r>
        <w:rPr>
          <w:rFonts w:eastAsia="Times New Roman"/>
          <w:vanish/>
        </w:rPr>
        <w:t>2021-12-310001404655hubs:CostOfSubscriptionRevenuesMember2022-04-012022-06-300001404655us-gaap:FairValueInputsLevel2Memberus-gaap:CommercialPaperMember2022-06-300001404655hubs:InboundEventObligationsMember2022-06-300001404655hubs:ZeroPointThreeSevenFivePer</w:t>
      </w:r>
      <w:r>
        <w:rPr>
          <w:rFonts w:eastAsia="Times New Roman"/>
          <w:vanish/>
        </w:rPr>
        <w:t>centConvertibleSeniorNotesDueTwoThousandTwentyFiveMember2021-04-012021-06-300001404655us-gaap:RetainedEarningsMember2022-03-3100014046552022-01-012022-03-310001404655us-gaap:FairValueInputsLevel2Member2021-12-310001404655us-gaap:AccumulatedOtherComprehensi</w:t>
      </w:r>
      <w:r>
        <w:rPr>
          <w:rFonts w:eastAsia="Times New Roman"/>
          <w:vanish/>
        </w:rPr>
        <w:t>veIncomeMember2021-06-300001404655us-gaap:GeneralAndAdministrativeExpenseMember2021-04-012021-06-300001404655us-gaap:ResearchAndDevelopmentExpenseMember2022-01-012022-06-300001404655us-gaap:EmployeeStockOptionMember2022-01-012022-06-30iso4217:USDxbrli:shar</w:t>
      </w:r>
      <w:r>
        <w:rPr>
          <w:rFonts w:eastAsia="Times New Roman"/>
          <w:vanish/>
        </w:rPr>
        <w:t>esxbrli:purexbrli:sharesiso4217:USDhubs:Segment</w:t>
      </w:r>
    </w:p>
    <w:p w14:paraId="762302CE" w14:textId="77777777" w:rsidR="00000000" w:rsidRDefault="003C49E9">
      <w:pPr>
        <w:pStyle w:val="a3"/>
        <w:spacing w:before="0" w:beforeAutospacing="0" w:after="0" w:afterAutospacing="0"/>
        <w:rPr>
          <w:sz w:val="20"/>
          <w:szCs w:val="20"/>
        </w:rPr>
      </w:pPr>
      <w:r>
        <w:rPr>
          <w:sz w:val="20"/>
          <w:szCs w:val="20"/>
        </w:rPr>
        <w:t> </w:t>
      </w:r>
    </w:p>
    <w:p w14:paraId="382F851C" w14:textId="77777777" w:rsidR="00000000" w:rsidRDefault="003C49E9">
      <w:pPr>
        <w:pStyle w:val="a3"/>
        <w:pBdr>
          <w:bottom w:val="double" w:sz="6" w:space="1" w:color="auto"/>
        </w:pBdr>
        <w:spacing w:before="0" w:beforeAutospacing="0" w:after="0" w:afterAutospacing="0"/>
        <w:rPr>
          <w:sz w:val="20"/>
          <w:szCs w:val="20"/>
        </w:rPr>
      </w:pPr>
      <w:r>
        <w:rPr>
          <w:sz w:val="20"/>
          <w:szCs w:val="20"/>
        </w:rPr>
        <w:t> </w:t>
      </w:r>
    </w:p>
    <w:p w14:paraId="121248C9" w14:textId="77777777" w:rsidR="00000000" w:rsidRDefault="003C49E9">
      <w:pPr>
        <w:pStyle w:val="a3"/>
        <w:spacing w:before="60" w:beforeAutospacing="0" w:after="0" w:afterAutospacing="0"/>
        <w:jc w:val="center"/>
        <w:rPr>
          <w:sz w:val="20"/>
          <w:szCs w:val="20"/>
        </w:rPr>
      </w:pPr>
      <w:r>
        <w:rPr>
          <w:b/>
          <w:bCs/>
          <w:sz w:val="18"/>
          <w:szCs w:val="18"/>
        </w:rPr>
        <w:t>UNITED STATE</w:t>
      </w:r>
      <w:r>
        <w:rPr>
          <w:b/>
          <w:bCs/>
          <w:sz w:val="18"/>
          <w:szCs w:val="18"/>
        </w:rPr>
        <w:t>S</w:t>
      </w:r>
    </w:p>
    <w:p w14:paraId="627EF0AE" w14:textId="77777777" w:rsidR="00000000" w:rsidRDefault="003C49E9">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14:paraId="3AE41CC0" w14:textId="77777777" w:rsidR="00000000" w:rsidRDefault="003C49E9">
      <w:pPr>
        <w:pStyle w:val="a3"/>
        <w:spacing w:before="0" w:beforeAutospacing="0" w:after="0" w:afterAutospacing="0"/>
        <w:jc w:val="center"/>
        <w:rPr>
          <w:sz w:val="20"/>
          <w:szCs w:val="20"/>
        </w:rPr>
      </w:pPr>
      <w:r>
        <w:rPr>
          <w:b/>
          <w:bCs/>
          <w:sz w:val="18"/>
          <w:szCs w:val="18"/>
        </w:rPr>
        <w:t>Washington, D.C. 2054</w:t>
      </w:r>
      <w:r>
        <w:rPr>
          <w:b/>
          <w:bCs/>
          <w:sz w:val="18"/>
          <w:szCs w:val="18"/>
        </w:rPr>
        <w:t>9</w:t>
      </w:r>
    </w:p>
    <w:p w14:paraId="5C2FCDE9" w14:textId="77777777" w:rsidR="00000000" w:rsidRDefault="003C49E9">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30FB4D85" w14:textId="77777777" w:rsidR="00000000" w:rsidRDefault="003C49E9">
      <w:pPr>
        <w:pStyle w:val="a3"/>
        <w:spacing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14:paraId="33D9B40B" w14:textId="77777777" w:rsidR="00000000" w:rsidRDefault="003C49E9">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41DCE3D6" w14:textId="77777777" w:rsidR="00000000" w:rsidRDefault="003C49E9">
      <w:pPr>
        <w:pStyle w:val="a3"/>
        <w:spacing w:beforeAutospacing="0" w:after="0" w:afterAutospacing="0"/>
        <w:rPr>
          <w:sz w:val="20"/>
          <w:szCs w:val="20"/>
        </w:rPr>
      </w:pPr>
      <w:r>
        <w:rPr>
          <w:b/>
          <w:bCs/>
          <w:sz w:val="18"/>
          <w:szCs w:val="18"/>
        </w:rPr>
        <w:t>(MARK ONE</w:t>
      </w:r>
      <w:r>
        <w:rPr>
          <w:b/>
          <w:bCs/>
          <w:sz w:val="18"/>
          <w:szCs w:val="18"/>
        </w:rPr>
        <w:t>)</w:t>
      </w:r>
    </w:p>
    <w:p w14:paraId="521D5A6A"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14:paraId="3B156A69" w14:textId="77777777">
        <w:trPr>
          <w:tblCellSpacing w:w="15" w:type="dxa"/>
        </w:trPr>
        <w:tc>
          <w:tcPr>
            <w:tcW w:w="222" w:type="pct"/>
            <w:vAlign w:val="center"/>
            <w:hideMark/>
          </w:tcPr>
          <w:p w14:paraId="4B226DE6" w14:textId="77777777" w:rsidR="00000000" w:rsidRDefault="003C49E9">
            <w:pPr>
              <w:rPr>
                <w:sz w:val="20"/>
                <w:szCs w:val="20"/>
              </w:rPr>
            </w:pPr>
          </w:p>
        </w:tc>
        <w:tc>
          <w:tcPr>
            <w:tcW w:w="4777" w:type="pct"/>
            <w:vAlign w:val="center"/>
            <w:hideMark/>
          </w:tcPr>
          <w:p w14:paraId="02DEDEC9" w14:textId="77777777" w:rsidR="00000000" w:rsidRDefault="003C49E9">
            <w:pPr>
              <w:rPr>
                <w:rFonts w:eastAsia="Times New Roman"/>
                <w:sz w:val="20"/>
                <w:szCs w:val="20"/>
              </w:rPr>
            </w:pPr>
          </w:p>
        </w:tc>
      </w:tr>
      <w:tr w:rsidR="00000000" w14:paraId="1FD06043" w14:textId="77777777">
        <w:trPr>
          <w:trHeight w:val="180"/>
          <w:tblCellSpacing w:w="15" w:type="dxa"/>
        </w:trPr>
        <w:tc>
          <w:tcPr>
            <w:tcW w:w="0" w:type="auto"/>
            <w:hideMark/>
          </w:tcPr>
          <w:p w14:paraId="3FA00A20" w14:textId="77777777" w:rsidR="00000000" w:rsidRDefault="003C49E9">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14:paraId="79B13F25" w14:textId="77777777" w:rsidR="00000000" w:rsidRDefault="003C49E9">
            <w:pPr>
              <w:pStyle w:val="a3"/>
              <w:spacing w:before="0" w:beforeAutospacing="0" w:after="0" w:afterAutospacing="0"/>
              <w:rPr>
                <w:sz w:val="18"/>
                <w:szCs w:val="18"/>
              </w:rPr>
            </w:pPr>
            <w:r>
              <w:rPr>
                <w:b/>
                <w:bCs/>
                <w:sz w:val="18"/>
                <w:szCs w:val="18"/>
              </w:rPr>
              <w:t>QUARTERLY REPORT PURSUANT TO SECTION 13 OR 15(d) OF THE SECURITIES EXCHANGE ACT OF 193</w:t>
            </w:r>
            <w:r>
              <w:rPr>
                <w:b/>
                <w:bCs/>
                <w:sz w:val="18"/>
                <w:szCs w:val="18"/>
              </w:rPr>
              <w:t>4</w:t>
            </w:r>
          </w:p>
        </w:tc>
      </w:tr>
    </w:tbl>
    <w:p w14:paraId="18099A86" w14:textId="77777777" w:rsidR="00000000" w:rsidRDefault="003C49E9">
      <w:pPr>
        <w:pStyle w:val="a3"/>
        <w:spacing w:before="0" w:beforeAutospacing="0" w:after="0" w:afterAutospacing="0"/>
        <w:rPr>
          <w:sz w:val="20"/>
          <w:szCs w:val="20"/>
        </w:rPr>
      </w:pPr>
      <w:r>
        <w:rPr>
          <w:sz w:val="20"/>
          <w:szCs w:val="20"/>
        </w:rPr>
        <w:t> </w:t>
      </w:r>
    </w:p>
    <w:p w14:paraId="4379B24A" w14:textId="77777777" w:rsidR="00000000" w:rsidRDefault="003C49E9">
      <w:pPr>
        <w:pStyle w:val="a3"/>
        <w:spacing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June 30,</w:t>
      </w:r>
      <w:r>
        <w:rPr>
          <w:b/>
          <w:bCs/>
          <w:sz w:val="18"/>
          <w:szCs w:val="18"/>
        </w:rPr>
        <w:t xml:space="preserve"> </w:t>
      </w:r>
      <w:r>
        <w:rPr>
          <w:b/>
          <w:bCs/>
          <w:sz w:val="18"/>
          <w:szCs w:val="18"/>
        </w:rPr>
        <w:t>202</w:t>
      </w:r>
      <w:r>
        <w:rPr>
          <w:b/>
          <w:bCs/>
          <w:sz w:val="18"/>
          <w:szCs w:val="18"/>
        </w:rPr>
        <w:t>2</w:t>
      </w:r>
    </w:p>
    <w:p w14:paraId="2EB98FC9" w14:textId="77777777" w:rsidR="00000000" w:rsidRDefault="003C49E9">
      <w:pPr>
        <w:pStyle w:val="a3"/>
        <w:spacing w:beforeAutospacing="0" w:after="0" w:afterAutospacing="0"/>
        <w:jc w:val="center"/>
        <w:rPr>
          <w:sz w:val="20"/>
          <w:szCs w:val="20"/>
        </w:rPr>
      </w:pPr>
      <w:r>
        <w:rPr>
          <w:b/>
          <w:bCs/>
          <w:sz w:val="18"/>
          <w:szCs w:val="18"/>
        </w:rPr>
        <w:t>O</w:t>
      </w:r>
      <w:r>
        <w:rPr>
          <w:b/>
          <w:bCs/>
          <w:sz w:val="18"/>
          <w:szCs w:val="18"/>
        </w:rPr>
        <w:t>R</w:t>
      </w:r>
    </w:p>
    <w:p w14:paraId="1FCDCFC3" w14:textId="77777777" w:rsidR="00000000" w:rsidRDefault="003C49E9">
      <w:pPr>
        <w:pStyle w:val="a3"/>
        <w:spacing w:before="0" w:beforeAutospacing="0" w:after="0" w:afterAutospacing="0"/>
        <w:ind w:hanging="58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14:paraId="37013ADC" w14:textId="77777777">
        <w:trPr>
          <w:tblCellSpacing w:w="15" w:type="dxa"/>
        </w:trPr>
        <w:tc>
          <w:tcPr>
            <w:tcW w:w="222" w:type="pct"/>
            <w:vAlign w:val="center"/>
            <w:hideMark/>
          </w:tcPr>
          <w:p w14:paraId="35A83918" w14:textId="77777777" w:rsidR="00000000" w:rsidRDefault="003C49E9">
            <w:pPr>
              <w:rPr>
                <w:sz w:val="20"/>
                <w:szCs w:val="20"/>
              </w:rPr>
            </w:pPr>
          </w:p>
        </w:tc>
        <w:tc>
          <w:tcPr>
            <w:tcW w:w="4777" w:type="pct"/>
            <w:vAlign w:val="center"/>
            <w:hideMark/>
          </w:tcPr>
          <w:p w14:paraId="11A30B9D" w14:textId="77777777" w:rsidR="00000000" w:rsidRDefault="003C49E9">
            <w:pPr>
              <w:rPr>
                <w:rFonts w:eastAsia="Times New Roman"/>
                <w:sz w:val="20"/>
                <w:szCs w:val="20"/>
              </w:rPr>
            </w:pPr>
          </w:p>
        </w:tc>
      </w:tr>
      <w:tr w:rsidR="00000000" w14:paraId="247856CF" w14:textId="77777777">
        <w:trPr>
          <w:trHeight w:val="180"/>
          <w:tblCellSpacing w:w="15" w:type="dxa"/>
        </w:trPr>
        <w:tc>
          <w:tcPr>
            <w:tcW w:w="0" w:type="auto"/>
            <w:hideMark/>
          </w:tcPr>
          <w:p w14:paraId="453BE5EF" w14:textId="77777777" w:rsidR="00000000" w:rsidRDefault="003C49E9">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14:paraId="25F0DDC3" w14:textId="77777777" w:rsidR="00000000" w:rsidRDefault="003C49E9">
            <w:pPr>
              <w:pStyle w:val="a3"/>
              <w:spacing w:before="0" w:beforeAutospacing="0" w:after="0" w:afterAutospacing="0"/>
              <w:rPr>
                <w:sz w:val="18"/>
                <w:szCs w:val="18"/>
              </w:rPr>
            </w:pPr>
            <w:r>
              <w:rPr>
                <w:b/>
                <w:bCs/>
                <w:sz w:val="18"/>
                <w:szCs w:val="18"/>
              </w:rPr>
              <w:t>TRANSITION REPORT PURSUANT TO SECTION 13 OR 15(d) OF THE SECURITIES EXCHANGE ACT OF 193</w:t>
            </w:r>
            <w:r>
              <w:rPr>
                <w:b/>
                <w:bCs/>
                <w:sz w:val="18"/>
                <w:szCs w:val="18"/>
              </w:rPr>
              <w:t>4</w:t>
            </w:r>
          </w:p>
        </w:tc>
      </w:tr>
    </w:tbl>
    <w:p w14:paraId="37A71C4A" w14:textId="77777777" w:rsidR="00000000" w:rsidRDefault="003C49E9">
      <w:pPr>
        <w:pStyle w:val="a3"/>
        <w:spacing w:before="0" w:beforeAutospacing="0" w:after="0" w:afterAutospacing="0"/>
        <w:ind w:hanging="581"/>
        <w:rPr>
          <w:sz w:val="20"/>
          <w:szCs w:val="20"/>
        </w:rPr>
      </w:pPr>
      <w:r>
        <w:rPr>
          <w:sz w:val="20"/>
          <w:szCs w:val="20"/>
        </w:rPr>
        <w:t> </w:t>
      </w:r>
    </w:p>
    <w:p w14:paraId="20F51B9A" w14:textId="77777777" w:rsidR="00000000" w:rsidRDefault="003C49E9">
      <w:pPr>
        <w:pStyle w:val="a3"/>
        <w:spacing w:before="0" w:beforeAutospacing="0" w:after="0" w:afterAutospacing="0"/>
        <w:jc w:val="center"/>
        <w:rPr>
          <w:sz w:val="20"/>
          <w:szCs w:val="20"/>
        </w:rPr>
      </w:pPr>
      <w:r>
        <w:rPr>
          <w:b/>
          <w:bCs/>
          <w:sz w:val="18"/>
          <w:szCs w:val="18"/>
        </w:rPr>
        <w:t>FOR THE TRANSITION</w:t>
      </w:r>
      <w:r>
        <w:rPr>
          <w:b/>
          <w:bCs/>
          <w:sz w:val="18"/>
          <w:szCs w:val="18"/>
        </w:rPr>
        <w:t xml:space="preserve"> PERIOD FROM</w:t>
      </w:r>
      <w:r>
        <w:rPr>
          <w:b/>
          <w:bCs/>
          <w:sz w:val="18"/>
          <w:szCs w:val="18"/>
        </w:rPr>
        <w:t xml:space="preserve"> </w:t>
      </w:r>
      <w:r>
        <w:rPr>
          <w:b/>
          <w:bCs/>
          <w:sz w:val="18"/>
          <w:szCs w:val="18"/>
        </w:rPr>
        <w:t>T</w:t>
      </w:r>
      <w:r>
        <w:rPr>
          <w:b/>
          <w:bCs/>
          <w:sz w:val="18"/>
          <w:szCs w:val="18"/>
        </w:rPr>
        <w:t>O</w:t>
      </w:r>
      <w:r>
        <w:rPr>
          <w:b/>
          <w:bCs/>
          <w:sz w:val="18"/>
          <w:szCs w:val="18"/>
        </w:rPr>
        <w:t xml:space="preserve"> </w:t>
      </w:r>
    </w:p>
    <w:p w14:paraId="763098D1" w14:textId="77777777" w:rsidR="00000000" w:rsidRDefault="003C49E9">
      <w:pPr>
        <w:pStyle w:val="a3"/>
        <w:spacing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14:paraId="41637AC5" w14:textId="77777777" w:rsidR="00000000" w:rsidRDefault="003C49E9">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2069A053" w14:textId="77777777" w:rsidR="00000000" w:rsidRDefault="003C49E9">
      <w:pPr>
        <w:pStyle w:val="a3"/>
        <w:spacing w:beforeAutospacing="0" w:after="0" w:afterAutospacing="0"/>
        <w:jc w:val="center"/>
        <w:rPr>
          <w:sz w:val="20"/>
          <w:szCs w:val="20"/>
        </w:rPr>
      </w:pPr>
      <w:r>
        <w:rPr>
          <w:b/>
          <w:bCs/>
          <w:sz w:val="44"/>
          <w:szCs w:val="44"/>
        </w:rPr>
        <w:t>HubSpot, Inc</w:t>
      </w:r>
      <w:r>
        <w:rPr>
          <w:b/>
          <w:bCs/>
          <w:sz w:val="44"/>
          <w:szCs w:val="44"/>
        </w:rPr>
        <w:t>.</w:t>
      </w:r>
    </w:p>
    <w:p w14:paraId="0F3851F1" w14:textId="77777777" w:rsidR="00000000" w:rsidRDefault="003C49E9">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14:paraId="7EAC5075" w14:textId="77777777" w:rsidR="00000000" w:rsidRDefault="003C49E9">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33978467"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14:paraId="2264D08C" w14:textId="77777777">
        <w:trPr>
          <w:tblCellSpacing w:w="15" w:type="dxa"/>
        </w:trPr>
        <w:tc>
          <w:tcPr>
            <w:tcW w:w="2449" w:type="pct"/>
            <w:vAlign w:val="center"/>
            <w:hideMark/>
          </w:tcPr>
          <w:p w14:paraId="56BF2C79" w14:textId="77777777" w:rsidR="00000000" w:rsidRDefault="003C49E9">
            <w:pPr>
              <w:rPr>
                <w:sz w:val="20"/>
                <w:szCs w:val="20"/>
              </w:rPr>
            </w:pPr>
          </w:p>
        </w:tc>
        <w:tc>
          <w:tcPr>
            <w:tcW w:w="100" w:type="pct"/>
            <w:vAlign w:val="center"/>
            <w:hideMark/>
          </w:tcPr>
          <w:p w14:paraId="7F19FB9D" w14:textId="77777777" w:rsidR="00000000" w:rsidRDefault="003C49E9">
            <w:pPr>
              <w:rPr>
                <w:rFonts w:eastAsia="Times New Roman"/>
                <w:sz w:val="20"/>
                <w:szCs w:val="20"/>
              </w:rPr>
            </w:pPr>
          </w:p>
        </w:tc>
        <w:tc>
          <w:tcPr>
            <w:tcW w:w="2449" w:type="pct"/>
            <w:vAlign w:val="center"/>
            <w:hideMark/>
          </w:tcPr>
          <w:p w14:paraId="22D6B830" w14:textId="77777777" w:rsidR="00000000" w:rsidRDefault="003C49E9">
            <w:pPr>
              <w:rPr>
                <w:rFonts w:eastAsia="Times New Roman"/>
                <w:sz w:val="20"/>
                <w:szCs w:val="20"/>
              </w:rPr>
            </w:pPr>
          </w:p>
        </w:tc>
      </w:tr>
      <w:tr w:rsidR="00000000" w14:paraId="07711A6B" w14:textId="77777777">
        <w:trPr>
          <w:trHeight w:val="180"/>
          <w:tblCellSpacing w:w="15" w:type="dxa"/>
        </w:trPr>
        <w:tc>
          <w:tcPr>
            <w:tcW w:w="0" w:type="auto"/>
            <w:hideMark/>
          </w:tcPr>
          <w:p w14:paraId="10A14CCD" w14:textId="77777777" w:rsidR="00000000" w:rsidRDefault="003C49E9">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14:paraId="170C01F5" w14:textId="77777777" w:rsidR="00000000" w:rsidRDefault="003C49E9">
            <w:pPr>
              <w:pStyle w:val="a3"/>
              <w:spacing w:before="0" w:beforeAutospacing="0" w:after="0" w:afterAutospacing="0"/>
              <w:rPr>
                <w:sz w:val="18"/>
                <w:szCs w:val="18"/>
              </w:rPr>
            </w:pPr>
            <w:r>
              <w:rPr>
                <w:sz w:val="18"/>
                <w:szCs w:val="18"/>
              </w:rPr>
              <w:t> </w:t>
            </w:r>
          </w:p>
        </w:tc>
        <w:tc>
          <w:tcPr>
            <w:tcW w:w="0" w:type="auto"/>
            <w:hideMark/>
          </w:tcPr>
          <w:p w14:paraId="42B3D14C" w14:textId="77777777" w:rsidR="00000000" w:rsidRDefault="003C49E9">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14:paraId="0350D035" w14:textId="77777777">
        <w:trPr>
          <w:trHeight w:val="58"/>
          <w:tblCellSpacing w:w="15" w:type="dxa"/>
        </w:trPr>
        <w:tc>
          <w:tcPr>
            <w:tcW w:w="0" w:type="auto"/>
            <w:hideMark/>
          </w:tcPr>
          <w:p w14:paraId="190F2B21" w14:textId="77777777" w:rsidR="00000000" w:rsidRDefault="003C49E9">
            <w:pPr>
              <w:pStyle w:val="a3"/>
              <w:spacing w:before="0" w:beforeAutospacing="0" w:after="0" w:afterAutospacing="0"/>
              <w:jc w:val="center"/>
              <w:rPr>
                <w:sz w:val="18"/>
                <w:szCs w:val="18"/>
              </w:rPr>
            </w:pPr>
            <w:r>
              <w:rPr>
                <w:b/>
                <w:bCs/>
                <w:sz w:val="18"/>
                <w:szCs w:val="18"/>
              </w:rPr>
              <w:t>(State or other jurisdiction o</w:t>
            </w:r>
            <w:r>
              <w:rPr>
                <w:b/>
                <w:bCs/>
                <w:sz w:val="18"/>
                <w:szCs w:val="18"/>
              </w:rPr>
              <w:t>f</w:t>
            </w:r>
          </w:p>
          <w:p w14:paraId="75F64390" w14:textId="77777777" w:rsidR="00000000" w:rsidRDefault="003C49E9">
            <w:pPr>
              <w:pStyle w:val="a3"/>
              <w:spacing w:before="0" w:beforeAutospacing="0" w:after="0" w:afterAutospacing="0"/>
              <w:jc w:val="center"/>
              <w:rPr>
                <w:sz w:val="18"/>
                <w:szCs w:val="18"/>
              </w:rPr>
            </w:pPr>
            <w:r>
              <w:rPr>
                <w:b/>
                <w:bCs/>
                <w:sz w:val="18"/>
                <w:szCs w:val="18"/>
              </w:rPr>
              <w:t>incorporation or organization</w:t>
            </w:r>
            <w:r>
              <w:rPr>
                <w:b/>
                <w:bCs/>
                <w:sz w:val="18"/>
                <w:szCs w:val="18"/>
              </w:rPr>
              <w:t>)</w:t>
            </w:r>
          </w:p>
        </w:tc>
        <w:tc>
          <w:tcPr>
            <w:tcW w:w="0" w:type="auto"/>
            <w:vAlign w:val="bottom"/>
            <w:hideMark/>
          </w:tcPr>
          <w:p w14:paraId="038ADC75" w14:textId="77777777" w:rsidR="00000000" w:rsidRDefault="003C49E9">
            <w:pPr>
              <w:pStyle w:val="a3"/>
              <w:spacing w:before="0" w:beforeAutospacing="0" w:after="0" w:afterAutospacing="0"/>
              <w:rPr>
                <w:sz w:val="18"/>
                <w:szCs w:val="18"/>
              </w:rPr>
            </w:pPr>
            <w:r>
              <w:rPr>
                <w:sz w:val="18"/>
                <w:szCs w:val="18"/>
              </w:rPr>
              <w:t> </w:t>
            </w:r>
          </w:p>
        </w:tc>
        <w:tc>
          <w:tcPr>
            <w:tcW w:w="0" w:type="auto"/>
            <w:hideMark/>
          </w:tcPr>
          <w:p w14:paraId="013832C6" w14:textId="77777777" w:rsidR="00000000" w:rsidRDefault="003C49E9">
            <w:pPr>
              <w:pStyle w:val="a3"/>
              <w:spacing w:before="0" w:beforeAutospacing="0" w:after="0" w:afterAutospacing="0"/>
              <w:jc w:val="center"/>
              <w:rPr>
                <w:sz w:val="18"/>
                <w:szCs w:val="18"/>
              </w:rPr>
            </w:pPr>
            <w:r>
              <w:rPr>
                <w:b/>
                <w:bCs/>
                <w:sz w:val="18"/>
                <w:szCs w:val="18"/>
              </w:rPr>
              <w:t>(I.R.S. Employe</w:t>
            </w:r>
            <w:r>
              <w:rPr>
                <w:b/>
                <w:bCs/>
                <w:sz w:val="18"/>
                <w:szCs w:val="18"/>
              </w:rPr>
              <w:t>r</w:t>
            </w:r>
          </w:p>
          <w:p w14:paraId="6400873B" w14:textId="77777777" w:rsidR="00000000" w:rsidRDefault="003C49E9">
            <w:pPr>
              <w:pStyle w:val="a3"/>
              <w:spacing w:before="0" w:beforeAutospacing="0" w:after="0" w:afterAutospacing="0"/>
              <w:jc w:val="center"/>
              <w:rPr>
                <w:sz w:val="18"/>
                <w:szCs w:val="18"/>
              </w:rPr>
            </w:pPr>
            <w:r>
              <w:rPr>
                <w:b/>
                <w:bCs/>
                <w:sz w:val="18"/>
                <w:szCs w:val="18"/>
              </w:rPr>
              <w:t>Identification No.</w:t>
            </w:r>
            <w:r>
              <w:rPr>
                <w:b/>
                <w:bCs/>
                <w:sz w:val="18"/>
                <w:szCs w:val="18"/>
              </w:rPr>
              <w:t>)</w:t>
            </w:r>
          </w:p>
        </w:tc>
      </w:tr>
    </w:tbl>
    <w:p w14:paraId="4E50442A" w14:textId="77777777" w:rsidR="00000000" w:rsidRDefault="003C49E9">
      <w:pPr>
        <w:pStyle w:val="a3"/>
        <w:spacing w:beforeAutospacing="0" w:after="0" w:afterAutospacing="0"/>
        <w:ind w:left="1547" w:firstLine="942"/>
        <w:rPr>
          <w:sz w:val="20"/>
          <w:szCs w:val="20"/>
        </w:rPr>
      </w:pPr>
      <w:r>
        <w:rPr>
          <w:b/>
          <w:bCs/>
          <w:sz w:val="18"/>
          <w:szCs w:val="18"/>
        </w:rPr>
        <w:t>25 First Stree</w:t>
      </w:r>
      <w:r>
        <w:rPr>
          <w:b/>
          <w:bCs/>
          <w:sz w:val="18"/>
          <w:szCs w:val="18"/>
        </w:rPr>
        <w:t>t</w:t>
      </w:r>
    </w:p>
    <w:p w14:paraId="7853E0F7" w14:textId="77777777" w:rsidR="00000000" w:rsidRDefault="003C49E9">
      <w:pPr>
        <w:pStyle w:val="a3"/>
        <w:spacing w:before="0" w:beforeAutospacing="0" w:after="0" w:afterAutospacing="0"/>
        <w:ind w:left="1547"/>
        <w:rPr>
          <w:sz w:val="20"/>
          <w:szCs w:val="20"/>
        </w:rPr>
      </w:pPr>
      <w:r>
        <w:rPr>
          <w:b/>
          <w:bCs/>
          <w:sz w:val="18"/>
          <w:szCs w:val="18"/>
        </w:rPr>
        <w:t>Cambridg</w:t>
      </w:r>
      <w:r>
        <w:rPr>
          <w:b/>
          <w:bCs/>
          <w:sz w:val="18"/>
          <w:szCs w:val="18"/>
        </w:rPr>
        <w:t>e</w:t>
      </w:r>
      <w:r>
        <w:rPr>
          <w:b/>
          <w:bCs/>
          <w:sz w:val="18"/>
          <w:szCs w:val="18"/>
        </w:rPr>
        <w:t>,</w:t>
      </w:r>
      <w:r>
        <w:rPr>
          <w:b/>
          <w:bCs/>
          <w:sz w:val="18"/>
          <w:szCs w:val="18"/>
        </w:rPr>
        <w:t xml:space="preserve"> </w:t>
      </w:r>
      <w:r>
        <w:rPr>
          <w:b/>
          <w:bCs/>
          <w:sz w:val="18"/>
          <w:szCs w:val="18"/>
        </w:rPr>
        <w:t>Massachusett</w:t>
      </w:r>
      <w:r>
        <w:rPr>
          <w:b/>
          <w:bCs/>
          <w:sz w:val="18"/>
          <w:szCs w:val="18"/>
        </w:rPr>
        <w:t>s</w:t>
      </w:r>
      <w:r>
        <w:rPr>
          <w:b/>
          <w:bCs/>
          <w:sz w:val="18"/>
          <w:szCs w:val="18"/>
        </w:rPr>
        <w:t xml:space="preserve"> </w:t>
      </w:r>
      <w:r>
        <w:rPr>
          <w:b/>
          <w:bCs/>
          <w:sz w:val="18"/>
          <w:szCs w:val="18"/>
        </w:rPr>
        <w:t>0214</w:t>
      </w:r>
      <w:r>
        <w:rPr>
          <w:b/>
          <w:bCs/>
          <w:sz w:val="18"/>
          <w:szCs w:val="18"/>
        </w:rPr>
        <w:t>1</w:t>
      </w:r>
    </w:p>
    <w:p w14:paraId="44EA4F2D" w14:textId="77777777" w:rsidR="00000000" w:rsidRDefault="003C49E9">
      <w:pPr>
        <w:pStyle w:val="a3"/>
        <w:spacing w:before="0" w:beforeAutospacing="0" w:after="0" w:afterAutospacing="0"/>
        <w:ind w:left="714"/>
        <w:rPr>
          <w:sz w:val="20"/>
          <w:szCs w:val="20"/>
        </w:rPr>
      </w:pPr>
      <w:r>
        <w:rPr>
          <w:b/>
          <w:bCs/>
          <w:sz w:val="18"/>
          <w:szCs w:val="18"/>
        </w:rPr>
        <w:t>(Address of principal executive offices) (Zip Code</w:t>
      </w:r>
      <w:r>
        <w:rPr>
          <w:b/>
          <w:bCs/>
          <w:sz w:val="18"/>
          <w:szCs w:val="18"/>
        </w:rPr>
        <w:t>)</w:t>
      </w:r>
    </w:p>
    <w:p w14:paraId="6BEC5D78" w14:textId="77777777" w:rsidR="00000000" w:rsidRDefault="003C49E9">
      <w:pPr>
        <w:pStyle w:val="a3"/>
        <w:spacing w:beforeAutospacing="0" w:after="0" w:afterAutospacing="0"/>
        <w:jc w:val="center"/>
        <w:rPr>
          <w:sz w:val="20"/>
          <w:szCs w:val="20"/>
        </w:rPr>
      </w:pPr>
      <w:r>
        <w:rPr>
          <w:b/>
          <w:bCs/>
          <w:sz w:val="18"/>
          <w:szCs w:val="18"/>
        </w:rPr>
        <w:t>(</w:t>
      </w:r>
      <w:r>
        <w:rPr>
          <w:b/>
          <w:bCs/>
          <w:sz w:val="18"/>
          <w:szCs w:val="18"/>
        </w:rPr>
        <w:t>88</w:t>
      </w:r>
      <w:r>
        <w:rPr>
          <w:b/>
          <w:bCs/>
          <w:sz w:val="18"/>
          <w:szCs w:val="18"/>
        </w:rPr>
        <w:t>8</w:t>
      </w:r>
      <w:r>
        <w:rPr>
          <w:b/>
          <w:bCs/>
          <w:sz w:val="18"/>
          <w:szCs w:val="18"/>
        </w:rPr>
        <w:t>)</w:t>
      </w:r>
      <w:r>
        <w:rPr>
          <w:b/>
          <w:bCs/>
          <w:sz w:val="18"/>
          <w:szCs w:val="18"/>
        </w:rPr>
        <w:t xml:space="preserve"> </w:t>
      </w:r>
      <w:r>
        <w:rPr>
          <w:b/>
          <w:bCs/>
          <w:sz w:val="18"/>
          <w:szCs w:val="18"/>
        </w:rPr>
        <w:t>482-776</w:t>
      </w:r>
      <w:r>
        <w:rPr>
          <w:b/>
          <w:bCs/>
          <w:sz w:val="18"/>
          <w:szCs w:val="18"/>
        </w:rPr>
        <w:t>8</w:t>
      </w:r>
    </w:p>
    <w:p w14:paraId="65CAA28D" w14:textId="77777777" w:rsidR="00000000" w:rsidRDefault="003C49E9">
      <w:pPr>
        <w:pStyle w:val="a3"/>
        <w:spacing w:before="0" w:beforeAutospacing="0" w:after="0" w:afterAutospacing="0"/>
        <w:jc w:val="center"/>
        <w:rPr>
          <w:sz w:val="20"/>
          <w:szCs w:val="20"/>
        </w:rPr>
      </w:pPr>
      <w:r>
        <w:rPr>
          <w:b/>
          <w:bCs/>
          <w:sz w:val="18"/>
          <w:szCs w:val="18"/>
        </w:rPr>
        <w:t>(Registrant’s telephone number, including area code</w:t>
      </w:r>
      <w:r>
        <w:rPr>
          <w:b/>
          <w:bCs/>
          <w:sz w:val="18"/>
          <w:szCs w:val="18"/>
        </w:rPr>
        <w:t>)</w:t>
      </w:r>
    </w:p>
    <w:p w14:paraId="29CAF309" w14:textId="77777777" w:rsidR="00000000" w:rsidRDefault="003C49E9">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14:paraId="69DA64C0"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0"/>
        <w:gridCol w:w="112"/>
        <w:gridCol w:w="2304"/>
        <w:gridCol w:w="111"/>
        <w:gridCol w:w="2889"/>
      </w:tblGrid>
      <w:tr w:rsidR="00000000" w14:paraId="3FD1C8F6" w14:textId="77777777">
        <w:trPr>
          <w:tblCellSpacing w:w="15" w:type="dxa"/>
        </w:trPr>
        <w:tc>
          <w:tcPr>
            <w:tcW w:w="1750" w:type="pct"/>
            <w:vAlign w:val="center"/>
            <w:hideMark/>
          </w:tcPr>
          <w:p w14:paraId="7A581AB3" w14:textId="77777777" w:rsidR="00000000" w:rsidRDefault="003C49E9">
            <w:pPr>
              <w:rPr>
                <w:sz w:val="20"/>
                <w:szCs w:val="20"/>
              </w:rPr>
            </w:pPr>
          </w:p>
        </w:tc>
        <w:tc>
          <w:tcPr>
            <w:tcW w:w="50" w:type="pct"/>
            <w:vAlign w:val="center"/>
            <w:hideMark/>
          </w:tcPr>
          <w:p w14:paraId="21053605" w14:textId="77777777" w:rsidR="00000000" w:rsidRDefault="003C49E9">
            <w:pPr>
              <w:rPr>
                <w:rFonts w:eastAsia="Times New Roman"/>
                <w:sz w:val="20"/>
                <w:szCs w:val="20"/>
              </w:rPr>
            </w:pPr>
          </w:p>
        </w:tc>
        <w:tc>
          <w:tcPr>
            <w:tcW w:w="1399" w:type="pct"/>
            <w:vAlign w:val="center"/>
            <w:hideMark/>
          </w:tcPr>
          <w:p w14:paraId="5FF6345B" w14:textId="77777777" w:rsidR="00000000" w:rsidRDefault="003C49E9">
            <w:pPr>
              <w:rPr>
                <w:rFonts w:eastAsia="Times New Roman"/>
                <w:sz w:val="20"/>
                <w:szCs w:val="20"/>
              </w:rPr>
            </w:pPr>
          </w:p>
        </w:tc>
        <w:tc>
          <w:tcPr>
            <w:tcW w:w="50" w:type="pct"/>
            <w:vAlign w:val="center"/>
            <w:hideMark/>
          </w:tcPr>
          <w:p w14:paraId="03437F66" w14:textId="77777777" w:rsidR="00000000" w:rsidRDefault="003C49E9">
            <w:pPr>
              <w:rPr>
                <w:rFonts w:eastAsia="Times New Roman"/>
                <w:sz w:val="20"/>
                <w:szCs w:val="20"/>
              </w:rPr>
            </w:pPr>
          </w:p>
        </w:tc>
        <w:tc>
          <w:tcPr>
            <w:tcW w:w="1750" w:type="pct"/>
            <w:vAlign w:val="center"/>
            <w:hideMark/>
          </w:tcPr>
          <w:p w14:paraId="4F7B1497" w14:textId="77777777" w:rsidR="00000000" w:rsidRDefault="003C49E9">
            <w:pPr>
              <w:rPr>
                <w:rFonts w:eastAsia="Times New Roman"/>
                <w:sz w:val="20"/>
                <w:szCs w:val="20"/>
              </w:rPr>
            </w:pPr>
          </w:p>
        </w:tc>
      </w:tr>
      <w:tr w:rsidR="00000000" w14:paraId="70C2A957" w14:textId="77777777">
        <w:trPr>
          <w:trHeight w:val="259"/>
          <w:tblCellSpacing w:w="15" w:type="dxa"/>
        </w:trPr>
        <w:tc>
          <w:tcPr>
            <w:tcW w:w="0" w:type="auto"/>
            <w:tcBorders>
              <w:bottom w:val="single" w:sz="4" w:space="0" w:color="auto"/>
            </w:tcBorders>
            <w:vAlign w:val="bottom"/>
            <w:hideMark/>
          </w:tcPr>
          <w:p w14:paraId="6E17699E" w14:textId="77777777" w:rsidR="00000000" w:rsidRDefault="003C49E9">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14:paraId="133BD3F4" w14:textId="77777777" w:rsidR="00000000" w:rsidRDefault="003C49E9">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14:paraId="793EED5C" w14:textId="77777777" w:rsidR="00000000" w:rsidRDefault="003C49E9">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14:paraId="7E24EBB0" w14:textId="77777777" w:rsidR="00000000" w:rsidRDefault="003C49E9">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14:paraId="6972B625" w14:textId="77777777" w:rsidR="00000000" w:rsidRDefault="003C49E9">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14:paraId="1B9FA7AF" w14:textId="77777777">
        <w:trPr>
          <w:trHeight w:val="144"/>
          <w:tblCellSpacing w:w="15" w:type="dxa"/>
        </w:trPr>
        <w:tc>
          <w:tcPr>
            <w:tcW w:w="0" w:type="auto"/>
            <w:hideMark/>
          </w:tcPr>
          <w:p w14:paraId="76E77121" w14:textId="77777777" w:rsidR="00000000" w:rsidRDefault="003C49E9">
            <w:pPr>
              <w:pStyle w:val="a3"/>
              <w:spacing w:before="0" w:beforeAutospacing="0" w:after="0" w:afterAutospacing="0"/>
              <w:jc w:val="center"/>
              <w:rPr>
                <w:sz w:val="20"/>
                <w:szCs w:val="20"/>
              </w:rPr>
            </w:pPr>
            <w:r>
              <w:rPr>
                <w:b/>
                <w:bCs/>
                <w:sz w:val="18"/>
                <w:szCs w:val="18"/>
              </w:rPr>
              <w:t>Common Stock, par value $0.001 per shar</w:t>
            </w:r>
            <w:r>
              <w:rPr>
                <w:b/>
                <w:bCs/>
                <w:sz w:val="18"/>
                <w:szCs w:val="18"/>
              </w:rPr>
              <w:t>e</w:t>
            </w:r>
          </w:p>
        </w:tc>
        <w:tc>
          <w:tcPr>
            <w:tcW w:w="0" w:type="auto"/>
            <w:hideMark/>
          </w:tcPr>
          <w:p w14:paraId="27EBE903" w14:textId="77777777" w:rsidR="00000000" w:rsidRDefault="003C49E9">
            <w:pPr>
              <w:pStyle w:val="a3"/>
              <w:spacing w:before="0" w:beforeAutospacing="0" w:after="0" w:afterAutospacing="0"/>
              <w:jc w:val="center"/>
              <w:rPr>
                <w:sz w:val="18"/>
                <w:szCs w:val="18"/>
              </w:rPr>
            </w:pPr>
            <w:r>
              <w:rPr>
                <w:sz w:val="18"/>
                <w:szCs w:val="18"/>
              </w:rPr>
              <w:t> </w:t>
            </w:r>
          </w:p>
        </w:tc>
        <w:tc>
          <w:tcPr>
            <w:tcW w:w="0" w:type="auto"/>
            <w:hideMark/>
          </w:tcPr>
          <w:p w14:paraId="2056F2D5" w14:textId="77777777" w:rsidR="00000000" w:rsidRDefault="003C49E9">
            <w:pPr>
              <w:pStyle w:val="a3"/>
              <w:spacing w:before="0" w:beforeAutospacing="0" w:after="0" w:afterAutospacing="0"/>
              <w:jc w:val="center"/>
              <w:rPr>
                <w:sz w:val="20"/>
                <w:szCs w:val="20"/>
              </w:rPr>
            </w:pPr>
            <w:r>
              <w:rPr>
                <w:b/>
                <w:bCs/>
                <w:sz w:val="18"/>
                <w:szCs w:val="18"/>
              </w:rPr>
              <w:t>HUB</w:t>
            </w:r>
            <w:r>
              <w:rPr>
                <w:b/>
                <w:bCs/>
                <w:sz w:val="18"/>
                <w:szCs w:val="18"/>
              </w:rPr>
              <w:t>S</w:t>
            </w:r>
          </w:p>
        </w:tc>
        <w:tc>
          <w:tcPr>
            <w:tcW w:w="0" w:type="auto"/>
            <w:hideMark/>
          </w:tcPr>
          <w:p w14:paraId="42AE8795" w14:textId="77777777" w:rsidR="00000000" w:rsidRDefault="003C49E9">
            <w:pPr>
              <w:pStyle w:val="a3"/>
              <w:spacing w:before="0" w:beforeAutospacing="0" w:after="0" w:afterAutospacing="0"/>
              <w:jc w:val="center"/>
              <w:rPr>
                <w:sz w:val="18"/>
                <w:szCs w:val="18"/>
              </w:rPr>
            </w:pPr>
            <w:r>
              <w:rPr>
                <w:sz w:val="18"/>
                <w:szCs w:val="18"/>
              </w:rPr>
              <w:t> </w:t>
            </w:r>
          </w:p>
        </w:tc>
        <w:tc>
          <w:tcPr>
            <w:tcW w:w="0" w:type="auto"/>
            <w:hideMark/>
          </w:tcPr>
          <w:p w14:paraId="3C942D6E" w14:textId="77777777" w:rsidR="00000000" w:rsidRDefault="003C49E9">
            <w:pPr>
              <w:pStyle w:val="a3"/>
              <w:spacing w:before="0" w:beforeAutospacing="0" w:after="0" w:afterAutospacing="0"/>
              <w:jc w:val="center"/>
              <w:rPr>
                <w:sz w:val="20"/>
                <w:szCs w:val="20"/>
              </w:rPr>
            </w:pPr>
            <w:r>
              <w:rPr>
                <w:b/>
                <w:bCs/>
                <w:sz w:val="18"/>
                <w:szCs w:val="18"/>
              </w:rPr>
              <w:t>New York Stock Exchang</w:t>
            </w:r>
            <w:r>
              <w:rPr>
                <w:b/>
                <w:bCs/>
                <w:sz w:val="18"/>
                <w:szCs w:val="18"/>
              </w:rPr>
              <w:t>e</w:t>
            </w:r>
          </w:p>
        </w:tc>
      </w:tr>
    </w:tbl>
    <w:p w14:paraId="56F0AC6E" w14:textId="77777777" w:rsidR="00000000" w:rsidRDefault="003C49E9">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6A13D937" w14:textId="77777777" w:rsidR="00000000" w:rsidRDefault="003C49E9">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16810A58" w14:textId="77777777" w:rsidR="00000000" w:rsidRDefault="003C49E9">
      <w:pPr>
        <w:pStyle w:val="a3"/>
        <w:spacing w:before="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6F769301" w14:textId="77777777" w:rsidR="00000000" w:rsidRDefault="003C49E9">
      <w:pPr>
        <w:pStyle w:val="a3"/>
        <w:spacing w:before="0" w:beforeAutospacing="0" w:after="0" w:afterAutospacing="0"/>
        <w:ind w:firstLine="555"/>
        <w:rPr>
          <w:sz w:val="20"/>
          <w:szCs w:val="20"/>
        </w:rPr>
      </w:pPr>
      <w:r>
        <w:rPr>
          <w:sz w:val="18"/>
          <w:szCs w:val="18"/>
        </w:rPr>
        <w:t>Indicate by check mark whether the registrant is a large accelerated filer, an accelerated f</w:t>
      </w:r>
      <w:r>
        <w:rPr>
          <w:sz w:val="18"/>
          <w:szCs w:val="18"/>
        </w:rPr>
        <w:t>iler, a non-accelerated filer, smaller reporting company, or an emerging growth company. See the definitions of “large accelerated filer,” “accelerated filer,” “smaller reporting company,” and “emerging growth company” in Rule 12b-2 of the Exchange Act</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8"/>
        <w:gridCol w:w="106"/>
        <w:gridCol w:w="3333"/>
        <w:gridCol w:w="107"/>
        <w:gridCol w:w="2204"/>
        <w:gridCol w:w="107"/>
        <w:gridCol w:w="231"/>
      </w:tblGrid>
      <w:tr w:rsidR="00000000" w14:paraId="6F94FA8D" w14:textId="77777777">
        <w:trPr>
          <w:tblCellSpacing w:w="15" w:type="dxa"/>
        </w:trPr>
        <w:tc>
          <w:tcPr>
            <w:tcW w:w="1349" w:type="pct"/>
            <w:vAlign w:val="center"/>
            <w:hideMark/>
          </w:tcPr>
          <w:p w14:paraId="32F280AE" w14:textId="77777777" w:rsidR="00000000" w:rsidRDefault="003C49E9">
            <w:pPr>
              <w:rPr>
                <w:sz w:val="20"/>
                <w:szCs w:val="20"/>
              </w:rPr>
            </w:pPr>
          </w:p>
        </w:tc>
        <w:tc>
          <w:tcPr>
            <w:tcW w:w="50" w:type="pct"/>
            <w:vAlign w:val="center"/>
            <w:hideMark/>
          </w:tcPr>
          <w:p w14:paraId="1C3F5BAB" w14:textId="77777777" w:rsidR="00000000" w:rsidRDefault="003C49E9">
            <w:pPr>
              <w:rPr>
                <w:rFonts w:eastAsia="Times New Roman"/>
                <w:sz w:val="20"/>
                <w:szCs w:val="20"/>
              </w:rPr>
            </w:pPr>
          </w:p>
        </w:tc>
        <w:tc>
          <w:tcPr>
            <w:tcW w:w="2049" w:type="pct"/>
            <w:vAlign w:val="center"/>
            <w:hideMark/>
          </w:tcPr>
          <w:p w14:paraId="45AC7B66" w14:textId="77777777" w:rsidR="00000000" w:rsidRDefault="003C49E9">
            <w:pPr>
              <w:rPr>
                <w:rFonts w:eastAsia="Times New Roman"/>
                <w:sz w:val="20"/>
                <w:szCs w:val="20"/>
              </w:rPr>
            </w:pPr>
          </w:p>
        </w:tc>
        <w:tc>
          <w:tcPr>
            <w:tcW w:w="50" w:type="pct"/>
            <w:vAlign w:val="center"/>
            <w:hideMark/>
          </w:tcPr>
          <w:p w14:paraId="0506CE73" w14:textId="77777777" w:rsidR="00000000" w:rsidRDefault="003C49E9">
            <w:pPr>
              <w:rPr>
                <w:rFonts w:eastAsia="Times New Roman"/>
                <w:sz w:val="20"/>
                <w:szCs w:val="20"/>
              </w:rPr>
            </w:pPr>
          </w:p>
        </w:tc>
        <w:tc>
          <w:tcPr>
            <w:tcW w:w="1349" w:type="pct"/>
            <w:vAlign w:val="center"/>
            <w:hideMark/>
          </w:tcPr>
          <w:p w14:paraId="712AD5CF" w14:textId="77777777" w:rsidR="00000000" w:rsidRDefault="003C49E9">
            <w:pPr>
              <w:rPr>
                <w:rFonts w:eastAsia="Times New Roman"/>
                <w:sz w:val="20"/>
                <w:szCs w:val="20"/>
              </w:rPr>
            </w:pPr>
          </w:p>
        </w:tc>
        <w:tc>
          <w:tcPr>
            <w:tcW w:w="50" w:type="pct"/>
            <w:vAlign w:val="center"/>
            <w:hideMark/>
          </w:tcPr>
          <w:p w14:paraId="135963B5" w14:textId="77777777" w:rsidR="00000000" w:rsidRDefault="003C49E9">
            <w:pPr>
              <w:rPr>
                <w:rFonts w:eastAsia="Times New Roman"/>
                <w:sz w:val="20"/>
                <w:szCs w:val="20"/>
              </w:rPr>
            </w:pPr>
          </w:p>
        </w:tc>
        <w:tc>
          <w:tcPr>
            <w:tcW w:w="100" w:type="pct"/>
            <w:vAlign w:val="center"/>
            <w:hideMark/>
          </w:tcPr>
          <w:p w14:paraId="6752D3D2" w14:textId="77777777" w:rsidR="00000000" w:rsidRDefault="003C49E9">
            <w:pPr>
              <w:rPr>
                <w:rFonts w:eastAsia="Times New Roman"/>
                <w:sz w:val="20"/>
                <w:szCs w:val="20"/>
              </w:rPr>
            </w:pPr>
          </w:p>
        </w:tc>
      </w:tr>
      <w:tr w:rsidR="00000000" w14:paraId="3262187E" w14:textId="77777777">
        <w:trPr>
          <w:trHeight w:val="180"/>
          <w:tblCellSpacing w:w="15" w:type="dxa"/>
        </w:trPr>
        <w:tc>
          <w:tcPr>
            <w:tcW w:w="0" w:type="auto"/>
            <w:vAlign w:val="bottom"/>
            <w:hideMark/>
          </w:tcPr>
          <w:p w14:paraId="415CD634" w14:textId="77777777" w:rsidR="00000000" w:rsidRDefault="003C49E9">
            <w:pPr>
              <w:pStyle w:val="a3"/>
              <w:spacing w:before="0" w:beforeAutospacing="0" w:after="0" w:afterAutospacing="0"/>
              <w:rPr>
                <w:sz w:val="20"/>
                <w:szCs w:val="20"/>
              </w:rPr>
            </w:pPr>
            <w:r>
              <w:rPr>
                <w:sz w:val="18"/>
                <w:szCs w:val="18"/>
              </w:rPr>
              <w:t>Large accelerated file</w:t>
            </w:r>
            <w:r>
              <w:rPr>
                <w:sz w:val="18"/>
                <w:szCs w:val="18"/>
              </w:rPr>
              <w:t>r</w:t>
            </w:r>
          </w:p>
        </w:tc>
        <w:tc>
          <w:tcPr>
            <w:tcW w:w="0" w:type="auto"/>
            <w:vAlign w:val="bottom"/>
            <w:hideMark/>
          </w:tcPr>
          <w:p w14:paraId="219260C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797B4F9" w14:textId="77777777" w:rsidR="00000000" w:rsidRDefault="003C49E9">
            <w:pPr>
              <w:pStyle w:val="a3"/>
              <w:spacing w:before="0" w:beforeAutospacing="0" w:after="0" w:afterAutospacing="0"/>
              <w:rPr>
                <w:sz w:val="18"/>
                <w:szCs w:val="18"/>
              </w:rPr>
            </w:pPr>
            <w:r>
              <w:rPr>
                <w:rFonts w:ascii="Segoe UI Symbol" w:hAnsi="Segoe UI Symbol" w:cs="Segoe UI Symbol"/>
                <w:sz w:val="18"/>
                <w:szCs w:val="18"/>
              </w:rPr>
              <w:t>☒</w:t>
            </w:r>
          </w:p>
        </w:tc>
        <w:tc>
          <w:tcPr>
            <w:tcW w:w="0" w:type="auto"/>
            <w:vAlign w:val="bottom"/>
            <w:hideMark/>
          </w:tcPr>
          <w:p w14:paraId="62065F8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98C1BFB" w14:textId="77777777" w:rsidR="00000000" w:rsidRDefault="003C49E9">
            <w:pPr>
              <w:pStyle w:val="a3"/>
              <w:spacing w:before="0" w:beforeAutospacing="0" w:after="0" w:afterAutospacing="0"/>
              <w:rPr>
                <w:sz w:val="18"/>
                <w:szCs w:val="18"/>
              </w:rPr>
            </w:pPr>
            <w:r>
              <w:rPr>
                <w:sz w:val="18"/>
                <w:szCs w:val="18"/>
              </w:rPr>
              <w:t>Accelerated file</w:t>
            </w:r>
            <w:r>
              <w:rPr>
                <w:sz w:val="18"/>
                <w:szCs w:val="18"/>
              </w:rPr>
              <w:t>r</w:t>
            </w:r>
          </w:p>
        </w:tc>
        <w:tc>
          <w:tcPr>
            <w:tcW w:w="0" w:type="auto"/>
            <w:vAlign w:val="bottom"/>
            <w:hideMark/>
          </w:tcPr>
          <w:p w14:paraId="7F1A46C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E19E48F" w14:textId="77777777" w:rsidR="00000000" w:rsidRDefault="003C49E9">
            <w:pPr>
              <w:pStyle w:val="a3"/>
              <w:spacing w:before="0" w:beforeAutospacing="0" w:after="0" w:afterAutospacing="0"/>
              <w:rPr>
                <w:sz w:val="18"/>
                <w:szCs w:val="18"/>
              </w:rPr>
            </w:pPr>
            <w:r>
              <w:rPr>
                <w:rFonts w:ascii="Segoe UI Symbol" w:hAnsi="Segoe UI Symbol" w:cs="Segoe UI Symbol"/>
                <w:sz w:val="18"/>
                <w:szCs w:val="18"/>
              </w:rPr>
              <w:t>☐</w:t>
            </w:r>
          </w:p>
        </w:tc>
      </w:tr>
      <w:tr w:rsidR="00000000" w14:paraId="1CD97245" w14:textId="77777777">
        <w:trPr>
          <w:trHeight w:val="180"/>
          <w:tblCellSpacing w:w="15" w:type="dxa"/>
        </w:trPr>
        <w:tc>
          <w:tcPr>
            <w:tcW w:w="0" w:type="auto"/>
            <w:vAlign w:val="bottom"/>
            <w:hideMark/>
          </w:tcPr>
          <w:p w14:paraId="78526BBE" w14:textId="77777777" w:rsidR="00000000" w:rsidRDefault="003C49E9">
            <w:pPr>
              <w:pStyle w:val="a3"/>
              <w:spacing w:before="0" w:beforeAutospacing="0" w:after="0" w:afterAutospacing="0"/>
              <w:rPr>
                <w:sz w:val="18"/>
                <w:szCs w:val="18"/>
              </w:rPr>
            </w:pPr>
            <w:r>
              <w:rPr>
                <w:sz w:val="18"/>
                <w:szCs w:val="18"/>
              </w:rPr>
              <w:lastRenderedPageBreak/>
              <w:t>Non-accelerated file</w:t>
            </w:r>
            <w:r>
              <w:rPr>
                <w:sz w:val="18"/>
                <w:szCs w:val="18"/>
              </w:rPr>
              <w:t>r</w:t>
            </w:r>
          </w:p>
        </w:tc>
        <w:tc>
          <w:tcPr>
            <w:tcW w:w="0" w:type="auto"/>
            <w:vAlign w:val="bottom"/>
            <w:hideMark/>
          </w:tcPr>
          <w:p w14:paraId="0CFC4D4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62DCDB3" w14:textId="77777777" w:rsidR="00000000" w:rsidRDefault="003C49E9">
            <w:pPr>
              <w:pStyle w:val="a3"/>
              <w:spacing w:before="0" w:beforeAutospacing="0" w:after="0" w:afterAutospacing="0"/>
              <w:rPr>
                <w:sz w:val="18"/>
                <w:szCs w:val="18"/>
              </w:rPr>
            </w:pPr>
            <w:r>
              <w:rPr>
                <w:rFonts w:ascii="Segoe UI Symbol" w:hAnsi="Segoe UI Symbol" w:cs="Segoe UI Symbol"/>
                <w:sz w:val="18"/>
                <w:szCs w:val="18"/>
              </w:rPr>
              <w:t>☐</w:t>
            </w:r>
            <w:r>
              <w:rPr>
                <w:sz w:val="18"/>
                <w:szCs w:val="18"/>
              </w:rPr>
              <w:t xml:space="preserve"> </w:t>
            </w:r>
          </w:p>
        </w:tc>
        <w:tc>
          <w:tcPr>
            <w:tcW w:w="0" w:type="auto"/>
            <w:vAlign w:val="bottom"/>
            <w:hideMark/>
          </w:tcPr>
          <w:p w14:paraId="6639203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896F105" w14:textId="77777777" w:rsidR="00000000" w:rsidRDefault="003C49E9">
            <w:pPr>
              <w:pStyle w:val="a3"/>
              <w:spacing w:before="0" w:beforeAutospacing="0" w:after="0" w:afterAutospacing="0"/>
              <w:rPr>
                <w:sz w:val="18"/>
                <w:szCs w:val="18"/>
              </w:rPr>
            </w:pPr>
            <w:r>
              <w:rPr>
                <w:sz w:val="18"/>
                <w:szCs w:val="18"/>
              </w:rPr>
              <w:t>Smaller reporting compan</w:t>
            </w:r>
            <w:r>
              <w:rPr>
                <w:sz w:val="18"/>
                <w:szCs w:val="18"/>
              </w:rPr>
              <w:t>y</w:t>
            </w:r>
          </w:p>
        </w:tc>
        <w:tc>
          <w:tcPr>
            <w:tcW w:w="0" w:type="auto"/>
            <w:vAlign w:val="bottom"/>
            <w:hideMark/>
          </w:tcPr>
          <w:p w14:paraId="11A92862"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17EE9BB" w14:textId="77777777" w:rsidR="00000000" w:rsidRDefault="003C49E9">
            <w:pPr>
              <w:pStyle w:val="a3"/>
              <w:spacing w:before="0" w:beforeAutospacing="0" w:after="0" w:afterAutospacing="0"/>
              <w:rPr>
                <w:sz w:val="20"/>
                <w:szCs w:val="20"/>
              </w:rPr>
            </w:pPr>
            <w:r>
              <w:rPr>
                <w:rFonts w:ascii="Segoe UI Symbol" w:hAnsi="Segoe UI Symbol" w:cs="Segoe UI Symbol"/>
                <w:sz w:val="18"/>
                <w:szCs w:val="18"/>
              </w:rPr>
              <w:t>☐</w:t>
            </w:r>
          </w:p>
        </w:tc>
      </w:tr>
      <w:tr w:rsidR="00000000" w14:paraId="3C185CA0" w14:textId="77777777">
        <w:trPr>
          <w:trHeight w:val="180"/>
          <w:tblCellSpacing w:w="15" w:type="dxa"/>
        </w:trPr>
        <w:tc>
          <w:tcPr>
            <w:tcW w:w="0" w:type="auto"/>
            <w:vAlign w:val="bottom"/>
            <w:hideMark/>
          </w:tcPr>
          <w:p w14:paraId="5D01718B" w14:textId="77777777" w:rsidR="00000000" w:rsidRDefault="003C49E9">
            <w:pPr>
              <w:pStyle w:val="a3"/>
              <w:spacing w:before="0" w:beforeAutospacing="0" w:after="0" w:afterAutospacing="0"/>
              <w:rPr>
                <w:sz w:val="18"/>
                <w:szCs w:val="18"/>
              </w:rPr>
            </w:pPr>
            <w:r>
              <w:rPr>
                <w:sz w:val="18"/>
                <w:szCs w:val="18"/>
              </w:rPr>
              <w:t>Emerging growth compan</w:t>
            </w:r>
            <w:r>
              <w:rPr>
                <w:sz w:val="18"/>
                <w:szCs w:val="18"/>
              </w:rPr>
              <w:t>y</w:t>
            </w:r>
          </w:p>
        </w:tc>
        <w:tc>
          <w:tcPr>
            <w:tcW w:w="0" w:type="auto"/>
            <w:vAlign w:val="bottom"/>
            <w:hideMark/>
          </w:tcPr>
          <w:p w14:paraId="1B6DCF5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EB82162" w14:textId="77777777" w:rsidR="00000000" w:rsidRDefault="003C49E9">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14:paraId="58E5923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A26BA6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ACA796E"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4A153CC" w14:textId="77777777" w:rsidR="00000000" w:rsidRDefault="003C49E9">
            <w:pPr>
              <w:pStyle w:val="a3"/>
              <w:spacing w:before="0" w:beforeAutospacing="0" w:after="0" w:afterAutospacing="0"/>
              <w:rPr>
                <w:sz w:val="18"/>
                <w:szCs w:val="18"/>
              </w:rPr>
            </w:pPr>
            <w:r>
              <w:rPr>
                <w:sz w:val="18"/>
                <w:szCs w:val="18"/>
              </w:rPr>
              <w:t> </w:t>
            </w:r>
          </w:p>
        </w:tc>
      </w:tr>
    </w:tbl>
    <w:p w14:paraId="0DA643B7" w14:textId="77777777" w:rsidR="00000000" w:rsidRDefault="003C49E9">
      <w:pPr>
        <w:pStyle w:val="a3"/>
        <w:spacing w:before="0" w:beforeAutospacing="0" w:after="0" w:afterAutospacing="0"/>
        <w:ind w:firstLine="555"/>
        <w:rPr>
          <w:sz w:val="20"/>
          <w:szCs w:val="20"/>
        </w:rPr>
      </w:pPr>
      <w:r>
        <w:rPr>
          <w:sz w:val="20"/>
          <w:szCs w:val="20"/>
        </w:rPr>
        <w:t> </w:t>
      </w:r>
    </w:p>
    <w:p w14:paraId="3E8071F0" w14:textId="77777777" w:rsidR="00000000" w:rsidRDefault="003C49E9">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YES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609FCF57" w14:textId="77777777" w:rsidR="00000000" w:rsidRDefault="003C49E9">
      <w:pPr>
        <w:pStyle w:val="a3"/>
        <w:spacing w:beforeAutospacing="0" w:after="0" w:afterAutospacing="0"/>
        <w:ind w:firstLine="555"/>
        <w:rPr>
          <w:sz w:val="20"/>
          <w:szCs w:val="20"/>
        </w:rPr>
      </w:pPr>
      <w:r>
        <w:rPr>
          <w:sz w:val="18"/>
          <w:szCs w:val="18"/>
        </w:rPr>
        <w:t xml:space="preserve">Indicate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p>
    <w:p w14:paraId="6DE21D8F" w14:textId="77777777" w:rsidR="00000000" w:rsidRDefault="003C49E9">
      <w:pPr>
        <w:pStyle w:val="a3"/>
        <w:spacing w:beforeAutospacing="0" w:after="0" w:afterAutospacing="0"/>
        <w:ind w:firstLine="555"/>
        <w:rPr>
          <w:sz w:val="20"/>
          <w:szCs w:val="20"/>
        </w:rPr>
      </w:pPr>
      <w:r>
        <w:rPr>
          <w:sz w:val="18"/>
          <w:szCs w:val="18"/>
        </w:rPr>
        <w:t>There were</w:t>
      </w:r>
      <w:r>
        <w:rPr>
          <w:sz w:val="18"/>
          <w:szCs w:val="18"/>
        </w:rPr>
        <w:t xml:space="preserve"> </w:t>
      </w:r>
      <w:r>
        <w:rPr>
          <w:sz w:val="18"/>
          <w:szCs w:val="18"/>
        </w:rPr>
        <w:t>48,019,20</w:t>
      </w:r>
      <w:r>
        <w:rPr>
          <w:sz w:val="18"/>
          <w:szCs w:val="18"/>
        </w:rPr>
        <w:t>3</w:t>
      </w:r>
      <w:r>
        <w:rPr>
          <w:sz w:val="18"/>
          <w:szCs w:val="18"/>
        </w:rPr>
        <w:t xml:space="preserve"> </w:t>
      </w:r>
      <w:r>
        <w:rPr>
          <w:sz w:val="18"/>
          <w:szCs w:val="18"/>
        </w:rPr>
        <w:t>shares of the registrant’s Common Stock issued and outstanding as of July 29, 2022</w:t>
      </w:r>
      <w:r>
        <w:rPr>
          <w:sz w:val="18"/>
          <w:szCs w:val="18"/>
        </w:rPr>
        <w:t>.</w:t>
      </w:r>
    </w:p>
    <w:p w14:paraId="1694F8CE" w14:textId="77777777" w:rsidR="00000000" w:rsidRDefault="003C49E9">
      <w:pPr>
        <w:pStyle w:val="a3"/>
        <w:spacing w:before="240" w:beforeAutospacing="0" w:after="0" w:afterAutospacing="0"/>
        <w:jc w:val="center"/>
        <w:rPr>
          <w:sz w:val="20"/>
          <w:szCs w:val="20"/>
        </w:rPr>
      </w:pPr>
      <w:r>
        <w:rPr>
          <w:sz w:val="20"/>
          <w:szCs w:val="20"/>
        </w:rPr>
        <w:t> </w:t>
      </w:r>
    </w:p>
    <w:p w14:paraId="6C19A211" w14:textId="77777777" w:rsidR="00000000" w:rsidRDefault="003C49E9">
      <w:pPr>
        <w:rPr>
          <w:rFonts w:eastAsia="Times New Roman"/>
        </w:rPr>
      </w:pPr>
      <w:r>
        <w:rPr>
          <w:rFonts w:eastAsia="Times New Roman"/>
        </w:rPr>
        <w:pict w14:anchorId="418C733A">
          <v:rect id="_x0000_i1025" style="width:0;height:1.5pt" o:hralign="center" o:hrstd="t" o:hr="t" fillcolor="#a0a0a0" stroked="f"/>
        </w:pict>
      </w:r>
    </w:p>
    <w:p w14:paraId="2E6B5EF6" w14:textId="77777777" w:rsidR="00000000" w:rsidRDefault="003C49E9">
      <w:pPr>
        <w:pStyle w:val="a3"/>
        <w:spacing w:before="0" w:beforeAutospacing="0" w:after="0" w:afterAutospacing="0"/>
        <w:rPr>
          <w:sz w:val="20"/>
          <w:szCs w:val="20"/>
        </w:rPr>
      </w:pPr>
      <w:r>
        <w:rPr>
          <w:sz w:val="20"/>
          <w:szCs w:val="20"/>
        </w:rPr>
        <w:t> </w:t>
      </w:r>
    </w:p>
    <w:p w14:paraId="6826D5B6"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34E198DC" w14:textId="77777777" w:rsidR="00000000" w:rsidRDefault="003C49E9">
      <w:pPr>
        <w:pStyle w:val="a3"/>
        <w:spacing w:before="240" w:beforeAutospacing="0" w:after="0" w:afterAutospacing="0"/>
        <w:jc w:val="center"/>
        <w:rPr>
          <w:sz w:val="20"/>
          <w:szCs w:val="20"/>
        </w:rPr>
      </w:pPr>
      <w:r>
        <w:rPr>
          <w:b/>
          <w:bCs/>
          <w:sz w:val="20"/>
          <w:szCs w:val="20"/>
        </w:rPr>
        <w:t>Table of Content</w:t>
      </w:r>
      <w:r>
        <w:rPr>
          <w:b/>
          <w:bCs/>
          <w:sz w:val="20"/>
          <w:szCs w:val="20"/>
        </w:rPr>
        <w:t>s</w:t>
      </w:r>
    </w:p>
    <w:p w14:paraId="4DB1FF6C"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109"/>
        <w:gridCol w:w="6986"/>
        <w:gridCol w:w="292"/>
      </w:tblGrid>
      <w:tr w:rsidR="00000000" w14:paraId="28C9E130" w14:textId="77777777">
        <w:trPr>
          <w:tblCellSpacing w:w="15" w:type="dxa"/>
        </w:trPr>
        <w:tc>
          <w:tcPr>
            <w:tcW w:w="447" w:type="pct"/>
            <w:vAlign w:val="center"/>
            <w:hideMark/>
          </w:tcPr>
          <w:p w14:paraId="40A0A15C" w14:textId="77777777" w:rsidR="00000000" w:rsidRDefault="003C49E9">
            <w:pPr>
              <w:rPr>
                <w:sz w:val="20"/>
                <w:szCs w:val="20"/>
              </w:rPr>
            </w:pPr>
          </w:p>
        </w:tc>
        <w:tc>
          <w:tcPr>
            <w:tcW w:w="50" w:type="pct"/>
            <w:vAlign w:val="center"/>
            <w:hideMark/>
          </w:tcPr>
          <w:p w14:paraId="6D5B1911" w14:textId="77777777" w:rsidR="00000000" w:rsidRDefault="003C49E9">
            <w:pPr>
              <w:rPr>
                <w:rFonts w:eastAsia="Times New Roman"/>
                <w:sz w:val="20"/>
                <w:szCs w:val="20"/>
              </w:rPr>
            </w:pPr>
          </w:p>
        </w:tc>
        <w:tc>
          <w:tcPr>
            <w:tcW w:w="4320" w:type="pct"/>
            <w:vAlign w:val="center"/>
            <w:hideMark/>
          </w:tcPr>
          <w:p w14:paraId="5ADD886D" w14:textId="77777777" w:rsidR="00000000" w:rsidRDefault="003C49E9">
            <w:pPr>
              <w:rPr>
                <w:rFonts w:eastAsia="Times New Roman"/>
                <w:sz w:val="20"/>
                <w:szCs w:val="20"/>
              </w:rPr>
            </w:pPr>
          </w:p>
        </w:tc>
        <w:tc>
          <w:tcPr>
            <w:tcW w:w="181" w:type="pct"/>
            <w:vAlign w:val="center"/>
            <w:hideMark/>
          </w:tcPr>
          <w:p w14:paraId="7FC7A31F" w14:textId="77777777" w:rsidR="00000000" w:rsidRDefault="003C49E9">
            <w:pPr>
              <w:rPr>
                <w:rFonts w:eastAsia="Times New Roman"/>
                <w:sz w:val="20"/>
                <w:szCs w:val="20"/>
              </w:rPr>
            </w:pPr>
          </w:p>
        </w:tc>
      </w:tr>
      <w:tr w:rsidR="00000000" w14:paraId="57395029" w14:textId="77777777">
        <w:trPr>
          <w:trHeight w:val="200"/>
          <w:tblCellSpacing w:w="15" w:type="dxa"/>
        </w:trPr>
        <w:tc>
          <w:tcPr>
            <w:tcW w:w="0" w:type="auto"/>
            <w:gridSpan w:val="4"/>
            <w:tcMar>
              <w:top w:w="14" w:type="dxa"/>
              <w:left w:w="15" w:type="dxa"/>
              <w:bottom w:w="15" w:type="dxa"/>
              <w:right w:w="14" w:type="dxa"/>
            </w:tcMar>
            <w:vAlign w:val="bottom"/>
            <w:hideMark/>
          </w:tcPr>
          <w:p w14:paraId="63D0AAE7" w14:textId="77777777" w:rsidR="00000000" w:rsidRDefault="003C49E9">
            <w:pPr>
              <w:pStyle w:val="a3"/>
              <w:spacing w:before="0" w:beforeAutospacing="0" w:after="0" w:afterAutospacing="0"/>
              <w:jc w:val="center"/>
              <w:rPr>
                <w:sz w:val="20"/>
                <w:szCs w:val="20"/>
              </w:rPr>
            </w:pPr>
            <w:hyperlink w:anchor="part_i_financial_information" w:history="1">
              <w:r>
                <w:rPr>
                  <w:rStyle w:val="a4"/>
                  <w:b/>
                  <w:bCs/>
                  <w:sz w:val="20"/>
                  <w:szCs w:val="20"/>
                </w:rPr>
                <w:t>Part I — Financial Informatio</w:t>
              </w:r>
              <w:r>
                <w:rPr>
                  <w:rStyle w:val="a4"/>
                  <w:b/>
                  <w:bCs/>
                  <w:sz w:val="20"/>
                  <w:szCs w:val="20"/>
                </w:rPr>
                <w:t>n</w:t>
              </w:r>
            </w:hyperlink>
          </w:p>
        </w:tc>
      </w:tr>
      <w:tr w:rsidR="00000000" w14:paraId="370D0AA2" w14:textId="77777777">
        <w:trPr>
          <w:tblCellSpacing w:w="15" w:type="dxa"/>
        </w:trPr>
        <w:tc>
          <w:tcPr>
            <w:tcW w:w="0" w:type="auto"/>
            <w:tcMar>
              <w:top w:w="14" w:type="dxa"/>
              <w:left w:w="15" w:type="dxa"/>
              <w:bottom w:w="15" w:type="dxa"/>
              <w:right w:w="14" w:type="dxa"/>
            </w:tcMar>
            <w:vAlign w:val="center"/>
            <w:hideMark/>
          </w:tcPr>
          <w:p w14:paraId="4CC5127B" w14:textId="77777777" w:rsidR="00000000" w:rsidRDefault="003C49E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14:paraId="3F62CD81" w14:textId="77777777" w:rsidR="00000000" w:rsidRDefault="003C49E9">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14:paraId="4C729904" w14:textId="77777777" w:rsidR="00000000" w:rsidRDefault="003C49E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14:paraId="63650F69" w14:textId="77777777" w:rsidR="00000000" w:rsidRDefault="003C49E9">
            <w:pPr>
              <w:pStyle w:val="a3"/>
              <w:spacing w:before="0" w:beforeAutospacing="0" w:after="0" w:afterAutospacing="0"/>
              <w:jc w:val="right"/>
              <w:rPr>
                <w:sz w:val="12"/>
                <w:szCs w:val="12"/>
              </w:rPr>
            </w:pPr>
            <w:r>
              <w:rPr>
                <w:sz w:val="12"/>
                <w:szCs w:val="12"/>
              </w:rPr>
              <w:t> </w:t>
            </w:r>
          </w:p>
        </w:tc>
      </w:tr>
      <w:tr w:rsidR="00000000" w14:paraId="3718163E" w14:textId="77777777">
        <w:trPr>
          <w:trHeight w:val="200"/>
          <w:tblCellSpacing w:w="15" w:type="dxa"/>
        </w:trPr>
        <w:tc>
          <w:tcPr>
            <w:tcW w:w="0" w:type="auto"/>
            <w:tcMar>
              <w:top w:w="14" w:type="dxa"/>
              <w:left w:w="15" w:type="dxa"/>
              <w:bottom w:w="15" w:type="dxa"/>
              <w:right w:w="14" w:type="dxa"/>
            </w:tcMar>
            <w:hideMark/>
          </w:tcPr>
          <w:p w14:paraId="0A5DBA61" w14:textId="77777777" w:rsidR="00000000" w:rsidRDefault="003C49E9">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bottom"/>
            <w:hideMark/>
          </w:tcPr>
          <w:p w14:paraId="48C3C054" w14:textId="77777777" w:rsidR="00000000" w:rsidRDefault="003C49E9">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14:paraId="18B62CFC" w14:textId="77777777" w:rsidR="00000000" w:rsidRDefault="003C49E9">
            <w:pPr>
              <w:pStyle w:val="a3"/>
              <w:spacing w:before="0" w:beforeAutospacing="0" w:after="0" w:afterAutospacing="0"/>
              <w:rPr>
                <w:sz w:val="20"/>
                <w:szCs w:val="20"/>
              </w:rPr>
            </w:pPr>
            <w:hyperlink w:anchor="item_1_financial_statements" w:history="1">
              <w:r>
                <w:rPr>
                  <w:rStyle w:val="a4"/>
                  <w:sz w:val="20"/>
                  <w:szCs w:val="20"/>
                </w:rPr>
                <w:t>Unaudited Consolidated Financial Statements</w:t>
              </w:r>
              <w:r>
                <w:rPr>
                  <w:rStyle w:val="a4"/>
                  <w:sz w:val="20"/>
                  <w:szCs w:val="20"/>
                </w:rPr>
                <w:t>:</w:t>
              </w:r>
            </w:hyperlink>
          </w:p>
        </w:tc>
        <w:tc>
          <w:tcPr>
            <w:tcW w:w="0" w:type="auto"/>
            <w:tcMar>
              <w:top w:w="14" w:type="dxa"/>
              <w:left w:w="15" w:type="dxa"/>
              <w:bottom w:w="15" w:type="dxa"/>
              <w:right w:w="14" w:type="dxa"/>
            </w:tcMar>
            <w:vAlign w:val="bottom"/>
            <w:hideMark/>
          </w:tcPr>
          <w:p w14:paraId="1FE88A8D" w14:textId="77777777" w:rsidR="00000000" w:rsidRDefault="003C49E9">
            <w:pPr>
              <w:pStyle w:val="a3"/>
              <w:spacing w:before="0" w:beforeAutospacing="0" w:after="0" w:afterAutospacing="0"/>
              <w:jc w:val="right"/>
              <w:rPr>
                <w:sz w:val="20"/>
                <w:szCs w:val="20"/>
              </w:rPr>
            </w:pPr>
            <w:r>
              <w:rPr>
                <w:sz w:val="20"/>
                <w:szCs w:val="20"/>
              </w:rPr>
              <w:t> </w:t>
            </w:r>
          </w:p>
        </w:tc>
      </w:tr>
      <w:tr w:rsidR="00000000" w14:paraId="288CD455" w14:textId="77777777">
        <w:trPr>
          <w:trHeight w:val="200"/>
          <w:tblCellSpacing w:w="15" w:type="dxa"/>
        </w:trPr>
        <w:tc>
          <w:tcPr>
            <w:tcW w:w="0" w:type="auto"/>
            <w:tcMar>
              <w:top w:w="14" w:type="dxa"/>
              <w:left w:w="15" w:type="dxa"/>
              <w:bottom w:w="15" w:type="dxa"/>
              <w:right w:w="14" w:type="dxa"/>
            </w:tcMar>
            <w:hideMark/>
          </w:tcPr>
          <w:p w14:paraId="321A2C41"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31208A63"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869CA76" w14:textId="77777777" w:rsidR="00000000" w:rsidRDefault="003C49E9">
            <w:pPr>
              <w:pStyle w:val="a3"/>
              <w:spacing w:before="0" w:beforeAutospacing="0" w:after="0" w:afterAutospacing="0"/>
              <w:rPr>
                <w:sz w:val="20"/>
                <w:szCs w:val="20"/>
              </w:rPr>
            </w:pPr>
            <w:hyperlink w:anchor="unaudited_consolidated_balance_sheets" w:history="1">
              <w:r>
                <w:rPr>
                  <w:rStyle w:val="a4"/>
                  <w:sz w:val="20"/>
                  <w:szCs w:val="20"/>
                </w:rPr>
                <w:t>Unaudited Consolidated Balance Sheets as of June 30, 2022 and December 31, 202</w:t>
              </w:r>
              <w:r>
                <w:rPr>
                  <w:rStyle w:val="a4"/>
                  <w:sz w:val="20"/>
                  <w:szCs w:val="20"/>
                </w:rPr>
                <w:t>1</w:t>
              </w:r>
            </w:hyperlink>
          </w:p>
        </w:tc>
        <w:tc>
          <w:tcPr>
            <w:tcW w:w="0" w:type="auto"/>
            <w:tcMar>
              <w:top w:w="14" w:type="dxa"/>
              <w:left w:w="15" w:type="dxa"/>
              <w:bottom w:w="15" w:type="dxa"/>
              <w:right w:w="14" w:type="dxa"/>
            </w:tcMar>
            <w:vAlign w:val="bottom"/>
            <w:hideMark/>
          </w:tcPr>
          <w:p w14:paraId="1D88EA2F" w14:textId="77777777" w:rsidR="00000000" w:rsidRDefault="003C49E9">
            <w:pPr>
              <w:pStyle w:val="a3"/>
              <w:spacing w:before="0" w:beforeAutospacing="0" w:after="0" w:afterAutospacing="0"/>
              <w:jc w:val="right"/>
              <w:rPr>
                <w:sz w:val="20"/>
                <w:szCs w:val="20"/>
              </w:rPr>
            </w:pPr>
            <w:r>
              <w:rPr>
                <w:sz w:val="20"/>
                <w:szCs w:val="20"/>
              </w:rPr>
              <w:t>5</w:t>
            </w:r>
          </w:p>
        </w:tc>
      </w:tr>
      <w:tr w:rsidR="00000000" w14:paraId="1B5CC2D8" w14:textId="77777777">
        <w:trPr>
          <w:trHeight w:val="200"/>
          <w:tblCellSpacing w:w="15" w:type="dxa"/>
        </w:trPr>
        <w:tc>
          <w:tcPr>
            <w:tcW w:w="0" w:type="auto"/>
            <w:tcMar>
              <w:top w:w="14" w:type="dxa"/>
              <w:left w:w="15" w:type="dxa"/>
              <w:bottom w:w="15" w:type="dxa"/>
              <w:right w:w="14" w:type="dxa"/>
            </w:tcMar>
            <w:hideMark/>
          </w:tcPr>
          <w:p w14:paraId="3DBA90C1"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395007B7"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E44DBE2" w14:textId="77777777" w:rsidR="00000000" w:rsidRDefault="003C49E9">
            <w:pPr>
              <w:pStyle w:val="a3"/>
              <w:spacing w:before="0" w:beforeAutospacing="0" w:after="0" w:afterAutospacing="0"/>
              <w:rPr>
                <w:sz w:val="20"/>
                <w:szCs w:val="20"/>
              </w:rPr>
            </w:pPr>
            <w:hyperlink w:anchor="unaudited_consolidated_statements_opera" w:history="1">
              <w:r>
                <w:rPr>
                  <w:rStyle w:val="a4"/>
                  <w:sz w:val="20"/>
                  <w:szCs w:val="20"/>
                </w:rPr>
                <w:t>Unaudited Consolidated Statements of Operations for the Three and Six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14:paraId="42B4563A" w14:textId="77777777" w:rsidR="00000000" w:rsidRDefault="003C49E9">
            <w:pPr>
              <w:pStyle w:val="a3"/>
              <w:spacing w:before="0" w:beforeAutospacing="0" w:after="0" w:afterAutospacing="0"/>
              <w:jc w:val="right"/>
              <w:rPr>
                <w:sz w:val="20"/>
                <w:szCs w:val="20"/>
              </w:rPr>
            </w:pPr>
            <w:r>
              <w:rPr>
                <w:sz w:val="20"/>
                <w:szCs w:val="20"/>
              </w:rPr>
              <w:t>6</w:t>
            </w:r>
          </w:p>
        </w:tc>
      </w:tr>
      <w:tr w:rsidR="00000000" w14:paraId="24CFE54B" w14:textId="77777777">
        <w:trPr>
          <w:trHeight w:val="200"/>
          <w:tblCellSpacing w:w="15" w:type="dxa"/>
        </w:trPr>
        <w:tc>
          <w:tcPr>
            <w:tcW w:w="0" w:type="auto"/>
            <w:tcMar>
              <w:top w:w="14" w:type="dxa"/>
              <w:left w:w="15" w:type="dxa"/>
              <w:bottom w:w="15" w:type="dxa"/>
              <w:right w:w="14" w:type="dxa"/>
            </w:tcMar>
            <w:hideMark/>
          </w:tcPr>
          <w:p w14:paraId="50AB8ECB"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6091CFAB"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4D8CFBA" w14:textId="77777777" w:rsidR="00000000" w:rsidRDefault="003C49E9">
            <w:pPr>
              <w:pStyle w:val="a3"/>
              <w:spacing w:before="0" w:beforeAutospacing="0" w:after="0" w:afterAutospacing="0"/>
              <w:rPr>
                <w:sz w:val="20"/>
                <w:szCs w:val="20"/>
              </w:rPr>
            </w:pPr>
            <w:hyperlink w:anchor="unaudited_consolidated_statements_compr" w:history="1">
              <w:r>
                <w:rPr>
                  <w:rStyle w:val="a4"/>
                  <w:sz w:val="20"/>
                  <w:szCs w:val="20"/>
                </w:rPr>
                <w:t>Unaudited Consolidated Statements of Comprehensive Loss for the Three and Six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14:paraId="1CA5EF09" w14:textId="77777777" w:rsidR="00000000" w:rsidRDefault="003C49E9">
            <w:pPr>
              <w:pStyle w:val="a3"/>
              <w:spacing w:before="0" w:beforeAutospacing="0" w:after="0" w:afterAutospacing="0"/>
              <w:jc w:val="right"/>
              <w:rPr>
                <w:sz w:val="20"/>
                <w:szCs w:val="20"/>
              </w:rPr>
            </w:pPr>
            <w:r>
              <w:rPr>
                <w:sz w:val="20"/>
                <w:szCs w:val="20"/>
              </w:rPr>
              <w:t>7</w:t>
            </w:r>
          </w:p>
        </w:tc>
      </w:tr>
      <w:tr w:rsidR="00000000" w14:paraId="1A7FB3E8" w14:textId="77777777">
        <w:trPr>
          <w:trHeight w:val="200"/>
          <w:tblCellSpacing w:w="15" w:type="dxa"/>
        </w:trPr>
        <w:tc>
          <w:tcPr>
            <w:tcW w:w="0" w:type="auto"/>
            <w:tcMar>
              <w:top w:w="14" w:type="dxa"/>
              <w:left w:w="15" w:type="dxa"/>
              <w:bottom w:w="15" w:type="dxa"/>
              <w:right w:w="14" w:type="dxa"/>
            </w:tcMar>
            <w:hideMark/>
          </w:tcPr>
          <w:p w14:paraId="569C2A7D"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4016D8C0"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7860156" w14:textId="77777777" w:rsidR="00000000" w:rsidRDefault="003C49E9">
            <w:pPr>
              <w:pStyle w:val="a3"/>
              <w:spacing w:before="0" w:beforeAutospacing="0" w:after="0" w:afterAutospacing="0"/>
              <w:rPr>
                <w:sz w:val="20"/>
                <w:szCs w:val="20"/>
              </w:rPr>
            </w:pPr>
            <w:hyperlink w:anchor="unaudited_consolidated_statements_cash_" w:history="1">
              <w:r>
                <w:rPr>
                  <w:rStyle w:val="a4"/>
                  <w:sz w:val="20"/>
                  <w:szCs w:val="20"/>
                </w:rPr>
                <w:t>Unaudited Consolidated Statements of Cash Flows for the Three and Six Months Ended June 30, 2022 and 202</w:t>
              </w:r>
              <w:r>
                <w:rPr>
                  <w:rStyle w:val="a4"/>
                  <w:sz w:val="20"/>
                  <w:szCs w:val="20"/>
                </w:rPr>
                <w:t>1</w:t>
              </w:r>
            </w:hyperlink>
          </w:p>
        </w:tc>
        <w:tc>
          <w:tcPr>
            <w:tcW w:w="0" w:type="auto"/>
            <w:tcMar>
              <w:top w:w="14" w:type="dxa"/>
              <w:left w:w="15" w:type="dxa"/>
              <w:bottom w:w="15" w:type="dxa"/>
              <w:right w:w="14" w:type="dxa"/>
            </w:tcMar>
            <w:vAlign w:val="bottom"/>
            <w:hideMark/>
          </w:tcPr>
          <w:p w14:paraId="7AEE13EF" w14:textId="77777777" w:rsidR="00000000" w:rsidRDefault="003C49E9">
            <w:pPr>
              <w:pStyle w:val="a3"/>
              <w:spacing w:before="0" w:beforeAutospacing="0" w:after="0" w:afterAutospacing="0"/>
              <w:jc w:val="right"/>
              <w:rPr>
                <w:sz w:val="20"/>
                <w:szCs w:val="20"/>
              </w:rPr>
            </w:pPr>
            <w:r>
              <w:rPr>
                <w:sz w:val="20"/>
                <w:szCs w:val="20"/>
              </w:rPr>
              <w:t>1</w:t>
            </w:r>
            <w:r>
              <w:rPr>
                <w:sz w:val="20"/>
                <w:szCs w:val="20"/>
              </w:rPr>
              <w:t>0</w:t>
            </w:r>
          </w:p>
        </w:tc>
      </w:tr>
      <w:tr w:rsidR="00000000" w14:paraId="7E8817A1" w14:textId="77777777">
        <w:trPr>
          <w:trHeight w:val="200"/>
          <w:tblCellSpacing w:w="15" w:type="dxa"/>
        </w:trPr>
        <w:tc>
          <w:tcPr>
            <w:tcW w:w="0" w:type="auto"/>
            <w:tcMar>
              <w:top w:w="14" w:type="dxa"/>
              <w:left w:w="15" w:type="dxa"/>
              <w:bottom w:w="15" w:type="dxa"/>
              <w:right w:w="14" w:type="dxa"/>
            </w:tcMar>
            <w:hideMark/>
          </w:tcPr>
          <w:p w14:paraId="30259D54"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2E117563"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ED11095" w14:textId="77777777" w:rsidR="00000000" w:rsidRDefault="003C49E9">
            <w:pPr>
              <w:pStyle w:val="a3"/>
              <w:spacing w:before="0" w:beforeAutospacing="0" w:after="0" w:afterAutospacing="0"/>
              <w:rPr>
                <w:sz w:val="20"/>
                <w:szCs w:val="20"/>
              </w:rPr>
            </w:pPr>
            <w:hyperlink w:anchor="notes_to_unaudited_consolida_ted_financ" w:history="1">
              <w:r>
                <w:rPr>
                  <w:rStyle w:val="a4"/>
                  <w:sz w:val="20"/>
                  <w:szCs w:val="20"/>
                </w:rPr>
                <w:t>Notes to Unaudited</w:t>
              </w:r>
              <w:r>
                <w:rPr>
                  <w:rStyle w:val="a4"/>
                  <w:sz w:val="20"/>
                  <w:szCs w:val="20"/>
                </w:rPr>
                <w:t xml:space="preserve">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14:paraId="6576181E" w14:textId="77777777" w:rsidR="00000000" w:rsidRDefault="003C49E9">
            <w:pPr>
              <w:pStyle w:val="a3"/>
              <w:spacing w:before="0" w:beforeAutospacing="0" w:after="0" w:afterAutospacing="0"/>
              <w:jc w:val="right"/>
              <w:rPr>
                <w:sz w:val="20"/>
                <w:szCs w:val="20"/>
              </w:rPr>
            </w:pPr>
            <w:r>
              <w:rPr>
                <w:sz w:val="20"/>
                <w:szCs w:val="20"/>
              </w:rPr>
              <w:t>1</w:t>
            </w:r>
            <w:r>
              <w:rPr>
                <w:sz w:val="20"/>
                <w:szCs w:val="20"/>
              </w:rPr>
              <w:t>1</w:t>
            </w:r>
          </w:p>
        </w:tc>
      </w:tr>
      <w:tr w:rsidR="00000000" w14:paraId="5672AB97" w14:textId="77777777">
        <w:trPr>
          <w:trHeight w:val="200"/>
          <w:tblCellSpacing w:w="15" w:type="dxa"/>
        </w:trPr>
        <w:tc>
          <w:tcPr>
            <w:tcW w:w="0" w:type="auto"/>
            <w:tcMar>
              <w:top w:w="14" w:type="dxa"/>
              <w:left w:w="15" w:type="dxa"/>
              <w:bottom w:w="15" w:type="dxa"/>
              <w:right w:w="14" w:type="dxa"/>
            </w:tcMar>
            <w:hideMark/>
          </w:tcPr>
          <w:p w14:paraId="45FF686F" w14:textId="77777777" w:rsidR="00000000" w:rsidRDefault="003C49E9">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14:paraId="7256485B"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322C9AF" w14:textId="77777777" w:rsidR="00000000" w:rsidRDefault="003C49E9">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14:paraId="18A03DE1" w14:textId="77777777" w:rsidR="00000000" w:rsidRDefault="003C49E9">
            <w:pPr>
              <w:pStyle w:val="a3"/>
              <w:spacing w:before="0" w:beforeAutospacing="0" w:after="0" w:afterAutospacing="0"/>
              <w:jc w:val="right"/>
              <w:rPr>
                <w:sz w:val="20"/>
                <w:szCs w:val="20"/>
              </w:rPr>
            </w:pPr>
            <w:r>
              <w:rPr>
                <w:sz w:val="20"/>
                <w:szCs w:val="20"/>
              </w:rPr>
              <w:t>2</w:t>
            </w:r>
            <w:r>
              <w:rPr>
                <w:sz w:val="20"/>
                <w:szCs w:val="20"/>
              </w:rPr>
              <w:t>2</w:t>
            </w:r>
          </w:p>
        </w:tc>
      </w:tr>
      <w:tr w:rsidR="00000000" w14:paraId="7B4B1ABB" w14:textId="77777777">
        <w:trPr>
          <w:trHeight w:val="200"/>
          <w:tblCellSpacing w:w="15" w:type="dxa"/>
        </w:trPr>
        <w:tc>
          <w:tcPr>
            <w:tcW w:w="0" w:type="auto"/>
            <w:tcMar>
              <w:top w:w="14" w:type="dxa"/>
              <w:left w:w="15" w:type="dxa"/>
              <w:bottom w:w="15" w:type="dxa"/>
              <w:right w:w="14" w:type="dxa"/>
            </w:tcMar>
            <w:hideMark/>
          </w:tcPr>
          <w:p w14:paraId="082DAB4E" w14:textId="77777777" w:rsidR="00000000" w:rsidRDefault="003C49E9">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14:paraId="5B1194F1"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C8BD7F0" w14:textId="77777777" w:rsidR="00000000" w:rsidRDefault="003C49E9">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14:paraId="2BE7EBBA" w14:textId="77777777" w:rsidR="00000000" w:rsidRDefault="003C49E9">
            <w:pPr>
              <w:pStyle w:val="a3"/>
              <w:spacing w:before="0" w:beforeAutospacing="0" w:after="0" w:afterAutospacing="0"/>
              <w:jc w:val="right"/>
              <w:rPr>
                <w:sz w:val="20"/>
                <w:szCs w:val="20"/>
              </w:rPr>
            </w:pPr>
            <w:r>
              <w:rPr>
                <w:sz w:val="20"/>
                <w:szCs w:val="20"/>
              </w:rPr>
              <w:t>3</w:t>
            </w:r>
            <w:r>
              <w:rPr>
                <w:sz w:val="20"/>
                <w:szCs w:val="20"/>
              </w:rPr>
              <w:t>2</w:t>
            </w:r>
          </w:p>
        </w:tc>
      </w:tr>
      <w:tr w:rsidR="00000000" w14:paraId="2FDB1484" w14:textId="77777777">
        <w:trPr>
          <w:trHeight w:val="200"/>
          <w:tblCellSpacing w:w="15" w:type="dxa"/>
        </w:trPr>
        <w:tc>
          <w:tcPr>
            <w:tcW w:w="0" w:type="auto"/>
            <w:tcMar>
              <w:top w:w="14" w:type="dxa"/>
              <w:left w:w="15" w:type="dxa"/>
              <w:bottom w:w="15" w:type="dxa"/>
              <w:right w:w="14" w:type="dxa"/>
            </w:tcMar>
            <w:hideMark/>
          </w:tcPr>
          <w:p w14:paraId="0B4D61D0" w14:textId="77777777" w:rsidR="00000000" w:rsidRDefault="003C49E9">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14:paraId="32AE0F00"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A8253CE" w14:textId="77777777" w:rsidR="00000000" w:rsidRDefault="003C49E9">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14:paraId="54D5F9C0" w14:textId="77777777" w:rsidR="00000000" w:rsidRDefault="003C49E9">
            <w:pPr>
              <w:pStyle w:val="a3"/>
              <w:spacing w:before="0" w:beforeAutospacing="0" w:after="0" w:afterAutospacing="0"/>
              <w:jc w:val="right"/>
              <w:rPr>
                <w:sz w:val="20"/>
                <w:szCs w:val="20"/>
              </w:rPr>
            </w:pPr>
            <w:r>
              <w:rPr>
                <w:sz w:val="20"/>
                <w:szCs w:val="20"/>
              </w:rPr>
              <w:t>3</w:t>
            </w:r>
            <w:r>
              <w:rPr>
                <w:sz w:val="20"/>
                <w:szCs w:val="20"/>
              </w:rPr>
              <w:t>3</w:t>
            </w:r>
          </w:p>
        </w:tc>
      </w:tr>
      <w:tr w:rsidR="00000000" w14:paraId="086DC88C" w14:textId="77777777">
        <w:trPr>
          <w:trHeight w:val="120"/>
          <w:tblCellSpacing w:w="15" w:type="dxa"/>
        </w:trPr>
        <w:tc>
          <w:tcPr>
            <w:tcW w:w="0" w:type="auto"/>
            <w:gridSpan w:val="4"/>
            <w:tcMar>
              <w:top w:w="14" w:type="dxa"/>
              <w:left w:w="15" w:type="dxa"/>
              <w:bottom w:w="15" w:type="dxa"/>
              <w:right w:w="14" w:type="dxa"/>
            </w:tcMar>
            <w:vAlign w:val="center"/>
            <w:hideMark/>
          </w:tcPr>
          <w:p w14:paraId="02AED6A9" w14:textId="77777777" w:rsidR="00000000" w:rsidRDefault="003C49E9">
            <w:pPr>
              <w:pStyle w:val="a3"/>
              <w:spacing w:before="0" w:beforeAutospacing="0" w:after="0" w:afterAutospacing="0"/>
              <w:rPr>
                <w:sz w:val="12"/>
                <w:szCs w:val="12"/>
              </w:rPr>
            </w:pPr>
            <w:r>
              <w:rPr>
                <w:sz w:val="12"/>
                <w:szCs w:val="12"/>
              </w:rPr>
              <w:t> </w:t>
            </w:r>
          </w:p>
        </w:tc>
      </w:tr>
      <w:tr w:rsidR="00000000" w14:paraId="57381E99" w14:textId="77777777">
        <w:trPr>
          <w:trHeight w:val="200"/>
          <w:tblCellSpacing w:w="15" w:type="dxa"/>
        </w:trPr>
        <w:tc>
          <w:tcPr>
            <w:tcW w:w="0" w:type="auto"/>
            <w:gridSpan w:val="4"/>
            <w:tcMar>
              <w:top w:w="14" w:type="dxa"/>
              <w:left w:w="15" w:type="dxa"/>
              <w:bottom w:w="15" w:type="dxa"/>
              <w:right w:w="14" w:type="dxa"/>
            </w:tcMar>
            <w:vAlign w:val="bottom"/>
            <w:hideMark/>
          </w:tcPr>
          <w:p w14:paraId="76B34A59" w14:textId="77777777" w:rsidR="00000000" w:rsidRDefault="003C49E9">
            <w:pPr>
              <w:pStyle w:val="a3"/>
              <w:spacing w:before="0" w:beforeAutospacing="0" w:after="0" w:afterAutospacing="0"/>
              <w:jc w:val="center"/>
              <w:rPr>
                <w:sz w:val="20"/>
                <w:szCs w:val="20"/>
              </w:rPr>
            </w:pPr>
            <w:hyperlink w:anchor="part_ii" w:history="1">
              <w:r>
                <w:rPr>
                  <w:rStyle w:val="a4"/>
                  <w:b/>
                  <w:bCs/>
                  <w:sz w:val="20"/>
                  <w:szCs w:val="20"/>
                </w:rPr>
                <w:t>Part II — Other Informatio</w:t>
              </w:r>
              <w:r>
                <w:rPr>
                  <w:rStyle w:val="a4"/>
                  <w:b/>
                  <w:bCs/>
                  <w:sz w:val="20"/>
                  <w:szCs w:val="20"/>
                </w:rPr>
                <w:t>n</w:t>
              </w:r>
            </w:hyperlink>
          </w:p>
        </w:tc>
      </w:tr>
      <w:tr w:rsidR="00000000" w14:paraId="7CEC3899" w14:textId="77777777">
        <w:trPr>
          <w:tblCellSpacing w:w="15" w:type="dxa"/>
        </w:trPr>
        <w:tc>
          <w:tcPr>
            <w:tcW w:w="0" w:type="auto"/>
            <w:tcMar>
              <w:top w:w="14" w:type="dxa"/>
              <w:left w:w="15" w:type="dxa"/>
              <w:bottom w:w="15" w:type="dxa"/>
              <w:right w:w="14" w:type="dxa"/>
            </w:tcMar>
            <w:vAlign w:val="center"/>
            <w:hideMark/>
          </w:tcPr>
          <w:p w14:paraId="1EFAC241" w14:textId="77777777" w:rsidR="00000000" w:rsidRDefault="003C49E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14:paraId="14FAF5F5" w14:textId="77777777" w:rsidR="00000000" w:rsidRDefault="003C49E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14:paraId="7ABA7046" w14:textId="77777777" w:rsidR="00000000" w:rsidRDefault="003C49E9">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14:paraId="5D721714" w14:textId="77777777" w:rsidR="00000000" w:rsidRDefault="003C49E9">
            <w:pPr>
              <w:pStyle w:val="a3"/>
              <w:spacing w:before="0" w:beforeAutospacing="0" w:after="0" w:afterAutospacing="0"/>
              <w:jc w:val="right"/>
              <w:rPr>
                <w:sz w:val="12"/>
                <w:szCs w:val="12"/>
              </w:rPr>
            </w:pPr>
            <w:r>
              <w:rPr>
                <w:sz w:val="12"/>
                <w:szCs w:val="12"/>
              </w:rPr>
              <w:t> </w:t>
            </w:r>
          </w:p>
        </w:tc>
      </w:tr>
      <w:tr w:rsidR="00000000" w14:paraId="3E3654CB" w14:textId="77777777">
        <w:trPr>
          <w:trHeight w:val="200"/>
          <w:tblCellSpacing w:w="15" w:type="dxa"/>
        </w:trPr>
        <w:tc>
          <w:tcPr>
            <w:tcW w:w="0" w:type="auto"/>
            <w:tcMar>
              <w:top w:w="14" w:type="dxa"/>
              <w:left w:w="15" w:type="dxa"/>
              <w:bottom w:w="15" w:type="dxa"/>
              <w:right w:w="14" w:type="dxa"/>
            </w:tcMar>
            <w:hideMark/>
          </w:tcPr>
          <w:p w14:paraId="0D4439B9" w14:textId="77777777" w:rsidR="00000000" w:rsidRDefault="003C49E9">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14:paraId="0D6736AB"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BA8E409" w14:textId="77777777" w:rsidR="00000000" w:rsidRDefault="003C49E9">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14:paraId="294103AA" w14:textId="77777777" w:rsidR="00000000" w:rsidRDefault="003C49E9">
            <w:pPr>
              <w:pStyle w:val="a3"/>
              <w:spacing w:before="0" w:beforeAutospacing="0" w:after="0" w:afterAutospacing="0"/>
              <w:jc w:val="right"/>
              <w:rPr>
                <w:sz w:val="20"/>
                <w:szCs w:val="20"/>
              </w:rPr>
            </w:pPr>
            <w:r>
              <w:rPr>
                <w:sz w:val="20"/>
                <w:szCs w:val="20"/>
              </w:rPr>
              <w:t>3</w:t>
            </w:r>
            <w:r>
              <w:rPr>
                <w:sz w:val="20"/>
                <w:szCs w:val="20"/>
              </w:rPr>
              <w:t>5</w:t>
            </w:r>
          </w:p>
        </w:tc>
      </w:tr>
      <w:tr w:rsidR="00000000" w14:paraId="6CC4F2DF" w14:textId="77777777">
        <w:trPr>
          <w:trHeight w:val="200"/>
          <w:tblCellSpacing w:w="15" w:type="dxa"/>
        </w:trPr>
        <w:tc>
          <w:tcPr>
            <w:tcW w:w="0" w:type="auto"/>
            <w:tcMar>
              <w:top w:w="14" w:type="dxa"/>
              <w:left w:w="15" w:type="dxa"/>
              <w:bottom w:w="15" w:type="dxa"/>
              <w:right w:w="14" w:type="dxa"/>
            </w:tcMar>
            <w:hideMark/>
          </w:tcPr>
          <w:p w14:paraId="455FC6E3" w14:textId="77777777" w:rsidR="00000000" w:rsidRDefault="003C49E9">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14:paraId="065DD5D3"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8E0AD95" w14:textId="77777777" w:rsidR="00000000" w:rsidRDefault="003C49E9">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14:paraId="3E70143B" w14:textId="77777777" w:rsidR="00000000" w:rsidRDefault="003C49E9">
            <w:pPr>
              <w:pStyle w:val="a3"/>
              <w:spacing w:before="0" w:beforeAutospacing="0" w:after="0" w:afterAutospacing="0"/>
              <w:jc w:val="right"/>
              <w:rPr>
                <w:sz w:val="20"/>
                <w:szCs w:val="20"/>
              </w:rPr>
            </w:pPr>
            <w:r>
              <w:rPr>
                <w:sz w:val="20"/>
                <w:szCs w:val="20"/>
              </w:rPr>
              <w:t>3</w:t>
            </w:r>
            <w:r>
              <w:rPr>
                <w:sz w:val="20"/>
                <w:szCs w:val="20"/>
              </w:rPr>
              <w:t>5</w:t>
            </w:r>
          </w:p>
        </w:tc>
      </w:tr>
      <w:tr w:rsidR="00000000" w14:paraId="2936B236" w14:textId="77777777">
        <w:trPr>
          <w:trHeight w:val="200"/>
          <w:tblCellSpacing w:w="15" w:type="dxa"/>
        </w:trPr>
        <w:tc>
          <w:tcPr>
            <w:tcW w:w="0" w:type="auto"/>
            <w:tcMar>
              <w:top w:w="14" w:type="dxa"/>
              <w:left w:w="15" w:type="dxa"/>
              <w:bottom w:w="15" w:type="dxa"/>
              <w:right w:w="14" w:type="dxa"/>
            </w:tcMar>
            <w:hideMark/>
          </w:tcPr>
          <w:p w14:paraId="5AA6543D" w14:textId="77777777" w:rsidR="00000000" w:rsidRDefault="003C49E9">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14:paraId="39FA927C"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CD26F38" w14:textId="77777777" w:rsidR="00000000" w:rsidRDefault="003C49E9">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14:paraId="10019ED3" w14:textId="77777777" w:rsidR="00000000" w:rsidRDefault="003C49E9">
            <w:pPr>
              <w:pStyle w:val="a3"/>
              <w:spacing w:before="0" w:beforeAutospacing="0" w:after="0" w:afterAutospacing="0"/>
              <w:jc w:val="right"/>
              <w:rPr>
                <w:sz w:val="20"/>
                <w:szCs w:val="20"/>
              </w:rPr>
            </w:pPr>
            <w:r>
              <w:rPr>
                <w:sz w:val="20"/>
                <w:szCs w:val="20"/>
              </w:rPr>
              <w:t>5</w:t>
            </w:r>
            <w:r>
              <w:rPr>
                <w:sz w:val="20"/>
                <w:szCs w:val="20"/>
              </w:rPr>
              <w:t>9</w:t>
            </w:r>
          </w:p>
        </w:tc>
      </w:tr>
      <w:tr w:rsidR="00000000" w14:paraId="641C01F2" w14:textId="77777777">
        <w:trPr>
          <w:trHeight w:val="200"/>
          <w:tblCellSpacing w:w="15" w:type="dxa"/>
        </w:trPr>
        <w:tc>
          <w:tcPr>
            <w:tcW w:w="0" w:type="auto"/>
            <w:tcMar>
              <w:top w:w="14" w:type="dxa"/>
              <w:left w:w="15" w:type="dxa"/>
              <w:bottom w:w="15" w:type="dxa"/>
              <w:right w:w="14" w:type="dxa"/>
            </w:tcMar>
            <w:hideMark/>
          </w:tcPr>
          <w:p w14:paraId="325F85E1" w14:textId="77777777" w:rsidR="00000000" w:rsidRDefault="003C49E9">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14:paraId="159FCE6D"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EBEDC3A" w14:textId="77777777" w:rsidR="00000000" w:rsidRDefault="003C49E9">
            <w:pPr>
              <w:pStyle w:val="a3"/>
              <w:spacing w:before="0" w:beforeAutospacing="0" w:after="0" w:afterAutospacing="0"/>
              <w:rPr>
                <w:sz w:val="20"/>
                <w:szCs w:val="20"/>
              </w:rPr>
            </w:pPr>
            <w:hyperlink w:anchor="item_3_defaults_on_senior_securities" w:history="1">
              <w:r>
                <w:rPr>
                  <w:rStyle w:val="a4"/>
                  <w:sz w:val="20"/>
                  <w:szCs w:val="20"/>
                </w:rPr>
                <w:t>Default Upon Senior Securitie</w:t>
              </w:r>
              <w:r>
                <w:rPr>
                  <w:rStyle w:val="a4"/>
                  <w:sz w:val="20"/>
                  <w:szCs w:val="20"/>
                </w:rPr>
                <w:t>s</w:t>
              </w:r>
            </w:hyperlink>
          </w:p>
        </w:tc>
        <w:tc>
          <w:tcPr>
            <w:tcW w:w="0" w:type="auto"/>
            <w:tcMar>
              <w:top w:w="14" w:type="dxa"/>
              <w:left w:w="15" w:type="dxa"/>
              <w:bottom w:w="15" w:type="dxa"/>
              <w:right w:w="14" w:type="dxa"/>
            </w:tcMar>
            <w:vAlign w:val="bottom"/>
            <w:hideMark/>
          </w:tcPr>
          <w:p w14:paraId="6B13727C" w14:textId="77777777" w:rsidR="00000000" w:rsidRDefault="003C49E9">
            <w:pPr>
              <w:pStyle w:val="a3"/>
              <w:spacing w:before="0" w:beforeAutospacing="0" w:after="0" w:afterAutospacing="0"/>
              <w:jc w:val="right"/>
              <w:rPr>
                <w:sz w:val="20"/>
                <w:szCs w:val="20"/>
              </w:rPr>
            </w:pPr>
            <w:r>
              <w:rPr>
                <w:sz w:val="20"/>
                <w:szCs w:val="20"/>
              </w:rPr>
              <w:t>5</w:t>
            </w:r>
            <w:r>
              <w:rPr>
                <w:sz w:val="20"/>
                <w:szCs w:val="20"/>
              </w:rPr>
              <w:t>9</w:t>
            </w:r>
          </w:p>
        </w:tc>
      </w:tr>
      <w:tr w:rsidR="00000000" w14:paraId="0D3C8342" w14:textId="77777777">
        <w:trPr>
          <w:trHeight w:val="173"/>
          <w:tblCellSpacing w:w="15" w:type="dxa"/>
        </w:trPr>
        <w:tc>
          <w:tcPr>
            <w:tcW w:w="0" w:type="auto"/>
            <w:tcMar>
              <w:top w:w="14" w:type="dxa"/>
              <w:left w:w="15" w:type="dxa"/>
              <w:bottom w:w="15" w:type="dxa"/>
              <w:right w:w="14" w:type="dxa"/>
            </w:tcMar>
            <w:hideMark/>
          </w:tcPr>
          <w:p w14:paraId="21838758" w14:textId="77777777" w:rsidR="00000000" w:rsidRDefault="003C49E9">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14:paraId="4DEBFA0F"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0E4E90A" w14:textId="77777777" w:rsidR="00000000" w:rsidRDefault="003C49E9">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14:paraId="18CD0B70" w14:textId="77777777" w:rsidR="00000000" w:rsidRDefault="003C49E9">
            <w:pPr>
              <w:pStyle w:val="a3"/>
              <w:spacing w:before="0" w:beforeAutospacing="0" w:after="0" w:afterAutospacing="0"/>
              <w:jc w:val="right"/>
              <w:rPr>
                <w:sz w:val="20"/>
                <w:szCs w:val="20"/>
              </w:rPr>
            </w:pPr>
            <w:r>
              <w:rPr>
                <w:sz w:val="20"/>
                <w:szCs w:val="20"/>
              </w:rPr>
              <w:t>5</w:t>
            </w:r>
            <w:r>
              <w:rPr>
                <w:sz w:val="20"/>
                <w:szCs w:val="20"/>
              </w:rPr>
              <w:t>9</w:t>
            </w:r>
          </w:p>
        </w:tc>
      </w:tr>
      <w:tr w:rsidR="00000000" w14:paraId="747D0CC8" w14:textId="77777777">
        <w:trPr>
          <w:trHeight w:val="200"/>
          <w:tblCellSpacing w:w="15" w:type="dxa"/>
        </w:trPr>
        <w:tc>
          <w:tcPr>
            <w:tcW w:w="0" w:type="auto"/>
            <w:tcMar>
              <w:top w:w="14" w:type="dxa"/>
              <w:left w:w="15" w:type="dxa"/>
              <w:bottom w:w="15" w:type="dxa"/>
              <w:right w:w="14" w:type="dxa"/>
            </w:tcMar>
            <w:hideMark/>
          </w:tcPr>
          <w:p w14:paraId="65843DF6" w14:textId="77777777" w:rsidR="00000000" w:rsidRDefault="003C49E9">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14:paraId="1D49EF0B"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8644952" w14:textId="77777777" w:rsidR="00000000" w:rsidRDefault="003C49E9">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14:paraId="7A5D9DD6" w14:textId="77777777" w:rsidR="00000000" w:rsidRDefault="003C49E9">
            <w:pPr>
              <w:pStyle w:val="a3"/>
              <w:spacing w:before="0" w:beforeAutospacing="0" w:after="0" w:afterAutospacing="0"/>
              <w:jc w:val="right"/>
              <w:rPr>
                <w:sz w:val="20"/>
                <w:szCs w:val="20"/>
              </w:rPr>
            </w:pPr>
            <w:r>
              <w:rPr>
                <w:sz w:val="20"/>
                <w:szCs w:val="20"/>
              </w:rPr>
              <w:t>5</w:t>
            </w:r>
            <w:r>
              <w:rPr>
                <w:sz w:val="20"/>
                <w:szCs w:val="20"/>
              </w:rPr>
              <w:t>9</w:t>
            </w:r>
          </w:p>
        </w:tc>
      </w:tr>
      <w:tr w:rsidR="00000000" w14:paraId="62C8A28E" w14:textId="77777777">
        <w:trPr>
          <w:trHeight w:val="200"/>
          <w:tblCellSpacing w:w="15" w:type="dxa"/>
        </w:trPr>
        <w:tc>
          <w:tcPr>
            <w:tcW w:w="0" w:type="auto"/>
            <w:tcMar>
              <w:top w:w="14" w:type="dxa"/>
              <w:left w:w="15" w:type="dxa"/>
              <w:bottom w:w="15" w:type="dxa"/>
              <w:right w:w="14" w:type="dxa"/>
            </w:tcMar>
            <w:hideMark/>
          </w:tcPr>
          <w:p w14:paraId="7C60402D" w14:textId="77777777" w:rsidR="00000000" w:rsidRDefault="003C49E9">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14:paraId="138AF15E"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45A4FBB" w14:textId="77777777" w:rsidR="00000000" w:rsidRDefault="003C49E9">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14:paraId="27B195B2" w14:textId="77777777" w:rsidR="00000000" w:rsidRDefault="003C49E9">
            <w:pPr>
              <w:pStyle w:val="a3"/>
              <w:spacing w:before="0" w:beforeAutospacing="0" w:after="0" w:afterAutospacing="0"/>
              <w:jc w:val="right"/>
              <w:rPr>
                <w:sz w:val="20"/>
                <w:szCs w:val="20"/>
              </w:rPr>
            </w:pPr>
            <w:r>
              <w:rPr>
                <w:sz w:val="20"/>
                <w:szCs w:val="20"/>
              </w:rPr>
              <w:t>6</w:t>
            </w:r>
            <w:r>
              <w:rPr>
                <w:sz w:val="20"/>
                <w:szCs w:val="20"/>
              </w:rPr>
              <w:t>0</w:t>
            </w:r>
          </w:p>
        </w:tc>
      </w:tr>
      <w:tr w:rsidR="00000000" w14:paraId="1C72839C" w14:textId="77777777">
        <w:trPr>
          <w:trHeight w:val="200"/>
          <w:tblCellSpacing w:w="15" w:type="dxa"/>
        </w:trPr>
        <w:tc>
          <w:tcPr>
            <w:tcW w:w="0" w:type="auto"/>
            <w:tcMar>
              <w:top w:w="14" w:type="dxa"/>
              <w:left w:w="15" w:type="dxa"/>
              <w:bottom w:w="15" w:type="dxa"/>
              <w:right w:w="14" w:type="dxa"/>
            </w:tcMar>
            <w:hideMark/>
          </w:tcPr>
          <w:p w14:paraId="46111A12" w14:textId="77777777" w:rsidR="00000000" w:rsidRDefault="003C49E9">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hideMark/>
          </w:tcPr>
          <w:p w14:paraId="19220161"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89B9BBD"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4B26FAA" w14:textId="77777777" w:rsidR="00000000" w:rsidRDefault="003C49E9">
            <w:pPr>
              <w:pStyle w:val="a3"/>
              <w:spacing w:before="0" w:beforeAutospacing="0" w:after="0" w:afterAutospacing="0"/>
              <w:jc w:val="right"/>
              <w:rPr>
                <w:sz w:val="20"/>
                <w:szCs w:val="20"/>
              </w:rPr>
            </w:pPr>
            <w:r>
              <w:rPr>
                <w:sz w:val="20"/>
                <w:szCs w:val="20"/>
              </w:rPr>
              <w:t>6</w:t>
            </w:r>
            <w:r>
              <w:rPr>
                <w:sz w:val="20"/>
                <w:szCs w:val="20"/>
              </w:rPr>
              <w:t>1</w:t>
            </w:r>
          </w:p>
        </w:tc>
      </w:tr>
      <w:tr w:rsidR="00000000" w14:paraId="44DA3311" w14:textId="77777777">
        <w:trPr>
          <w:trHeight w:val="200"/>
          <w:tblCellSpacing w:w="15" w:type="dxa"/>
        </w:trPr>
        <w:tc>
          <w:tcPr>
            <w:tcW w:w="0" w:type="auto"/>
            <w:tcMar>
              <w:top w:w="14" w:type="dxa"/>
              <w:left w:w="15" w:type="dxa"/>
              <w:bottom w:w="15" w:type="dxa"/>
              <w:right w:w="14" w:type="dxa"/>
            </w:tcMar>
            <w:hideMark/>
          </w:tcPr>
          <w:p w14:paraId="702FA9A5" w14:textId="77777777" w:rsidR="00000000" w:rsidRDefault="003C49E9">
            <w:pPr>
              <w:pStyle w:val="a3"/>
              <w:spacing w:before="0" w:beforeAutospacing="0" w:after="0" w:afterAutospacing="0"/>
              <w:rPr>
                <w:sz w:val="20"/>
                <w:szCs w:val="20"/>
              </w:rPr>
            </w:pPr>
            <w:r>
              <w:rPr>
                <w:sz w:val="20"/>
                <w:szCs w:val="20"/>
              </w:rPr>
              <w:t>EX-31.</w:t>
            </w:r>
            <w:r>
              <w:rPr>
                <w:sz w:val="20"/>
                <w:szCs w:val="20"/>
              </w:rPr>
              <w:t>1</w:t>
            </w:r>
          </w:p>
        </w:tc>
        <w:tc>
          <w:tcPr>
            <w:tcW w:w="0" w:type="auto"/>
            <w:tcMar>
              <w:top w:w="14" w:type="dxa"/>
              <w:left w:w="15" w:type="dxa"/>
              <w:bottom w:w="15" w:type="dxa"/>
              <w:right w:w="14" w:type="dxa"/>
            </w:tcMar>
            <w:hideMark/>
          </w:tcPr>
          <w:p w14:paraId="6F8C250F"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E76B60B" w14:textId="77777777" w:rsidR="00000000" w:rsidRDefault="003C49E9">
            <w:pPr>
              <w:pStyle w:val="a3"/>
              <w:spacing w:before="0" w:beforeAutospacing="0" w:after="0" w:afterAutospacing="0"/>
              <w:rPr>
                <w:sz w:val="20"/>
                <w:szCs w:val="20"/>
              </w:rPr>
            </w:pPr>
            <w:r>
              <w:rPr>
                <w:sz w:val="20"/>
                <w:szCs w:val="20"/>
              </w:rPr>
              <w:t>CERTIFICATION OF THE CEO PURSUANT TO SECTION 30</w:t>
            </w:r>
            <w:r>
              <w:rPr>
                <w:sz w:val="20"/>
                <w:szCs w:val="20"/>
              </w:rPr>
              <w:t>2</w:t>
            </w:r>
          </w:p>
        </w:tc>
        <w:tc>
          <w:tcPr>
            <w:tcW w:w="0" w:type="auto"/>
            <w:tcMar>
              <w:top w:w="14" w:type="dxa"/>
              <w:left w:w="15" w:type="dxa"/>
              <w:bottom w:w="15" w:type="dxa"/>
              <w:right w:w="14" w:type="dxa"/>
            </w:tcMar>
            <w:vAlign w:val="bottom"/>
            <w:hideMark/>
          </w:tcPr>
          <w:p w14:paraId="5B32BF1A"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00931CD" w14:textId="77777777">
        <w:trPr>
          <w:trHeight w:val="200"/>
          <w:tblCellSpacing w:w="15" w:type="dxa"/>
        </w:trPr>
        <w:tc>
          <w:tcPr>
            <w:tcW w:w="0" w:type="auto"/>
            <w:tcMar>
              <w:top w:w="14" w:type="dxa"/>
              <w:left w:w="15" w:type="dxa"/>
              <w:bottom w:w="15" w:type="dxa"/>
              <w:right w:w="14" w:type="dxa"/>
            </w:tcMar>
            <w:hideMark/>
          </w:tcPr>
          <w:p w14:paraId="01E5FF3A" w14:textId="77777777" w:rsidR="00000000" w:rsidRDefault="003C49E9">
            <w:pPr>
              <w:pStyle w:val="a3"/>
              <w:spacing w:before="0" w:beforeAutospacing="0" w:after="0" w:afterAutospacing="0"/>
              <w:rPr>
                <w:sz w:val="20"/>
                <w:szCs w:val="20"/>
              </w:rPr>
            </w:pPr>
            <w:r>
              <w:rPr>
                <w:sz w:val="20"/>
                <w:szCs w:val="20"/>
              </w:rPr>
              <w:t>EX-31.</w:t>
            </w:r>
            <w:r>
              <w:rPr>
                <w:sz w:val="20"/>
                <w:szCs w:val="20"/>
              </w:rPr>
              <w:t>2</w:t>
            </w:r>
          </w:p>
        </w:tc>
        <w:tc>
          <w:tcPr>
            <w:tcW w:w="0" w:type="auto"/>
            <w:tcMar>
              <w:top w:w="14" w:type="dxa"/>
              <w:left w:w="15" w:type="dxa"/>
              <w:bottom w:w="15" w:type="dxa"/>
              <w:right w:w="14" w:type="dxa"/>
            </w:tcMar>
            <w:hideMark/>
          </w:tcPr>
          <w:p w14:paraId="6F7D04B2"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A2A1C73" w14:textId="77777777" w:rsidR="00000000" w:rsidRDefault="003C49E9">
            <w:pPr>
              <w:pStyle w:val="a3"/>
              <w:spacing w:before="0" w:beforeAutospacing="0" w:after="0" w:afterAutospacing="0"/>
              <w:rPr>
                <w:sz w:val="20"/>
                <w:szCs w:val="20"/>
              </w:rPr>
            </w:pPr>
            <w:r>
              <w:rPr>
                <w:sz w:val="20"/>
                <w:szCs w:val="20"/>
              </w:rPr>
              <w:t>CERTIFICATION OF THE CFO PURSUANT TO SECTION 30</w:t>
            </w:r>
            <w:r>
              <w:rPr>
                <w:sz w:val="20"/>
                <w:szCs w:val="20"/>
              </w:rPr>
              <w:t>2</w:t>
            </w:r>
          </w:p>
        </w:tc>
        <w:tc>
          <w:tcPr>
            <w:tcW w:w="0" w:type="auto"/>
            <w:tcMar>
              <w:top w:w="14" w:type="dxa"/>
              <w:left w:w="15" w:type="dxa"/>
              <w:bottom w:w="15" w:type="dxa"/>
              <w:right w:w="14" w:type="dxa"/>
            </w:tcMar>
            <w:vAlign w:val="bottom"/>
            <w:hideMark/>
          </w:tcPr>
          <w:p w14:paraId="2C923508" w14:textId="77777777" w:rsidR="00000000" w:rsidRDefault="003C49E9">
            <w:pPr>
              <w:pStyle w:val="a3"/>
              <w:spacing w:before="0" w:beforeAutospacing="0" w:after="0" w:afterAutospacing="0"/>
              <w:jc w:val="right"/>
              <w:rPr>
                <w:sz w:val="20"/>
                <w:szCs w:val="20"/>
              </w:rPr>
            </w:pPr>
            <w:r>
              <w:rPr>
                <w:sz w:val="20"/>
                <w:szCs w:val="20"/>
              </w:rPr>
              <w:t> </w:t>
            </w:r>
          </w:p>
        </w:tc>
      </w:tr>
      <w:tr w:rsidR="00000000" w14:paraId="577FD29B" w14:textId="77777777">
        <w:trPr>
          <w:trHeight w:val="200"/>
          <w:tblCellSpacing w:w="15" w:type="dxa"/>
        </w:trPr>
        <w:tc>
          <w:tcPr>
            <w:tcW w:w="0" w:type="auto"/>
            <w:tcMar>
              <w:top w:w="14" w:type="dxa"/>
              <w:left w:w="15" w:type="dxa"/>
              <w:bottom w:w="15" w:type="dxa"/>
              <w:right w:w="14" w:type="dxa"/>
            </w:tcMar>
            <w:hideMark/>
          </w:tcPr>
          <w:p w14:paraId="7BC83A4B" w14:textId="77777777" w:rsidR="00000000" w:rsidRDefault="003C49E9">
            <w:pPr>
              <w:pStyle w:val="a3"/>
              <w:spacing w:before="0" w:beforeAutospacing="0" w:after="0" w:afterAutospacing="0"/>
              <w:rPr>
                <w:sz w:val="20"/>
                <w:szCs w:val="20"/>
              </w:rPr>
            </w:pPr>
            <w:r>
              <w:rPr>
                <w:sz w:val="20"/>
                <w:szCs w:val="20"/>
              </w:rPr>
              <w:t>EX-32.</w:t>
            </w:r>
            <w:r>
              <w:rPr>
                <w:sz w:val="20"/>
                <w:szCs w:val="20"/>
              </w:rPr>
              <w:t>1</w:t>
            </w:r>
          </w:p>
        </w:tc>
        <w:tc>
          <w:tcPr>
            <w:tcW w:w="0" w:type="auto"/>
            <w:tcMar>
              <w:top w:w="14" w:type="dxa"/>
              <w:left w:w="15" w:type="dxa"/>
              <w:bottom w:w="15" w:type="dxa"/>
              <w:right w:w="14" w:type="dxa"/>
            </w:tcMar>
            <w:hideMark/>
          </w:tcPr>
          <w:p w14:paraId="4B71519F" w14:textId="77777777" w:rsidR="00000000" w:rsidRDefault="003C49E9">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5552A7C" w14:textId="77777777" w:rsidR="00000000" w:rsidRDefault="003C49E9">
            <w:pPr>
              <w:pStyle w:val="a3"/>
              <w:spacing w:before="0" w:beforeAutospacing="0" w:after="0" w:afterAutospacing="0"/>
              <w:rPr>
                <w:sz w:val="20"/>
                <w:szCs w:val="20"/>
              </w:rPr>
            </w:pPr>
            <w:r>
              <w:rPr>
                <w:sz w:val="20"/>
                <w:szCs w:val="20"/>
              </w:rPr>
              <w:t>CERTIFICATION OF THE CEO AND CFO PURSUANT TO SECTION 90</w:t>
            </w:r>
            <w:r>
              <w:rPr>
                <w:sz w:val="20"/>
                <w:szCs w:val="20"/>
              </w:rPr>
              <w:t>6</w:t>
            </w:r>
          </w:p>
        </w:tc>
        <w:tc>
          <w:tcPr>
            <w:tcW w:w="0" w:type="auto"/>
            <w:tcMar>
              <w:top w:w="14" w:type="dxa"/>
              <w:left w:w="15" w:type="dxa"/>
              <w:bottom w:w="15" w:type="dxa"/>
              <w:right w:w="14" w:type="dxa"/>
            </w:tcMar>
            <w:vAlign w:val="bottom"/>
            <w:hideMark/>
          </w:tcPr>
          <w:p w14:paraId="3F4BBC33" w14:textId="77777777" w:rsidR="00000000" w:rsidRDefault="003C49E9">
            <w:pPr>
              <w:pStyle w:val="a3"/>
              <w:spacing w:before="0" w:beforeAutospacing="0" w:after="0" w:afterAutospacing="0"/>
              <w:jc w:val="right"/>
              <w:rPr>
                <w:sz w:val="20"/>
                <w:szCs w:val="20"/>
              </w:rPr>
            </w:pPr>
            <w:r>
              <w:rPr>
                <w:sz w:val="20"/>
                <w:szCs w:val="20"/>
              </w:rPr>
              <w:t> </w:t>
            </w:r>
          </w:p>
        </w:tc>
      </w:tr>
    </w:tbl>
    <w:p w14:paraId="5DBF7B98" w14:textId="77777777" w:rsidR="00000000" w:rsidRDefault="003C49E9">
      <w:pPr>
        <w:pStyle w:val="a3"/>
        <w:spacing w:before="0" w:beforeAutospacing="0" w:after="0" w:afterAutospacing="0"/>
        <w:rPr>
          <w:sz w:val="20"/>
          <w:szCs w:val="20"/>
        </w:rPr>
      </w:pPr>
      <w:r>
        <w:rPr>
          <w:sz w:val="20"/>
          <w:szCs w:val="20"/>
        </w:rPr>
        <w:t> </w:t>
      </w:r>
    </w:p>
    <w:p w14:paraId="15F556A8" w14:textId="77777777" w:rsidR="00000000" w:rsidRDefault="003C49E9">
      <w:pPr>
        <w:pStyle w:val="a3"/>
        <w:spacing w:before="0" w:beforeAutospacing="0" w:after="0" w:afterAutospacing="0"/>
        <w:rPr>
          <w:sz w:val="20"/>
          <w:szCs w:val="20"/>
        </w:rPr>
      </w:pPr>
      <w:r>
        <w:rPr>
          <w:sz w:val="20"/>
          <w:szCs w:val="20"/>
        </w:rPr>
        <w:t> </w:t>
      </w:r>
    </w:p>
    <w:p w14:paraId="000A15BF" w14:textId="77777777" w:rsidR="00000000" w:rsidRDefault="003C49E9">
      <w:pPr>
        <w:pStyle w:val="a3"/>
        <w:spacing w:before="0" w:beforeAutospacing="0" w:after="0" w:afterAutospacing="0"/>
        <w:rPr>
          <w:sz w:val="20"/>
          <w:szCs w:val="20"/>
        </w:rPr>
      </w:pPr>
      <w:r>
        <w:rPr>
          <w:sz w:val="20"/>
          <w:szCs w:val="20"/>
        </w:rPr>
        <w:t> </w:t>
      </w:r>
    </w:p>
    <w:p w14:paraId="1DF0E208" w14:textId="77777777" w:rsidR="00000000" w:rsidRDefault="003C49E9">
      <w:pPr>
        <w:pStyle w:val="a3"/>
        <w:spacing w:before="240" w:beforeAutospacing="0" w:after="0" w:afterAutospacing="0"/>
        <w:jc w:val="center"/>
        <w:rPr>
          <w:sz w:val="20"/>
          <w:szCs w:val="20"/>
        </w:rPr>
      </w:pPr>
      <w:r>
        <w:rPr>
          <w:sz w:val="20"/>
          <w:szCs w:val="20"/>
        </w:rPr>
        <w:t> </w:t>
      </w:r>
    </w:p>
    <w:p w14:paraId="3D1C15BD" w14:textId="77777777" w:rsidR="00000000" w:rsidRDefault="003C49E9">
      <w:pPr>
        <w:rPr>
          <w:rFonts w:eastAsia="Times New Roman"/>
        </w:rPr>
      </w:pPr>
      <w:r>
        <w:rPr>
          <w:rFonts w:eastAsia="Times New Roman"/>
        </w:rPr>
        <w:pict w14:anchorId="442D5FB2">
          <v:rect id="_x0000_i1026" style="width:0;height:1.5pt" o:hralign="center" o:hrstd="t" o:hr="t" fillcolor="#a0a0a0" stroked="f"/>
        </w:pict>
      </w:r>
    </w:p>
    <w:p w14:paraId="797ACA0D" w14:textId="77777777" w:rsidR="00000000" w:rsidRDefault="003C49E9">
      <w:pPr>
        <w:pStyle w:val="a3"/>
        <w:spacing w:before="0" w:beforeAutospacing="0" w:after="0" w:afterAutospacing="0"/>
        <w:rPr>
          <w:sz w:val="20"/>
          <w:szCs w:val="20"/>
        </w:rPr>
      </w:pPr>
      <w:r>
        <w:rPr>
          <w:sz w:val="20"/>
          <w:szCs w:val="20"/>
        </w:rPr>
        <w:lastRenderedPageBreak/>
        <w:t> </w:t>
      </w:r>
    </w:p>
    <w:p w14:paraId="76A63F1E" w14:textId="77777777" w:rsidR="00000000" w:rsidRDefault="003C49E9">
      <w:pPr>
        <w:pStyle w:val="a3"/>
        <w:spacing w:before="200" w:beforeAutospacing="0" w:after="0" w:afterAutospacing="0"/>
        <w:jc w:val="center"/>
        <w:rPr>
          <w:sz w:val="20"/>
          <w:szCs w:val="20"/>
        </w:rPr>
      </w:pPr>
      <w:r>
        <w:rPr>
          <w:b/>
          <w:bCs/>
          <w:sz w:val="20"/>
          <w:szCs w:val="20"/>
        </w:rPr>
        <w:t>SPECIAL NOTE REGARDING FORWARD-LOOKING STATEMENT</w:t>
      </w:r>
      <w:r>
        <w:rPr>
          <w:b/>
          <w:bCs/>
          <w:sz w:val="20"/>
          <w:szCs w:val="20"/>
        </w:rPr>
        <w:t>S</w:t>
      </w:r>
    </w:p>
    <w:p w14:paraId="62D05F67" w14:textId="77777777" w:rsidR="00000000" w:rsidRDefault="003C49E9">
      <w:pPr>
        <w:pStyle w:val="a3"/>
        <w:spacing w:before="120" w:beforeAutospacing="0" w:after="0" w:afterAutospacing="0"/>
        <w:ind w:firstLine="555"/>
        <w:rPr>
          <w:sz w:val="20"/>
          <w:szCs w:val="20"/>
        </w:rPr>
      </w:pPr>
      <w:r>
        <w:rPr>
          <w:sz w:val="20"/>
          <w:szCs w:val="20"/>
        </w:rPr>
        <w:t>This Quarterly Report on Form 10-Q contains forward-looking statements within the meaning of Section 27A of the Securities Act of 1933, as amended, and Section 21E of t</w:t>
      </w:r>
      <w:r>
        <w:rPr>
          <w:sz w:val="20"/>
          <w:szCs w:val="20"/>
        </w:rPr>
        <w:t>he Securities Exchange Act of 1934, as amended, and these statements involve substantial risks and uncertainties. All statements other than statements of historical fact contained in this Quarterly Report on Form 10-Q are forward-looking statements. Forwar</w:t>
      </w:r>
      <w:r>
        <w:rPr>
          <w:sz w:val="20"/>
          <w:szCs w:val="20"/>
        </w:rPr>
        <w:t>d-looking statements generally relate to future events or our future financial or operating performance. In some cases, you can identify forward-looking statements because they contain words such as “may,” “should,” “expects,” “plans,” “anticipates,” “coul</w:t>
      </w:r>
      <w:r>
        <w:rPr>
          <w:sz w:val="20"/>
          <w:szCs w:val="20"/>
        </w:rPr>
        <w:t>d,” “intends,” “target,” “projects,” “contemplates,” “believes,” “estimates,” “predicts,” “potential” or “continue” or the negative of these words or other similar terms or expressions that concern our expectations, strategy, plans or intentions. Forward-l</w:t>
      </w:r>
      <w:r>
        <w:rPr>
          <w:sz w:val="20"/>
          <w:szCs w:val="20"/>
        </w:rPr>
        <w:t>ooking statements contained in this Quarterly Report on Form 10-Q include, but are not limited to, statements about</w:t>
      </w:r>
      <w:r>
        <w:rPr>
          <w:sz w:val="20"/>
          <w:szCs w:val="20"/>
        </w:rPr>
        <w:t>:</w:t>
      </w:r>
      <w:r>
        <w:rPr>
          <w:sz w:val="20"/>
          <w:szCs w:val="20"/>
        </w:rPr>
        <w:t xml:space="preserve"> </w:t>
      </w:r>
    </w:p>
    <w:p w14:paraId="6EE8D5D8" w14:textId="77777777" w:rsidR="00000000" w:rsidRDefault="003C49E9">
      <w:pPr>
        <w:divId w:val="829255123"/>
        <w:rPr>
          <w:rFonts w:eastAsia="Times New Roman"/>
        </w:rPr>
      </w:pPr>
      <w:r>
        <w:rPr>
          <w:rFonts w:eastAsia="Times New Roman"/>
          <w:sz w:val="20"/>
          <w:szCs w:val="20"/>
        </w:rPr>
        <w:t>•</w:t>
      </w:r>
    </w:p>
    <w:p w14:paraId="7560C117" w14:textId="77777777" w:rsidR="00000000" w:rsidRDefault="003C49E9">
      <w:pPr>
        <w:divId w:val="1177891658"/>
        <w:rPr>
          <w:rFonts w:eastAsia="Times New Roman"/>
        </w:rPr>
      </w:pPr>
      <w:r>
        <w:rPr>
          <w:rFonts w:eastAsia="Times New Roman"/>
          <w:sz w:val="20"/>
          <w:szCs w:val="20"/>
        </w:rPr>
        <w:t>our future financial performance, including our expectations regarding our revenue, cost of revenue, gross margin and operating expenses</w:t>
      </w:r>
      <w:r>
        <w:rPr>
          <w:rFonts w:eastAsia="Times New Roman"/>
          <w:sz w:val="20"/>
          <w:szCs w:val="20"/>
        </w:rPr>
        <w:t>;</w:t>
      </w:r>
    </w:p>
    <w:p w14:paraId="1BDC98DA" w14:textId="77777777" w:rsidR="00000000" w:rsidRDefault="003C49E9">
      <w:pPr>
        <w:divId w:val="1407805266"/>
        <w:rPr>
          <w:rFonts w:eastAsia="Times New Roman"/>
        </w:rPr>
      </w:pPr>
      <w:r>
        <w:rPr>
          <w:rFonts w:eastAsia="Times New Roman"/>
          <w:sz w:val="20"/>
          <w:szCs w:val="20"/>
        </w:rPr>
        <w:t>•</w:t>
      </w:r>
    </w:p>
    <w:p w14:paraId="78E0A2A8" w14:textId="77777777" w:rsidR="00000000" w:rsidRDefault="003C49E9">
      <w:pPr>
        <w:divId w:val="1425102579"/>
        <w:rPr>
          <w:rFonts w:eastAsia="Times New Roman"/>
        </w:rPr>
      </w:pPr>
      <w:r>
        <w:rPr>
          <w:rFonts w:eastAsia="Times New Roman"/>
          <w:sz w:val="20"/>
          <w:szCs w:val="20"/>
        </w:rPr>
        <w:t>maintaining and expanding our customer base and increasing our average subscription revenue per customer</w:t>
      </w:r>
      <w:r>
        <w:rPr>
          <w:rFonts w:eastAsia="Times New Roman"/>
          <w:sz w:val="20"/>
          <w:szCs w:val="20"/>
        </w:rPr>
        <w:t>;</w:t>
      </w:r>
    </w:p>
    <w:p w14:paraId="5CCD0176" w14:textId="77777777" w:rsidR="00000000" w:rsidRDefault="003C49E9">
      <w:pPr>
        <w:divId w:val="391320238"/>
        <w:rPr>
          <w:rFonts w:eastAsia="Times New Roman"/>
        </w:rPr>
      </w:pPr>
      <w:r>
        <w:rPr>
          <w:rFonts w:eastAsia="Times New Roman"/>
          <w:sz w:val="20"/>
          <w:szCs w:val="20"/>
        </w:rPr>
        <w:t>•</w:t>
      </w:r>
    </w:p>
    <w:p w14:paraId="3FBE0494" w14:textId="77777777" w:rsidR="00000000" w:rsidRDefault="003C49E9">
      <w:pPr>
        <w:divId w:val="1500392698"/>
        <w:rPr>
          <w:rFonts w:eastAsia="Times New Roman"/>
        </w:rPr>
      </w:pPr>
      <w:r>
        <w:rPr>
          <w:rFonts w:eastAsia="Times New Roman"/>
          <w:sz w:val="20"/>
          <w:szCs w:val="20"/>
        </w:rPr>
        <w:t>the impa</w:t>
      </w:r>
      <w:r>
        <w:rPr>
          <w:rFonts w:eastAsia="Times New Roman"/>
          <w:sz w:val="20"/>
          <w:szCs w:val="20"/>
        </w:rPr>
        <w:t>ct of competition in our industry and innovation by our competitors</w:t>
      </w:r>
      <w:r>
        <w:rPr>
          <w:rFonts w:eastAsia="Times New Roman"/>
          <w:sz w:val="20"/>
          <w:szCs w:val="20"/>
        </w:rPr>
        <w:t>;</w:t>
      </w:r>
    </w:p>
    <w:p w14:paraId="77C26D24" w14:textId="77777777" w:rsidR="00000000" w:rsidRDefault="003C49E9">
      <w:pPr>
        <w:divId w:val="290282652"/>
        <w:rPr>
          <w:rFonts w:eastAsia="Times New Roman"/>
        </w:rPr>
      </w:pPr>
      <w:r>
        <w:rPr>
          <w:rFonts w:eastAsia="Times New Roman"/>
          <w:sz w:val="20"/>
          <w:szCs w:val="20"/>
        </w:rPr>
        <w:t>•</w:t>
      </w:r>
    </w:p>
    <w:p w14:paraId="78E1F3F0" w14:textId="77777777" w:rsidR="00000000" w:rsidRDefault="003C49E9">
      <w:pPr>
        <w:divId w:val="511602649"/>
        <w:rPr>
          <w:rFonts w:eastAsia="Times New Roman"/>
        </w:rPr>
      </w:pPr>
      <w:r>
        <w:rPr>
          <w:rFonts w:eastAsia="Times New Roman"/>
          <w:sz w:val="20"/>
          <w:szCs w:val="20"/>
        </w:rPr>
        <w:t>our anticipated growth and expectations regarding our ability to manage our future growth</w:t>
      </w:r>
      <w:r>
        <w:rPr>
          <w:rFonts w:eastAsia="Times New Roman"/>
          <w:sz w:val="20"/>
          <w:szCs w:val="20"/>
        </w:rPr>
        <w:t>;</w:t>
      </w:r>
    </w:p>
    <w:p w14:paraId="0F5833C1" w14:textId="77777777" w:rsidR="00000000" w:rsidRDefault="003C49E9">
      <w:pPr>
        <w:divId w:val="1189684896"/>
        <w:rPr>
          <w:rFonts w:eastAsia="Times New Roman"/>
        </w:rPr>
      </w:pPr>
      <w:r>
        <w:rPr>
          <w:rFonts w:eastAsia="Times New Roman"/>
          <w:sz w:val="20"/>
          <w:szCs w:val="20"/>
        </w:rPr>
        <w:t>•</w:t>
      </w:r>
    </w:p>
    <w:p w14:paraId="45C62670" w14:textId="77777777" w:rsidR="00000000" w:rsidRDefault="003C49E9">
      <w:pPr>
        <w:divId w:val="1699353560"/>
        <w:rPr>
          <w:rFonts w:eastAsia="Times New Roman"/>
        </w:rPr>
      </w:pPr>
      <w:r>
        <w:rPr>
          <w:rFonts w:eastAsia="Times New Roman"/>
          <w:sz w:val="20"/>
          <w:szCs w:val="20"/>
        </w:rPr>
        <w:t>our expectations regarding the potential impact of the COVID-19 pandemic on our business, op</w:t>
      </w:r>
      <w:r>
        <w:rPr>
          <w:rFonts w:eastAsia="Times New Roman"/>
          <w:sz w:val="20"/>
          <w:szCs w:val="20"/>
        </w:rPr>
        <w:t>erations, and the markets in which we and our partners and customers operate</w:t>
      </w:r>
      <w:r>
        <w:rPr>
          <w:rFonts w:eastAsia="Times New Roman"/>
          <w:sz w:val="20"/>
          <w:szCs w:val="20"/>
        </w:rPr>
        <w:t>;</w:t>
      </w:r>
    </w:p>
    <w:p w14:paraId="5DBD80C9" w14:textId="77777777" w:rsidR="00000000" w:rsidRDefault="003C49E9">
      <w:pPr>
        <w:divId w:val="613829913"/>
        <w:rPr>
          <w:rFonts w:eastAsia="Times New Roman"/>
        </w:rPr>
      </w:pPr>
      <w:r>
        <w:rPr>
          <w:rFonts w:eastAsia="Times New Roman"/>
          <w:sz w:val="20"/>
          <w:szCs w:val="20"/>
        </w:rPr>
        <w:t>•</w:t>
      </w:r>
    </w:p>
    <w:p w14:paraId="4A0280A7" w14:textId="77777777" w:rsidR="00000000" w:rsidRDefault="003C49E9">
      <w:pPr>
        <w:divId w:val="1227448821"/>
        <w:rPr>
          <w:rFonts w:eastAsia="Times New Roman"/>
        </w:rPr>
      </w:pPr>
      <w:r>
        <w:rPr>
          <w:rFonts w:eastAsia="Times New Roman"/>
          <w:sz w:val="20"/>
          <w:szCs w:val="20"/>
        </w:rPr>
        <w:t>our anticipated areas of investments, including sales and marketing, research and development, customer service and support, data center infrastructure and service capabilities</w:t>
      </w:r>
      <w:r>
        <w:rPr>
          <w:rFonts w:eastAsia="Times New Roman"/>
          <w:sz w:val="20"/>
          <w:szCs w:val="20"/>
        </w:rPr>
        <w:t>, and expectations relating to such investments</w:t>
      </w:r>
      <w:r>
        <w:rPr>
          <w:rFonts w:eastAsia="Times New Roman"/>
          <w:sz w:val="20"/>
          <w:szCs w:val="20"/>
        </w:rPr>
        <w:t>;</w:t>
      </w:r>
    </w:p>
    <w:p w14:paraId="5D0E5424" w14:textId="77777777" w:rsidR="00000000" w:rsidRDefault="003C49E9">
      <w:pPr>
        <w:divId w:val="325322173"/>
        <w:rPr>
          <w:rFonts w:eastAsia="Times New Roman"/>
        </w:rPr>
      </w:pPr>
      <w:r>
        <w:rPr>
          <w:rFonts w:eastAsia="Times New Roman"/>
          <w:sz w:val="20"/>
          <w:szCs w:val="20"/>
        </w:rPr>
        <w:t>•</w:t>
      </w:r>
    </w:p>
    <w:p w14:paraId="09BEE23E" w14:textId="77777777" w:rsidR="00000000" w:rsidRDefault="003C49E9">
      <w:pPr>
        <w:divId w:val="1524708590"/>
        <w:rPr>
          <w:rFonts w:eastAsia="Times New Roman"/>
        </w:rPr>
      </w:pPr>
      <w:r>
        <w:rPr>
          <w:rFonts w:eastAsia="Times New Roman"/>
          <w:sz w:val="20"/>
          <w:szCs w:val="20"/>
        </w:rPr>
        <w:t>our predictions about industry and market trends</w:t>
      </w:r>
      <w:r>
        <w:rPr>
          <w:rFonts w:eastAsia="Times New Roman"/>
          <w:sz w:val="20"/>
          <w:szCs w:val="20"/>
        </w:rPr>
        <w:t>;</w:t>
      </w:r>
    </w:p>
    <w:p w14:paraId="7AFA0CFB" w14:textId="77777777" w:rsidR="00000000" w:rsidRDefault="003C49E9">
      <w:pPr>
        <w:divId w:val="1286692748"/>
        <w:rPr>
          <w:rFonts w:eastAsia="Times New Roman"/>
        </w:rPr>
      </w:pPr>
      <w:r>
        <w:rPr>
          <w:rFonts w:eastAsia="Times New Roman"/>
          <w:sz w:val="20"/>
          <w:szCs w:val="20"/>
        </w:rPr>
        <w:t>•</w:t>
      </w:r>
    </w:p>
    <w:p w14:paraId="65D0FCAE" w14:textId="77777777" w:rsidR="00000000" w:rsidRDefault="003C49E9">
      <w:pPr>
        <w:divId w:val="1031615714"/>
        <w:rPr>
          <w:rFonts w:eastAsia="Times New Roman"/>
        </w:rPr>
      </w:pPr>
      <w:r>
        <w:rPr>
          <w:rFonts w:eastAsia="Times New Roman"/>
          <w:sz w:val="20"/>
          <w:szCs w:val="20"/>
        </w:rPr>
        <w:t>our ability to anticipate and address the evolution of technology and the technological needs of our customers, to roll-out upgrades to our existing soft</w:t>
      </w:r>
      <w:r>
        <w:rPr>
          <w:rFonts w:eastAsia="Times New Roman"/>
          <w:sz w:val="20"/>
          <w:szCs w:val="20"/>
        </w:rPr>
        <w:t>ware platform and to develop new and enhanced applications to meet the needs of our customers</w:t>
      </w:r>
      <w:r>
        <w:rPr>
          <w:rFonts w:eastAsia="Times New Roman"/>
          <w:sz w:val="20"/>
          <w:szCs w:val="20"/>
        </w:rPr>
        <w:t>;</w:t>
      </w:r>
    </w:p>
    <w:p w14:paraId="1D7A9706" w14:textId="77777777" w:rsidR="00000000" w:rsidRDefault="003C49E9">
      <w:pPr>
        <w:divId w:val="1663001974"/>
        <w:rPr>
          <w:rFonts w:eastAsia="Times New Roman"/>
        </w:rPr>
      </w:pPr>
      <w:r>
        <w:rPr>
          <w:rFonts w:eastAsia="Times New Roman"/>
          <w:sz w:val="20"/>
          <w:szCs w:val="20"/>
        </w:rPr>
        <w:t>•</w:t>
      </w:r>
    </w:p>
    <w:p w14:paraId="030085AB" w14:textId="77777777" w:rsidR="00000000" w:rsidRDefault="003C49E9">
      <w:pPr>
        <w:divId w:val="606888843"/>
        <w:rPr>
          <w:rFonts w:eastAsia="Times New Roman"/>
        </w:rPr>
      </w:pPr>
      <w:r>
        <w:rPr>
          <w:rFonts w:eastAsia="Times New Roman"/>
          <w:sz w:val="20"/>
          <w:szCs w:val="20"/>
        </w:rPr>
        <w:t>our ability to maintain our brand and inbound marketing, selling and servicing thought leadership position</w:t>
      </w:r>
      <w:r>
        <w:rPr>
          <w:rFonts w:eastAsia="Times New Roman"/>
          <w:sz w:val="20"/>
          <w:szCs w:val="20"/>
        </w:rPr>
        <w:t>;</w:t>
      </w:r>
    </w:p>
    <w:p w14:paraId="4614A559" w14:textId="77777777" w:rsidR="00000000" w:rsidRDefault="003C49E9">
      <w:pPr>
        <w:divId w:val="352079010"/>
        <w:rPr>
          <w:rFonts w:eastAsia="Times New Roman"/>
        </w:rPr>
      </w:pPr>
      <w:r>
        <w:rPr>
          <w:rFonts w:eastAsia="Times New Roman"/>
          <w:sz w:val="20"/>
          <w:szCs w:val="20"/>
        </w:rPr>
        <w:t>•</w:t>
      </w:r>
    </w:p>
    <w:p w14:paraId="211811F7" w14:textId="77777777" w:rsidR="00000000" w:rsidRDefault="003C49E9">
      <w:pPr>
        <w:divId w:val="306974338"/>
        <w:rPr>
          <w:rFonts w:eastAsia="Times New Roman"/>
        </w:rPr>
      </w:pPr>
      <w:r>
        <w:rPr>
          <w:rFonts w:eastAsia="Times New Roman"/>
          <w:sz w:val="20"/>
          <w:szCs w:val="20"/>
        </w:rPr>
        <w:t>the impact of our corporate culture and our abili</w:t>
      </w:r>
      <w:r>
        <w:rPr>
          <w:rFonts w:eastAsia="Times New Roman"/>
          <w:sz w:val="20"/>
          <w:szCs w:val="20"/>
        </w:rPr>
        <w:t>ty to attract, hire and retain necessary qualified employees to expand our operations</w:t>
      </w:r>
      <w:r>
        <w:rPr>
          <w:rFonts w:eastAsia="Times New Roman"/>
          <w:sz w:val="20"/>
          <w:szCs w:val="20"/>
        </w:rPr>
        <w:t>;</w:t>
      </w:r>
    </w:p>
    <w:p w14:paraId="3375F7EA" w14:textId="77777777" w:rsidR="00000000" w:rsidRDefault="003C49E9">
      <w:pPr>
        <w:divId w:val="1509831592"/>
        <w:rPr>
          <w:rFonts w:eastAsia="Times New Roman"/>
        </w:rPr>
      </w:pPr>
      <w:r>
        <w:rPr>
          <w:rFonts w:eastAsia="Times New Roman"/>
          <w:sz w:val="20"/>
          <w:szCs w:val="20"/>
        </w:rPr>
        <w:t>•</w:t>
      </w:r>
    </w:p>
    <w:p w14:paraId="4FB494EA" w14:textId="77777777" w:rsidR="00000000" w:rsidRDefault="003C49E9">
      <w:pPr>
        <w:divId w:val="1923491311"/>
        <w:rPr>
          <w:rFonts w:eastAsia="Times New Roman"/>
        </w:rPr>
      </w:pPr>
      <w:r>
        <w:rPr>
          <w:rFonts w:eastAsia="Times New Roman"/>
          <w:sz w:val="20"/>
          <w:szCs w:val="20"/>
        </w:rPr>
        <w:t>the anticipated effect on our business of litigation to which we are or may become a party</w:t>
      </w:r>
      <w:r>
        <w:rPr>
          <w:rFonts w:eastAsia="Times New Roman"/>
          <w:sz w:val="20"/>
          <w:szCs w:val="20"/>
        </w:rPr>
        <w:t>;</w:t>
      </w:r>
    </w:p>
    <w:p w14:paraId="5DC1A4BB" w14:textId="77777777" w:rsidR="00000000" w:rsidRDefault="003C49E9">
      <w:pPr>
        <w:divId w:val="492917387"/>
        <w:rPr>
          <w:rFonts w:eastAsia="Times New Roman"/>
        </w:rPr>
      </w:pPr>
      <w:r>
        <w:rPr>
          <w:rFonts w:eastAsia="Times New Roman"/>
          <w:sz w:val="20"/>
          <w:szCs w:val="20"/>
        </w:rPr>
        <w:t>•</w:t>
      </w:r>
    </w:p>
    <w:p w14:paraId="68D97DF6" w14:textId="77777777" w:rsidR="00000000" w:rsidRDefault="003C49E9">
      <w:pPr>
        <w:divId w:val="1544176659"/>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14:paraId="7AC23303" w14:textId="77777777" w:rsidR="00000000" w:rsidRDefault="003C49E9">
      <w:pPr>
        <w:divId w:val="1399326761"/>
        <w:rPr>
          <w:rFonts w:eastAsia="Times New Roman"/>
        </w:rPr>
      </w:pPr>
      <w:r>
        <w:rPr>
          <w:rFonts w:eastAsia="Times New Roman"/>
          <w:sz w:val="20"/>
          <w:szCs w:val="20"/>
        </w:rPr>
        <w:t>•</w:t>
      </w:r>
    </w:p>
    <w:p w14:paraId="072BE278" w14:textId="77777777" w:rsidR="00000000" w:rsidRDefault="003C49E9">
      <w:pPr>
        <w:divId w:val="937180617"/>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14:paraId="399BCA1F" w14:textId="77777777" w:rsidR="00000000" w:rsidRDefault="003C49E9">
      <w:pPr>
        <w:divId w:val="213541852"/>
        <w:rPr>
          <w:rFonts w:eastAsia="Times New Roman"/>
        </w:rPr>
      </w:pPr>
      <w:r>
        <w:rPr>
          <w:rFonts w:eastAsia="Times New Roman"/>
          <w:sz w:val="20"/>
          <w:szCs w:val="20"/>
        </w:rPr>
        <w:t>•</w:t>
      </w:r>
    </w:p>
    <w:p w14:paraId="28A5C767" w14:textId="77777777" w:rsidR="00000000" w:rsidRDefault="003C49E9">
      <w:pPr>
        <w:divId w:val="624966177"/>
        <w:rPr>
          <w:rFonts w:eastAsia="Times New Roman"/>
        </w:rPr>
      </w:pPr>
      <w:r>
        <w:rPr>
          <w:rFonts w:eastAsia="Times New Roman"/>
          <w:sz w:val="20"/>
          <w:szCs w:val="20"/>
        </w:rPr>
        <w:lastRenderedPageBreak/>
        <w:t>our ability to stay abreast of new or modified laws and regulations that currently apply or become applicable to our business both in the United States and internationally</w:t>
      </w:r>
      <w:r>
        <w:rPr>
          <w:rFonts w:eastAsia="Times New Roman"/>
          <w:sz w:val="20"/>
          <w:szCs w:val="20"/>
        </w:rPr>
        <w:t>.</w:t>
      </w:r>
    </w:p>
    <w:p w14:paraId="7ADF8079" w14:textId="77777777" w:rsidR="00000000" w:rsidRDefault="003C49E9">
      <w:pPr>
        <w:pStyle w:val="a3"/>
        <w:spacing w:before="200" w:beforeAutospacing="0" w:after="120" w:afterAutospacing="0"/>
        <w:ind w:firstLine="555"/>
        <w:rPr>
          <w:sz w:val="20"/>
          <w:szCs w:val="20"/>
        </w:rPr>
      </w:pPr>
      <w:r>
        <w:rPr>
          <w:sz w:val="20"/>
          <w:szCs w:val="20"/>
        </w:rPr>
        <w:t>We caution you that the foregoing list may not contain all of the forward-looking s</w:t>
      </w:r>
      <w:r>
        <w:rPr>
          <w:sz w:val="20"/>
          <w:szCs w:val="20"/>
        </w:rPr>
        <w:t>tatements made in this Quarterly Report on Form 10-Q</w:t>
      </w:r>
      <w:r>
        <w:rPr>
          <w:sz w:val="20"/>
          <w:szCs w:val="20"/>
        </w:rPr>
        <w:t>.</w:t>
      </w:r>
    </w:p>
    <w:p w14:paraId="6B509BCA" w14:textId="77777777" w:rsidR="00000000" w:rsidRDefault="003C49E9">
      <w:pPr>
        <w:pStyle w:val="a3"/>
        <w:spacing w:before="200" w:beforeAutospacing="0" w:after="120" w:afterAutospacing="0"/>
        <w:ind w:firstLine="555"/>
        <w:rPr>
          <w:sz w:val="20"/>
          <w:szCs w:val="20"/>
        </w:rPr>
      </w:pPr>
      <w:r>
        <w:rPr>
          <w:sz w:val="20"/>
          <w:szCs w:val="20"/>
        </w:rPr>
        <w:t xml:space="preserve">You should not rely upon forward-looking statements as predictions of future events. We have based the forward-looking statements contained in this Quarterly Report on Form 10-Q primarily on our current expectations and projections about future events and </w:t>
      </w:r>
      <w:r>
        <w:rPr>
          <w:sz w:val="20"/>
          <w:szCs w:val="20"/>
        </w:rPr>
        <w:t>trends that we believe may affect our business, financial condition, results of operations and prospects. The outcome of the events described in these forward-looking statements is subject to risks, uncertainties and other factors described in “Risk Factor</w:t>
      </w:r>
      <w:r>
        <w:rPr>
          <w:sz w:val="20"/>
          <w:szCs w:val="20"/>
        </w:rPr>
        <w:t xml:space="preserve">s” and elsewhere in this Quarterly Report on Form 10-Q. Moreover, we operate in a very competitive and rapidly changing environment. New risks and uncertainties emerge from time to time, and it is not possible for us to predict all risks and uncertainties </w:t>
      </w:r>
      <w:r>
        <w:rPr>
          <w:sz w:val="20"/>
          <w:szCs w:val="20"/>
        </w:rPr>
        <w:t>that could have an impact on the forward-looking statements contained in this Quarterly Report on Form 10-Q. The results, events and circumstances reflected in the forward-looking statements may not be achieved or occur, and actual results, events or circu</w:t>
      </w:r>
      <w:r>
        <w:rPr>
          <w:sz w:val="20"/>
          <w:szCs w:val="20"/>
        </w:rPr>
        <w:t>mstances could differ materially from those described in the forward-looking statements</w:t>
      </w:r>
      <w:r>
        <w:rPr>
          <w:sz w:val="20"/>
          <w:szCs w:val="20"/>
        </w:rPr>
        <w:t>.</w:t>
      </w:r>
    </w:p>
    <w:p w14:paraId="0E757BB6" w14:textId="77777777" w:rsidR="00000000" w:rsidRDefault="003C49E9">
      <w:pPr>
        <w:pStyle w:val="a3"/>
        <w:spacing w:before="200" w:beforeAutospacing="0" w:after="120" w:afterAutospacing="0"/>
        <w:ind w:firstLine="555"/>
        <w:rPr>
          <w:sz w:val="20"/>
          <w:szCs w:val="20"/>
        </w:rPr>
      </w:pPr>
      <w:r>
        <w:rPr>
          <w:sz w:val="20"/>
          <w:szCs w:val="20"/>
        </w:rPr>
        <w:t>The forward-looking statements made in this Quarterly Report on Form 10-Q relate only to events as of the date on which the statements are made. We undertake no obliga</w:t>
      </w:r>
      <w:r>
        <w:rPr>
          <w:sz w:val="20"/>
          <w:szCs w:val="20"/>
        </w:rPr>
        <w:t>tion to update any forward-looking statements made in this Quarterly Report on For</w:t>
      </w:r>
      <w:r>
        <w:rPr>
          <w:sz w:val="20"/>
          <w:szCs w:val="20"/>
        </w:rPr>
        <w:t>m</w:t>
      </w:r>
      <w:r>
        <w:rPr>
          <w:sz w:val="20"/>
          <w:szCs w:val="20"/>
        </w:rPr>
        <w:t xml:space="preserve"> </w:t>
      </w:r>
    </w:p>
    <w:p w14:paraId="4C17BB2D" w14:textId="77777777" w:rsidR="00000000" w:rsidRDefault="003C49E9">
      <w:pPr>
        <w:pStyle w:val="a3"/>
        <w:spacing w:before="240" w:beforeAutospacing="0" w:after="0" w:afterAutospacing="0"/>
        <w:jc w:val="center"/>
        <w:rPr>
          <w:sz w:val="20"/>
          <w:szCs w:val="20"/>
        </w:rPr>
      </w:pPr>
      <w:r>
        <w:rPr>
          <w:sz w:val="20"/>
          <w:szCs w:val="20"/>
        </w:rPr>
        <w:t>3</w:t>
      </w:r>
    </w:p>
    <w:p w14:paraId="457480D1" w14:textId="77777777" w:rsidR="00000000" w:rsidRDefault="003C49E9">
      <w:pPr>
        <w:rPr>
          <w:rFonts w:eastAsia="Times New Roman"/>
        </w:rPr>
      </w:pPr>
      <w:r>
        <w:rPr>
          <w:rFonts w:eastAsia="Times New Roman"/>
        </w:rPr>
        <w:pict w14:anchorId="1BBD1186">
          <v:rect id="_x0000_i1027" style="width:0;height:1.5pt" o:hralign="center" o:hrstd="t" o:hr="t" fillcolor="#a0a0a0" stroked="f"/>
        </w:pict>
      </w:r>
    </w:p>
    <w:p w14:paraId="217EB91B" w14:textId="77777777" w:rsidR="00000000" w:rsidRDefault="003C49E9">
      <w:pPr>
        <w:pStyle w:val="a3"/>
        <w:spacing w:before="0" w:beforeAutospacing="0" w:after="0" w:afterAutospacing="0"/>
        <w:rPr>
          <w:sz w:val="20"/>
          <w:szCs w:val="20"/>
        </w:rPr>
      </w:pPr>
      <w:r>
        <w:rPr>
          <w:sz w:val="20"/>
          <w:szCs w:val="20"/>
        </w:rPr>
        <w:t> </w:t>
      </w:r>
    </w:p>
    <w:p w14:paraId="158FF8DC" w14:textId="77777777" w:rsidR="00000000" w:rsidRDefault="003C49E9">
      <w:pPr>
        <w:pStyle w:val="a3"/>
        <w:spacing w:before="200" w:beforeAutospacing="0" w:after="120" w:afterAutospacing="0"/>
        <w:rPr>
          <w:sz w:val="20"/>
          <w:szCs w:val="20"/>
        </w:rPr>
      </w:pPr>
      <w:r>
        <w:rPr>
          <w:sz w:val="20"/>
          <w:szCs w:val="20"/>
        </w:rPr>
        <w:t xml:space="preserve">10-Q to reflect events or circumstances after the date of this Quarterly Report on Form 10-Q or to reflect new information or the </w:t>
      </w:r>
      <w:r>
        <w:rPr>
          <w:sz w:val="20"/>
          <w:szCs w:val="20"/>
        </w:rPr>
        <w:t>occurrence of unanticipated events, except as required by law</w:t>
      </w:r>
      <w:r>
        <w:rPr>
          <w:sz w:val="20"/>
          <w:szCs w:val="20"/>
        </w:rPr>
        <w:t>.</w:t>
      </w:r>
    </w:p>
    <w:p w14:paraId="4F4ABE4D" w14:textId="77777777" w:rsidR="00000000" w:rsidRDefault="003C49E9">
      <w:pPr>
        <w:pStyle w:val="a3"/>
        <w:spacing w:before="200" w:beforeAutospacing="0" w:after="120" w:afterAutospacing="0"/>
        <w:ind w:firstLine="555"/>
        <w:rPr>
          <w:sz w:val="20"/>
          <w:szCs w:val="20"/>
        </w:rPr>
      </w:pPr>
      <w:r>
        <w:rPr>
          <w:sz w:val="20"/>
          <w:szCs w:val="20"/>
        </w:rPr>
        <w:t>We may not actually achieve the plans, intentions or expectations disclosed in our forward-looking statements and you should not place undue reliance on our forward-looking statements. Our forw</w:t>
      </w:r>
      <w:r>
        <w:rPr>
          <w:sz w:val="20"/>
          <w:szCs w:val="20"/>
        </w:rPr>
        <w:t>ard-looking statements do not reflect the potential impact of any future acquisitions, mergers, dispositions, joint ventures or investments we may make</w:t>
      </w:r>
      <w:r>
        <w:rPr>
          <w:sz w:val="20"/>
          <w:szCs w:val="20"/>
        </w:rPr>
        <w:t>.</w:t>
      </w:r>
    </w:p>
    <w:p w14:paraId="01737A86" w14:textId="77777777" w:rsidR="00000000" w:rsidRDefault="003C49E9">
      <w:pPr>
        <w:pStyle w:val="a3"/>
        <w:spacing w:before="200" w:beforeAutospacing="0" w:after="0" w:afterAutospacing="0"/>
        <w:ind w:firstLine="555"/>
        <w:rPr>
          <w:sz w:val="20"/>
          <w:szCs w:val="20"/>
        </w:rPr>
      </w:pPr>
      <w:r>
        <w:rPr>
          <w:sz w:val="20"/>
          <w:szCs w:val="20"/>
        </w:rPr>
        <w:t>In this Quarterly Report on Form 10-Q, the terms “HubSpot,” “we,” “us,” and “our” refer to HubSpot, Inc</w:t>
      </w:r>
      <w:r>
        <w:rPr>
          <w:sz w:val="20"/>
          <w:szCs w:val="20"/>
        </w:rPr>
        <w:t>. and its subsidiaries, unless the context indicates otherwise</w:t>
      </w:r>
      <w:r>
        <w:rPr>
          <w:sz w:val="20"/>
          <w:szCs w:val="20"/>
        </w:rPr>
        <w:t>.</w:t>
      </w:r>
    </w:p>
    <w:p w14:paraId="46302565" w14:textId="77777777" w:rsidR="00000000" w:rsidRDefault="003C49E9">
      <w:pPr>
        <w:pStyle w:val="a3"/>
        <w:spacing w:before="200" w:beforeAutospacing="0" w:after="0" w:afterAutospacing="0"/>
        <w:ind w:hanging="1220"/>
        <w:rPr>
          <w:sz w:val="20"/>
          <w:szCs w:val="20"/>
        </w:rPr>
      </w:pPr>
      <w:r>
        <w:rPr>
          <w:b/>
          <w:bCs/>
          <w:sz w:val="20"/>
          <w:szCs w:val="20"/>
        </w:rPr>
        <w:t>Risk Factor Summar</w:t>
      </w:r>
      <w:r>
        <w:rPr>
          <w:b/>
          <w:bCs/>
          <w:sz w:val="20"/>
          <w:szCs w:val="20"/>
        </w:rPr>
        <w:t>y</w:t>
      </w:r>
      <w:r>
        <w:rPr>
          <w:b/>
          <w:bCs/>
          <w:sz w:val="20"/>
          <w:szCs w:val="20"/>
        </w:rPr>
        <w:t xml:space="preserve"> </w:t>
      </w:r>
    </w:p>
    <w:p w14:paraId="40176ECE" w14:textId="77777777" w:rsidR="00000000" w:rsidRDefault="003C49E9">
      <w:pPr>
        <w:pStyle w:val="a3"/>
        <w:spacing w:before="200" w:beforeAutospacing="0" w:after="0" w:afterAutospacing="0"/>
        <w:ind w:firstLine="816"/>
        <w:rPr>
          <w:sz w:val="20"/>
          <w:szCs w:val="20"/>
        </w:rPr>
      </w:pPr>
      <w:r>
        <w:rPr>
          <w:i/>
          <w:iCs/>
          <w:sz w:val="20"/>
          <w:szCs w:val="20"/>
        </w:rPr>
        <w:t>The risk factors detailed in Item 1A entitled “Risk Factors” in this Quarterly Report on Form 10-Q are the risks that we believe are material to our investors and a reader</w:t>
      </w:r>
      <w:r>
        <w:rPr>
          <w:i/>
          <w:iCs/>
          <w:sz w:val="20"/>
          <w:szCs w:val="20"/>
        </w:rPr>
        <w:t xml:space="preserve"> should carefully consider them. Those risks are not all of the risks we face and other factors not presently known to us or that we currently believe are immaterial may also affect our business if they occur. The following is a summary of the risk factors</w:t>
      </w:r>
      <w:r>
        <w:rPr>
          <w:i/>
          <w:iCs/>
          <w:sz w:val="20"/>
          <w:szCs w:val="20"/>
        </w:rPr>
        <w:t xml:space="preserve"> detailed in Item 1A</w:t>
      </w:r>
      <w:r>
        <w:rPr>
          <w:i/>
          <w:iCs/>
          <w:sz w:val="20"/>
          <w:szCs w:val="20"/>
        </w:rPr>
        <w:t>:</w:t>
      </w:r>
    </w:p>
    <w:p w14:paraId="5E02B558" w14:textId="77777777" w:rsidR="00000000" w:rsidRDefault="003C49E9">
      <w:pPr>
        <w:divId w:val="1374501046"/>
        <w:rPr>
          <w:rFonts w:eastAsia="Times New Roman"/>
        </w:rPr>
      </w:pPr>
      <w:r>
        <w:rPr>
          <w:rFonts w:eastAsia="Times New Roman"/>
          <w:sz w:val="20"/>
          <w:szCs w:val="20"/>
        </w:rPr>
        <w:t>•</w:t>
      </w:r>
    </w:p>
    <w:p w14:paraId="28F3C903" w14:textId="77777777" w:rsidR="00000000" w:rsidRDefault="003C49E9">
      <w:pPr>
        <w:divId w:val="317458935"/>
        <w:rPr>
          <w:rFonts w:eastAsia="Times New Roman"/>
        </w:rPr>
      </w:pPr>
      <w:r>
        <w:rPr>
          <w:rFonts w:eastAsia="Times New Roman"/>
          <w:sz w:val="20"/>
          <w:szCs w:val="20"/>
        </w:rPr>
        <w:t>We are dependent upon customer renewals, the addition of new customers, increased revenue from existing customers and the continued growth of the market for a CRM Platform</w:t>
      </w:r>
      <w:r>
        <w:rPr>
          <w:rFonts w:eastAsia="Times New Roman"/>
          <w:sz w:val="20"/>
          <w:szCs w:val="20"/>
        </w:rPr>
        <w:t>.</w:t>
      </w:r>
    </w:p>
    <w:p w14:paraId="2B733BFA" w14:textId="77777777" w:rsidR="00000000" w:rsidRDefault="003C49E9">
      <w:pPr>
        <w:divId w:val="610279272"/>
        <w:rPr>
          <w:rFonts w:eastAsia="Times New Roman"/>
        </w:rPr>
      </w:pPr>
      <w:r>
        <w:rPr>
          <w:rFonts w:eastAsia="Times New Roman"/>
          <w:sz w:val="20"/>
          <w:szCs w:val="20"/>
        </w:rPr>
        <w:t>•</w:t>
      </w:r>
    </w:p>
    <w:p w14:paraId="7ED0AF06" w14:textId="77777777" w:rsidR="00000000" w:rsidRDefault="003C49E9">
      <w:pPr>
        <w:divId w:val="1205286907"/>
        <w:rPr>
          <w:rFonts w:eastAsia="Times New Roman"/>
        </w:rPr>
      </w:pPr>
      <w:r>
        <w:rPr>
          <w:rFonts w:eastAsia="Times New Roman"/>
          <w:sz w:val="20"/>
          <w:szCs w:val="20"/>
        </w:rPr>
        <w:t>We face significant competition from both established and</w:t>
      </w:r>
      <w:r>
        <w:rPr>
          <w:rFonts w:eastAsia="Times New Roman"/>
          <w:sz w:val="20"/>
          <w:szCs w:val="20"/>
        </w:rPr>
        <w:t xml:space="preserve"> new companies offering marketing, sales and customer service software and other related applications, as well as internally developed software, which may harm our ability to add new customers, retain existing customers and grow our business</w:t>
      </w:r>
      <w:r>
        <w:rPr>
          <w:rFonts w:eastAsia="Times New Roman"/>
          <w:sz w:val="20"/>
          <w:szCs w:val="20"/>
        </w:rPr>
        <w:t>.</w:t>
      </w:r>
    </w:p>
    <w:p w14:paraId="26D764C7" w14:textId="77777777" w:rsidR="00000000" w:rsidRDefault="003C49E9">
      <w:pPr>
        <w:divId w:val="658584997"/>
        <w:rPr>
          <w:rFonts w:eastAsia="Times New Roman"/>
        </w:rPr>
      </w:pPr>
      <w:r>
        <w:rPr>
          <w:rFonts w:eastAsia="Times New Roman"/>
          <w:sz w:val="20"/>
          <w:szCs w:val="20"/>
        </w:rPr>
        <w:t>•</w:t>
      </w:r>
    </w:p>
    <w:p w14:paraId="3041F9D7" w14:textId="77777777" w:rsidR="00000000" w:rsidRDefault="003C49E9">
      <w:pPr>
        <w:divId w:val="1584533900"/>
        <w:rPr>
          <w:rFonts w:eastAsia="Times New Roman"/>
        </w:rPr>
      </w:pPr>
      <w:r>
        <w:rPr>
          <w:rFonts w:eastAsia="Times New Roman"/>
          <w:sz w:val="20"/>
          <w:szCs w:val="20"/>
        </w:rPr>
        <w:t xml:space="preserve">Failure to </w:t>
      </w:r>
      <w:r>
        <w:rPr>
          <w:rFonts w:eastAsia="Times New Roman"/>
          <w:sz w:val="20"/>
          <w:szCs w:val="20"/>
        </w:rPr>
        <w:t>effectively develop and expand our marketing, sales, customer service, operations, and content management capabilities could harm our ability to increase our customer base and achieve broader market acceptance of our platform</w:t>
      </w:r>
      <w:r>
        <w:rPr>
          <w:rFonts w:eastAsia="Times New Roman"/>
          <w:sz w:val="20"/>
          <w:szCs w:val="20"/>
        </w:rPr>
        <w:t>.</w:t>
      </w:r>
    </w:p>
    <w:p w14:paraId="6E1A74E2" w14:textId="77777777" w:rsidR="00000000" w:rsidRDefault="003C49E9">
      <w:pPr>
        <w:divId w:val="288123936"/>
        <w:rPr>
          <w:rFonts w:eastAsia="Times New Roman"/>
        </w:rPr>
      </w:pPr>
      <w:r>
        <w:rPr>
          <w:rFonts w:eastAsia="Times New Roman"/>
          <w:sz w:val="20"/>
          <w:szCs w:val="20"/>
        </w:rPr>
        <w:t>•</w:t>
      </w:r>
    </w:p>
    <w:p w14:paraId="080302C2" w14:textId="77777777" w:rsidR="00000000" w:rsidRDefault="003C49E9">
      <w:pPr>
        <w:divId w:val="150802917"/>
        <w:rPr>
          <w:rFonts w:eastAsia="Times New Roman"/>
        </w:rPr>
      </w:pPr>
      <w:r>
        <w:rPr>
          <w:rFonts w:eastAsia="Times New Roman"/>
          <w:sz w:val="20"/>
          <w:szCs w:val="20"/>
        </w:rPr>
        <w:lastRenderedPageBreak/>
        <w:t>If we fail to adapt and res</w:t>
      </w:r>
      <w:r>
        <w:rPr>
          <w:rFonts w:eastAsia="Times New Roman"/>
          <w:sz w:val="20"/>
          <w:szCs w:val="20"/>
        </w:rPr>
        <w:t>pond effectively to rapidly changing technology, evolving industry standards and changing customer needs or requirements, our CRM Platform may become less competitive</w:t>
      </w:r>
      <w:r>
        <w:rPr>
          <w:rFonts w:eastAsia="Times New Roman"/>
          <w:sz w:val="20"/>
          <w:szCs w:val="20"/>
        </w:rPr>
        <w:t>.</w:t>
      </w:r>
    </w:p>
    <w:p w14:paraId="768D7B4E" w14:textId="77777777" w:rsidR="00000000" w:rsidRDefault="003C49E9">
      <w:pPr>
        <w:divId w:val="193543950"/>
        <w:rPr>
          <w:rFonts w:eastAsia="Times New Roman"/>
        </w:rPr>
      </w:pPr>
      <w:r>
        <w:rPr>
          <w:rFonts w:eastAsia="Times New Roman"/>
          <w:sz w:val="20"/>
          <w:szCs w:val="20"/>
        </w:rPr>
        <w:t>•</w:t>
      </w:r>
    </w:p>
    <w:p w14:paraId="2CC04D55" w14:textId="77777777" w:rsidR="00000000" w:rsidRDefault="003C49E9">
      <w:pPr>
        <w:divId w:val="1048453319"/>
        <w:rPr>
          <w:rFonts w:eastAsia="Times New Roman"/>
        </w:rPr>
      </w:pPr>
      <w:r>
        <w:rPr>
          <w:rFonts w:eastAsia="Times New Roman"/>
          <w:sz w:val="20"/>
          <w:szCs w:val="20"/>
        </w:rPr>
        <w:t>Our ability to introduce new products and features is dependent on adequate research and development resources. If we do not adequately fund our research and development efforts, we may not be able to compete effectively and our business and operating resu</w:t>
      </w:r>
      <w:r>
        <w:rPr>
          <w:rFonts w:eastAsia="Times New Roman"/>
          <w:sz w:val="20"/>
          <w:szCs w:val="20"/>
        </w:rPr>
        <w:t>lts may be harmed</w:t>
      </w:r>
      <w:r>
        <w:rPr>
          <w:rFonts w:eastAsia="Times New Roman"/>
          <w:sz w:val="20"/>
          <w:szCs w:val="20"/>
        </w:rPr>
        <w:t>.</w:t>
      </w:r>
    </w:p>
    <w:p w14:paraId="6863823B" w14:textId="77777777" w:rsidR="00000000" w:rsidRDefault="003C49E9">
      <w:pPr>
        <w:divId w:val="2091613349"/>
        <w:rPr>
          <w:rFonts w:eastAsia="Times New Roman"/>
        </w:rPr>
      </w:pPr>
      <w:r>
        <w:rPr>
          <w:rFonts w:eastAsia="Times New Roman"/>
          <w:sz w:val="20"/>
          <w:szCs w:val="20"/>
        </w:rPr>
        <w:t>•</w:t>
      </w:r>
    </w:p>
    <w:p w14:paraId="4C87EECB" w14:textId="77777777" w:rsidR="00000000" w:rsidRDefault="003C49E9">
      <w:pPr>
        <w:divId w:val="425735668"/>
        <w:rPr>
          <w:rFonts w:eastAsia="Times New Roman"/>
        </w:rPr>
      </w:pPr>
      <w:r>
        <w:rPr>
          <w:rFonts w:eastAsia="Times New Roman"/>
          <w:sz w:val="20"/>
          <w:szCs w:val="20"/>
        </w:rPr>
        <w:t>We are exposed to fluctuations in currency exchange rates that could adversely affect our financial results</w:t>
      </w:r>
      <w:r>
        <w:rPr>
          <w:rFonts w:eastAsia="Times New Roman"/>
          <w:sz w:val="20"/>
          <w:szCs w:val="20"/>
        </w:rPr>
        <w:t>,</w:t>
      </w:r>
    </w:p>
    <w:p w14:paraId="15E0C807" w14:textId="77777777" w:rsidR="00000000" w:rsidRDefault="003C49E9">
      <w:pPr>
        <w:divId w:val="1102384540"/>
        <w:rPr>
          <w:rFonts w:eastAsia="Times New Roman"/>
        </w:rPr>
      </w:pPr>
      <w:r>
        <w:rPr>
          <w:rFonts w:eastAsia="Times New Roman"/>
          <w:sz w:val="20"/>
          <w:szCs w:val="20"/>
        </w:rPr>
        <w:t>•</w:t>
      </w:r>
    </w:p>
    <w:p w14:paraId="6B6665B2" w14:textId="77777777" w:rsidR="00000000" w:rsidRDefault="003C49E9">
      <w:pPr>
        <w:divId w:val="1634410984"/>
        <w:rPr>
          <w:rFonts w:eastAsia="Times New Roman"/>
        </w:rPr>
      </w:pPr>
      <w:r>
        <w:rPr>
          <w:rFonts w:eastAsia="Times New Roman"/>
          <w:sz w:val="20"/>
          <w:szCs w:val="20"/>
        </w:rPr>
        <w:t>The current economic downturn may lead to decreased demand for our products and services and otherwise harm our business and</w:t>
      </w:r>
      <w:r>
        <w:rPr>
          <w:rFonts w:eastAsia="Times New Roman"/>
          <w:sz w:val="20"/>
          <w:szCs w:val="20"/>
        </w:rPr>
        <w:t xml:space="preserve"> results of operations</w:t>
      </w:r>
      <w:r>
        <w:rPr>
          <w:rFonts w:eastAsia="Times New Roman"/>
          <w:sz w:val="20"/>
          <w:szCs w:val="20"/>
        </w:rPr>
        <w:t>,</w:t>
      </w:r>
    </w:p>
    <w:p w14:paraId="52583D7F" w14:textId="77777777" w:rsidR="00000000" w:rsidRDefault="003C49E9">
      <w:pPr>
        <w:divId w:val="2105415072"/>
        <w:rPr>
          <w:rFonts w:eastAsia="Times New Roman"/>
        </w:rPr>
      </w:pPr>
      <w:r>
        <w:rPr>
          <w:rFonts w:eastAsia="Times New Roman"/>
          <w:sz w:val="20"/>
          <w:szCs w:val="20"/>
        </w:rPr>
        <w:t>•</w:t>
      </w:r>
    </w:p>
    <w:p w14:paraId="1E3C1744" w14:textId="77777777" w:rsidR="00000000" w:rsidRDefault="003C49E9">
      <w:pPr>
        <w:divId w:val="531382119"/>
        <w:rPr>
          <w:rFonts w:eastAsia="Times New Roman"/>
        </w:rPr>
      </w:pPr>
      <w:r>
        <w:rPr>
          <w:rFonts w:eastAsia="Times New Roman"/>
          <w:sz w:val="20"/>
          <w:szCs w:val="20"/>
        </w:rPr>
        <w:t>Interruptions or delays in service from our third-party data center providers could impair our ability to deliver our platform to our customers, resulting in customer dissatisfaction, damage to our reputation, loss of customers, l</w:t>
      </w:r>
      <w:r>
        <w:rPr>
          <w:rFonts w:eastAsia="Times New Roman"/>
          <w:sz w:val="20"/>
          <w:szCs w:val="20"/>
        </w:rPr>
        <w:t>imited growth, and reduction in revenue</w:t>
      </w:r>
      <w:r>
        <w:rPr>
          <w:rFonts w:eastAsia="Times New Roman"/>
          <w:sz w:val="20"/>
          <w:szCs w:val="20"/>
        </w:rPr>
        <w:t>.</w:t>
      </w:r>
    </w:p>
    <w:p w14:paraId="02555549" w14:textId="77777777" w:rsidR="00000000" w:rsidRDefault="003C49E9">
      <w:pPr>
        <w:divId w:val="1794906940"/>
        <w:rPr>
          <w:rFonts w:eastAsia="Times New Roman"/>
        </w:rPr>
      </w:pPr>
      <w:r>
        <w:rPr>
          <w:rFonts w:eastAsia="Times New Roman"/>
          <w:sz w:val="20"/>
          <w:szCs w:val="20"/>
        </w:rPr>
        <w:t>•</w:t>
      </w:r>
    </w:p>
    <w:p w14:paraId="1EB5933C" w14:textId="77777777" w:rsidR="00000000" w:rsidRDefault="003C49E9">
      <w:pPr>
        <w:divId w:val="783109889"/>
        <w:rPr>
          <w:rFonts w:eastAsia="Times New Roman"/>
        </w:rPr>
      </w:pPr>
      <w:r>
        <w:rPr>
          <w:rFonts w:eastAsia="Times New Roman"/>
          <w:sz w:val="20"/>
          <w:szCs w:val="20"/>
        </w:rPr>
        <w:t>If our CRM Platform has outages or fails due to defects or similar problems, and if we fail to correct any defect or other software problems, we could lose customers, become subject to service performance or warra</w:t>
      </w:r>
      <w:r>
        <w:rPr>
          <w:rFonts w:eastAsia="Times New Roman"/>
          <w:sz w:val="20"/>
          <w:szCs w:val="20"/>
        </w:rPr>
        <w:t>nty claims or incur significant costs</w:t>
      </w:r>
      <w:r>
        <w:rPr>
          <w:rFonts w:eastAsia="Times New Roman"/>
          <w:sz w:val="20"/>
          <w:szCs w:val="20"/>
        </w:rPr>
        <w:t>.</w:t>
      </w:r>
    </w:p>
    <w:p w14:paraId="36DE23BD" w14:textId="77777777" w:rsidR="00000000" w:rsidRDefault="003C49E9">
      <w:pPr>
        <w:divId w:val="1355038056"/>
        <w:rPr>
          <w:rFonts w:eastAsia="Times New Roman"/>
        </w:rPr>
      </w:pPr>
      <w:r>
        <w:rPr>
          <w:rFonts w:eastAsia="Times New Roman"/>
          <w:sz w:val="20"/>
          <w:szCs w:val="20"/>
        </w:rPr>
        <w:t>•</w:t>
      </w:r>
    </w:p>
    <w:p w14:paraId="030DEA52" w14:textId="77777777" w:rsidR="00000000" w:rsidRDefault="003C49E9">
      <w:pPr>
        <w:divId w:val="1277254564"/>
        <w:rPr>
          <w:rFonts w:eastAsia="Times New Roman"/>
        </w:rPr>
      </w:pPr>
      <w:r>
        <w:rPr>
          <w:rFonts w:eastAsia="Times New Roman"/>
          <w:sz w:val="20"/>
          <w:szCs w:val="20"/>
        </w:rPr>
        <w:t>If our or our customers’ security measures are compromised or unauthorized access to data of our customers or their customers is otherwise obtained, our CRM Platform may be perceived as not being secure, our custome</w:t>
      </w:r>
      <w:r>
        <w:rPr>
          <w:rFonts w:eastAsia="Times New Roman"/>
          <w:sz w:val="20"/>
          <w:szCs w:val="20"/>
        </w:rPr>
        <w:t>rs may be harmed and may curtail or cease their use of our platform, our reputation may be damaged and we may incur significant liabilities</w:t>
      </w:r>
      <w:r>
        <w:rPr>
          <w:rFonts w:eastAsia="Times New Roman"/>
          <w:sz w:val="20"/>
          <w:szCs w:val="20"/>
        </w:rPr>
        <w:t>.</w:t>
      </w:r>
    </w:p>
    <w:p w14:paraId="47E30B67" w14:textId="77777777" w:rsidR="00000000" w:rsidRDefault="003C49E9">
      <w:pPr>
        <w:divId w:val="694690449"/>
        <w:rPr>
          <w:rFonts w:eastAsia="Times New Roman"/>
        </w:rPr>
      </w:pPr>
      <w:r>
        <w:rPr>
          <w:rFonts w:eastAsia="Times New Roman"/>
          <w:sz w:val="20"/>
          <w:szCs w:val="20"/>
        </w:rPr>
        <w:t>•</w:t>
      </w:r>
    </w:p>
    <w:p w14:paraId="6C39506D" w14:textId="77777777" w:rsidR="00000000" w:rsidRDefault="003C49E9">
      <w:pPr>
        <w:divId w:val="1449465829"/>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14:paraId="6DCF468D" w14:textId="77777777" w:rsidR="00000000" w:rsidRDefault="003C49E9">
      <w:pPr>
        <w:divId w:val="1157840162"/>
        <w:rPr>
          <w:rFonts w:eastAsia="Times New Roman"/>
        </w:rPr>
      </w:pPr>
      <w:r>
        <w:rPr>
          <w:rFonts w:eastAsia="Times New Roman"/>
          <w:sz w:val="20"/>
          <w:szCs w:val="20"/>
        </w:rPr>
        <w:t>•</w:t>
      </w:r>
    </w:p>
    <w:p w14:paraId="43D29139" w14:textId="77777777" w:rsidR="00000000" w:rsidRDefault="003C49E9">
      <w:pPr>
        <w:divId w:val="763460718"/>
        <w:rPr>
          <w:rFonts w:eastAsia="Times New Roman"/>
        </w:rPr>
      </w:pPr>
      <w:r>
        <w:rPr>
          <w:rFonts w:eastAsia="Times New Roman"/>
          <w:sz w:val="20"/>
          <w:szCs w:val="20"/>
        </w:rPr>
        <w:t>We may experience quarterly fluctu</w:t>
      </w:r>
      <w:r>
        <w:rPr>
          <w:rFonts w:eastAsia="Times New Roman"/>
          <w:sz w:val="20"/>
          <w:szCs w:val="20"/>
        </w:rPr>
        <w:t>ations in our operating results due to a number of factors, which makes our future results difficult to predict and could cause our operating results to fall below expectations or our guidance</w:t>
      </w:r>
      <w:r>
        <w:rPr>
          <w:rFonts w:eastAsia="Times New Roman"/>
          <w:sz w:val="20"/>
          <w:szCs w:val="20"/>
        </w:rPr>
        <w:t>.</w:t>
      </w:r>
    </w:p>
    <w:p w14:paraId="001A173F" w14:textId="77777777" w:rsidR="00000000" w:rsidRDefault="003C49E9">
      <w:pPr>
        <w:divId w:val="9571638"/>
        <w:rPr>
          <w:rFonts w:eastAsia="Times New Roman"/>
        </w:rPr>
      </w:pPr>
      <w:r>
        <w:rPr>
          <w:rFonts w:eastAsia="Times New Roman"/>
          <w:sz w:val="20"/>
          <w:szCs w:val="20"/>
        </w:rPr>
        <w:t>•</w:t>
      </w:r>
    </w:p>
    <w:p w14:paraId="03FA6FB5" w14:textId="77777777" w:rsidR="00000000" w:rsidRDefault="003C49E9">
      <w:pPr>
        <w:divId w:val="1840151734"/>
        <w:rPr>
          <w:rFonts w:eastAsia="Times New Roman"/>
        </w:rPr>
      </w:pPr>
      <w:r>
        <w:rPr>
          <w:rFonts w:eastAsia="Times New Roman"/>
          <w:sz w:val="20"/>
          <w:szCs w:val="20"/>
        </w:rPr>
        <w:t>If we do not accurately predict subscription renewal rates o</w:t>
      </w:r>
      <w:r>
        <w:rPr>
          <w:rFonts w:eastAsia="Times New Roman"/>
          <w:sz w:val="20"/>
          <w:szCs w:val="20"/>
        </w:rPr>
        <w:t>r otherwise fail to forecast our revenue accurately, or if we fail to match our expenditures with corresponding revenue, our operating results could be adversely affected</w:t>
      </w:r>
      <w:r>
        <w:rPr>
          <w:rFonts w:eastAsia="Times New Roman"/>
          <w:sz w:val="20"/>
          <w:szCs w:val="20"/>
        </w:rPr>
        <w:t>.</w:t>
      </w:r>
    </w:p>
    <w:p w14:paraId="399C1F7D" w14:textId="77777777" w:rsidR="00000000" w:rsidRDefault="003C49E9">
      <w:pPr>
        <w:divId w:val="1893695025"/>
        <w:rPr>
          <w:rFonts w:eastAsia="Times New Roman"/>
        </w:rPr>
      </w:pPr>
      <w:r>
        <w:rPr>
          <w:rFonts w:eastAsia="Times New Roman"/>
          <w:sz w:val="20"/>
          <w:szCs w:val="20"/>
        </w:rPr>
        <w:t>•</w:t>
      </w:r>
    </w:p>
    <w:p w14:paraId="3570D11E" w14:textId="77777777" w:rsidR="00000000" w:rsidRDefault="003C49E9">
      <w:pPr>
        <w:divId w:val="1693145938"/>
        <w:rPr>
          <w:rFonts w:eastAsia="Times New Roman"/>
        </w:rPr>
      </w:pPr>
      <w:r>
        <w:rPr>
          <w:rFonts w:eastAsia="Times New Roman"/>
          <w:sz w:val="20"/>
          <w:szCs w:val="20"/>
        </w:rPr>
        <w:t>Our ability to raise capital in the future may be limited, and our failure to rais</w:t>
      </w:r>
      <w:r>
        <w:rPr>
          <w:rFonts w:eastAsia="Times New Roman"/>
          <w:sz w:val="20"/>
          <w:szCs w:val="20"/>
        </w:rPr>
        <w:t>e capital when needed could prevent us from growing</w:t>
      </w:r>
      <w:r>
        <w:rPr>
          <w:rFonts w:eastAsia="Times New Roman"/>
          <w:sz w:val="20"/>
          <w:szCs w:val="20"/>
        </w:rPr>
        <w:t>.</w:t>
      </w:r>
    </w:p>
    <w:p w14:paraId="44134344" w14:textId="77777777" w:rsidR="00000000" w:rsidRDefault="003C49E9">
      <w:pPr>
        <w:pStyle w:val="a3"/>
        <w:spacing w:before="240" w:beforeAutospacing="0" w:after="0" w:afterAutospacing="0"/>
        <w:jc w:val="center"/>
        <w:rPr>
          <w:sz w:val="20"/>
          <w:szCs w:val="20"/>
        </w:rPr>
      </w:pPr>
      <w:r>
        <w:rPr>
          <w:sz w:val="20"/>
          <w:szCs w:val="20"/>
        </w:rPr>
        <w:t>4</w:t>
      </w:r>
    </w:p>
    <w:p w14:paraId="3208599A" w14:textId="77777777" w:rsidR="00000000" w:rsidRDefault="003C49E9">
      <w:pPr>
        <w:rPr>
          <w:rFonts w:eastAsia="Times New Roman"/>
        </w:rPr>
      </w:pPr>
      <w:r>
        <w:rPr>
          <w:rFonts w:eastAsia="Times New Roman"/>
        </w:rPr>
        <w:pict w14:anchorId="3F55FDB3">
          <v:rect id="_x0000_i1028" style="width:0;height:1.5pt" o:hralign="center" o:hrstd="t" o:hr="t" fillcolor="#a0a0a0" stroked="f"/>
        </w:pict>
      </w:r>
    </w:p>
    <w:p w14:paraId="056230E1" w14:textId="77777777" w:rsidR="00000000" w:rsidRDefault="003C49E9">
      <w:pPr>
        <w:pStyle w:val="a3"/>
        <w:spacing w:before="0" w:beforeAutospacing="0" w:after="0" w:afterAutospacing="0"/>
        <w:rPr>
          <w:sz w:val="20"/>
          <w:szCs w:val="20"/>
        </w:rPr>
      </w:pPr>
      <w:r>
        <w:rPr>
          <w:sz w:val="20"/>
          <w:szCs w:val="20"/>
        </w:rPr>
        <w:t> </w:t>
      </w:r>
    </w:p>
    <w:p w14:paraId="22F9E99A" w14:textId="77777777" w:rsidR="00000000" w:rsidRDefault="003C49E9">
      <w:pPr>
        <w:pStyle w:val="a3"/>
        <w:spacing w:before="0" w:beforeAutospacing="0" w:after="0" w:afterAutospacing="0"/>
        <w:jc w:val="center"/>
        <w:rPr>
          <w:sz w:val="20"/>
          <w:szCs w:val="20"/>
        </w:rPr>
      </w:pPr>
      <w:r>
        <w:rPr>
          <w:b/>
          <w:bCs/>
          <w:sz w:val="20"/>
          <w:szCs w:val="20"/>
        </w:rPr>
        <w:t>PART I — Financ</w:t>
      </w:r>
      <w:r>
        <w:rPr>
          <w:b/>
          <w:bCs/>
          <w:sz w:val="20"/>
          <w:szCs w:val="20"/>
        </w:rPr>
        <w:t>i</w:t>
      </w:r>
      <w:r>
        <w:rPr>
          <w:b/>
          <w:bCs/>
          <w:sz w:val="20"/>
          <w:szCs w:val="20"/>
        </w:rPr>
        <w:t>al Informatio</w:t>
      </w:r>
      <w:r>
        <w:rPr>
          <w:b/>
          <w:bCs/>
          <w:sz w:val="20"/>
          <w:szCs w:val="20"/>
        </w:rPr>
        <w:t>n</w:t>
      </w:r>
    </w:p>
    <w:p w14:paraId="688385D2" w14:textId="77777777" w:rsidR="00000000" w:rsidRDefault="003C49E9">
      <w:pPr>
        <w:pStyle w:val="a3"/>
        <w:spacing w:before="0" w:beforeAutospacing="0" w:after="0" w:afterAutospacing="0"/>
        <w:rPr>
          <w:sz w:val="20"/>
          <w:szCs w:val="20"/>
        </w:rPr>
      </w:pPr>
      <w:r>
        <w:rPr>
          <w:sz w:val="20"/>
          <w:szCs w:val="20"/>
        </w:rPr>
        <w:t> </w:t>
      </w:r>
    </w:p>
    <w:p w14:paraId="18B1B111" w14:textId="77777777" w:rsidR="00000000" w:rsidRDefault="003C49E9">
      <w:pPr>
        <w:pStyle w:val="a3"/>
        <w:spacing w:before="0" w:beforeAutospacing="0" w:after="0" w:afterAutospacing="0"/>
        <w:rPr>
          <w:sz w:val="20"/>
          <w:szCs w:val="20"/>
        </w:rPr>
      </w:pPr>
      <w:r>
        <w:rPr>
          <w:sz w:val="20"/>
          <w:szCs w:val="20"/>
        </w:rPr>
        <w:t> </w:t>
      </w:r>
    </w:p>
    <w:p w14:paraId="73E2A29A" w14:textId="77777777" w:rsidR="00000000" w:rsidRDefault="003C49E9">
      <w:pPr>
        <w:pStyle w:val="a3"/>
        <w:spacing w:before="0" w:beforeAutospacing="0" w:after="0" w:afterAutospacing="0"/>
        <w:ind w:hanging="1220"/>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14:paraId="5884EE72" w14:textId="77777777" w:rsidR="00000000" w:rsidRDefault="003C49E9">
      <w:pPr>
        <w:pStyle w:val="a3"/>
        <w:spacing w:before="240" w:beforeAutospacing="0" w:after="0" w:afterAutospacing="0"/>
        <w:jc w:val="center"/>
        <w:rPr>
          <w:sz w:val="20"/>
          <w:szCs w:val="20"/>
        </w:rPr>
      </w:pPr>
      <w:r>
        <w:rPr>
          <w:b/>
          <w:bCs/>
          <w:sz w:val="20"/>
          <w:szCs w:val="20"/>
        </w:rPr>
        <w:t>HubSpot, Inc</w:t>
      </w:r>
      <w:r>
        <w:rPr>
          <w:b/>
          <w:bCs/>
          <w:sz w:val="20"/>
          <w:szCs w:val="20"/>
        </w:rPr>
        <w:t>.</w:t>
      </w:r>
    </w:p>
    <w:p w14:paraId="7EBC7908" w14:textId="77777777" w:rsidR="00000000" w:rsidRDefault="003C49E9">
      <w:pPr>
        <w:pStyle w:val="a3"/>
        <w:spacing w:before="0" w:beforeAutospacing="0" w:after="0" w:afterAutospacing="0"/>
        <w:jc w:val="center"/>
        <w:rPr>
          <w:sz w:val="20"/>
          <w:szCs w:val="20"/>
        </w:rPr>
      </w:pPr>
      <w:r>
        <w:rPr>
          <w:b/>
          <w:bCs/>
          <w:sz w:val="20"/>
          <w:szCs w:val="20"/>
        </w:rPr>
        <w:t>Unaudited Consolid</w:t>
      </w:r>
      <w:r>
        <w:rPr>
          <w:b/>
          <w:bCs/>
          <w:sz w:val="20"/>
          <w:szCs w:val="20"/>
        </w:rPr>
        <w:t>a</w:t>
      </w:r>
      <w:r>
        <w:rPr>
          <w:b/>
          <w:bCs/>
          <w:sz w:val="20"/>
          <w:szCs w:val="20"/>
        </w:rPr>
        <w:t>ted Balance Sheet</w:t>
      </w:r>
      <w:r>
        <w:rPr>
          <w:b/>
          <w:bCs/>
          <w:sz w:val="20"/>
          <w:szCs w:val="20"/>
        </w:rPr>
        <w:t>s</w:t>
      </w:r>
    </w:p>
    <w:p w14:paraId="1F7C1E25" w14:textId="77777777" w:rsidR="00000000" w:rsidRDefault="003C49E9">
      <w:pPr>
        <w:pStyle w:val="a3"/>
        <w:spacing w:before="0" w:beforeAutospacing="0" w:after="0" w:afterAutospacing="0"/>
        <w:jc w:val="center"/>
        <w:rPr>
          <w:sz w:val="20"/>
          <w:szCs w:val="20"/>
        </w:rPr>
      </w:pPr>
      <w:r>
        <w:rPr>
          <w:b/>
          <w:bCs/>
          <w:sz w:val="20"/>
          <w:szCs w:val="20"/>
        </w:rPr>
        <w:t>(in thousands</w:t>
      </w:r>
      <w:r>
        <w:rPr>
          <w:b/>
          <w:bCs/>
          <w:sz w:val="20"/>
          <w:szCs w:val="20"/>
        </w:rPr>
        <w:t>)</w:t>
      </w:r>
    </w:p>
    <w:p w14:paraId="779D3D31"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7"/>
        <w:gridCol w:w="130"/>
        <w:gridCol w:w="160"/>
        <w:gridCol w:w="1030"/>
        <w:gridCol w:w="127"/>
        <w:gridCol w:w="130"/>
        <w:gridCol w:w="160"/>
        <w:gridCol w:w="1030"/>
        <w:gridCol w:w="142"/>
      </w:tblGrid>
      <w:tr w:rsidR="00000000" w14:paraId="45D6C252" w14:textId="77777777">
        <w:trPr>
          <w:tblCellSpacing w:w="15" w:type="dxa"/>
        </w:trPr>
        <w:tc>
          <w:tcPr>
            <w:tcW w:w="3357" w:type="pct"/>
            <w:vAlign w:val="center"/>
            <w:hideMark/>
          </w:tcPr>
          <w:p w14:paraId="66417324" w14:textId="77777777" w:rsidR="00000000" w:rsidRDefault="003C49E9">
            <w:pPr>
              <w:rPr>
                <w:sz w:val="20"/>
                <w:szCs w:val="20"/>
              </w:rPr>
            </w:pPr>
          </w:p>
        </w:tc>
        <w:tc>
          <w:tcPr>
            <w:tcW w:w="79" w:type="pct"/>
            <w:vAlign w:val="center"/>
            <w:hideMark/>
          </w:tcPr>
          <w:p w14:paraId="77EB0D1B" w14:textId="77777777" w:rsidR="00000000" w:rsidRDefault="003C49E9">
            <w:pPr>
              <w:rPr>
                <w:rFonts w:eastAsia="Times New Roman"/>
                <w:sz w:val="20"/>
                <w:szCs w:val="20"/>
              </w:rPr>
            </w:pPr>
          </w:p>
        </w:tc>
        <w:tc>
          <w:tcPr>
            <w:tcW w:w="50" w:type="pct"/>
            <w:vAlign w:val="center"/>
            <w:hideMark/>
          </w:tcPr>
          <w:p w14:paraId="0F62CDA2" w14:textId="77777777" w:rsidR="00000000" w:rsidRDefault="003C49E9">
            <w:pPr>
              <w:rPr>
                <w:rFonts w:eastAsia="Times New Roman"/>
                <w:sz w:val="20"/>
                <w:szCs w:val="20"/>
              </w:rPr>
            </w:pPr>
          </w:p>
        </w:tc>
        <w:tc>
          <w:tcPr>
            <w:tcW w:w="641" w:type="pct"/>
            <w:vAlign w:val="center"/>
            <w:hideMark/>
          </w:tcPr>
          <w:p w14:paraId="5C77670A" w14:textId="77777777" w:rsidR="00000000" w:rsidRDefault="003C49E9">
            <w:pPr>
              <w:rPr>
                <w:rFonts w:eastAsia="Times New Roman"/>
                <w:sz w:val="20"/>
                <w:szCs w:val="20"/>
              </w:rPr>
            </w:pPr>
          </w:p>
        </w:tc>
        <w:tc>
          <w:tcPr>
            <w:tcW w:w="50" w:type="pct"/>
            <w:vAlign w:val="center"/>
            <w:hideMark/>
          </w:tcPr>
          <w:p w14:paraId="6BB8C465" w14:textId="77777777" w:rsidR="00000000" w:rsidRDefault="003C49E9">
            <w:pPr>
              <w:rPr>
                <w:rFonts w:eastAsia="Times New Roman"/>
                <w:sz w:val="20"/>
                <w:szCs w:val="20"/>
              </w:rPr>
            </w:pPr>
          </w:p>
        </w:tc>
        <w:tc>
          <w:tcPr>
            <w:tcW w:w="79" w:type="pct"/>
            <w:vAlign w:val="center"/>
            <w:hideMark/>
          </w:tcPr>
          <w:p w14:paraId="2A5347C3" w14:textId="77777777" w:rsidR="00000000" w:rsidRDefault="003C49E9">
            <w:pPr>
              <w:rPr>
                <w:rFonts w:eastAsia="Times New Roman"/>
                <w:sz w:val="20"/>
                <w:szCs w:val="20"/>
              </w:rPr>
            </w:pPr>
          </w:p>
        </w:tc>
        <w:tc>
          <w:tcPr>
            <w:tcW w:w="50" w:type="pct"/>
            <w:vAlign w:val="center"/>
            <w:hideMark/>
          </w:tcPr>
          <w:p w14:paraId="57F4BB10" w14:textId="77777777" w:rsidR="00000000" w:rsidRDefault="003C49E9">
            <w:pPr>
              <w:rPr>
                <w:rFonts w:eastAsia="Times New Roman"/>
                <w:sz w:val="20"/>
                <w:szCs w:val="20"/>
              </w:rPr>
            </w:pPr>
          </w:p>
        </w:tc>
        <w:tc>
          <w:tcPr>
            <w:tcW w:w="641" w:type="pct"/>
            <w:vAlign w:val="center"/>
            <w:hideMark/>
          </w:tcPr>
          <w:p w14:paraId="62B929A1" w14:textId="77777777" w:rsidR="00000000" w:rsidRDefault="003C49E9">
            <w:pPr>
              <w:rPr>
                <w:rFonts w:eastAsia="Times New Roman"/>
                <w:sz w:val="20"/>
                <w:szCs w:val="20"/>
              </w:rPr>
            </w:pPr>
          </w:p>
        </w:tc>
        <w:tc>
          <w:tcPr>
            <w:tcW w:w="50" w:type="pct"/>
            <w:vAlign w:val="center"/>
            <w:hideMark/>
          </w:tcPr>
          <w:p w14:paraId="747EF700" w14:textId="77777777" w:rsidR="00000000" w:rsidRDefault="003C49E9">
            <w:pPr>
              <w:rPr>
                <w:rFonts w:eastAsia="Times New Roman"/>
                <w:sz w:val="20"/>
                <w:szCs w:val="20"/>
              </w:rPr>
            </w:pPr>
          </w:p>
        </w:tc>
      </w:tr>
      <w:tr w:rsidR="00000000" w14:paraId="09B700C5" w14:textId="77777777">
        <w:trPr>
          <w:trHeight w:val="160"/>
          <w:tblCellSpacing w:w="15" w:type="dxa"/>
        </w:trPr>
        <w:tc>
          <w:tcPr>
            <w:tcW w:w="0" w:type="auto"/>
            <w:vAlign w:val="bottom"/>
            <w:hideMark/>
          </w:tcPr>
          <w:p w14:paraId="5AE99F6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F95F80E"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75A1AA9" w14:textId="77777777" w:rsidR="00000000" w:rsidRDefault="003C49E9">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66BD9C9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32DF70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56964CF" w14:textId="77777777" w:rsidR="00000000" w:rsidRDefault="003C49E9">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174D40A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CF06675" w14:textId="77777777">
        <w:trPr>
          <w:trHeight w:val="160"/>
          <w:tblCellSpacing w:w="15" w:type="dxa"/>
        </w:trPr>
        <w:tc>
          <w:tcPr>
            <w:tcW w:w="0" w:type="auto"/>
            <w:vAlign w:val="bottom"/>
            <w:hideMark/>
          </w:tcPr>
          <w:p w14:paraId="4CA549D3" w14:textId="77777777" w:rsidR="00000000" w:rsidRDefault="003C49E9">
            <w:pPr>
              <w:pStyle w:val="a3"/>
              <w:spacing w:before="0" w:beforeAutospacing="0" w:after="0" w:afterAutospacing="0"/>
              <w:rPr>
                <w:sz w:val="16"/>
                <w:szCs w:val="16"/>
              </w:rPr>
            </w:pPr>
            <w:r>
              <w:rPr>
                <w:sz w:val="16"/>
                <w:szCs w:val="16"/>
              </w:rPr>
              <w:lastRenderedPageBreak/>
              <w:t> </w:t>
            </w:r>
          </w:p>
        </w:tc>
        <w:tc>
          <w:tcPr>
            <w:tcW w:w="0" w:type="auto"/>
            <w:vAlign w:val="bottom"/>
            <w:hideMark/>
          </w:tcPr>
          <w:p w14:paraId="7C0E0FB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27D1D05"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4CF1E4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8CAA03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070CD20"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279FD2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BF10C0D" w14:textId="77777777">
        <w:trPr>
          <w:trHeight w:val="200"/>
          <w:tblCellSpacing w:w="15" w:type="dxa"/>
        </w:trPr>
        <w:tc>
          <w:tcPr>
            <w:tcW w:w="0" w:type="auto"/>
            <w:vAlign w:val="bottom"/>
            <w:hideMark/>
          </w:tcPr>
          <w:p w14:paraId="4D974D76" w14:textId="77777777" w:rsidR="00000000" w:rsidRDefault="003C49E9">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14:paraId="408386D7"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0D8B58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B8EA8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0B6D15"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2647F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6E70FB" w14:textId="77777777" w:rsidR="00000000" w:rsidRDefault="003C49E9">
            <w:pPr>
              <w:pStyle w:val="a3"/>
              <w:spacing w:before="0" w:beforeAutospacing="0" w:after="0" w:afterAutospacing="0"/>
              <w:rPr>
                <w:sz w:val="20"/>
                <w:szCs w:val="20"/>
              </w:rPr>
            </w:pPr>
            <w:r>
              <w:rPr>
                <w:sz w:val="20"/>
                <w:szCs w:val="20"/>
              </w:rPr>
              <w:t> </w:t>
            </w:r>
          </w:p>
        </w:tc>
      </w:tr>
      <w:tr w:rsidR="00000000" w14:paraId="221437FB" w14:textId="77777777">
        <w:trPr>
          <w:trHeight w:val="200"/>
          <w:tblCellSpacing w:w="15" w:type="dxa"/>
        </w:trPr>
        <w:tc>
          <w:tcPr>
            <w:tcW w:w="0" w:type="auto"/>
            <w:vAlign w:val="bottom"/>
            <w:hideMark/>
          </w:tcPr>
          <w:p w14:paraId="29681169" w14:textId="77777777" w:rsidR="00000000" w:rsidRDefault="003C49E9">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14:paraId="1870B5F3"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3700E5B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879B7C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08B673E"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6F04803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AB80E95"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FF60962" w14:textId="77777777">
        <w:trPr>
          <w:trHeight w:val="200"/>
          <w:tblCellSpacing w:w="15" w:type="dxa"/>
        </w:trPr>
        <w:tc>
          <w:tcPr>
            <w:tcW w:w="0" w:type="auto"/>
            <w:vAlign w:val="bottom"/>
            <w:hideMark/>
          </w:tcPr>
          <w:p w14:paraId="7CB46774" w14:textId="77777777" w:rsidR="00000000" w:rsidRDefault="003C49E9">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14:paraId="2FF1D41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B622F1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0B4D900" w14:textId="77777777" w:rsidR="00000000" w:rsidRDefault="003C49E9">
            <w:pPr>
              <w:pStyle w:val="a3"/>
              <w:spacing w:before="0" w:beforeAutospacing="0" w:after="0" w:afterAutospacing="0"/>
              <w:jc w:val="right"/>
              <w:rPr>
                <w:sz w:val="20"/>
                <w:szCs w:val="20"/>
              </w:rPr>
            </w:pPr>
            <w:r>
              <w:rPr>
                <w:sz w:val="20"/>
                <w:szCs w:val="20"/>
              </w:rPr>
              <w:t>305,66</w:t>
            </w:r>
            <w:r>
              <w:rPr>
                <w:sz w:val="20"/>
                <w:szCs w:val="20"/>
              </w:rPr>
              <w:t>4</w:t>
            </w:r>
          </w:p>
        </w:tc>
        <w:tc>
          <w:tcPr>
            <w:tcW w:w="0" w:type="auto"/>
            <w:noWrap/>
            <w:vAlign w:val="bottom"/>
            <w:hideMark/>
          </w:tcPr>
          <w:p w14:paraId="24F59A7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3362F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7680C6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B166B9" w14:textId="77777777" w:rsidR="00000000" w:rsidRDefault="003C49E9">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14:paraId="09BE98BC" w14:textId="77777777" w:rsidR="00000000" w:rsidRDefault="003C49E9">
            <w:pPr>
              <w:pStyle w:val="a3"/>
              <w:spacing w:before="0" w:beforeAutospacing="0" w:after="0" w:afterAutospacing="0"/>
              <w:rPr>
                <w:sz w:val="20"/>
                <w:szCs w:val="20"/>
              </w:rPr>
            </w:pPr>
            <w:r>
              <w:rPr>
                <w:sz w:val="20"/>
                <w:szCs w:val="20"/>
              </w:rPr>
              <w:t> </w:t>
            </w:r>
          </w:p>
        </w:tc>
      </w:tr>
      <w:tr w:rsidR="00000000" w14:paraId="2F77DB3F" w14:textId="77777777">
        <w:trPr>
          <w:trHeight w:val="200"/>
          <w:tblCellSpacing w:w="15" w:type="dxa"/>
        </w:trPr>
        <w:tc>
          <w:tcPr>
            <w:tcW w:w="0" w:type="auto"/>
            <w:vAlign w:val="bottom"/>
            <w:hideMark/>
          </w:tcPr>
          <w:p w14:paraId="4CD2F16F" w14:textId="77777777" w:rsidR="00000000" w:rsidRDefault="003C49E9">
            <w:pPr>
              <w:pStyle w:val="a3"/>
              <w:spacing w:before="0" w:beforeAutospacing="0" w:after="0" w:afterAutospacing="0"/>
              <w:ind w:left="200"/>
              <w:rPr>
                <w:sz w:val="20"/>
                <w:szCs w:val="20"/>
              </w:rPr>
            </w:pPr>
            <w:r>
              <w:rPr>
                <w:sz w:val="20"/>
                <w:szCs w:val="20"/>
              </w:rPr>
              <w:t>Short-term investment</w:t>
            </w:r>
            <w:r>
              <w:rPr>
                <w:sz w:val="20"/>
                <w:szCs w:val="20"/>
              </w:rPr>
              <w:t>s</w:t>
            </w:r>
          </w:p>
        </w:tc>
        <w:tc>
          <w:tcPr>
            <w:tcW w:w="0" w:type="auto"/>
            <w:vAlign w:val="bottom"/>
            <w:hideMark/>
          </w:tcPr>
          <w:p w14:paraId="5384FA7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F89FB4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79AE47" w14:textId="77777777" w:rsidR="00000000" w:rsidRDefault="003C49E9">
            <w:pPr>
              <w:pStyle w:val="a3"/>
              <w:spacing w:before="0" w:beforeAutospacing="0" w:after="0" w:afterAutospacing="0"/>
              <w:jc w:val="right"/>
              <w:rPr>
                <w:sz w:val="20"/>
                <w:szCs w:val="20"/>
              </w:rPr>
            </w:pPr>
            <w:r>
              <w:rPr>
                <w:sz w:val="20"/>
                <w:szCs w:val="20"/>
              </w:rPr>
              <w:t>940,37</w:t>
            </w:r>
            <w:r>
              <w:rPr>
                <w:sz w:val="20"/>
                <w:szCs w:val="20"/>
              </w:rPr>
              <w:t>9</w:t>
            </w:r>
          </w:p>
        </w:tc>
        <w:tc>
          <w:tcPr>
            <w:tcW w:w="0" w:type="auto"/>
            <w:noWrap/>
            <w:vAlign w:val="bottom"/>
            <w:hideMark/>
          </w:tcPr>
          <w:p w14:paraId="661FD1A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BBCBA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8810F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31EF39" w14:textId="77777777" w:rsidR="00000000" w:rsidRDefault="003C49E9">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14:paraId="18B33EAB" w14:textId="77777777" w:rsidR="00000000" w:rsidRDefault="003C49E9">
            <w:pPr>
              <w:pStyle w:val="a3"/>
              <w:spacing w:before="0" w:beforeAutospacing="0" w:after="0" w:afterAutospacing="0"/>
              <w:rPr>
                <w:sz w:val="20"/>
                <w:szCs w:val="20"/>
              </w:rPr>
            </w:pPr>
            <w:r>
              <w:rPr>
                <w:sz w:val="20"/>
                <w:szCs w:val="20"/>
              </w:rPr>
              <w:t> </w:t>
            </w:r>
          </w:p>
        </w:tc>
      </w:tr>
      <w:tr w:rsidR="00000000" w14:paraId="7D1D99F9" w14:textId="77777777">
        <w:trPr>
          <w:trHeight w:val="200"/>
          <w:tblCellSpacing w:w="15" w:type="dxa"/>
        </w:trPr>
        <w:tc>
          <w:tcPr>
            <w:tcW w:w="0" w:type="auto"/>
            <w:vAlign w:val="bottom"/>
            <w:hideMark/>
          </w:tcPr>
          <w:p w14:paraId="2422D169" w14:textId="77777777" w:rsidR="00000000" w:rsidRDefault="003C49E9">
            <w:pPr>
              <w:pStyle w:val="a3"/>
              <w:spacing w:before="0" w:beforeAutospacing="0" w:after="0" w:afterAutospacing="0"/>
              <w:ind w:left="200"/>
              <w:rPr>
                <w:sz w:val="20"/>
                <w:szCs w:val="20"/>
              </w:rPr>
            </w:pPr>
            <w:r>
              <w:rPr>
                <w:sz w:val="20"/>
                <w:szCs w:val="20"/>
              </w:rPr>
              <w:t xml:space="preserve">Accounts receivable — </w:t>
            </w:r>
            <w:r>
              <w:rPr>
                <w:sz w:val="20"/>
                <w:szCs w:val="20"/>
              </w:rPr>
              <w:t xml:space="preserve">net of allowance for doubtful accounts of </w:t>
            </w:r>
            <w:r>
              <w:rPr>
                <w:sz w:val="20"/>
                <w:szCs w:val="20"/>
              </w:rPr>
              <w:t>$</w:t>
            </w:r>
            <w:r>
              <w:rPr>
                <w:sz w:val="20"/>
                <w:szCs w:val="20"/>
              </w:rPr>
              <w:t>2,04</w:t>
            </w:r>
            <w:r>
              <w:rPr>
                <w:sz w:val="20"/>
                <w:szCs w:val="20"/>
              </w:rPr>
              <w:t>1</w:t>
            </w:r>
            <w:r>
              <w:rPr>
                <w:sz w:val="20"/>
                <w:szCs w:val="20"/>
              </w:rPr>
              <w:t> and</w:t>
            </w:r>
            <w:r>
              <w:rPr>
                <w:sz w:val="20"/>
                <w:szCs w:val="20"/>
              </w:rPr>
              <w:br/>
              <w:t>   </w:t>
            </w:r>
            <w:r>
              <w:rPr>
                <w:sz w:val="20"/>
                <w:szCs w:val="20"/>
              </w:rPr>
              <w:t>$</w:t>
            </w:r>
            <w:r>
              <w:rPr>
                <w:sz w:val="20"/>
                <w:szCs w:val="20"/>
              </w:rPr>
              <w:t>1,76</w:t>
            </w:r>
            <w:r>
              <w:rPr>
                <w:sz w:val="20"/>
                <w:szCs w:val="20"/>
              </w:rPr>
              <w:t>8</w:t>
            </w:r>
            <w:r>
              <w:rPr>
                <w:sz w:val="20"/>
                <w:szCs w:val="20"/>
              </w:rPr>
              <w:t> at June 30, 2022 and December 31, 2021, respectivel</w:t>
            </w:r>
            <w:r>
              <w:rPr>
                <w:sz w:val="20"/>
                <w:szCs w:val="20"/>
              </w:rPr>
              <w:t>y</w:t>
            </w:r>
          </w:p>
        </w:tc>
        <w:tc>
          <w:tcPr>
            <w:tcW w:w="0" w:type="auto"/>
            <w:vAlign w:val="bottom"/>
            <w:hideMark/>
          </w:tcPr>
          <w:p w14:paraId="66C8749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2DE80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2C05BB" w14:textId="77777777" w:rsidR="00000000" w:rsidRDefault="003C49E9">
            <w:pPr>
              <w:pStyle w:val="a3"/>
              <w:spacing w:before="0" w:beforeAutospacing="0" w:after="0" w:afterAutospacing="0"/>
              <w:jc w:val="right"/>
              <w:rPr>
                <w:sz w:val="20"/>
                <w:szCs w:val="20"/>
              </w:rPr>
            </w:pPr>
            <w:r>
              <w:rPr>
                <w:sz w:val="20"/>
                <w:szCs w:val="20"/>
              </w:rPr>
              <w:t>165,95</w:t>
            </w:r>
            <w:r>
              <w:rPr>
                <w:sz w:val="20"/>
                <w:szCs w:val="20"/>
              </w:rPr>
              <w:t>0</w:t>
            </w:r>
          </w:p>
        </w:tc>
        <w:tc>
          <w:tcPr>
            <w:tcW w:w="0" w:type="auto"/>
            <w:noWrap/>
            <w:vAlign w:val="bottom"/>
            <w:hideMark/>
          </w:tcPr>
          <w:p w14:paraId="4AE4839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991B9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BC4314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A2ED7F" w14:textId="77777777" w:rsidR="00000000" w:rsidRDefault="003C49E9">
            <w:pPr>
              <w:pStyle w:val="a3"/>
              <w:spacing w:before="0" w:beforeAutospacing="0" w:after="0" w:afterAutospacing="0"/>
              <w:jc w:val="right"/>
              <w:rPr>
                <w:sz w:val="20"/>
                <w:szCs w:val="20"/>
              </w:rPr>
            </w:pPr>
            <w:r>
              <w:rPr>
                <w:sz w:val="20"/>
                <w:szCs w:val="20"/>
              </w:rPr>
              <w:t>157,36</w:t>
            </w:r>
            <w:r>
              <w:rPr>
                <w:sz w:val="20"/>
                <w:szCs w:val="20"/>
              </w:rPr>
              <w:t>2</w:t>
            </w:r>
          </w:p>
        </w:tc>
        <w:tc>
          <w:tcPr>
            <w:tcW w:w="0" w:type="auto"/>
            <w:noWrap/>
            <w:vAlign w:val="bottom"/>
            <w:hideMark/>
          </w:tcPr>
          <w:p w14:paraId="757DFB46" w14:textId="77777777" w:rsidR="00000000" w:rsidRDefault="003C49E9">
            <w:pPr>
              <w:pStyle w:val="a3"/>
              <w:spacing w:before="0" w:beforeAutospacing="0" w:after="0" w:afterAutospacing="0"/>
              <w:rPr>
                <w:sz w:val="20"/>
                <w:szCs w:val="20"/>
              </w:rPr>
            </w:pPr>
            <w:r>
              <w:rPr>
                <w:sz w:val="20"/>
                <w:szCs w:val="20"/>
              </w:rPr>
              <w:t> </w:t>
            </w:r>
          </w:p>
        </w:tc>
      </w:tr>
      <w:tr w:rsidR="00000000" w14:paraId="41DBFE50" w14:textId="77777777">
        <w:trPr>
          <w:trHeight w:val="200"/>
          <w:tblCellSpacing w:w="15" w:type="dxa"/>
        </w:trPr>
        <w:tc>
          <w:tcPr>
            <w:tcW w:w="0" w:type="auto"/>
            <w:vAlign w:val="bottom"/>
            <w:hideMark/>
          </w:tcPr>
          <w:p w14:paraId="73A8D4DF" w14:textId="77777777" w:rsidR="00000000" w:rsidRDefault="003C49E9">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14:paraId="2EFB731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F7BDC0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DB3DC3E" w14:textId="77777777" w:rsidR="00000000" w:rsidRDefault="003C49E9">
            <w:pPr>
              <w:pStyle w:val="a3"/>
              <w:spacing w:before="0" w:beforeAutospacing="0" w:after="0" w:afterAutospacing="0"/>
              <w:jc w:val="right"/>
              <w:rPr>
                <w:sz w:val="20"/>
                <w:szCs w:val="20"/>
              </w:rPr>
            </w:pPr>
            <w:r>
              <w:rPr>
                <w:sz w:val="20"/>
                <w:szCs w:val="20"/>
              </w:rPr>
              <w:t>63,52</w:t>
            </w:r>
            <w:r>
              <w:rPr>
                <w:sz w:val="20"/>
                <w:szCs w:val="20"/>
              </w:rPr>
              <w:t>6</w:t>
            </w:r>
          </w:p>
        </w:tc>
        <w:tc>
          <w:tcPr>
            <w:tcW w:w="0" w:type="auto"/>
            <w:noWrap/>
            <w:vAlign w:val="bottom"/>
            <w:hideMark/>
          </w:tcPr>
          <w:p w14:paraId="081514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B70AB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823913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867FF5" w14:textId="77777777" w:rsidR="00000000" w:rsidRDefault="003C49E9">
            <w:pPr>
              <w:pStyle w:val="a3"/>
              <w:spacing w:before="0" w:beforeAutospacing="0" w:after="0" w:afterAutospacing="0"/>
              <w:jc w:val="right"/>
              <w:rPr>
                <w:sz w:val="20"/>
                <w:szCs w:val="20"/>
              </w:rPr>
            </w:pPr>
            <w:r>
              <w:rPr>
                <w:sz w:val="20"/>
                <w:szCs w:val="20"/>
              </w:rPr>
              <w:t>59,84</w:t>
            </w:r>
            <w:r>
              <w:rPr>
                <w:sz w:val="20"/>
                <w:szCs w:val="20"/>
              </w:rPr>
              <w:t>9</w:t>
            </w:r>
          </w:p>
        </w:tc>
        <w:tc>
          <w:tcPr>
            <w:tcW w:w="0" w:type="auto"/>
            <w:noWrap/>
            <w:vAlign w:val="bottom"/>
            <w:hideMark/>
          </w:tcPr>
          <w:p w14:paraId="7DE7D4CF" w14:textId="77777777" w:rsidR="00000000" w:rsidRDefault="003C49E9">
            <w:pPr>
              <w:pStyle w:val="a3"/>
              <w:spacing w:before="0" w:beforeAutospacing="0" w:after="0" w:afterAutospacing="0"/>
              <w:rPr>
                <w:sz w:val="20"/>
                <w:szCs w:val="20"/>
              </w:rPr>
            </w:pPr>
            <w:r>
              <w:rPr>
                <w:sz w:val="20"/>
                <w:szCs w:val="20"/>
              </w:rPr>
              <w:t> </w:t>
            </w:r>
          </w:p>
        </w:tc>
      </w:tr>
      <w:tr w:rsidR="00000000" w14:paraId="5B6D8C7C" w14:textId="77777777">
        <w:trPr>
          <w:trHeight w:val="200"/>
          <w:tblCellSpacing w:w="15" w:type="dxa"/>
        </w:trPr>
        <w:tc>
          <w:tcPr>
            <w:tcW w:w="0" w:type="auto"/>
            <w:vAlign w:val="bottom"/>
            <w:hideMark/>
          </w:tcPr>
          <w:p w14:paraId="2FB8194E" w14:textId="77777777" w:rsidR="00000000" w:rsidRDefault="003C49E9">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14:paraId="44AFA1C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0DEEE7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703A62" w14:textId="77777777" w:rsidR="00000000" w:rsidRDefault="003C49E9">
            <w:pPr>
              <w:pStyle w:val="a3"/>
              <w:spacing w:before="0" w:beforeAutospacing="0" w:after="0" w:afterAutospacing="0"/>
              <w:jc w:val="right"/>
              <w:rPr>
                <w:sz w:val="20"/>
                <w:szCs w:val="20"/>
              </w:rPr>
            </w:pPr>
            <w:r>
              <w:rPr>
                <w:sz w:val="20"/>
                <w:szCs w:val="20"/>
              </w:rPr>
              <w:t>56,26</w:t>
            </w:r>
            <w:r>
              <w:rPr>
                <w:sz w:val="20"/>
                <w:szCs w:val="20"/>
              </w:rPr>
              <w:t>0</w:t>
            </w:r>
          </w:p>
        </w:tc>
        <w:tc>
          <w:tcPr>
            <w:tcW w:w="0" w:type="auto"/>
            <w:noWrap/>
            <w:vAlign w:val="bottom"/>
            <w:hideMark/>
          </w:tcPr>
          <w:p w14:paraId="237C769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DDCF5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68836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85691E" w14:textId="77777777" w:rsidR="00000000" w:rsidRDefault="003C49E9">
            <w:pPr>
              <w:pStyle w:val="a3"/>
              <w:spacing w:before="0" w:beforeAutospacing="0" w:after="0" w:afterAutospacing="0"/>
              <w:jc w:val="right"/>
              <w:rPr>
                <w:sz w:val="20"/>
                <w:szCs w:val="20"/>
              </w:rPr>
            </w:pPr>
            <w:r>
              <w:rPr>
                <w:sz w:val="20"/>
                <w:szCs w:val="20"/>
              </w:rPr>
              <w:t>38,38</w:t>
            </w:r>
            <w:r>
              <w:rPr>
                <w:sz w:val="20"/>
                <w:szCs w:val="20"/>
              </w:rPr>
              <w:t>8</w:t>
            </w:r>
          </w:p>
        </w:tc>
        <w:tc>
          <w:tcPr>
            <w:tcW w:w="0" w:type="auto"/>
            <w:noWrap/>
            <w:vAlign w:val="bottom"/>
            <w:hideMark/>
          </w:tcPr>
          <w:p w14:paraId="3D1EA35A" w14:textId="77777777" w:rsidR="00000000" w:rsidRDefault="003C49E9">
            <w:pPr>
              <w:pStyle w:val="a3"/>
              <w:spacing w:before="0" w:beforeAutospacing="0" w:after="0" w:afterAutospacing="0"/>
              <w:rPr>
                <w:sz w:val="20"/>
                <w:szCs w:val="20"/>
              </w:rPr>
            </w:pPr>
            <w:r>
              <w:rPr>
                <w:sz w:val="20"/>
                <w:szCs w:val="20"/>
              </w:rPr>
              <w:t> </w:t>
            </w:r>
          </w:p>
        </w:tc>
      </w:tr>
      <w:tr w:rsidR="00000000" w14:paraId="30C0D525" w14:textId="77777777">
        <w:trPr>
          <w:trHeight w:val="200"/>
          <w:tblCellSpacing w:w="15" w:type="dxa"/>
        </w:trPr>
        <w:tc>
          <w:tcPr>
            <w:tcW w:w="0" w:type="auto"/>
            <w:vAlign w:val="bottom"/>
            <w:hideMark/>
          </w:tcPr>
          <w:p w14:paraId="14B35441" w14:textId="77777777" w:rsidR="00000000" w:rsidRDefault="003C49E9">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14:paraId="3EB407F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BA2A4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8B3361" w14:textId="77777777" w:rsidR="00000000" w:rsidRDefault="003C49E9">
            <w:pPr>
              <w:pStyle w:val="a3"/>
              <w:spacing w:before="0" w:beforeAutospacing="0" w:after="0" w:afterAutospacing="0"/>
              <w:jc w:val="right"/>
              <w:rPr>
                <w:sz w:val="20"/>
                <w:szCs w:val="20"/>
              </w:rPr>
            </w:pPr>
            <w:r>
              <w:rPr>
                <w:sz w:val="20"/>
                <w:szCs w:val="20"/>
              </w:rPr>
              <w:t>1,531,77</w:t>
            </w:r>
            <w:r>
              <w:rPr>
                <w:sz w:val="20"/>
                <w:szCs w:val="20"/>
              </w:rPr>
              <w:t>9</w:t>
            </w:r>
          </w:p>
        </w:tc>
        <w:tc>
          <w:tcPr>
            <w:tcW w:w="0" w:type="auto"/>
            <w:noWrap/>
            <w:vAlign w:val="bottom"/>
            <w:hideMark/>
          </w:tcPr>
          <w:p w14:paraId="7C3EF02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8FA87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3E9BC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EBAE49" w14:textId="77777777" w:rsidR="00000000" w:rsidRDefault="003C49E9">
            <w:pPr>
              <w:pStyle w:val="a3"/>
              <w:spacing w:before="0" w:beforeAutospacing="0" w:after="0" w:afterAutospacing="0"/>
              <w:jc w:val="right"/>
              <w:rPr>
                <w:sz w:val="20"/>
                <w:szCs w:val="20"/>
              </w:rPr>
            </w:pPr>
            <w:r>
              <w:rPr>
                <w:sz w:val="20"/>
                <w:szCs w:val="20"/>
              </w:rPr>
              <w:t>1,453,57</w:t>
            </w:r>
            <w:r>
              <w:rPr>
                <w:sz w:val="20"/>
                <w:szCs w:val="20"/>
              </w:rPr>
              <w:t>4</w:t>
            </w:r>
          </w:p>
        </w:tc>
        <w:tc>
          <w:tcPr>
            <w:tcW w:w="0" w:type="auto"/>
            <w:noWrap/>
            <w:vAlign w:val="bottom"/>
            <w:hideMark/>
          </w:tcPr>
          <w:p w14:paraId="138A03CF" w14:textId="77777777" w:rsidR="00000000" w:rsidRDefault="003C49E9">
            <w:pPr>
              <w:pStyle w:val="a3"/>
              <w:spacing w:before="0" w:beforeAutospacing="0" w:after="0" w:afterAutospacing="0"/>
              <w:rPr>
                <w:sz w:val="20"/>
                <w:szCs w:val="20"/>
              </w:rPr>
            </w:pPr>
            <w:r>
              <w:rPr>
                <w:sz w:val="20"/>
                <w:szCs w:val="20"/>
              </w:rPr>
              <w:t> </w:t>
            </w:r>
          </w:p>
        </w:tc>
      </w:tr>
      <w:tr w:rsidR="00000000" w14:paraId="0C9BD522" w14:textId="77777777">
        <w:trPr>
          <w:trHeight w:val="200"/>
          <w:tblCellSpacing w:w="15" w:type="dxa"/>
        </w:trPr>
        <w:tc>
          <w:tcPr>
            <w:tcW w:w="0" w:type="auto"/>
            <w:vAlign w:val="bottom"/>
            <w:hideMark/>
          </w:tcPr>
          <w:p w14:paraId="70BDC813" w14:textId="77777777" w:rsidR="00000000" w:rsidRDefault="003C49E9">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14:paraId="3BB186B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48A50E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4F9F9D" w14:textId="77777777" w:rsidR="00000000" w:rsidRDefault="003C49E9">
            <w:pPr>
              <w:pStyle w:val="a3"/>
              <w:spacing w:before="0" w:beforeAutospacing="0" w:after="0" w:afterAutospacing="0"/>
              <w:jc w:val="right"/>
              <w:rPr>
                <w:sz w:val="20"/>
                <w:szCs w:val="20"/>
              </w:rPr>
            </w:pPr>
            <w:r>
              <w:rPr>
                <w:sz w:val="20"/>
                <w:szCs w:val="20"/>
              </w:rPr>
              <w:t>162,66</w:t>
            </w:r>
            <w:r>
              <w:rPr>
                <w:sz w:val="20"/>
                <w:szCs w:val="20"/>
              </w:rPr>
              <w:t>0</w:t>
            </w:r>
          </w:p>
        </w:tc>
        <w:tc>
          <w:tcPr>
            <w:tcW w:w="0" w:type="auto"/>
            <w:noWrap/>
            <w:vAlign w:val="bottom"/>
            <w:hideMark/>
          </w:tcPr>
          <w:p w14:paraId="2EAB2C1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C84BD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A1197B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F6655A" w14:textId="77777777" w:rsidR="00000000" w:rsidRDefault="003C49E9">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14:paraId="5A9B2308" w14:textId="77777777" w:rsidR="00000000" w:rsidRDefault="003C49E9">
            <w:pPr>
              <w:pStyle w:val="a3"/>
              <w:spacing w:before="0" w:beforeAutospacing="0" w:after="0" w:afterAutospacing="0"/>
              <w:rPr>
                <w:sz w:val="20"/>
                <w:szCs w:val="20"/>
              </w:rPr>
            </w:pPr>
            <w:r>
              <w:rPr>
                <w:sz w:val="20"/>
                <w:szCs w:val="20"/>
              </w:rPr>
              <w:t> </w:t>
            </w:r>
          </w:p>
        </w:tc>
      </w:tr>
      <w:tr w:rsidR="00000000" w14:paraId="2C486A79" w14:textId="77777777">
        <w:trPr>
          <w:trHeight w:val="200"/>
          <w:tblCellSpacing w:w="15" w:type="dxa"/>
        </w:trPr>
        <w:tc>
          <w:tcPr>
            <w:tcW w:w="0" w:type="auto"/>
            <w:vAlign w:val="bottom"/>
            <w:hideMark/>
          </w:tcPr>
          <w:p w14:paraId="514C2A0E" w14:textId="77777777" w:rsidR="00000000" w:rsidRDefault="003C49E9">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14:paraId="71F6377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DBAF5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64243D" w14:textId="77777777" w:rsidR="00000000" w:rsidRDefault="003C49E9">
            <w:pPr>
              <w:pStyle w:val="a3"/>
              <w:spacing w:before="0" w:beforeAutospacing="0" w:after="0" w:afterAutospacing="0"/>
              <w:jc w:val="right"/>
              <w:rPr>
                <w:sz w:val="20"/>
                <w:szCs w:val="20"/>
              </w:rPr>
            </w:pPr>
            <w:r>
              <w:rPr>
                <w:sz w:val="20"/>
                <w:szCs w:val="20"/>
              </w:rPr>
              <w:t>102,55</w:t>
            </w:r>
            <w:r>
              <w:rPr>
                <w:sz w:val="20"/>
                <w:szCs w:val="20"/>
              </w:rPr>
              <w:t>6</w:t>
            </w:r>
          </w:p>
        </w:tc>
        <w:tc>
          <w:tcPr>
            <w:tcW w:w="0" w:type="auto"/>
            <w:noWrap/>
            <w:vAlign w:val="bottom"/>
            <w:hideMark/>
          </w:tcPr>
          <w:p w14:paraId="14CF132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71D79B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D3E3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C148A5" w14:textId="77777777" w:rsidR="00000000" w:rsidRDefault="003C49E9">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14:paraId="110C9F50" w14:textId="77777777" w:rsidR="00000000" w:rsidRDefault="003C49E9">
            <w:pPr>
              <w:pStyle w:val="a3"/>
              <w:spacing w:before="0" w:beforeAutospacing="0" w:after="0" w:afterAutospacing="0"/>
              <w:rPr>
                <w:sz w:val="20"/>
                <w:szCs w:val="20"/>
              </w:rPr>
            </w:pPr>
            <w:r>
              <w:rPr>
                <w:sz w:val="20"/>
                <w:szCs w:val="20"/>
              </w:rPr>
              <w:t> </w:t>
            </w:r>
          </w:p>
        </w:tc>
      </w:tr>
      <w:tr w:rsidR="00000000" w14:paraId="1C1EF7E1" w14:textId="77777777">
        <w:trPr>
          <w:trHeight w:val="200"/>
          <w:tblCellSpacing w:w="15" w:type="dxa"/>
        </w:trPr>
        <w:tc>
          <w:tcPr>
            <w:tcW w:w="0" w:type="auto"/>
            <w:vAlign w:val="bottom"/>
            <w:hideMark/>
          </w:tcPr>
          <w:p w14:paraId="71297673" w14:textId="77777777" w:rsidR="00000000" w:rsidRDefault="003C49E9">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14:paraId="5EB2197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18764C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315CB6" w14:textId="77777777" w:rsidR="00000000" w:rsidRDefault="003C49E9">
            <w:pPr>
              <w:pStyle w:val="a3"/>
              <w:spacing w:before="0" w:beforeAutospacing="0" w:after="0" w:afterAutospacing="0"/>
              <w:jc w:val="right"/>
              <w:rPr>
                <w:sz w:val="20"/>
                <w:szCs w:val="20"/>
              </w:rPr>
            </w:pPr>
            <w:r>
              <w:rPr>
                <w:sz w:val="20"/>
                <w:szCs w:val="20"/>
              </w:rPr>
              <w:t>50,22</w:t>
            </w:r>
            <w:r>
              <w:rPr>
                <w:sz w:val="20"/>
                <w:szCs w:val="20"/>
              </w:rPr>
              <w:t>8</w:t>
            </w:r>
          </w:p>
        </w:tc>
        <w:tc>
          <w:tcPr>
            <w:tcW w:w="0" w:type="auto"/>
            <w:noWrap/>
            <w:vAlign w:val="bottom"/>
            <w:hideMark/>
          </w:tcPr>
          <w:p w14:paraId="6ABEA4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AF5DD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B035A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084AF9" w14:textId="77777777" w:rsidR="00000000" w:rsidRDefault="003C49E9">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14:paraId="48310879" w14:textId="77777777" w:rsidR="00000000" w:rsidRDefault="003C49E9">
            <w:pPr>
              <w:pStyle w:val="a3"/>
              <w:spacing w:before="0" w:beforeAutospacing="0" w:after="0" w:afterAutospacing="0"/>
              <w:rPr>
                <w:sz w:val="20"/>
                <w:szCs w:val="20"/>
              </w:rPr>
            </w:pPr>
            <w:r>
              <w:rPr>
                <w:sz w:val="20"/>
                <w:szCs w:val="20"/>
              </w:rPr>
              <w:t> </w:t>
            </w:r>
          </w:p>
        </w:tc>
      </w:tr>
      <w:tr w:rsidR="00000000" w14:paraId="2B675FA7" w14:textId="77777777">
        <w:trPr>
          <w:trHeight w:val="200"/>
          <w:tblCellSpacing w:w="15" w:type="dxa"/>
        </w:trPr>
        <w:tc>
          <w:tcPr>
            <w:tcW w:w="0" w:type="auto"/>
            <w:vAlign w:val="bottom"/>
            <w:hideMark/>
          </w:tcPr>
          <w:p w14:paraId="6B18381F" w14:textId="77777777" w:rsidR="00000000" w:rsidRDefault="003C49E9">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14:paraId="1B2DDEB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9C7050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17B301" w14:textId="77777777" w:rsidR="00000000" w:rsidRDefault="003C49E9">
            <w:pPr>
              <w:pStyle w:val="a3"/>
              <w:spacing w:before="0" w:beforeAutospacing="0" w:after="0" w:afterAutospacing="0"/>
              <w:jc w:val="right"/>
              <w:rPr>
                <w:sz w:val="20"/>
                <w:szCs w:val="20"/>
              </w:rPr>
            </w:pPr>
            <w:r>
              <w:rPr>
                <w:sz w:val="20"/>
                <w:szCs w:val="20"/>
              </w:rPr>
              <w:t>263,60</w:t>
            </w:r>
            <w:r>
              <w:rPr>
                <w:sz w:val="20"/>
                <w:szCs w:val="20"/>
              </w:rPr>
              <w:t>2</w:t>
            </w:r>
          </w:p>
        </w:tc>
        <w:tc>
          <w:tcPr>
            <w:tcW w:w="0" w:type="auto"/>
            <w:noWrap/>
            <w:vAlign w:val="bottom"/>
            <w:hideMark/>
          </w:tcPr>
          <w:p w14:paraId="6F3B1D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EE80D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D18FD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884635" w14:textId="77777777" w:rsidR="00000000" w:rsidRDefault="003C49E9">
            <w:pPr>
              <w:pStyle w:val="a3"/>
              <w:spacing w:before="0" w:beforeAutospacing="0" w:after="0" w:afterAutospacing="0"/>
              <w:jc w:val="right"/>
              <w:rPr>
                <w:sz w:val="20"/>
                <w:szCs w:val="20"/>
              </w:rPr>
            </w:pPr>
            <w:r>
              <w:rPr>
                <w:sz w:val="20"/>
                <w:szCs w:val="20"/>
              </w:rPr>
              <w:t>280,82</w:t>
            </w:r>
            <w:r>
              <w:rPr>
                <w:sz w:val="20"/>
                <w:szCs w:val="20"/>
              </w:rPr>
              <w:t>8</w:t>
            </w:r>
          </w:p>
        </w:tc>
        <w:tc>
          <w:tcPr>
            <w:tcW w:w="0" w:type="auto"/>
            <w:noWrap/>
            <w:vAlign w:val="bottom"/>
            <w:hideMark/>
          </w:tcPr>
          <w:p w14:paraId="45FA38F1" w14:textId="77777777" w:rsidR="00000000" w:rsidRDefault="003C49E9">
            <w:pPr>
              <w:pStyle w:val="a3"/>
              <w:spacing w:before="0" w:beforeAutospacing="0" w:after="0" w:afterAutospacing="0"/>
              <w:rPr>
                <w:sz w:val="20"/>
                <w:szCs w:val="20"/>
              </w:rPr>
            </w:pPr>
            <w:r>
              <w:rPr>
                <w:sz w:val="20"/>
                <w:szCs w:val="20"/>
              </w:rPr>
              <w:t> </w:t>
            </w:r>
          </w:p>
        </w:tc>
      </w:tr>
      <w:tr w:rsidR="00000000" w14:paraId="14453930" w14:textId="77777777">
        <w:trPr>
          <w:trHeight w:val="200"/>
          <w:tblCellSpacing w:w="15" w:type="dxa"/>
        </w:trPr>
        <w:tc>
          <w:tcPr>
            <w:tcW w:w="0" w:type="auto"/>
            <w:vAlign w:val="bottom"/>
            <w:hideMark/>
          </w:tcPr>
          <w:p w14:paraId="37CD44F0" w14:textId="77777777" w:rsidR="00000000" w:rsidRDefault="003C49E9">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14:paraId="58DA78A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53E48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73EA69" w14:textId="77777777" w:rsidR="00000000" w:rsidRDefault="003C49E9">
            <w:pPr>
              <w:pStyle w:val="a3"/>
              <w:spacing w:before="0" w:beforeAutospacing="0" w:after="0" w:afterAutospacing="0"/>
              <w:jc w:val="right"/>
              <w:rPr>
                <w:sz w:val="20"/>
                <w:szCs w:val="20"/>
              </w:rPr>
            </w:pPr>
            <w:r>
              <w:rPr>
                <w:sz w:val="20"/>
                <w:szCs w:val="20"/>
              </w:rPr>
              <w:t>49,28</w:t>
            </w:r>
            <w:r>
              <w:rPr>
                <w:sz w:val="20"/>
                <w:szCs w:val="20"/>
              </w:rPr>
              <w:t>7</w:t>
            </w:r>
          </w:p>
        </w:tc>
        <w:tc>
          <w:tcPr>
            <w:tcW w:w="0" w:type="auto"/>
            <w:noWrap/>
            <w:vAlign w:val="bottom"/>
            <w:hideMark/>
          </w:tcPr>
          <w:p w14:paraId="22F49B4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F5EA8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13320E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182DC72" w14:textId="77777777" w:rsidR="00000000" w:rsidRDefault="003C49E9">
            <w:pPr>
              <w:pStyle w:val="a3"/>
              <w:spacing w:before="0" w:beforeAutospacing="0" w:after="0" w:afterAutospacing="0"/>
              <w:jc w:val="right"/>
              <w:rPr>
                <w:sz w:val="20"/>
                <w:szCs w:val="20"/>
              </w:rPr>
            </w:pPr>
            <w:r>
              <w:rPr>
                <w:sz w:val="20"/>
                <w:szCs w:val="20"/>
              </w:rPr>
              <w:t>42,68</w:t>
            </w:r>
            <w:r>
              <w:rPr>
                <w:sz w:val="20"/>
                <w:szCs w:val="20"/>
              </w:rPr>
              <w:t>1</w:t>
            </w:r>
          </w:p>
        </w:tc>
        <w:tc>
          <w:tcPr>
            <w:tcW w:w="0" w:type="auto"/>
            <w:noWrap/>
            <w:vAlign w:val="bottom"/>
            <w:hideMark/>
          </w:tcPr>
          <w:p w14:paraId="544FCBAB" w14:textId="77777777" w:rsidR="00000000" w:rsidRDefault="003C49E9">
            <w:pPr>
              <w:pStyle w:val="a3"/>
              <w:spacing w:before="0" w:beforeAutospacing="0" w:after="0" w:afterAutospacing="0"/>
              <w:rPr>
                <w:sz w:val="20"/>
                <w:szCs w:val="20"/>
              </w:rPr>
            </w:pPr>
            <w:r>
              <w:rPr>
                <w:sz w:val="20"/>
                <w:szCs w:val="20"/>
              </w:rPr>
              <w:t> </w:t>
            </w:r>
          </w:p>
        </w:tc>
      </w:tr>
      <w:tr w:rsidR="00000000" w14:paraId="02244531" w14:textId="77777777">
        <w:trPr>
          <w:trHeight w:val="200"/>
          <w:tblCellSpacing w:w="15" w:type="dxa"/>
        </w:trPr>
        <w:tc>
          <w:tcPr>
            <w:tcW w:w="0" w:type="auto"/>
            <w:vAlign w:val="bottom"/>
            <w:hideMark/>
          </w:tcPr>
          <w:p w14:paraId="3EAFA6A7" w14:textId="77777777" w:rsidR="00000000" w:rsidRDefault="003C49E9">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739921B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4AE790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4654FB7" w14:textId="77777777" w:rsidR="00000000" w:rsidRDefault="003C49E9">
            <w:pPr>
              <w:pStyle w:val="a3"/>
              <w:spacing w:before="0" w:beforeAutospacing="0" w:after="0" w:afterAutospacing="0"/>
              <w:jc w:val="right"/>
              <w:rPr>
                <w:sz w:val="20"/>
                <w:szCs w:val="20"/>
              </w:rPr>
            </w:pPr>
            <w:r>
              <w:rPr>
                <w:sz w:val="20"/>
                <w:szCs w:val="20"/>
              </w:rPr>
              <w:t>49,19</w:t>
            </w:r>
            <w:r>
              <w:rPr>
                <w:sz w:val="20"/>
                <w:szCs w:val="20"/>
              </w:rPr>
              <w:t>7</w:t>
            </w:r>
          </w:p>
        </w:tc>
        <w:tc>
          <w:tcPr>
            <w:tcW w:w="0" w:type="auto"/>
            <w:noWrap/>
            <w:vAlign w:val="bottom"/>
            <w:hideMark/>
          </w:tcPr>
          <w:p w14:paraId="7DB0015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30229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5AD1AA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CE38FC4" w14:textId="77777777" w:rsidR="00000000" w:rsidRDefault="003C49E9">
            <w:pPr>
              <w:pStyle w:val="a3"/>
              <w:spacing w:before="0" w:beforeAutospacing="0" w:after="0" w:afterAutospacing="0"/>
              <w:jc w:val="right"/>
              <w:rPr>
                <w:sz w:val="20"/>
                <w:szCs w:val="20"/>
              </w:rPr>
            </w:pPr>
            <w:r>
              <w:rPr>
                <w:sz w:val="20"/>
                <w:szCs w:val="20"/>
              </w:rPr>
              <w:t>29,24</w:t>
            </w:r>
            <w:r>
              <w:rPr>
                <w:sz w:val="20"/>
                <w:szCs w:val="20"/>
              </w:rPr>
              <w:t>4</w:t>
            </w:r>
          </w:p>
        </w:tc>
        <w:tc>
          <w:tcPr>
            <w:tcW w:w="0" w:type="auto"/>
            <w:noWrap/>
            <w:vAlign w:val="bottom"/>
            <w:hideMark/>
          </w:tcPr>
          <w:p w14:paraId="410F4704" w14:textId="77777777" w:rsidR="00000000" w:rsidRDefault="003C49E9">
            <w:pPr>
              <w:pStyle w:val="a3"/>
              <w:spacing w:before="0" w:beforeAutospacing="0" w:after="0" w:afterAutospacing="0"/>
              <w:rPr>
                <w:sz w:val="20"/>
                <w:szCs w:val="20"/>
              </w:rPr>
            </w:pPr>
            <w:r>
              <w:rPr>
                <w:sz w:val="20"/>
                <w:szCs w:val="20"/>
              </w:rPr>
              <w:t> </w:t>
            </w:r>
          </w:p>
        </w:tc>
      </w:tr>
      <w:tr w:rsidR="00000000" w14:paraId="586A648E" w14:textId="77777777">
        <w:trPr>
          <w:trHeight w:val="200"/>
          <w:tblCellSpacing w:w="15" w:type="dxa"/>
        </w:trPr>
        <w:tc>
          <w:tcPr>
            <w:tcW w:w="0" w:type="auto"/>
            <w:vAlign w:val="bottom"/>
            <w:hideMark/>
          </w:tcPr>
          <w:p w14:paraId="447F0905" w14:textId="77777777" w:rsidR="00000000" w:rsidRDefault="003C49E9">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14:paraId="5889E2B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CAF4B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11B352C" w14:textId="77777777" w:rsidR="00000000" w:rsidRDefault="003C49E9">
            <w:pPr>
              <w:pStyle w:val="a3"/>
              <w:spacing w:before="0" w:beforeAutospacing="0" w:after="0" w:afterAutospacing="0"/>
              <w:jc w:val="right"/>
              <w:rPr>
                <w:sz w:val="20"/>
                <w:szCs w:val="20"/>
              </w:rPr>
            </w:pPr>
            <w:r>
              <w:rPr>
                <w:sz w:val="20"/>
                <w:szCs w:val="20"/>
              </w:rPr>
              <w:t>18,76</w:t>
            </w:r>
            <w:r>
              <w:rPr>
                <w:sz w:val="20"/>
                <w:szCs w:val="20"/>
              </w:rPr>
              <w:t>7</w:t>
            </w:r>
          </w:p>
        </w:tc>
        <w:tc>
          <w:tcPr>
            <w:tcW w:w="0" w:type="auto"/>
            <w:noWrap/>
            <w:vAlign w:val="bottom"/>
            <w:hideMark/>
          </w:tcPr>
          <w:p w14:paraId="1BD3BC4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EA4A0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B26D9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C7D0B45" w14:textId="77777777" w:rsidR="00000000" w:rsidRDefault="003C49E9">
            <w:pPr>
              <w:pStyle w:val="a3"/>
              <w:spacing w:before="0" w:beforeAutospacing="0" w:after="0" w:afterAutospacing="0"/>
              <w:jc w:val="right"/>
              <w:rPr>
                <w:sz w:val="20"/>
                <w:szCs w:val="20"/>
              </w:rPr>
            </w:pPr>
            <w:r>
              <w:rPr>
                <w:sz w:val="20"/>
                <w:szCs w:val="20"/>
              </w:rPr>
              <w:t>10,56</w:t>
            </w:r>
            <w:r>
              <w:rPr>
                <w:sz w:val="20"/>
                <w:szCs w:val="20"/>
              </w:rPr>
              <w:t>5</w:t>
            </w:r>
          </w:p>
        </w:tc>
        <w:tc>
          <w:tcPr>
            <w:tcW w:w="0" w:type="auto"/>
            <w:noWrap/>
            <w:vAlign w:val="bottom"/>
            <w:hideMark/>
          </w:tcPr>
          <w:p w14:paraId="54263274" w14:textId="77777777" w:rsidR="00000000" w:rsidRDefault="003C49E9">
            <w:pPr>
              <w:pStyle w:val="a3"/>
              <w:spacing w:before="0" w:beforeAutospacing="0" w:after="0" w:afterAutospacing="0"/>
              <w:rPr>
                <w:sz w:val="20"/>
                <w:szCs w:val="20"/>
              </w:rPr>
            </w:pPr>
            <w:r>
              <w:rPr>
                <w:sz w:val="20"/>
                <w:szCs w:val="20"/>
              </w:rPr>
              <w:t> </w:t>
            </w:r>
          </w:p>
        </w:tc>
      </w:tr>
      <w:tr w:rsidR="00000000" w14:paraId="304CC4AC" w14:textId="77777777">
        <w:trPr>
          <w:trHeight w:val="200"/>
          <w:tblCellSpacing w:w="15" w:type="dxa"/>
        </w:trPr>
        <w:tc>
          <w:tcPr>
            <w:tcW w:w="0" w:type="auto"/>
            <w:vAlign w:val="bottom"/>
            <w:hideMark/>
          </w:tcPr>
          <w:p w14:paraId="04A08251" w14:textId="77777777" w:rsidR="00000000" w:rsidRDefault="003C49E9">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14:paraId="1CB4120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245DA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29919A" w14:textId="77777777" w:rsidR="00000000" w:rsidRDefault="003C49E9">
            <w:pPr>
              <w:pStyle w:val="a3"/>
              <w:spacing w:before="0" w:beforeAutospacing="0" w:after="0" w:afterAutospacing="0"/>
              <w:jc w:val="right"/>
              <w:rPr>
                <w:sz w:val="20"/>
                <w:szCs w:val="20"/>
              </w:rPr>
            </w:pPr>
            <w:r>
              <w:rPr>
                <w:sz w:val="20"/>
                <w:szCs w:val="20"/>
              </w:rPr>
              <w:t>45,88</w:t>
            </w:r>
            <w:r>
              <w:rPr>
                <w:sz w:val="20"/>
                <w:szCs w:val="20"/>
              </w:rPr>
              <w:t>3</w:t>
            </w:r>
          </w:p>
        </w:tc>
        <w:tc>
          <w:tcPr>
            <w:tcW w:w="0" w:type="auto"/>
            <w:noWrap/>
            <w:vAlign w:val="bottom"/>
            <w:hideMark/>
          </w:tcPr>
          <w:p w14:paraId="06C3BB2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EFAAD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E792A7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95EA11F" w14:textId="77777777" w:rsidR="00000000" w:rsidRDefault="003C49E9">
            <w:pPr>
              <w:pStyle w:val="a3"/>
              <w:spacing w:before="0" w:beforeAutospacing="0" w:after="0" w:afterAutospacing="0"/>
              <w:jc w:val="right"/>
              <w:rPr>
                <w:sz w:val="20"/>
                <w:szCs w:val="20"/>
              </w:rPr>
            </w:pPr>
            <w:r>
              <w:rPr>
                <w:sz w:val="20"/>
                <w:szCs w:val="20"/>
              </w:rPr>
              <w:t>47,07</w:t>
            </w:r>
            <w:r>
              <w:rPr>
                <w:sz w:val="20"/>
                <w:szCs w:val="20"/>
              </w:rPr>
              <w:t>5</w:t>
            </w:r>
          </w:p>
        </w:tc>
        <w:tc>
          <w:tcPr>
            <w:tcW w:w="0" w:type="auto"/>
            <w:noWrap/>
            <w:vAlign w:val="bottom"/>
            <w:hideMark/>
          </w:tcPr>
          <w:p w14:paraId="1E57FB34" w14:textId="77777777" w:rsidR="00000000" w:rsidRDefault="003C49E9">
            <w:pPr>
              <w:pStyle w:val="a3"/>
              <w:spacing w:before="0" w:beforeAutospacing="0" w:after="0" w:afterAutospacing="0"/>
              <w:rPr>
                <w:sz w:val="20"/>
                <w:szCs w:val="20"/>
              </w:rPr>
            </w:pPr>
            <w:r>
              <w:rPr>
                <w:sz w:val="20"/>
                <w:szCs w:val="20"/>
              </w:rPr>
              <w:t> </w:t>
            </w:r>
          </w:p>
        </w:tc>
      </w:tr>
      <w:tr w:rsidR="00000000" w14:paraId="46A4471D" w14:textId="77777777">
        <w:trPr>
          <w:trHeight w:val="200"/>
          <w:tblCellSpacing w:w="15" w:type="dxa"/>
        </w:trPr>
        <w:tc>
          <w:tcPr>
            <w:tcW w:w="0" w:type="auto"/>
            <w:vAlign w:val="bottom"/>
            <w:hideMark/>
          </w:tcPr>
          <w:p w14:paraId="0C21B89A" w14:textId="77777777" w:rsidR="00000000" w:rsidRDefault="003C49E9">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14:paraId="04B3B5A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D4D7D7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0D44E33" w14:textId="77777777" w:rsidR="00000000" w:rsidRDefault="003C49E9">
            <w:pPr>
              <w:pStyle w:val="a3"/>
              <w:spacing w:before="0" w:beforeAutospacing="0" w:after="0" w:afterAutospacing="0"/>
              <w:jc w:val="right"/>
              <w:rPr>
                <w:sz w:val="20"/>
                <w:szCs w:val="20"/>
              </w:rPr>
            </w:pPr>
            <w:r>
              <w:rPr>
                <w:sz w:val="20"/>
                <w:szCs w:val="20"/>
              </w:rPr>
              <w:t>2,273,95</w:t>
            </w:r>
            <w:r>
              <w:rPr>
                <w:sz w:val="20"/>
                <w:szCs w:val="20"/>
              </w:rPr>
              <w:t>9</w:t>
            </w:r>
          </w:p>
        </w:tc>
        <w:tc>
          <w:tcPr>
            <w:tcW w:w="0" w:type="auto"/>
            <w:noWrap/>
            <w:vAlign w:val="bottom"/>
            <w:hideMark/>
          </w:tcPr>
          <w:p w14:paraId="0BC8C51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3D863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524EF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ACE812" w14:textId="77777777" w:rsidR="00000000" w:rsidRDefault="003C49E9">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14:paraId="4F4FE22A" w14:textId="77777777" w:rsidR="00000000" w:rsidRDefault="003C49E9">
            <w:pPr>
              <w:pStyle w:val="a3"/>
              <w:spacing w:before="0" w:beforeAutospacing="0" w:after="0" w:afterAutospacing="0"/>
              <w:rPr>
                <w:sz w:val="20"/>
                <w:szCs w:val="20"/>
              </w:rPr>
            </w:pPr>
            <w:r>
              <w:rPr>
                <w:sz w:val="20"/>
                <w:szCs w:val="20"/>
              </w:rPr>
              <w:t> </w:t>
            </w:r>
          </w:p>
        </w:tc>
      </w:tr>
      <w:tr w:rsidR="00000000" w14:paraId="045F0169" w14:textId="77777777">
        <w:trPr>
          <w:trHeight w:val="200"/>
          <w:tblCellSpacing w:w="15" w:type="dxa"/>
        </w:trPr>
        <w:tc>
          <w:tcPr>
            <w:tcW w:w="0" w:type="auto"/>
            <w:vAlign w:val="bottom"/>
            <w:hideMark/>
          </w:tcPr>
          <w:p w14:paraId="274905EB" w14:textId="77777777" w:rsidR="00000000" w:rsidRDefault="003C49E9">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14:paraId="3774CECE"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72E84C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EA8E59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07CB223"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2ACAD24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1F23819"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EE8E45F" w14:textId="77777777">
        <w:trPr>
          <w:trHeight w:val="200"/>
          <w:tblCellSpacing w:w="15" w:type="dxa"/>
        </w:trPr>
        <w:tc>
          <w:tcPr>
            <w:tcW w:w="0" w:type="auto"/>
            <w:vAlign w:val="bottom"/>
            <w:hideMark/>
          </w:tcPr>
          <w:p w14:paraId="4BC5C2F4" w14:textId="77777777" w:rsidR="00000000" w:rsidRDefault="003C49E9">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14:paraId="7CD4F21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0593CD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A7F088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677CEE9"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3D49714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58B5FD9"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F495CB3" w14:textId="77777777">
        <w:trPr>
          <w:trHeight w:val="200"/>
          <w:tblCellSpacing w:w="15" w:type="dxa"/>
        </w:trPr>
        <w:tc>
          <w:tcPr>
            <w:tcW w:w="0" w:type="auto"/>
            <w:vAlign w:val="bottom"/>
            <w:hideMark/>
          </w:tcPr>
          <w:p w14:paraId="178DD081" w14:textId="77777777" w:rsidR="00000000" w:rsidRDefault="003C49E9">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14:paraId="36849CF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874B4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95F0968" w14:textId="77777777" w:rsidR="00000000" w:rsidRDefault="003C49E9">
            <w:pPr>
              <w:pStyle w:val="a3"/>
              <w:spacing w:before="0" w:beforeAutospacing="0" w:after="0" w:afterAutospacing="0"/>
              <w:jc w:val="right"/>
              <w:rPr>
                <w:sz w:val="20"/>
                <w:szCs w:val="20"/>
              </w:rPr>
            </w:pPr>
            <w:r>
              <w:rPr>
                <w:sz w:val="20"/>
                <w:szCs w:val="20"/>
              </w:rPr>
              <w:t>11,82</w:t>
            </w:r>
            <w:r>
              <w:rPr>
                <w:sz w:val="20"/>
                <w:szCs w:val="20"/>
              </w:rPr>
              <w:t>2</w:t>
            </w:r>
          </w:p>
        </w:tc>
        <w:tc>
          <w:tcPr>
            <w:tcW w:w="0" w:type="auto"/>
            <w:noWrap/>
            <w:vAlign w:val="bottom"/>
            <w:hideMark/>
          </w:tcPr>
          <w:p w14:paraId="6DF899D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533D79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E315D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2C90245" w14:textId="77777777" w:rsidR="00000000" w:rsidRDefault="003C49E9">
            <w:pPr>
              <w:pStyle w:val="a3"/>
              <w:spacing w:before="0" w:beforeAutospacing="0" w:after="0" w:afterAutospacing="0"/>
              <w:jc w:val="right"/>
              <w:rPr>
                <w:sz w:val="20"/>
                <w:szCs w:val="20"/>
              </w:rPr>
            </w:pPr>
            <w:r>
              <w:rPr>
                <w:sz w:val="20"/>
                <w:szCs w:val="20"/>
              </w:rPr>
              <w:t>2,77</w:t>
            </w:r>
            <w:r>
              <w:rPr>
                <w:sz w:val="20"/>
                <w:szCs w:val="20"/>
              </w:rPr>
              <w:t>3</w:t>
            </w:r>
          </w:p>
        </w:tc>
        <w:tc>
          <w:tcPr>
            <w:tcW w:w="0" w:type="auto"/>
            <w:noWrap/>
            <w:vAlign w:val="bottom"/>
            <w:hideMark/>
          </w:tcPr>
          <w:p w14:paraId="7468B089" w14:textId="77777777" w:rsidR="00000000" w:rsidRDefault="003C49E9">
            <w:pPr>
              <w:pStyle w:val="a3"/>
              <w:spacing w:before="0" w:beforeAutospacing="0" w:after="0" w:afterAutospacing="0"/>
              <w:rPr>
                <w:sz w:val="20"/>
                <w:szCs w:val="20"/>
              </w:rPr>
            </w:pPr>
            <w:r>
              <w:rPr>
                <w:sz w:val="20"/>
                <w:szCs w:val="20"/>
              </w:rPr>
              <w:t> </w:t>
            </w:r>
          </w:p>
        </w:tc>
      </w:tr>
      <w:tr w:rsidR="00000000" w14:paraId="207F1567" w14:textId="77777777">
        <w:trPr>
          <w:trHeight w:val="200"/>
          <w:tblCellSpacing w:w="15" w:type="dxa"/>
        </w:trPr>
        <w:tc>
          <w:tcPr>
            <w:tcW w:w="0" w:type="auto"/>
            <w:vAlign w:val="bottom"/>
            <w:hideMark/>
          </w:tcPr>
          <w:p w14:paraId="6C762334" w14:textId="77777777" w:rsidR="00000000" w:rsidRDefault="003C49E9">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14:paraId="0B317C8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83EE0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44FADAE" w14:textId="77777777" w:rsidR="00000000" w:rsidRDefault="003C49E9">
            <w:pPr>
              <w:pStyle w:val="a3"/>
              <w:spacing w:before="0" w:beforeAutospacing="0" w:after="0" w:afterAutospacing="0"/>
              <w:jc w:val="right"/>
              <w:rPr>
                <w:sz w:val="20"/>
                <w:szCs w:val="20"/>
              </w:rPr>
            </w:pPr>
            <w:r>
              <w:rPr>
                <w:sz w:val="20"/>
                <w:szCs w:val="20"/>
              </w:rPr>
              <w:t>55,75</w:t>
            </w:r>
            <w:r>
              <w:rPr>
                <w:sz w:val="20"/>
                <w:szCs w:val="20"/>
              </w:rPr>
              <w:t>7</w:t>
            </w:r>
          </w:p>
        </w:tc>
        <w:tc>
          <w:tcPr>
            <w:tcW w:w="0" w:type="auto"/>
            <w:noWrap/>
            <w:vAlign w:val="bottom"/>
            <w:hideMark/>
          </w:tcPr>
          <w:p w14:paraId="0FC6C0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E53B3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1C85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3AF410" w14:textId="77777777" w:rsidR="00000000" w:rsidRDefault="003C49E9">
            <w:pPr>
              <w:pStyle w:val="a3"/>
              <w:spacing w:before="0" w:beforeAutospacing="0" w:after="0" w:afterAutospacing="0"/>
              <w:jc w:val="right"/>
              <w:rPr>
                <w:sz w:val="20"/>
                <w:szCs w:val="20"/>
              </w:rPr>
            </w:pPr>
            <w:r>
              <w:rPr>
                <w:sz w:val="20"/>
                <w:szCs w:val="20"/>
              </w:rPr>
              <w:t>63,83</w:t>
            </w:r>
            <w:r>
              <w:rPr>
                <w:sz w:val="20"/>
                <w:szCs w:val="20"/>
              </w:rPr>
              <w:t>6</w:t>
            </w:r>
          </w:p>
        </w:tc>
        <w:tc>
          <w:tcPr>
            <w:tcW w:w="0" w:type="auto"/>
            <w:noWrap/>
            <w:vAlign w:val="bottom"/>
            <w:hideMark/>
          </w:tcPr>
          <w:p w14:paraId="38B20538" w14:textId="77777777" w:rsidR="00000000" w:rsidRDefault="003C49E9">
            <w:pPr>
              <w:pStyle w:val="a3"/>
              <w:spacing w:before="0" w:beforeAutospacing="0" w:after="0" w:afterAutospacing="0"/>
              <w:rPr>
                <w:sz w:val="20"/>
                <w:szCs w:val="20"/>
              </w:rPr>
            </w:pPr>
            <w:r>
              <w:rPr>
                <w:sz w:val="20"/>
                <w:szCs w:val="20"/>
              </w:rPr>
              <w:t> </w:t>
            </w:r>
          </w:p>
        </w:tc>
      </w:tr>
      <w:tr w:rsidR="00000000" w14:paraId="1EB7FDB3" w14:textId="77777777">
        <w:trPr>
          <w:trHeight w:val="200"/>
          <w:tblCellSpacing w:w="15" w:type="dxa"/>
        </w:trPr>
        <w:tc>
          <w:tcPr>
            <w:tcW w:w="0" w:type="auto"/>
            <w:vAlign w:val="bottom"/>
            <w:hideMark/>
          </w:tcPr>
          <w:p w14:paraId="4664E503" w14:textId="77777777" w:rsidR="00000000" w:rsidRDefault="003C49E9">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14:paraId="27B280B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600405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B170B2" w14:textId="77777777" w:rsidR="00000000" w:rsidRDefault="003C49E9">
            <w:pPr>
              <w:pStyle w:val="a3"/>
              <w:spacing w:before="0" w:beforeAutospacing="0" w:after="0" w:afterAutospacing="0"/>
              <w:jc w:val="right"/>
              <w:rPr>
                <w:sz w:val="20"/>
                <w:szCs w:val="20"/>
              </w:rPr>
            </w:pPr>
            <w:r>
              <w:rPr>
                <w:sz w:val="20"/>
                <w:szCs w:val="20"/>
              </w:rPr>
              <w:t>96,26</w:t>
            </w:r>
            <w:r>
              <w:rPr>
                <w:sz w:val="20"/>
                <w:szCs w:val="20"/>
              </w:rPr>
              <w:t>3</w:t>
            </w:r>
          </w:p>
        </w:tc>
        <w:tc>
          <w:tcPr>
            <w:tcW w:w="0" w:type="auto"/>
            <w:noWrap/>
            <w:vAlign w:val="bottom"/>
            <w:hideMark/>
          </w:tcPr>
          <w:p w14:paraId="7C3D38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B700A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EA0FDE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387A33" w14:textId="77777777" w:rsidR="00000000" w:rsidRDefault="003C49E9">
            <w:pPr>
              <w:pStyle w:val="a3"/>
              <w:spacing w:before="0" w:beforeAutospacing="0" w:after="0" w:afterAutospacing="0"/>
              <w:jc w:val="right"/>
              <w:rPr>
                <w:sz w:val="20"/>
                <w:szCs w:val="20"/>
              </w:rPr>
            </w:pPr>
            <w:r>
              <w:rPr>
                <w:sz w:val="20"/>
                <w:szCs w:val="20"/>
              </w:rPr>
              <w:t>74,45</w:t>
            </w:r>
            <w:r>
              <w:rPr>
                <w:sz w:val="20"/>
                <w:szCs w:val="20"/>
              </w:rPr>
              <w:t>7</w:t>
            </w:r>
          </w:p>
        </w:tc>
        <w:tc>
          <w:tcPr>
            <w:tcW w:w="0" w:type="auto"/>
            <w:noWrap/>
            <w:vAlign w:val="bottom"/>
            <w:hideMark/>
          </w:tcPr>
          <w:p w14:paraId="1EB4F216" w14:textId="77777777" w:rsidR="00000000" w:rsidRDefault="003C49E9">
            <w:pPr>
              <w:pStyle w:val="a3"/>
              <w:spacing w:before="0" w:beforeAutospacing="0" w:after="0" w:afterAutospacing="0"/>
              <w:rPr>
                <w:sz w:val="20"/>
                <w:szCs w:val="20"/>
              </w:rPr>
            </w:pPr>
            <w:r>
              <w:rPr>
                <w:sz w:val="20"/>
                <w:szCs w:val="20"/>
              </w:rPr>
              <w:t> </w:t>
            </w:r>
          </w:p>
        </w:tc>
      </w:tr>
      <w:tr w:rsidR="00000000" w14:paraId="4816D4B7" w14:textId="77777777">
        <w:trPr>
          <w:trHeight w:val="200"/>
          <w:tblCellSpacing w:w="15" w:type="dxa"/>
        </w:trPr>
        <w:tc>
          <w:tcPr>
            <w:tcW w:w="0" w:type="auto"/>
            <w:vAlign w:val="bottom"/>
            <w:hideMark/>
          </w:tcPr>
          <w:p w14:paraId="138C8F5A" w14:textId="77777777" w:rsidR="00000000" w:rsidRDefault="003C49E9">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14:paraId="1264229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68F21B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C0C574B" w14:textId="77777777" w:rsidR="00000000" w:rsidRDefault="003C49E9">
            <w:pPr>
              <w:pStyle w:val="a3"/>
              <w:spacing w:before="0" w:beforeAutospacing="0" w:after="0" w:afterAutospacing="0"/>
              <w:jc w:val="right"/>
              <w:rPr>
                <w:sz w:val="18"/>
                <w:szCs w:val="18"/>
              </w:rPr>
            </w:pPr>
            <w:r>
              <w:rPr>
                <w:sz w:val="18"/>
                <w:szCs w:val="18"/>
              </w:rPr>
              <w:t>—</w:t>
            </w:r>
          </w:p>
        </w:tc>
        <w:tc>
          <w:tcPr>
            <w:tcW w:w="0" w:type="auto"/>
            <w:noWrap/>
            <w:vAlign w:val="bottom"/>
            <w:hideMark/>
          </w:tcPr>
          <w:p w14:paraId="607DC9D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4B4FEA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E9ABD7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164364E" w14:textId="77777777" w:rsidR="00000000" w:rsidRDefault="003C49E9">
            <w:pPr>
              <w:pStyle w:val="a3"/>
              <w:spacing w:before="0" w:beforeAutospacing="0" w:after="0" w:afterAutospacing="0"/>
              <w:jc w:val="right"/>
              <w:rPr>
                <w:sz w:val="20"/>
                <w:szCs w:val="20"/>
              </w:rPr>
            </w:pPr>
            <w:r>
              <w:rPr>
                <w:sz w:val="20"/>
                <w:szCs w:val="20"/>
              </w:rPr>
              <w:t>19,63</w:t>
            </w:r>
            <w:r>
              <w:rPr>
                <w:sz w:val="20"/>
                <w:szCs w:val="20"/>
              </w:rPr>
              <w:t>0</w:t>
            </w:r>
          </w:p>
        </w:tc>
        <w:tc>
          <w:tcPr>
            <w:tcW w:w="0" w:type="auto"/>
            <w:noWrap/>
            <w:vAlign w:val="bottom"/>
            <w:hideMark/>
          </w:tcPr>
          <w:p w14:paraId="0C843CA2" w14:textId="77777777" w:rsidR="00000000" w:rsidRDefault="003C49E9">
            <w:pPr>
              <w:pStyle w:val="a3"/>
              <w:spacing w:before="0" w:beforeAutospacing="0" w:after="0" w:afterAutospacing="0"/>
              <w:rPr>
                <w:sz w:val="20"/>
                <w:szCs w:val="20"/>
              </w:rPr>
            </w:pPr>
            <w:r>
              <w:rPr>
                <w:sz w:val="20"/>
                <w:szCs w:val="20"/>
              </w:rPr>
              <w:t> </w:t>
            </w:r>
          </w:p>
        </w:tc>
      </w:tr>
      <w:tr w:rsidR="00000000" w14:paraId="5008B660" w14:textId="77777777">
        <w:trPr>
          <w:trHeight w:val="200"/>
          <w:tblCellSpacing w:w="15" w:type="dxa"/>
        </w:trPr>
        <w:tc>
          <w:tcPr>
            <w:tcW w:w="0" w:type="auto"/>
            <w:vAlign w:val="bottom"/>
            <w:hideMark/>
          </w:tcPr>
          <w:p w14:paraId="2EEB3D5C" w14:textId="77777777" w:rsidR="00000000" w:rsidRDefault="003C49E9">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14:paraId="119DB3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A08E22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D98C1F" w14:textId="77777777" w:rsidR="00000000" w:rsidRDefault="003C49E9">
            <w:pPr>
              <w:pStyle w:val="a3"/>
              <w:spacing w:before="0" w:beforeAutospacing="0" w:after="0" w:afterAutospacing="0"/>
              <w:jc w:val="right"/>
              <w:rPr>
                <w:sz w:val="20"/>
                <w:szCs w:val="20"/>
              </w:rPr>
            </w:pPr>
            <w:r>
              <w:rPr>
                <w:sz w:val="20"/>
                <w:szCs w:val="20"/>
              </w:rPr>
              <w:t>28,74</w:t>
            </w:r>
            <w:r>
              <w:rPr>
                <w:sz w:val="20"/>
                <w:szCs w:val="20"/>
              </w:rPr>
              <w:t>4</w:t>
            </w:r>
          </w:p>
        </w:tc>
        <w:tc>
          <w:tcPr>
            <w:tcW w:w="0" w:type="auto"/>
            <w:noWrap/>
            <w:vAlign w:val="bottom"/>
            <w:hideMark/>
          </w:tcPr>
          <w:p w14:paraId="41E16EC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064C44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4C9CF4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218C38" w14:textId="77777777" w:rsidR="00000000" w:rsidRDefault="003C49E9">
            <w:pPr>
              <w:pStyle w:val="a3"/>
              <w:spacing w:before="0" w:beforeAutospacing="0" w:after="0" w:afterAutospacing="0"/>
              <w:jc w:val="right"/>
              <w:rPr>
                <w:sz w:val="20"/>
                <w:szCs w:val="20"/>
              </w:rPr>
            </w:pPr>
            <w:r>
              <w:rPr>
                <w:sz w:val="20"/>
                <w:szCs w:val="20"/>
              </w:rPr>
              <w:t>26,36</w:t>
            </w:r>
            <w:r>
              <w:rPr>
                <w:sz w:val="20"/>
                <w:szCs w:val="20"/>
              </w:rPr>
              <w:t>4</w:t>
            </w:r>
          </w:p>
        </w:tc>
        <w:tc>
          <w:tcPr>
            <w:tcW w:w="0" w:type="auto"/>
            <w:noWrap/>
            <w:vAlign w:val="bottom"/>
            <w:hideMark/>
          </w:tcPr>
          <w:p w14:paraId="4B0D15C3" w14:textId="77777777" w:rsidR="00000000" w:rsidRDefault="003C49E9">
            <w:pPr>
              <w:pStyle w:val="a3"/>
              <w:spacing w:before="0" w:beforeAutospacing="0" w:after="0" w:afterAutospacing="0"/>
              <w:rPr>
                <w:sz w:val="20"/>
                <w:szCs w:val="20"/>
              </w:rPr>
            </w:pPr>
            <w:r>
              <w:rPr>
                <w:sz w:val="20"/>
                <w:szCs w:val="20"/>
              </w:rPr>
              <w:t> </w:t>
            </w:r>
          </w:p>
        </w:tc>
      </w:tr>
      <w:tr w:rsidR="00000000" w14:paraId="46DF8699" w14:textId="77777777">
        <w:trPr>
          <w:trHeight w:val="200"/>
          <w:tblCellSpacing w:w="15" w:type="dxa"/>
        </w:trPr>
        <w:tc>
          <w:tcPr>
            <w:tcW w:w="0" w:type="auto"/>
            <w:vAlign w:val="bottom"/>
            <w:hideMark/>
          </w:tcPr>
          <w:p w14:paraId="79496739" w14:textId="77777777" w:rsidR="00000000" w:rsidRDefault="003C49E9">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14:paraId="1009FA8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DDF5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1B2AE9" w14:textId="77777777" w:rsidR="00000000" w:rsidRDefault="003C49E9">
            <w:pPr>
              <w:pStyle w:val="a3"/>
              <w:spacing w:before="0" w:beforeAutospacing="0" w:after="0" w:afterAutospacing="0"/>
              <w:jc w:val="right"/>
              <w:rPr>
                <w:sz w:val="20"/>
                <w:szCs w:val="20"/>
              </w:rPr>
            </w:pPr>
            <w:r>
              <w:rPr>
                <w:sz w:val="20"/>
                <w:szCs w:val="20"/>
              </w:rPr>
              <w:t>469,57</w:t>
            </w:r>
            <w:r>
              <w:rPr>
                <w:sz w:val="20"/>
                <w:szCs w:val="20"/>
              </w:rPr>
              <w:t>6</w:t>
            </w:r>
          </w:p>
        </w:tc>
        <w:tc>
          <w:tcPr>
            <w:tcW w:w="0" w:type="auto"/>
            <w:noWrap/>
            <w:vAlign w:val="bottom"/>
            <w:hideMark/>
          </w:tcPr>
          <w:p w14:paraId="4449E79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474A0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3EEDC4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85A0C7" w14:textId="77777777" w:rsidR="00000000" w:rsidRDefault="003C49E9">
            <w:pPr>
              <w:pStyle w:val="a3"/>
              <w:spacing w:before="0" w:beforeAutospacing="0" w:after="0" w:afterAutospacing="0"/>
              <w:jc w:val="right"/>
              <w:rPr>
                <w:sz w:val="20"/>
                <w:szCs w:val="20"/>
              </w:rPr>
            </w:pPr>
            <w:r>
              <w:rPr>
                <w:sz w:val="20"/>
                <w:szCs w:val="20"/>
              </w:rPr>
              <w:t>430,41</w:t>
            </w:r>
            <w:r>
              <w:rPr>
                <w:sz w:val="20"/>
                <w:szCs w:val="20"/>
              </w:rPr>
              <w:t>4</w:t>
            </w:r>
          </w:p>
        </w:tc>
        <w:tc>
          <w:tcPr>
            <w:tcW w:w="0" w:type="auto"/>
            <w:noWrap/>
            <w:vAlign w:val="bottom"/>
            <w:hideMark/>
          </w:tcPr>
          <w:p w14:paraId="6A75DE56" w14:textId="77777777" w:rsidR="00000000" w:rsidRDefault="003C49E9">
            <w:pPr>
              <w:pStyle w:val="a3"/>
              <w:spacing w:before="0" w:beforeAutospacing="0" w:after="0" w:afterAutospacing="0"/>
              <w:rPr>
                <w:sz w:val="20"/>
                <w:szCs w:val="20"/>
              </w:rPr>
            </w:pPr>
            <w:r>
              <w:rPr>
                <w:sz w:val="20"/>
                <w:szCs w:val="20"/>
              </w:rPr>
              <w:t> </w:t>
            </w:r>
          </w:p>
        </w:tc>
      </w:tr>
      <w:tr w:rsidR="00000000" w14:paraId="246A6D94" w14:textId="77777777">
        <w:trPr>
          <w:trHeight w:val="200"/>
          <w:tblCellSpacing w:w="15" w:type="dxa"/>
        </w:trPr>
        <w:tc>
          <w:tcPr>
            <w:tcW w:w="0" w:type="auto"/>
            <w:vAlign w:val="bottom"/>
            <w:hideMark/>
          </w:tcPr>
          <w:p w14:paraId="083B7101" w14:textId="77777777" w:rsidR="00000000" w:rsidRDefault="003C49E9">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14:paraId="6B6AE98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F8E131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806AE6" w14:textId="77777777" w:rsidR="00000000" w:rsidRDefault="003C49E9">
            <w:pPr>
              <w:pStyle w:val="a3"/>
              <w:spacing w:before="0" w:beforeAutospacing="0" w:after="0" w:afterAutospacing="0"/>
              <w:jc w:val="right"/>
              <w:rPr>
                <w:sz w:val="20"/>
                <w:szCs w:val="20"/>
              </w:rPr>
            </w:pPr>
            <w:r>
              <w:rPr>
                <w:sz w:val="20"/>
                <w:szCs w:val="20"/>
              </w:rPr>
              <w:t>662,16</w:t>
            </w:r>
            <w:r>
              <w:rPr>
                <w:sz w:val="20"/>
                <w:szCs w:val="20"/>
              </w:rPr>
              <w:t>2</w:t>
            </w:r>
          </w:p>
        </w:tc>
        <w:tc>
          <w:tcPr>
            <w:tcW w:w="0" w:type="auto"/>
            <w:noWrap/>
            <w:vAlign w:val="bottom"/>
            <w:hideMark/>
          </w:tcPr>
          <w:p w14:paraId="4191BCE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09422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13C00F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FE47BF" w14:textId="77777777" w:rsidR="00000000" w:rsidRDefault="003C49E9">
            <w:pPr>
              <w:pStyle w:val="a3"/>
              <w:spacing w:before="0" w:beforeAutospacing="0" w:after="0" w:afterAutospacing="0"/>
              <w:jc w:val="right"/>
              <w:rPr>
                <w:sz w:val="20"/>
                <w:szCs w:val="20"/>
              </w:rPr>
            </w:pPr>
            <w:r>
              <w:rPr>
                <w:sz w:val="20"/>
                <w:szCs w:val="20"/>
              </w:rPr>
              <w:t>617,47</w:t>
            </w:r>
            <w:r>
              <w:rPr>
                <w:sz w:val="20"/>
                <w:szCs w:val="20"/>
              </w:rPr>
              <w:t>4</w:t>
            </w:r>
          </w:p>
        </w:tc>
        <w:tc>
          <w:tcPr>
            <w:tcW w:w="0" w:type="auto"/>
            <w:noWrap/>
            <w:vAlign w:val="bottom"/>
            <w:hideMark/>
          </w:tcPr>
          <w:p w14:paraId="27132475" w14:textId="77777777" w:rsidR="00000000" w:rsidRDefault="003C49E9">
            <w:pPr>
              <w:pStyle w:val="a3"/>
              <w:spacing w:before="0" w:beforeAutospacing="0" w:after="0" w:afterAutospacing="0"/>
              <w:rPr>
                <w:sz w:val="20"/>
                <w:szCs w:val="20"/>
              </w:rPr>
            </w:pPr>
            <w:r>
              <w:rPr>
                <w:sz w:val="20"/>
                <w:szCs w:val="20"/>
              </w:rPr>
              <w:t> </w:t>
            </w:r>
          </w:p>
        </w:tc>
      </w:tr>
      <w:tr w:rsidR="00000000" w14:paraId="1C6BAF37" w14:textId="77777777">
        <w:trPr>
          <w:trHeight w:val="200"/>
          <w:tblCellSpacing w:w="15" w:type="dxa"/>
        </w:trPr>
        <w:tc>
          <w:tcPr>
            <w:tcW w:w="0" w:type="auto"/>
            <w:vAlign w:val="bottom"/>
            <w:hideMark/>
          </w:tcPr>
          <w:p w14:paraId="21FA8EC6" w14:textId="77777777" w:rsidR="00000000" w:rsidRDefault="003C49E9">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14:paraId="24440AC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15DA39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59E65E" w14:textId="77777777" w:rsidR="00000000" w:rsidRDefault="003C49E9">
            <w:pPr>
              <w:pStyle w:val="a3"/>
              <w:spacing w:before="0" w:beforeAutospacing="0" w:after="0" w:afterAutospacing="0"/>
              <w:jc w:val="right"/>
              <w:rPr>
                <w:sz w:val="20"/>
                <w:szCs w:val="20"/>
              </w:rPr>
            </w:pPr>
            <w:r>
              <w:rPr>
                <w:sz w:val="20"/>
                <w:szCs w:val="20"/>
              </w:rPr>
              <w:t>264,23</w:t>
            </w:r>
            <w:r>
              <w:rPr>
                <w:sz w:val="20"/>
                <w:szCs w:val="20"/>
              </w:rPr>
              <w:t>4</w:t>
            </w:r>
          </w:p>
        </w:tc>
        <w:tc>
          <w:tcPr>
            <w:tcW w:w="0" w:type="auto"/>
            <w:noWrap/>
            <w:vAlign w:val="bottom"/>
            <w:hideMark/>
          </w:tcPr>
          <w:p w14:paraId="73E790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9C44C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70702A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FC6B6C" w14:textId="77777777" w:rsidR="00000000" w:rsidRDefault="003C49E9">
            <w:pPr>
              <w:pStyle w:val="a3"/>
              <w:spacing w:before="0" w:beforeAutospacing="0" w:after="0" w:afterAutospacing="0"/>
              <w:jc w:val="right"/>
              <w:rPr>
                <w:sz w:val="20"/>
                <w:szCs w:val="20"/>
              </w:rPr>
            </w:pPr>
            <w:r>
              <w:rPr>
                <w:sz w:val="20"/>
                <w:szCs w:val="20"/>
              </w:rPr>
              <w:t>283,87</w:t>
            </w:r>
            <w:r>
              <w:rPr>
                <w:sz w:val="20"/>
                <w:szCs w:val="20"/>
              </w:rPr>
              <w:t>3</w:t>
            </w:r>
          </w:p>
        </w:tc>
        <w:tc>
          <w:tcPr>
            <w:tcW w:w="0" w:type="auto"/>
            <w:noWrap/>
            <w:vAlign w:val="bottom"/>
            <w:hideMark/>
          </w:tcPr>
          <w:p w14:paraId="38B1EA06" w14:textId="77777777" w:rsidR="00000000" w:rsidRDefault="003C49E9">
            <w:pPr>
              <w:pStyle w:val="a3"/>
              <w:spacing w:before="0" w:beforeAutospacing="0" w:after="0" w:afterAutospacing="0"/>
              <w:rPr>
                <w:sz w:val="20"/>
                <w:szCs w:val="20"/>
              </w:rPr>
            </w:pPr>
            <w:r>
              <w:rPr>
                <w:sz w:val="20"/>
                <w:szCs w:val="20"/>
              </w:rPr>
              <w:t> </w:t>
            </w:r>
          </w:p>
        </w:tc>
      </w:tr>
      <w:tr w:rsidR="00000000" w14:paraId="720883FA" w14:textId="77777777">
        <w:trPr>
          <w:trHeight w:val="200"/>
          <w:tblCellSpacing w:w="15" w:type="dxa"/>
        </w:trPr>
        <w:tc>
          <w:tcPr>
            <w:tcW w:w="0" w:type="auto"/>
            <w:vAlign w:val="bottom"/>
            <w:hideMark/>
          </w:tcPr>
          <w:p w14:paraId="6A2D8BF2" w14:textId="77777777" w:rsidR="00000000" w:rsidRDefault="003C49E9">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14:paraId="705EC13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E284AC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CA8E3C" w14:textId="77777777" w:rsidR="00000000" w:rsidRDefault="003C49E9">
            <w:pPr>
              <w:pStyle w:val="a3"/>
              <w:spacing w:before="0" w:beforeAutospacing="0" w:after="0" w:afterAutospacing="0"/>
              <w:jc w:val="right"/>
              <w:rPr>
                <w:sz w:val="20"/>
                <w:szCs w:val="20"/>
              </w:rPr>
            </w:pPr>
            <w:r>
              <w:rPr>
                <w:sz w:val="20"/>
                <w:szCs w:val="20"/>
              </w:rPr>
              <w:t>4,51</w:t>
            </w:r>
            <w:r>
              <w:rPr>
                <w:sz w:val="20"/>
                <w:szCs w:val="20"/>
              </w:rPr>
              <w:t>1</w:t>
            </w:r>
          </w:p>
        </w:tc>
        <w:tc>
          <w:tcPr>
            <w:tcW w:w="0" w:type="auto"/>
            <w:noWrap/>
            <w:vAlign w:val="bottom"/>
            <w:hideMark/>
          </w:tcPr>
          <w:p w14:paraId="77BF860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986EDC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5DB12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6223A5" w14:textId="77777777" w:rsidR="00000000" w:rsidRDefault="003C49E9">
            <w:pPr>
              <w:pStyle w:val="a3"/>
              <w:spacing w:before="0" w:beforeAutospacing="0" w:after="0" w:afterAutospacing="0"/>
              <w:jc w:val="right"/>
              <w:rPr>
                <w:sz w:val="20"/>
                <w:szCs w:val="20"/>
              </w:rPr>
            </w:pPr>
            <w:r>
              <w:rPr>
                <w:sz w:val="20"/>
                <w:szCs w:val="20"/>
              </w:rPr>
              <w:t>4,47</w:t>
            </w:r>
            <w:r>
              <w:rPr>
                <w:sz w:val="20"/>
                <w:szCs w:val="20"/>
              </w:rPr>
              <w:t>3</w:t>
            </w:r>
          </w:p>
        </w:tc>
        <w:tc>
          <w:tcPr>
            <w:tcW w:w="0" w:type="auto"/>
            <w:noWrap/>
            <w:vAlign w:val="bottom"/>
            <w:hideMark/>
          </w:tcPr>
          <w:p w14:paraId="18FE6229" w14:textId="77777777" w:rsidR="00000000" w:rsidRDefault="003C49E9">
            <w:pPr>
              <w:pStyle w:val="a3"/>
              <w:spacing w:before="0" w:beforeAutospacing="0" w:after="0" w:afterAutospacing="0"/>
              <w:rPr>
                <w:sz w:val="20"/>
                <w:szCs w:val="20"/>
              </w:rPr>
            </w:pPr>
            <w:r>
              <w:rPr>
                <w:sz w:val="20"/>
                <w:szCs w:val="20"/>
              </w:rPr>
              <w:t> </w:t>
            </w:r>
          </w:p>
        </w:tc>
      </w:tr>
      <w:tr w:rsidR="00000000" w14:paraId="0FDE4B40" w14:textId="77777777">
        <w:trPr>
          <w:trHeight w:val="200"/>
          <w:tblCellSpacing w:w="15" w:type="dxa"/>
        </w:trPr>
        <w:tc>
          <w:tcPr>
            <w:tcW w:w="0" w:type="auto"/>
            <w:vAlign w:val="bottom"/>
            <w:hideMark/>
          </w:tcPr>
          <w:p w14:paraId="4BBBF9CB" w14:textId="77777777" w:rsidR="00000000" w:rsidRDefault="003C49E9">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14:paraId="056AB0D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0F2EF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8A04DD" w14:textId="77777777" w:rsidR="00000000" w:rsidRDefault="003C49E9">
            <w:pPr>
              <w:pStyle w:val="a3"/>
              <w:spacing w:before="0" w:beforeAutospacing="0" w:after="0" w:afterAutospacing="0"/>
              <w:jc w:val="right"/>
              <w:rPr>
                <w:sz w:val="20"/>
                <w:szCs w:val="20"/>
              </w:rPr>
            </w:pPr>
            <w:r>
              <w:rPr>
                <w:sz w:val="20"/>
                <w:szCs w:val="20"/>
              </w:rPr>
              <w:t>18,35</w:t>
            </w:r>
            <w:r>
              <w:rPr>
                <w:sz w:val="20"/>
                <w:szCs w:val="20"/>
              </w:rPr>
              <w:t>3</w:t>
            </w:r>
          </w:p>
        </w:tc>
        <w:tc>
          <w:tcPr>
            <w:tcW w:w="0" w:type="auto"/>
            <w:noWrap/>
            <w:vAlign w:val="bottom"/>
            <w:hideMark/>
          </w:tcPr>
          <w:p w14:paraId="77E9562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D9B9F3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636E01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406CAF" w14:textId="77777777" w:rsidR="00000000" w:rsidRDefault="003C49E9">
            <w:pPr>
              <w:pStyle w:val="a3"/>
              <w:spacing w:before="0" w:beforeAutospacing="0" w:after="0" w:afterAutospacing="0"/>
              <w:jc w:val="right"/>
              <w:rPr>
                <w:sz w:val="20"/>
                <w:szCs w:val="20"/>
              </w:rPr>
            </w:pPr>
            <w:r>
              <w:rPr>
                <w:sz w:val="20"/>
                <w:szCs w:val="20"/>
              </w:rPr>
              <w:t>12,13</w:t>
            </w:r>
            <w:r>
              <w:rPr>
                <w:sz w:val="20"/>
                <w:szCs w:val="20"/>
              </w:rPr>
              <w:t>4</w:t>
            </w:r>
          </w:p>
        </w:tc>
        <w:tc>
          <w:tcPr>
            <w:tcW w:w="0" w:type="auto"/>
            <w:noWrap/>
            <w:vAlign w:val="bottom"/>
            <w:hideMark/>
          </w:tcPr>
          <w:p w14:paraId="5C965F99" w14:textId="77777777" w:rsidR="00000000" w:rsidRDefault="003C49E9">
            <w:pPr>
              <w:pStyle w:val="a3"/>
              <w:spacing w:before="0" w:beforeAutospacing="0" w:after="0" w:afterAutospacing="0"/>
              <w:rPr>
                <w:sz w:val="20"/>
                <w:szCs w:val="20"/>
              </w:rPr>
            </w:pPr>
            <w:r>
              <w:rPr>
                <w:sz w:val="20"/>
                <w:szCs w:val="20"/>
              </w:rPr>
              <w:t> </w:t>
            </w:r>
          </w:p>
        </w:tc>
      </w:tr>
      <w:tr w:rsidR="00000000" w14:paraId="796CDF70" w14:textId="77777777">
        <w:trPr>
          <w:trHeight w:val="200"/>
          <w:tblCellSpacing w:w="15" w:type="dxa"/>
        </w:trPr>
        <w:tc>
          <w:tcPr>
            <w:tcW w:w="0" w:type="auto"/>
            <w:vAlign w:val="bottom"/>
            <w:hideMark/>
          </w:tcPr>
          <w:p w14:paraId="5DF9817B" w14:textId="77777777" w:rsidR="00000000" w:rsidRDefault="003C49E9">
            <w:pPr>
              <w:pStyle w:val="a3"/>
              <w:spacing w:before="0" w:beforeAutospacing="0" w:after="0" w:afterAutospacing="0"/>
              <w:rPr>
                <w:sz w:val="20"/>
                <w:szCs w:val="20"/>
              </w:rPr>
            </w:pPr>
            <w:r>
              <w:rPr>
                <w:sz w:val="20"/>
                <w:szCs w:val="20"/>
              </w:rPr>
              <w:t>Convertible senior notes, net of current portio</w:t>
            </w:r>
            <w:r>
              <w:rPr>
                <w:sz w:val="20"/>
                <w:szCs w:val="20"/>
              </w:rPr>
              <w:t>n</w:t>
            </w:r>
          </w:p>
        </w:tc>
        <w:tc>
          <w:tcPr>
            <w:tcW w:w="0" w:type="auto"/>
            <w:vAlign w:val="bottom"/>
            <w:hideMark/>
          </w:tcPr>
          <w:p w14:paraId="47E9447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AF481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29C5ED" w14:textId="77777777" w:rsidR="00000000" w:rsidRDefault="003C49E9">
            <w:pPr>
              <w:pStyle w:val="a3"/>
              <w:spacing w:before="0" w:beforeAutospacing="0" w:after="0" w:afterAutospacing="0"/>
              <w:jc w:val="right"/>
              <w:rPr>
                <w:sz w:val="20"/>
                <w:szCs w:val="20"/>
              </w:rPr>
            </w:pPr>
            <w:r>
              <w:rPr>
                <w:sz w:val="20"/>
                <w:szCs w:val="20"/>
              </w:rPr>
              <w:t>453,23</w:t>
            </w:r>
            <w:r>
              <w:rPr>
                <w:sz w:val="20"/>
                <w:szCs w:val="20"/>
              </w:rPr>
              <w:t>2</w:t>
            </w:r>
          </w:p>
        </w:tc>
        <w:tc>
          <w:tcPr>
            <w:tcW w:w="0" w:type="auto"/>
            <w:noWrap/>
            <w:vAlign w:val="bottom"/>
            <w:hideMark/>
          </w:tcPr>
          <w:p w14:paraId="6A9B0A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9004E9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BD2EA4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72FC03" w14:textId="77777777" w:rsidR="00000000" w:rsidRDefault="003C49E9">
            <w:pPr>
              <w:pStyle w:val="a3"/>
              <w:spacing w:before="0" w:beforeAutospacing="0" w:after="0" w:afterAutospacing="0"/>
              <w:jc w:val="right"/>
              <w:rPr>
                <w:sz w:val="20"/>
                <w:szCs w:val="20"/>
              </w:rPr>
            </w:pPr>
            <w:r>
              <w:rPr>
                <w:sz w:val="20"/>
                <w:szCs w:val="20"/>
              </w:rPr>
              <w:t>383,10</w:t>
            </w:r>
            <w:r>
              <w:rPr>
                <w:sz w:val="20"/>
                <w:szCs w:val="20"/>
              </w:rPr>
              <w:t>1</w:t>
            </w:r>
          </w:p>
        </w:tc>
        <w:tc>
          <w:tcPr>
            <w:tcW w:w="0" w:type="auto"/>
            <w:noWrap/>
            <w:vAlign w:val="bottom"/>
            <w:hideMark/>
          </w:tcPr>
          <w:p w14:paraId="073AE4EC" w14:textId="77777777" w:rsidR="00000000" w:rsidRDefault="003C49E9">
            <w:pPr>
              <w:pStyle w:val="a3"/>
              <w:spacing w:before="0" w:beforeAutospacing="0" w:after="0" w:afterAutospacing="0"/>
              <w:rPr>
                <w:sz w:val="20"/>
                <w:szCs w:val="20"/>
              </w:rPr>
            </w:pPr>
            <w:r>
              <w:rPr>
                <w:sz w:val="20"/>
                <w:szCs w:val="20"/>
              </w:rPr>
              <w:t> </w:t>
            </w:r>
          </w:p>
        </w:tc>
      </w:tr>
      <w:tr w:rsidR="00000000" w14:paraId="0B270084" w14:textId="77777777">
        <w:trPr>
          <w:trHeight w:val="200"/>
          <w:tblCellSpacing w:w="15" w:type="dxa"/>
        </w:trPr>
        <w:tc>
          <w:tcPr>
            <w:tcW w:w="0" w:type="auto"/>
            <w:vAlign w:val="bottom"/>
            <w:hideMark/>
          </w:tcPr>
          <w:p w14:paraId="60C4C43F" w14:textId="77777777" w:rsidR="00000000" w:rsidRDefault="003C49E9">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14:paraId="77A988C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DF0A5E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419CC43" w14:textId="77777777" w:rsidR="00000000" w:rsidRDefault="003C49E9">
            <w:pPr>
              <w:pStyle w:val="a3"/>
              <w:spacing w:before="0" w:beforeAutospacing="0" w:after="0" w:afterAutospacing="0"/>
              <w:jc w:val="right"/>
              <w:rPr>
                <w:sz w:val="20"/>
                <w:szCs w:val="20"/>
              </w:rPr>
            </w:pPr>
            <w:r>
              <w:rPr>
                <w:sz w:val="20"/>
                <w:szCs w:val="20"/>
              </w:rPr>
              <w:t>1,402,49</w:t>
            </w:r>
            <w:r>
              <w:rPr>
                <w:sz w:val="20"/>
                <w:szCs w:val="20"/>
              </w:rPr>
              <w:t>2</w:t>
            </w:r>
          </w:p>
        </w:tc>
        <w:tc>
          <w:tcPr>
            <w:tcW w:w="0" w:type="auto"/>
            <w:noWrap/>
            <w:vAlign w:val="bottom"/>
            <w:hideMark/>
          </w:tcPr>
          <w:p w14:paraId="7CBE00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02255F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49E4B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D8FCFB" w14:textId="77777777" w:rsidR="00000000" w:rsidRDefault="003C49E9">
            <w:pPr>
              <w:pStyle w:val="a3"/>
              <w:spacing w:before="0" w:beforeAutospacing="0" w:after="0" w:afterAutospacing="0"/>
              <w:jc w:val="right"/>
              <w:rPr>
                <w:sz w:val="20"/>
                <w:szCs w:val="20"/>
              </w:rPr>
            </w:pPr>
            <w:r>
              <w:rPr>
                <w:sz w:val="20"/>
                <w:szCs w:val="20"/>
              </w:rPr>
              <w:t>1,301,05</w:t>
            </w:r>
            <w:r>
              <w:rPr>
                <w:sz w:val="20"/>
                <w:szCs w:val="20"/>
              </w:rPr>
              <w:t>5</w:t>
            </w:r>
          </w:p>
        </w:tc>
        <w:tc>
          <w:tcPr>
            <w:tcW w:w="0" w:type="auto"/>
            <w:noWrap/>
            <w:vAlign w:val="bottom"/>
            <w:hideMark/>
          </w:tcPr>
          <w:p w14:paraId="586DE640" w14:textId="77777777" w:rsidR="00000000" w:rsidRDefault="003C49E9">
            <w:pPr>
              <w:pStyle w:val="a3"/>
              <w:spacing w:before="0" w:beforeAutospacing="0" w:after="0" w:afterAutospacing="0"/>
              <w:rPr>
                <w:sz w:val="20"/>
                <w:szCs w:val="20"/>
              </w:rPr>
            </w:pPr>
            <w:r>
              <w:rPr>
                <w:sz w:val="20"/>
                <w:szCs w:val="20"/>
              </w:rPr>
              <w:t> </w:t>
            </w:r>
          </w:p>
        </w:tc>
      </w:tr>
      <w:tr w:rsidR="00000000" w14:paraId="21D88F4B" w14:textId="77777777">
        <w:trPr>
          <w:trHeight w:val="200"/>
          <w:tblCellSpacing w:w="15" w:type="dxa"/>
        </w:trPr>
        <w:tc>
          <w:tcPr>
            <w:tcW w:w="0" w:type="auto"/>
            <w:vAlign w:val="bottom"/>
            <w:hideMark/>
          </w:tcPr>
          <w:p w14:paraId="724B8491" w14:textId="77777777" w:rsidR="00000000" w:rsidRDefault="003C49E9">
            <w:pPr>
              <w:pStyle w:val="a3"/>
              <w:spacing w:before="0" w:beforeAutospacing="0" w:after="0" w:afterAutospacing="0"/>
              <w:rPr>
                <w:sz w:val="20"/>
                <w:szCs w:val="20"/>
              </w:rPr>
            </w:pPr>
            <w:r>
              <w:rPr>
                <w:sz w:val="20"/>
                <w:szCs w:val="20"/>
              </w:rPr>
              <w:t>Commitments and contingencies (Note 10</w:t>
            </w:r>
            <w:r>
              <w:rPr>
                <w:sz w:val="20"/>
                <w:szCs w:val="20"/>
              </w:rPr>
              <w:t>)</w:t>
            </w:r>
          </w:p>
        </w:tc>
        <w:tc>
          <w:tcPr>
            <w:tcW w:w="0" w:type="auto"/>
            <w:vAlign w:val="bottom"/>
            <w:hideMark/>
          </w:tcPr>
          <w:p w14:paraId="5629ACDB"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7D922E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01CCD7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C03F885"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6F61E46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9851738" w14:textId="77777777" w:rsidR="00000000" w:rsidRDefault="003C49E9">
            <w:pPr>
              <w:pStyle w:val="a3"/>
              <w:spacing w:before="0" w:beforeAutospacing="0" w:after="0" w:afterAutospacing="0"/>
              <w:jc w:val="right"/>
              <w:rPr>
                <w:sz w:val="20"/>
                <w:szCs w:val="20"/>
              </w:rPr>
            </w:pPr>
            <w:r>
              <w:rPr>
                <w:sz w:val="20"/>
                <w:szCs w:val="20"/>
              </w:rPr>
              <w:t> </w:t>
            </w:r>
          </w:p>
        </w:tc>
      </w:tr>
      <w:tr w:rsidR="00000000" w14:paraId="5E45559D" w14:textId="77777777">
        <w:trPr>
          <w:trHeight w:val="200"/>
          <w:tblCellSpacing w:w="15" w:type="dxa"/>
        </w:trPr>
        <w:tc>
          <w:tcPr>
            <w:tcW w:w="0" w:type="auto"/>
            <w:vAlign w:val="bottom"/>
            <w:hideMark/>
          </w:tcPr>
          <w:p w14:paraId="0BFE02D2" w14:textId="77777777" w:rsidR="00000000" w:rsidRDefault="003C49E9">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14:paraId="2ABEEC3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97896C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23C3A5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97C9F0"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092AF95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0AB7F74"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949CB2D" w14:textId="77777777">
        <w:trPr>
          <w:trHeight w:val="200"/>
          <w:tblCellSpacing w:w="15" w:type="dxa"/>
        </w:trPr>
        <w:tc>
          <w:tcPr>
            <w:tcW w:w="0" w:type="auto"/>
            <w:vAlign w:val="bottom"/>
            <w:hideMark/>
          </w:tcPr>
          <w:p w14:paraId="24F24506" w14:textId="77777777" w:rsidR="00000000" w:rsidRDefault="003C49E9">
            <w:pPr>
              <w:pStyle w:val="a3"/>
              <w:spacing w:before="0" w:beforeAutospacing="0" w:after="0" w:afterAutospacing="0"/>
              <w:ind w:left="200"/>
              <w:rPr>
                <w:sz w:val="20"/>
                <w:szCs w:val="20"/>
              </w:rPr>
            </w:pPr>
            <w:r>
              <w:rPr>
                <w:sz w:val="20"/>
                <w:szCs w:val="20"/>
              </w:rPr>
              <w:t>Common stoc</w:t>
            </w:r>
            <w:r>
              <w:rPr>
                <w:sz w:val="20"/>
                <w:szCs w:val="20"/>
              </w:rPr>
              <w:t>k</w:t>
            </w:r>
          </w:p>
        </w:tc>
        <w:tc>
          <w:tcPr>
            <w:tcW w:w="0" w:type="auto"/>
            <w:vAlign w:val="bottom"/>
            <w:hideMark/>
          </w:tcPr>
          <w:p w14:paraId="7D4EBA9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5A052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84AD91" w14:textId="77777777" w:rsidR="00000000" w:rsidRDefault="003C49E9">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14:paraId="05036BF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50D55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B154D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56EAEB" w14:textId="77777777" w:rsidR="00000000" w:rsidRDefault="003C49E9">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607F28B6" w14:textId="77777777" w:rsidR="00000000" w:rsidRDefault="003C49E9">
            <w:pPr>
              <w:pStyle w:val="a3"/>
              <w:spacing w:before="0" w:beforeAutospacing="0" w:after="0" w:afterAutospacing="0"/>
              <w:rPr>
                <w:sz w:val="20"/>
                <w:szCs w:val="20"/>
              </w:rPr>
            </w:pPr>
            <w:r>
              <w:rPr>
                <w:sz w:val="20"/>
                <w:szCs w:val="20"/>
              </w:rPr>
              <w:t> </w:t>
            </w:r>
          </w:p>
        </w:tc>
      </w:tr>
      <w:tr w:rsidR="00000000" w14:paraId="3CB4AAA7" w14:textId="77777777">
        <w:trPr>
          <w:trHeight w:val="200"/>
          <w:tblCellSpacing w:w="15" w:type="dxa"/>
        </w:trPr>
        <w:tc>
          <w:tcPr>
            <w:tcW w:w="0" w:type="auto"/>
            <w:vAlign w:val="bottom"/>
            <w:hideMark/>
          </w:tcPr>
          <w:p w14:paraId="6F0436E4" w14:textId="77777777" w:rsidR="00000000" w:rsidRDefault="003C49E9">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14:paraId="0FBAB5D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DF2A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784803" w14:textId="77777777" w:rsidR="00000000" w:rsidRDefault="003C49E9">
            <w:pPr>
              <w:pStyle w:val="a3"/>
              <w:spacing w:before="0" w:beforeAutospacing="0" w:after="0" w:afterAutospacing="0"/>
              <w:jc w:val="right"/>
              <w:rPr>
                <w:sz w:val="20"/>
                <w:szCs w:val="20"/>
              </w:rPr>
            </w:pPr>
            <w:r>
              <w:rPr>
                <w:sz w:val="20"/>
                <w:szCs w:val="20"/>
              </w:rPr>
              <w:t>1,477,77</w:t>
            </w:r>
            <w:r>
              <w:rPr>
                <w:sz w:val="20"/>
                <w:szCs w:val="20"/>
              </w:rPr>
              <w:t>0</w:t>
            </w:r>
          </w:p>
        </w:tc>
        <w:tc>
          <w:tcPr>
            <w:tcW w:w="0" w:type="auto"/>
            <w:noWrap/>
            <w:vAlign w:val="bottom"/>
            <w:hideMark/>
          </w:tcPr>
          <w:p w14:paraId="456F9E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29980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4BAC09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7BAF48" w14:textId="77777777" w:rsidR="00000000" w:rsidRDefault="003C49E9">
            <w:pPr>
              <w:pStyle w:val="a3"/>
              <w:spacing w:before="0" w:beforeAutospacing="0" w:after="0" w:afterAutospacing="0"/>
              <w:jc w:val="right"/>
              <w:rPr>
                <w:sz w:val="20"/>
                <w:szCs w:val="20"/>
              </w:rPr>
            </w:pPr>
            <w:r>
              <w:rPr>
                <w:sz w:val="20"/>
                <w:szCs w:val="20"/>
              </w:rPr>
              <w:t>1,436,08</w:t>
            </w:r>
            <w:r>
              <w:rPr>
                <w:sz w:val="20"/>
                <w:szCs w:val="20"/>
              </w:rPr>
              <w:t>9</w:t>
            </w:r>
          </w:p>
        </w:tc>
        <w:tc>
          <w:tcPr>
            <w:tcW w:w="0" w:type="auto"/>
            <w:noWrap/>
            <w:vAlign w:val="bottom"/>
            <w:hideMark/>
          </w:tcPr>
          <w:p w14:paraId="0300471C" w14:textId="77777777" w:rsidR="00000000" w:rsidRDefault="003C49E9">
            <w:pPr>
              <w:pStyle w:val="a3"/>
              <w:spacing w:before="0" w:beforeAutospacing="0" w:after="0" w:afterAutospacing="0"/>
              <w:rPr>
                <w:sz w:val="20"/>
                <w:szCs w:val="20"/>
              </w:rPr>
            </w:pPr>
            <w:r>
              <w:rPr>
                <w:sz w:val="20"/>
                <w:szCs w:val="20"/>
              </w:rPr>
              <w:t> </w:t>
            </w:r>
          </w:p>
        </w:tc>
      </w:tr>
      <w:tr w:rsidR="00000000" w14:paraId="456DD485" w14:textId="77777777">
        <w:trPr>
          <w:trHeight w:val="200"/>
          <w:tblCellSpacing w:w="15" w:type="dxa"/>
        </w:trPr>
        <w:tc>
          <w:tcPr>
            <w:tcW w:w="0" w:type="auto"/>
            <w:vAlign w:val="bottom"/>
            <w:hideMark/>
          </w:tcPr>
          <w:p w14:paraId="7A03AC52" w14:textId="77777777" w:rsidR="00000000" w:rsidRDefault="003C49E9">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14:paraId="79F6CCF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21C6E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D8FF37" w14:textId="77777777" w:rsidR="00000000" w:rsidRDefault="003C49E9">
            <w:pPr>
              <w:pStyle w:val="a3"/>
              <w:spacing w:before="0" w:beforeAutospacing="0" w:after="0" w:afterAutospacing="0"/>
              <w:jc w:val="right"/>
              <w:rPr>
                <w:sz w:val="20"/>
                <w:szCs w:val="20"/>
              </w:rPr>
            </w:pPr>
            <w:r>
              <w:rPr>
                <w:sz w:val="20"/>
                <w:szCs w:val="20"/>
              </w:rPr>
              <w:t>(</w:t>
            </w:r>
            <w:r>
              <w:rPr>
                <w:sz w:val="20"/>
                <w:szCs w:val="20"/>
              </w:rPr>
              <w:t>11,01</w:t>
            </w:r>
            <w:r>
              <w:rPr>
                <w:sz w:val="20"/>
                <w:szCs w:val="20"/>
              </w:rPr>
              <w:t>7</w:t>
            </w:r>
          </w:p>
        </w:tc>
        <w:tc>
          <w:tcPr>
            <w:tcW w:w="0" w:type="auto"/>
            <w:noWrap/>
            <w:vAlign w:val="bottom"/>
            <w:hideMark/>
          </w:tcPr>
          <w:p w14:paraId="4DC38C4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1E9CC4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14E67A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7EB63C9" w14:textId="77777777" w:rsidR="00000000" w:rsidRDefault="003C49E9">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noWrap/>
            <w:vAlign w:val="bottom"/>
            <w:hideMark/>
          </w:tcPr>
          <w:p w14:paraId="3C5FE1FF" w14:textId="77777777" w:rsidR="00000000" w:rsidRDefault="003C49E9">
            <w:pPr>
              <w:pStyle w:val="a3"/>
              <w:spacing w:before="0" w:beforeAutospacing="0" w:after="0" w:afterAutospacing="0"/>
              <w:rPr>
                <w:sz w:val="20"/>
                <w:szCs w:val="20"/>
              </w:rPr>
            </w:pPr>
            <w:r>
              <w:rPr>
                <w:sz w:val="20"/>
                <w:szCs w:val="20"/>
              </w:rPr>
              <w:t>)</w:t>
            </w:r>
          </w:p>
        </w:tc>
      </w:tr>
      <w:tr w:rsidR="00000000" w14:paraId="2F4E5EA8" w14:textId="77777777">
        <w:trPr>
          <w:trHeight w:val="200"/>
          <w:tblCellSpacing w:w="15" w:type="dxa"/>
        </w:trPr>
        <w:tc>
          <w:tcPr>
            <w:tcW w:w="0" w:type="auto"/>
            <w:vAlign w:val="bottom"/>
            <w:hideMark/>
          </w:tcPr>
          <w:p w14:paraId="217EC6D6" w14:textId="77777777" w:rsidR="00000000" w:rsidRDefault="003C49E9">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14:paraId="179ED56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6D020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F439FC" w14:textId="77777777" w:rsidR="00000000" w:rsidRDefault="003C49E9">
            <w:pPr>
              <w:pStyle w:val="a3"/>
              <w:spacing w:before="0" w:beforeAutospacing="0" w:after="0" w:afterAutospacing="0"/>
              <w:jc w:val="right"/>
              <w:rPr>
                <w:sz w:val="20"/>
                <w:szCs w:val="20"/>
              </w:rPr>
            </w:pPr>
            <w:r>
              <w:rPr>
                <w:sz w:val="20"/>
                <w:szCs w:val="20"/>
              </w:rPr>
              <w:t>(</w:t>
            </w:r>
            <w:r>
              <w:rPr>
                <w:sz w:val="20"/>
                <w:szCs w:val="20"/>
              </w:rPr>
              <w:t>595,33</w:t>
            </w:r>
            <w:r>
              <w:rPr>
                <w:sz w:val="20"/>
                <w:szCs w:val="20"/>
              </w:rPr>
              <w:t>4</w:t>
            </w:r>
          </w:p>
        </w:tc>
        <w:tc>
          <w:tcPr>
            <w:tcW w:w="0" w:type="auto"/>
            <w:noWrap/>
            <w:vAlign w:val="bottom"/>
            <w:hideMark/>
          </w:tcPr>
          <w:p w14:paraId="7F61582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47FC7A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51C2D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012F04" w14:textId="77777777" w:rsidR="00000000" w:rsidRDefault="003C49E9">
            <w:pPr>
              <w:pStyle w:val="a3"/>
              <w:spacing w:before="0" w:beforeAutospacing="0" w:after="0" w:afterAutospacing="0"/>
              <w:jc w:val="right"/>
              <w:rPr>
                <w:sz w:val="20"/>
                <w:szCs w:val="20"/>
              </w:rPr>
            </w:pPr>
            <w:r>
              <w:rPr>
                <w:sz w:val="20"/>
                <w:szCs w:val="20"/>
              </w:rPr>
              <w:t>(</w:t>
            </w:r>
            <w:r>
              <w:rPr>
                <w:sz w:val="20"/>
                <w:szCs w:val="20"/>
              </w:rPr>
              <w:t>560,99</w:t>
            </w:r>
            <w:r>
              <w:rPr>
                <w:sz w:val="20"/>
                <w:szCs w:val="20"/>
              </w:rPr>
              <w:t>8</w:t>
            </w:r>
          </w:p>
        </w:tc>
        <w:tc>
          <w:tcPr>
            <w:tcW w:w="0" w:type="auto"/>
            <w:noWrap/>
            <w:vAlign w:val="bottom"/>
            <w:hideMark/>
          </w:tcPr>
          <w:p w14:paraId="797597D2" w14:textId="77777777" w:rsidR="00000000" w:rsidRDefault="003C49E9">
            <w:pPr>
              <w:pStyle w:val="a3"/>
              <w:spacing w:before="0" w:beforeAutospacing="0" w:after="0" w:afterAutospacing="0"/>
              <w:rPr>
                <w:sz w:val="20"/>
                <w:szCs w:val="20"/>
              </w:rPr>
            </w:pPr>
            <w:r>
              <w:rPr>
                <w:sz w:val="20"/>
                <w:szCs w:val="20"/>
              </w:rPr>
              <w:t>)</w:t>
            </w:r>
          </w:p>
        </w:tc>
      </w:tr>
      <w:tr w:rsidR="00000000" w14:paraId="28D64B47" w14:textId="77777777">
        <w:trPr>
          <w:trHeight w:val="200"/>
          <w:tblCellSpacing w:w="15" w:type="dxa"/>
        </w:trPr>
        <w:tc>
          <w:tcPr>
            <w:tcW w:w="0" w:type="auto"/>
            <w:vAlign w:val="bottom"/>
            <w:hideMark/>
          </w:tcPr>
          <w:p w14:paraId="6C92272C" w14:textId="77777777" w:rsidR="00000000" w:rsidRDefault="003C49E9">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14:paraId="3DF5C28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33FB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41444A" w14:textId="77777777" w:rsidR="00000000" w:rsidRDefault="003C49E9">
            <w:pPr>
              <w:pStyle w:val="a3"/>
              <w:spacing w:before="0" w:beforeAutospacing="0" w:after="0" w:afterAutospacing="0"/>
              <w:jc w:val="right"/>
              <w:rPr>
                <w:sz w:val="20"/>
                <w:szCs w:val="20"/>
              </w:rPr>
            </w:pPr>
            <w:r>
              <w:rPr>
                <w:sz w:val="20"/>
                <w:szCs w:val="20"/>
              </w:rPr>
              <w:t>871,46</w:t>
            </w:r>
            <w:r>
              <w:rPr>
                <w:sz w:val="20"/>
                <w:szCs w:val="20"/>
              </w:rPr>
              <w:t>7</w:t>
            </w:r>
          </w:p>
        </w:tc>
        <w:tc>
          <w:tcPr>
            <w:tcW w:w="0" w:type="auto"/>
            <w:noWrap/>
            <w:vAlign w:val="bottom"/>
            <w:hideMark/>
          </w:tcPr>
          <w:p w14:paraId="6BE58D7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7206F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823D0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6BDC5B" w14:textId="77777777" w:rsidR="00000000" w:rsidRDefault="003C49E9">
            <w:pPr>
              <w:pStyle w:val="a3"/>
              <w:spacing w:before="0" w:beforeAutospacing="0" w:after="0" w:afterAutospacing="0"/>
              <w:jc w:val="right"/>
              <w:rPr>
                <w:sz w:val="20"/>
                <w:szCs w:val="20"/>
              </w:rPr>
            </w:pPr>
            <w:r>
              <w:rPr>
                <w:sz w:val="20"/>
                <w:szCs w:val="20"/>
              </w:rPr>
              <w:t>873,79</w:t>
            </w:r>
            <w:r>
              <w:rPr>
                <w:sz w:val="20"/>
                <w:szCs w:val="20"/>
              </w:rPr>
              <w:t>9</w:t>
            </w:r>
          </w:p>
        </w:tc>
        <w:tc>
          <w:tcPr>
            <w:tcW w:w="0" w:type="auto"/>
            <w:noWrap/>
            <w:vAlign w:val="bottom"/>
            <w:hideMark/>
          </w:tcPr>
          <w:p w14:paraId="60F16C58" w14:textId="77777777" w:rsidR="00000000" w:rsidRDefault="003C49E9">
            <w:pPr>
              <w:pStyle w:val="a3"/>
              <w:spacing w:before="0" w:beforeAutospacing="0" w:after="0" w:afterAutospacing="0"/>
              <w:rPr>
                <w:sz w:val="20"/>
                <w:szCs w:val="20"/>
              </w:rPr>
            </w:pPr>
            <w:r>
              <w:rPr>
                <w:sz w:val="20"/>
                <w:szCs w:val="20"/>
              </w:rPr>
              <w:t> </w:t>
            </w:r>
          </w:p>
        </w:tc>
      </w:tr>
      <w:tr w:rsidR="00000000" w14:paraId="1A55CB31" w14:textId="77777777">
        <w:trPr>
          <w:trHeight w:val="200"/>
          <w:tblCellSpacing w:w="15" w:type="dxa"/>
        </w:trPr>
        <w:tc>
          <w:tcPr>
            <w:tcW w:w="0" w:type="auto"/>
            <w:vAlign w:val="bottom"/>
            <w:hideMark/>
          </w:tcPr>
          <w:p w14:paraId="4012BE6E" w14:textId="77777777" w:rsidR="00000000" w:rsidRDefault="003C49E9">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14:paraId="2A20616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7462F7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A96FFA2" w14:textId="77777777" w:rsidR="00000000" w:rsidRDefault="003C49E9">
            <w:pPr>
              <w:pStyle w:val="a3"/>
              <w:spacing w:before="0" w:beforeAutospacing="0" w:after="0" w:afterAutospacing="0"/>
              <w:jc w:val="right"/>
              <w:rPr>
                <w:sz w:val="20"/>
                <w:szCs w:val="20"/>
              </w:rPr>
            </w:pPr>
            <w:r>
              <w:rPr>
                <w:sz w:val="20"/>
                <w:szCs w:val="20"/>
              </w:rPr>
              <w:t>2,273,95</w:t>
            </w:r>
            <w:r>
              <w:rPr>
                <w:sz w:val="20"/>
                <w:szCs w:val="20"/>
              </w:rPr>
              <w:t>9</w:t>
            </w:r>
          </w:p>
        </w:tc>
        <w:tc>
          <w:tcPr>
            <w:tcW w:w="0" w:type="auto"/>
            <w:noWrap/>
            <w:vAlign w:val="bottom"/>
            <w:hideMark/>
          </w:tcPr>
          <w:p w14:paraId="2DD9AD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EDD4B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90717C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027DADA" w14:textId="77777777" w:rsidR="00000000" w:rsidRDefault="003C49E9">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14:paraId="0403A175" w14:textId="77777777" w:rsidR="00000000" w:rsidRDefault="003C49E9">
            <w:pPr>
              <w:pStyle w:val="a3"/>
              <w:spacing w:before="0" w:beforeAutospacing="0" w:after="0" w:afterAutospacing="0"/>
              <w:rPr>
                <w:sz w:val="20"/>
                <w:szCs w:val="20"/>
              </w:rPr>
            </w:pPr>
            <w:r>
              <w:rPr>
                <w:sz w:val="20"/>
                <w:szCs w:val="20"/>
              </w:rPr>
              <w:t> </w:t>
            </w:r>
          </w:p>
        </w:tc>
      </w:tr>
    </w:tbl>
    <w:p w14:paraId="6860C76D" w14:textId="77777777" w:rsidR="00000000" w:rsidRDefault="003C49E9">
      <w:pPr>
        <w:pStyle w:val="a3"/>
        <w:spacing w:before="0" w:beforeAutospacing="0" w:after="0" w:afterAutospacing="0"/>
        <w:rPr>
          <w:sz w:val="20"/>
          <w:szCs w:val="20"/>
        </w:rPr>
      </w:pPr>
      <w:r>
        <w:rPr>
          <w:sz w:val="20"/>
          <w:szCs w:val="20"/>
        </w:rPr>
        <w:t> </w:t>
      </w:r>
    </w:p>
    <w:p w14:paraId="63CF9C61" w14:textId="77777777" w:rsidR="00000000" w:rsidRDefault="003C49E9">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14:paraId="2EAF11C7" w14:textId="77777777" w:rsidR="00000000" w:rsidRDefault="003C49E9">
      <w:pPr>
        <w:pStyle w:val="a3"/>
        <w:spacing w:before="240" w:beforeAutospacing="0" w:after="0" w:afterAutospacing="0"/>
        <w:jc w:val="center"/>
        <w:rPr>
          <w:sz w:val="20"/>
          <w:szCs w:val="20"/>
        </w:rPr>
      </w:pPr>
      <w:r>
        <w:rPr>
          <w:sz w:val="20"/>
          <w:szCs w:val="20"/>
        </w:rPr>
        <w:t>5</w:t>
      </w:r>
    </w:p>
    <w:p w14:paraId="0D49BF49" w14:textId="77777777" w:rsidR="00000000" w:rsidRDefault="003C49E9">
      <w:pPr>
        <w:rPr>
          <w:rFonts w:eastAsia="Times New Roman"/>
        </w:rPr>
      </w:pPr>
      <w:r>
        <w:rPr>
          <w:rFonts w:eastAsia="Times New Roman"/>
        </w:rPr>
        <w:pict w14:anchorId="60F28275">
          <v:rect id="_x0000_i1029" style="width:0;height:1.5pt" o:hralign="center" o:hrstd="t" o:hr="t" fillcolor="#a0a0a0" stroked="f"/>
        </w:pict>
      </w:r>
    </w:p>
    <w:p w14:paraId="613C0BA4" w14:textId="77777777" w:rsidR="00000000" w:rsidRDefault="003C49E9">
      <w:pPr>
        <w:pStyle w:val="a3"/>
        <w:spacing w:before="0" w:beforeAutospacing="0" w:after="0" w:afterAutospacing="0"/>
        <w:rPr>
          <w:sz w:val="20"/>
          <w:szCs w:val="20"/>
        </w:rPr>
      </w:pPr>
      <w:r>
        <w:rPr>
          <w:sz w:val="20"/>
          <w:szCs w:val="20"/>
        </w:rPr>
        <w:t> </w:t>
      </w:r>
    </w:p>
    <w:p w14:paraId="57976E4A"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676EF34F" w14:textId="77777777" w:rsidR="00000000" w:rsidRDefault="003C49E9">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Operation</w:t>
      </w:r>
      <w:r>
        <w:rPr>
          <w:b/>
          <w:bCs/>
          <w:sz w:val="20"/>
          <w:szCs w:val="20"/>
        </w:rPr>
        <w:t>s</w:t>
      </w:r>
    </w:p>
    <w:p w14:paraId="26790327" w14:textId="77777777" w:rsidR="00000000" w:rsidRDefault="003C49E9">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14:paraId="0B7AC6C3" w14:textId="77777777" w:rsidR="00000000" w:rsidRDefault="003C49E9">
      <w:pPr>
        <w:pStyle w:val="a3"/>
        <w:spacing w:before="0" w:beforeAutospacing="0" w:after="0" w:afterAutospacing="0"/>
        <w:rPr>
          <w:sz w:val="20"/>
          <w:szCs w:val="20"/>
        </w:rPr>
      </w:pPr>
      <w:r>
        <w:rPr>
          <w:sz w:val="20"/>
          <w:szCs w:val="20"/>
        </w:rPr>
        <w:t> </w:t>
      </w:r>
    </w:p>
    <w:p w14:paraId="0027E748" w14:textId="77777777" w:rsidR="00000000" w:rsidRDefault="003C49E9">
      <w:pPr>
        <w:pStyle w:val="a3"/>
        <w:spacing w:before="40" w:beforeAutospacing="0" w:after="0" w:afterAutospacing="0"/>
        <w:rPr>
          <w:sz w:val="20"/>
          <w:szCs w:val="20"/>
        </w:rPr>
      </w:pPr>
      <w:r>
        <w:rPr>
          <w:sz w:val="20"/>
          <w:szCs w:val="20"/>
        </w:rPr>
        <w:t>The accompanying notes are a</w:t>
      </w:r>
      <w:r>
        <w:rPr>
          <w:sz w:val="20"/>
          <w:szCs w:val="20"/>
        </w:rPr>
        <w:t>n integral part of the consolidated financial statements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3"/>
        <w:gridCol w:w="160"/>
        <w:gridCol w:w="710"/>
        <w:gridCol w:w="127"/>
        <w:gridCol w:w="110"/>
        <w:gridCol w:w="160"/>
        <w:gridCol w:w="710"/>
        <w:gridCol w:w="127"/>
        <w:gridCol w:w="110"/>
        <w:gridCol w:w="160"/>
        <w:gridCol w:w="710"/>
        <w:gridCol w:w="127"/>
        <w:gridCol w:w="110"/>
        <w:gridCol w:w="160"/>
        <w:gridCol w:w="710"/>
        <w:gridCol w:w="142"/>
      </w:tblGrid>
      <w:tr w:rsidR="00000000" w14:paraId="369FA3FE" w14:textId="77777777">
        <w:trPr>
          <w:tblCellSpacing w:w="15" w:type="dxa"/>
        </w:trPr>
        <w:tc>
          <w:tcPr>
            <w:tcW w:w="2688" w:type="pct"/>
            <w:vAlign w:val="center"/>
            <w:hideMark/>
          </w:tcPr>
          <w:p w14:paraId="15E070BA" w14:textId="77777777" w:rsidR="00000000" w:rsidRDefault="003C49E9">
            <w:pPr>
              <w:rPr>
                <w:sz w:val="20"/>
                <w:szCs w:val="20"/>
              </w:rPr>
            </w:pPr>
          </w:p>
        </w:tc>
        <w:tc>
          <w:tcPr>
            <w:tcW w:w="50" w:type="pct"/>
            <w:vAlign w:val="center"/>
            <w:hideMark/>
          </w:tcPr>
          <w:p w14:paraId="5E51528E" w14:textId="77777777" w:rsidR="00000000" w:rsidRDefault="003C49E9">
            <w:pPr>
              <w:rPr>
                <w:rFonts w:eastAsia="Times New Roman"/>
                <w:sz w:val="20"/>
                <w:szCs w:val="20"/>
              </w:rPr>
            </w:pPr>
          </w:p>
        </w:tc>
        <w:tc>
          <w:tcPr>
            <w:tcW w:w="433" w:type="pct"/>
            <w:vAlign w:val="center"/>
            <w:hideMark/>
          </w:tcPr>
          <w:p w14:paraId="70D908A0" w14:textId="77777777" w:rsidR="00000000" w:rsidRDefault="003C49E9">
            <w:pPr>
              <w:rPr>
                <w:rFonts w:eastAsia="Times New Roman"/>
                <w:sz w:val="20"/>
                <w:szCs w:val="20"/>
              </w:rPr>
            </w:pPr>
          </w:p>
        </w:tc>
        <w:tc>
          <w:tcPr>
            <w:tcW w:w="50" w:type="pct"/>
            <w:vAlign w:val="center"/>
            <w:hideMark/>
          </w:tcPr>
          <w:p w14:paraId="512CDBE2" w14:textId="77777777" w:rsidR="00000000" w:rsidRDefault="003C49E9">
            <w:pPr>
              <w:rPr>
                <w:rFonts w:eastAsia="Times New Roman"/>
                <w:sz w:val="20"/>
                <w:szCs w:val="20"/>
              </w:rPr>
            </w:pPr>
          </w:p>
        </w:tc>
        <w:tc>
          <w:tcPr>
            <w:tcW w:w="57" w:type="pct"/>
            <w:vAlign w:val="center"/>
            <w:hideMark/>
          </w:tcPr>
          <w:p w14:paraId="40FC4D62" w14:textId="77777777" w:rsidR="00000000" w:rsidRDefault="003C49E9">
            <w:pPr>
              <w:rPr>
                <w:rFonts w:eastAsia="Times New Roman"/>
                <w:sz w:val="20"/>
                <w:szCs w:val="20"/>
              </w:rPr>
            </w:pPr>
          </w:p>
        </w:tc>
        <w:tc>
          <w:tcPr>
            <w:tcW w:w="50" w:type="pct"/>
            <w:vAlign w:val="center"/>
            <w:hideMark/>
          </w:tcPr>
          <w:p w14:paraId="2A31921A" w14:textId="77777777" w:rsidR="00000000" w:rsidRDefault="003C49E9">
            <w:pPr>
              <w:rPr>
                <w:rFonts w:eastAsia="Times New Roman"/>
                <w:sz w:val="20"/>
                <w:szCs w:val="20"/>
              </w:rPr>
            </w:pPr>
          </w:p>
        </w:tc>
        <w:tc>
          <w:tcPr>
            <w:tcW w:w="435" w:type="pct"/>
            <w:vAlign w:val="center"/>
            <w:hideMark/>
          </w:tcPr>
          <w:p w14:paraId="4ABEBFB1" w14:textId="77777777" w:rsidR="00000000" w:rsidRDefault="003C49E9">
            <w:pPr>
              <w:rPr>
                <w:rFonts w:eastAsia="Times New Roman"/>
                <w:sz w:val="20"/>
                <w:szCs w:val="20"/>
              </w:rPr>
            </w:pPr>
          </w:p>
        </w:tc>
        <w:tc>
          <w:tcPr>
            <w:tcW w:w="50" w:type="pct"/>
            <w:vAlign w:val="center"/>
            <w:hideMark/>
          </w:tcPr>
          <w:p w14:paraId="12CCD7C0" w14:textId="77777777" w:rsidR="00000000" w:rsidRDefault="003C49E9">
            <w:pPr>
              <w:rPr>
                <w:rFonts w:eastAsia="Times New Roman"/>
                <w:sz w:val="20"/>
                <w:szCs w:val="20"/>
              </w:rPr>
            </w:pPr>
          </w:p>
        </w:tc>
        <w:tc>
          <w:tcPr>
            <w:tcW w:w="57" w:type="pct"/>
            <w:vAlign w:val="center"/>
            <w:hideMark/>
          </w:tcPr>
          <w:p w14:paraId="577D8A2F" w14:textId="77777777" w:rsidR="00000000" w:rsidRDefault="003C49E9">
            <w:pPr>
              <w:rPr>
                <w:rFonts w:eastAsia="Times New Roman"/>
                <w:sz w:val="20"/>
                <w:szCs w:val="20"/>
              </w:rPr>
            </w:pPr>
          </w:p>
        </w:tc>
        <w:tc>
          <w:tcPr>
            <w:tcW w:w="50" w:type="pct"/>
            <w:vAlign w:val="center"/>
            <w:hideMark/>
          </w:tcPr>
          <w:p w14:paraId="062B1813" w14:textId="77777777" w:rsidR="00000000" w:rsidRDefault="003C49E9">
            <w:pPr>
              <w:rPr>
                <w:rFonts w:eastAsia="Times New Roman"/>
                <w:sz w:val="20"/>
                <w:szCs w:val="20"/>
              </w:rPr>
            </w:pPr>
          </w:p>
        </w:tc>
        <w:tc>
          <w:tcPr>
            <w:tcW w:w="433" w:type="pct"/>
            <w:vAlign w:val="center"/>
            <w:hideMark/>
          </w:tcPr>
          <w:p w14:paraId="3E475311" w14:textId="77777777" w:rsidR="00000000" w:rsidRDefault="003C49E9">
            <w:pPr>
              <w:rPr>
                <w:rFonts w:eastAsia="Times New Roman"/>
                <w:sz w:val="20"/>
                <w:szCs w:val="20"/>
              </w:rPr>
            </w:pPr>
          </w:p>
        </w:tc>
        <w:tc>
          <w:tcPr>
            <w:tcW w:w="50" w:type="pct"/>
            <w:vAlign w:val="center"/>
            <w:hideMark/>
          </w:tcPr>
          <w:p w14:paraId="514A7590" w14:textId="77777777" w:rsidR="00000000" w:rsidRDefault="003C49E9">
            <w:pPr>
              <w:rPr>
                <w:rFonts w:eastAsia="Times New Roman"/>
                <w:sz w:val="20"/>
                <w:szCs w:val="20"/>
              </w:rPr>
            </w:pPr>
          </w:p>
        </w:tc>
        <w:tc>
          <w:tcPr>
            <w:tcW w:w="57" w:type="pct"/>
            <w:vAlign w:val="center"/>
            <w:hideMark/>
          </w:tcPr>
          <w:p w14:paraId="308CEC9B" w14:textId="77777777" w:rsidR="00000000" w:rsidRDefault="003C49E9">
            <w:pPr>
              <w:rPr>
                <w:rFonts w:eastAsia="Times New Roman"/>
                <w:sz w:val="20"/>
                <w:szCs w:val="20"/>
              </w:rPr>
            </w:pPr>
          </w:p>
        </w:tc>
        <w:tc>
          <w:tcPr>
            <w:tcW w:w="50" w:type="pct"/>
            <w:vAlign w:val="center"/>
            <w:hideMark/>
          </w:tcPr>
          <w:p w14:paraId="295DC13D" w14:textId="77777777" w:rsidR="00000000" w:rsidRDefault="003C49E9">
            <w:pPr>
              <w:rPr>
                <w:rFonts w:eastAsia="Times New Roman"/>
                <w:sz w:val="20"/>
                <w:szCs w:val="20"/>
              </w:rPr>
            </w:pPr>
          </w:p>
        </w:tc>
        <w:tc>
          <w:tcPr>
            <w:tcW w:w="435" w:type="pct"/>
            <w:vAlign w:val="center"/>
            <w:hideMark/>
          </w:tcPr>
          <w:p w14:paraId="0CCB0D37" w14:textId="77777777" w:rsidR="00000000" w:rsidRDefault="003C49E9">
            <w:pPr>
              <w:rPr>
                <w:rFonts w:eastAsia="Times New Roman"/>
                <w:sz w:val="20"/>
                <w:szCs w:val="20"/>
              </w:rPr>
            </w:pPr>
          </w:p>
        </w:tc>
        <w:tc>
          <w:tcPr>
            <w:tcW w:w="50" w:type="pct"/>
            <w:vAlign w:val="center"/>
            <w:hideMark/>
          </w:tcPr>
          <w:p w14:paraId="64C6B877" w14:textId="77777777" w:rsidR="00000000" w:rsidRDefault="003C49E9">
            <w:pPr>
              <w:rPr>
                <w:rFonts w:eastAsia="Times New Roman"/>
                <w:sz w:val="20"/>
                <w:szCs w:val="20"/>
              </w:rPr>
            </w:pPr>
          </w:p>
        </w:tc>
      </w:tr>
      <w:tr w:rsidR="00000000" w14:paraId="2857A334" w14:textId="77777777">
        <w:trPr>
          <w:trHeight w:val="160"/>
          <w:tblCellSpacing w:w="15" w:type="dxa"/>
        </w:trPr>
        <w:tc>
          <w:tcPr>
            <w:tcW w:w="0" w:type="auto"/>
            <w:vAlign w:val="bottom"/>
            <w:hideMark/>
          </w:tcPr>
          <w:p w14:paraId="25631D4B"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66678DCD" w14:textId="77777777" w:rsidR="00000000" w:rsidRDefault="003C49E9">
            <w:pPr>
              <w:pStyle w:val="a3"/>
              <w:spacing w:before="0" w:beforeAutospacing="0" w:after="0" w:afterAutospacing="0"/>
              <w:jc w:val="center"/>
              <w:rPr>
                <w:sz w:val="16"/>
                <w:szCs w:val="16"/>
              </w:rPr>
            </w:pPr>
            <w:r>
              <w:rPr>
                <w:b/>
                <w:bCs/>
                <w:sz w:val="16"/>
                <w:szCs w:val="16"/>
              </w:rPr>
              <w:t>For the Three Months Ended June 30</w:t>
            </w:r>
            <w:r>
              <w:rPr>
                <w:b/>
                <w:bCs/>
                <w:sz w:val="16"/>
                <w:szCs w:val="16"/>
              </w:rPr>
              <w:t>,</w:t>
            </w:r>
          </w:p>
        </w:tc>
        <w:tc>
          <w:tcPr>
            <w:tcW w:w="0" w:type="auto"/>
            <w:vAlign w:val="bottom"/>
            <w:hideMark/>
          </w:tcPr>
          <w:p w14:paraId="2DB7DD3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1AE8ED4"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20AA1A8F" w14:textId="77777777" w:rsidR="00000000" w:rsidRDefault="003C49E9">
            <w:pPr>
              <w:pStyle w:val="a3"/>
              <w:spacing w:before="0" w:beforeAutospacing="0" w:after="0" w:afterAutospacing="0"/>
              <w:jc w:val="center"/>
              <w:rPr>
                <w:sz w:val="16"/>
                <w:szCs w:val="16"/>
              </w:rPr>
            </w:pPr>
            <w:r>
              <w:rPr>
                <w:b/>
                <w:bCs/>
                <w:sz w:val="16"/>
                <w:szCs w:val="16"/>
              </w:rPr>
              <w:t>For the Six Months Ended June 30</w:t>
            </w:r>
            <w:r>
              <w:rPr>
                <w:b/>
                <w:bCs/>
                <w:sz w:val="16"/>
                <w:szCs w:val="16"/>
              </w:rPr>
              <w:t>,</w:t>
            </w:r>
          </w:p>
        </w:tc>
        <w:tc>
          <w:tcPr>
            <w:tcW w:w="0" w:type="auto"/>
            <w:vAlign w:val="bottom"/>
            <w:hideMark/>
          </w:tcPr>
          <w:p w14:paraId="38C994A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68408AB" w14:textId="77777777">
        <w:trPr>
          <w:trHeight w:val="160"/>
          <w:tblCellSpacing w:w="15" w:type="dxa"/>
        </w:trPr>
        <w:tc>
          <w:tcPr>
            <w:tcW w:w="0" w:type="auto"/>
            <w:vAlign w:val="bottom"/>
            <w:hideMark/>
          </w:tcPr>
          <w:p w14:paraId="451CDD01"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F574467"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1E829D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299F1D9"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6DFFC6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9E1FA5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D4CD09D"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6EBF30C"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4D7EF4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B040B9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53D05D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1167B4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9C51DD5" w14:textId="77777777">
        <w:trPr>
          <w:trHeight w:val="200"/>
          <w:tblCellSpacing w:w="15" w:type="dxa"/>
        </w:trPr>
        <w:tc>
          <w:tcPr>
            <w:tcW w:w="0" w:type="auto"/>
            <w:vAlign w:val="bottom"/>
            <w:hideMark/>
          </w:tcPr>
          <w:p w14:paraId="624D5299" w14:textId="77777777" w:rsidR="00000000" w:rsidRDefault="003C49E9">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14:paraId="4B66A68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C10497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7DE1BD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EDECBE3"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440B9E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22999AF"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0F9873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FC5557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06CE38A"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C62042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745BF34"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422CB2A" w14:textId="77777777">
        <w:trPr>
          <w:trHeight w:val="200"/>
          <w:tblCellSpacing w:w="15" w:type="dxa"/>
        </w:trPr>
        <w:tc>
          <w:tcPr>
            <w:tcW w:w="0" w:type="auto"/>
            <w:vAlign w:val="bottom"/>
            <w:hideMark/>
          </w:tcPr>
          <w:p w14:paraId="1A165C75"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noWrap/>
            <w:vAlign w:val="bottom"/>
            <w:hideMark/>
          </w:tcPr>
          <w:p w14:paraId="66E5B38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524C5F1" w14:textId="77777777" w:rsidR="00000000" w:rsidRDefault="003C49E9">
            <w:pPr>
              <w:pStyle w:val="a3"/>
              <w:spacing w:before="0" w:beforeAutospacing="0" w:after="0" w:afterAutospacing="0"/>
              <w:jc w:val="right"/>
              <w:rPr>
                <w:sz w:val="20"/>
                <w:szCs w:val="20"/>
              </w:rPr>
            </w:pPr>
            <w:r>
              <w:rPr>
                <w:sz w:val="20"/>
                <w:szCs w:val="20"/>
              </w:rPr>
              <w:t>412,40</w:t>
            </w:r>
            <w:r>
              <w:rPr>
                <w:sz w:val="20"/>
                <w:szCs w:val="20"/>
              </w:rPr>
              <w:t>1</w:t>
            </w:r>
          </w:p>
        </w:tc>
        <w:tc>
          <w:tcPr>
            <w:tcW w:w="0" w:type="auto"/>
            <w:noWrap/>
            <w:vAlign w:val="bottom"/>
            <w:hideMark/>
          </w:tcPr>
          <w:p w14:paraId="3ECA731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AEDAB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09FE7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C730C0B" w14:textId="77777777" w:rsidR="00000000" w:rsidRDefault="003C49E9">
            <w:pPr>
              <w:pStyle w:val="a3"/>
              <w:spacing w:before="0" w:beforeAutospacing="0" w:after="0" w:afterAutospacing="0"/>
              <w:jc w:val="right"/>
              <w:rPr>
                <w:sz w:val="20"/>
                <w:szCs w:val="20"/>
              </w:rPr>
            </w:pPr>
            <w:r>
              <w:rPr>
                <w:sz w:val="20"/>
                <w:szCs w:val="20"/>
              </w:rPr>
              <w:t>300,42</w:t>
            </w:r>
            <w:r>
              <w:rPr>
                <w:sz w:val="20"/>
                <w:szCs w:val="20"/>
              </w:rPr>
              <w:t>3</w:t>
            </w:r>
          </w:p>
        </w:tc>
        <w:tc>
          <w:tcPr>
            <w:tcW w:w="0" w:type="auto"/>
            <w:noWrap/>
            <w:vAlign w:val="bottom"/>
            <w:hideMark/>
          </w:tcPr>
          <w:p w14:paraId="24A1D7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D1DA0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0A6BE5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7E13AF7" w14:textId="77777777" w:rsidR="00000000" w:rsidRDefault="003C49E9">
            <w:pPr>
              <w:pStyle w:val="a3"/>
              <w:spacing w:before="0" w:beforeAutospacing="0" w:after="0" w:afterAutospacing="0"/>
              <w:jc w:val="right"/>
              <w:rPr>
                <w:sz w:val="20"/>
                <w:szCs w:val="20"/>
              </w:rPr>
            </w:pPr>
            <w:r>
              <w:rPr>
                <w:sz w:val="20"/>
                <w:szCs w:val="20"/>
              </w:rPr>
              <w:t>797,35</w:t>
            </w:r>
            <w:r>
              <w:rPr>
                <w:sz w:val="20"/>
                <w:szCs w:val="20"/>
              </w:rPr>
              <w:t>6</w:t>
            </w:r>
          </w:p>
        </w:tc>
        <w:tc>
          <w:tcPr>
            <w:tcW w:w="0" w:type="auto"/>
            <w:noWrap/>
            <w:vAlign w:val="bottom"/>
            <w:hideMark/>
          </w:tcPr>
          <w:p w14:paraId="169FFF6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150A9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943772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C3FE805" w14:textId="77777777" w:rsidR="00000000" w:rsidRDefault="003C49E9">
            <w:pPr>
              <w:pStyle w:val="a3"/>
              <w:spacing w:before="0" w:beforeAutospacing="0" w:after="0" w:afterAutospacing="0"/>
              <w:jc w:val="right"/>
              <w:rPr>
                <w:sz w:val="20"/>
                <w:szCs w:val="20"/>
              </w:rPr>
            </w:pPr>
            <w:r>
              <w:rPr>
                <w:sz w:val="20"/>
                <w:szCs w:val="20"/>
              </w:rPr>
              <w:t>570,68</w:t>
            </w:r>
            <w:r>
              <w:rPr>
                <w:sz w:val="20"/>
                <w:szCs w:val="20"/>
              </w:rPr>
              <w:t>6</w:t>
            </w:r>
          </w:p>
        </w:tc>
        <w:tc>
          <w:tcPr>
            <w:tcW w:w="0" w:type="auto"/>
            <w:noWrap/>
            <w:vAlign w:val="bottom"/>
            <w:hideMark/>
          </w:tcPr>
          <w:p w14:paraId="5AB4C628" w14:textId="77777777" w:rsidR="00000000" w:rsidRDefault="003C49E9">
            <w:pPr>
              <w:pStyle w:val="a3"/>
              <w:spacing w:before="0" w:beforeAutospacing="0" w:after="0" w:afterAutospacing="0"/>
              <w:rPr>
                <w:sz w:val="20"/>
                <w:szCs w:val="20"/>
              </w:rPr>
            </w:pPr>
            <w:r>
              <w:rPr>
                <w:sz w:val="20"/>
                <w:szCs w:val="20"/>
              </w:rPr>
              <w:t> </w:t>
            </w:r>
          </w:p>
        </w:tc>
      </w:tr>
      <w:tr w:rsidR="00000000" w14:paraId="7D080048" w14:textId="77777777">
        <w:trPr>
          <w:trHeight w:val="200"/>
          <w:tblCellSpacing w:w="15" w:type="dxa"/>
        </w:trPr>
        <w:tc>
          <w:tcPr>
            <w:tcW w:w="0" w:type="auto"/>
            <w:vAlign w:val="bottom"/>
            <w:hideMark/>
          </w:tcPr>
          <w:p w14:paraId="25D8F3E9"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noWrap/>
            <w:vAlign w:val="bottom"/>
            <w:hideMark/>
          </w:tcPr>
          <w:p w14:paraId="0F11E97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36606F" w14:textId="77777777" w:rsidR="00000000" w:rsidRDefault="003C49E9">
            <w:pPr>
              <w:pStyle w:val="a3"/>
              <w:spacing w:before="0" w:beforeAutospacing="0" w:after="0" w:afterAutospacing="0"/>
              <w:jc w:val="right"/>
              <w:rPr>
                <w:sz w:val="20"/>
                <w:szCs w:val="20"/>
              </w:rPr>
            </w:pPr>
            <w:r>
              <w:rPr>
                <w:sz w:val="20"/>
                <w:szCs w:val="20"/>
              </w:rPr>
              <w:t>9,35</w:t>
            </w:r>
            <w:r>
              <w:rPr>
                <w:sz w:val="20"/>
                <w:szCs w:val="20"/>
              </w:rPr>
              <w:t>4</w:t>
            </w:r>
          </w:p>
        </w:tc>
        <w:tc>
          <w:tcPr>
            <w:tcW w:w="0" w:type="auto"/>
            <w:noWrap/>
            <w:vAlign w:val="bottom"/>
            <w:hideMark/>
          </w:tcPr>
          <w:p w14:paraId="6A1E52D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5E18F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F0A1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66CFF46" w14:textId="77777777" w:rsidR="00000000" w:rsidRDefault="003C49E9">
            <w:pPr>
              <w:pStyle w:val="a3"/>
              <w:spacing w:before="0" w:beforeAutospacing="0" w:after="0" w:afterAutospacing="0"/>
              <w:jc w:val="right"/>
              <w:rPr>
                <w:sz w:val="20"/>
                <w:szCs w:val="20"/>
              </w:rPr>
            </w:pPr>
            <w:r>
              <w:rPr>
                <w:sz w:val="20"/>
                <w:szCs w:val="20"/>
              </w:rPr>
              <w:t>10,36</w:t>
            </w:r>
            <w:r>
              <w:rPr>
                <w:sz w:val="20"/>
                <w:szCs w:val="20"/>
              </w:rPr>
              <w:t>5</w:t>
            </w:r>
          </w:p>
        </w:tc>
        <w:tc>
          <w:tcPr>
            <w:tcW w:w="0" w:type="auto"/>
            <w:noWrap/>
            <w:vAlign w:val="bottom"/>
            <w:hideMark/>
          </w:tcPr>
          <w:p w14:paraId="4E8A21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29B79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F73F51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8D5A47" w14:textId="77777777" w:rsidR="00000000" w:rsidRDefault="003C49E9">
            <w:pPr>
              <w:pStyle w:val="a3"/>
              <w:spacing w:before="0" w:beforeAutospacing="0" w:after="0" w:afterAutospacing="0"/>
              <w:jc w:val="right"/>
              <w:rPr>
                <w:sz w:val="20"/>
                <w:szCs w:val="20"/>
              </w:rPr>
            </w:pPr>
            <w:r>
              <w:rPr>
                <w:sz w:val="20"/>
                <w:szCs w:val="20"/>
              </w:rPr>
              <w:t>19,99</w:t>
            </w:r>
            <w:r>
              <w:rPr>
                <w:sz w:val="20"/>
                <w:szCs w:val="20"/>
              </w:rPr>
              <w:t>8</w:t>
            </w:r>
          </w:p>
        </w:tc>
        <w:tc>
          <w:tcPr>
            <w:tcW w:w="0" w:type="auto"/>
            <w:noWrap/>
            <w:vAlign w:val="bottom"/>
            <w:hideMark/>
          </w:tcPr>
          <w:p w14:paraId="1FCD2C3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24F17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50861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355071" w14:textId="77777777" w:rsidR="00000000" w:rsidRDefault="003C49E9">
            <w:pPr>
              <w:pStyle w:val="a3"/>
              <w:spacing w:before="0" w:beforeAutospacing="0" w:after="0" w:afterAutospacing="0"/>
              <w:jc w:val="right"/>
              <w:rPr>
                <w:sz w:val="20"/>
                <w:szCs w:val="20"/>
              </w:rPr>
            </w:pPr>
            <w:r>
              <w:rPr>
                <w:sz w:val="20"/>
                <w:szCs w:val="20"/>
              </w:rPr>
              <w:t>21,46</w:t>
            </w:r>
            <w:r>
              <w:rPr>
                <w:sz w:val="20"/>
                <w:szCs w:val="20"/>
              </w:rPr>
              <w:t>7</w:t>
            </w:r>
          </w:p>
        </w:tc>
        <w:tc>
          <w:tcPr>
            <w:tcW w:w="0" w:type="auto"/>
            <w:noWrap/>
            <w:vAlign w:val="bottom"/>
            <w:hideMark/>
          </w:tcPr>
          <w:p w14:paraId="695BACFB" w14:textId="77777777" w:rsidR="00000000" w:rsidRDefault="003C49E9">
            <w:pPr>
              <w:pStyle w:val="a3"/>
              <w:spacing w:before="0" w:beforeAutospacing="0" w:after="0" w:afterAutospacing="0"/>
              <w:rPr>
                <w:sz w:val="20"/>
                <w:szCs w:val="20"/>
              </w:rPr>
            </w:pPr>
            <w:r>
              <w:rPr>
                <w:sz w:val="20"/>
                <w:szCs w:val="20"/>
              </w:rPr>
              <w:t> </w:t>
            </w:r>
          </w:p>
        </w:tc>
      </w:tr>
      <w:tr w:rsidR="00000000" w14:paraId="63656634" w14:textId="77777777">
        <w:trPr>
          <w:trHeight w:val="200"/>
          <w:tblCellSpacing w:w="15" w:type="dxa"/>
        </w:trPr>
        <w:tc>
          <w:tcPr>
            <w:tcW w:w="0" w:type="auto"/>
            <w:vAlign w:val="bottom"/>
            <w:hideMark/>
          </w:tcPr>
          <w:p w14:paraId="36FFC7F6" w14:textId="77777777" w:rsidR="00000000" w:rsidRDefault="003C49E9">
            <w:pPr>
              <w:pStyle w:val="a3"/>
              <w:spacing w:before="0" w:beforeAutospacing="0" w:after="0" w:afterAutospacing="0"/>
              <w:ind w:left="600"/>
              <w:rPr>
                <w:sz w:val="20"/>
                <w:szCs w:val="20"/>
              </w:rPr>
            </w:pPr>
            <w:r>
              <w:rPr>
                <w:sz w:val="20"/>
                <w:szCs w:val="20"/>
              </w:rPr>
              <w:t>Total revenu</w:t>
            </w:r>
            <w:r>
              <w:rPr>
                <w:sz w:val="20"/>
                <w:szCs w:val="20"/>
              </w:rPr>
              <w:t>e</w:t>
            </w:r>
          </w:p>
        </w:tc>
        <w:tc>
          <w:tcPr>
            <w:tcW w:w="0" w:type="auto"/>
            <w:noWrap/>
            <w:vAlign w:val="bottom"/>
            <w:hideMark/>
          </w:tcPr>
          <w:p w14:paraId="0DA7014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AE9FE7A" w14:textId="77777777" w:rsidR="00000000" w:rsidRDefault="003C49E9">
            <w:pPr>
              <w:pStyle w:val="a3"/>
              <w:spacing w:before="0" w:beforeAutospacing="0" w:after="0" w:afterAutospacing="0"/>
              <w:jc w:val="right"/>
              <w:rPr>
                <w:sz w:val="20"/>
                <w:szCs w:val="20"/>
              </w:rPr>
            </w:pPr>
            <w:r>
              <w:rPr>
                <w:sz w:val="20"/>
                <w:szCs w:val="20"/>
              </w:rPr>
              <w:t>421,75</w:t>
            </w:r>
            <w:r>
              <w:rPr>
                <w:sz w:val="20"/>
                <w:szCs w:val="20"/>
              </w:rPr>
              <w:t>5</w:t>
            </w:r>
          </w:p>
        </w:tc>
        <w:tc>
          <w:tcPr>
            <w:tcW w:w="0" w:type="auto"/>
            <w:noWrap/>
            <w:vAlign w:val="bottom"/>
            <w:hideMark/>
          </w:tcPr>
          <w:p w14:paraId="5DD472C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44EC3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126568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D2C932" w14:textId="77777777" w:rsidR="00000000" w:rsidRDefault="003C49E9">
            <w:pPr>
              <w:pStyle w:val="a3"/>
              <w:spacing w:before="0" w:beforeAutospacing="0" w:after="0" w:afterAutospacing="0"/>
              <w:jc w:val="right"/>
              <w:rPr>
                <w:sz w:val="20"/>
                <w:szCs w:val="20"/>
              </w:rPr>
            </w:pPr>
            <w:r>
              <w:rPr>
                <w:sz w:val="20"/>
                <w:szCs w:val="20"/>
              </w:rPr>
              <w:t>310,78</w:t>
            </w:r>
            <w:r>
              <w:rPr>
                <w:sz w:val="20"/>
                <w:szCs w:val="20"/>
              </w:rPr>
              <w:t>8</w:t>
            </w:r>
          </w:p>
        </w:tc>
        <w:tc>
          <w:tcPr>
            <w:tcW w:w="0" w:type="auto"/>
            <w:noWrap/>
            <w:vAlign w:val="bottom"/>
            <w:hideMark/>
          </w:tcPr>
          <w:p w14:paraId="4F7D4D9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15A72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AB9E66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C8941F" w14:textId="77777777" w:rsidR="00000000" w:rsidRDefault="003C49E9">
            <w:pPr>
              <w:pStyle w:val="a3"/>
              <w:spacing w:before="0" w:beforeAutospacing="0" w:after="0" w:afterAutospacing="0"/>
              <w:jc w:val="right"/>
              <w:rPr>
                <w:sz w:val="20"/>
                <w:szCs w:val="20"/>
              </w:rPr>
            </w:pPr>
            <w:r>
              <w:rPr>
                <w:sz w:val="20"/>
                <w:szCs w:val="20"/>
              </w:rPr>
              <w:t>817,35</w:t>
            </w:r>
            <w:r>
              <w:rPr>
                <w:sz w:val="20"/>
                <w:szCs w:val="20"/>
              </w:rPr>
              <w:t>4</w:t>
            </w:r>
          </w:p>
        </w:tc>
        <w:tc>
          <w:tcPr>
            <w:tcW w:w="0" w:type="auto"/>
            <w:noWrap/>
            <w:vAlign w:val="bottom"/>
            <w:hideMark/>
          </w:tcPr>
          <w:p w14:paraId="51E7449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3F8B8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0D8B41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821F29" w14:textId="77777777" w:rsidR="00000000" w:rsidRDefault="003C49E9">
            <w:pPr>
              <w:pStyle w:val="a3"/>
              <w:spacing w:before="0" w:beforeAutospacing="0" w:after="0" w:afterAutospacing="0"/>
              <w:jc w:val="right"/>
              <w:rPr>
                <w:sz w:val="20"/>
                <w:szCs w:val="20"/>
              </w:rPr>
            </w:pPr>
            <w:r>
              <w:rPr>
                <w:sz w:val="20"/>
                <w:szCs w:val="20"/>
              </w:rPr>
              <w:t>592,15</w:t>
            </w:r>
            <w:r>
              <w:rPr>
                <w:sz w:val="20"/>
                <w:szCs w:val="20"/>
              </w:rPr>
              <w:t>3</w:t>
            </w:r>
          </w:p>
        </w:tc>
        <w:tc>
          <w:tcPr>
            <w:tcW w:w="0" w:type="auto"/>
            <w:noWrap/>
            <w:vAlign w:val="bottom"/>
            <w:hideMark/>
          </w:tcPr>
          <w:p w14:paraId="6EF2604D" w14:textId="77777777" w:rsidR="00000000" w:rsidRDefault="003C49E9">
            <w:pPr>
              <w:pStyle w:val="a3"/>
              <w:spacing w:before="0" w:beforeAutospacing="0" w:after="0" w:afterAutospacing="0"/>
              <w:rPr>
                <w:sz w:val="20"/>
                <w:szCs w:val="20"/>
              </w:rPr>
            </w:pPr>
            <w:r>
              <w:rPr>
                <w:sz w:val="20"/>
                <w:szCs w:val="20"/>
              </w:rPr>
              <w:t> </w:t>
            </w:r>
          </w:p>
        </w:tc>
      </w:tr>
      <w:tr w:rsidR="00000000" w14:paraId="58AB5A5F" w14:textId="77777777">
        <w:trPr>
          <w:trHeight w:val="200"/>
          <w:tblCellSpacing w:w="15" w:type="dxa"/>
        </w:trPr>
        <w:tc>
          <w:tcPr>
            <w:tcW w:w="0" w:type="auto"/>
            <w:vAlign w:val="bottom"/>
            <w:hideMark/>
          </w:tcPr>
          <w:p w14:paraId="440EB906" w14:textId="77777777" w:rsidR="00000000" w:rsidRDefault="003C49E9">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14:paraId="03DCF6B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EF2AF83"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F442249"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03E4215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1E0B44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470797C"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9F1494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8955B0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4D2B9EB"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63334F0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26C8807" w14:textId="77777777" w:rsidR="00000000" w:rsidRDefault="003C49E9">
            <w:pPr>
              <w:pStyle w:val="a3"/>
              <w:spacing w:before="0" w:beforeAutospacing="0" w:after="0" w:afterAutospacing="0"/>
              <w:jc w:val="right"/>
              <w:rPr>
                <w:sz w:val="20"/>
                <w:szCs w:val="20"/>
              </w:rPr>
            </w:pPr>
            <w:r>
              <w:rPr>
                <w:sz w:val="20"/>
                <w:szCs w:val="20"/>
              </w:rPr>
              <w:t> </w:t>
            </w:r>
          </w:p>
        </w:tc>
      </w:tr>
      <w:tr w:rsidR="00000000" w14:paraId="4F7FDBDD" w14:textId="77777777">
        <w:trPr>
          <w:trHeight w:val="200"/>
          <w:tblCellSpacing w:w="15" w:type="dxa"/>
        </w:trPr>
        <w:tc>
          <w:tcPr>
            <w:tcW w:w="0" w:type="auto"/>
            <w:vAlign w:val="bottom"/>
            <w:hideMark/>
          </w:tcPr>
          <w:p w14:paraId="40B6C295"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noWrap/>
            <w:vAlign w:val="bottom"/>
            <w:hideMark/>
          </w:tcPr>
          <w:p w14:paraId="3E53A05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3A73F5" w14:textId="77777777" w:rsidR="00000000" w:rsidRDefault="003C49E9">
            <w:pPr>
              <w:pStyle w:val="a3"/>
              <w:spacing w:before="0" w:beforeAutospacing="0" w:after="0" w:afterAutospacing="0"/>
              <w:jc w:val="right"/>
              <w:rPr>
                <w:sz w:val="20"/>
                <w:szCs w:val="20"/>
              </w:rPr>
            </w:pPr>
            <w:r>
              <w:rPr>
                <w:sz w:val="20"/>
                <w:szCs w:val="20"/>
              </w:rPr>
              <w:t>64,43</w:t>
            </w:r>
            <w:r>
              <w:rPr>
                <w:sz w:val="20"/>
                <w:szCs w:val="20"/>
              </w:rPr>
              <w:t>1</w:t>
            </w:r>
          </w:p>
        </w:tc>
        <w:tc>
          <w:tcPr>
            <w:tcW w:w="0" w:type="auto"/>
            <w:noWrap/>
            <w:vAlign w:val="bottom"/>
            <w:hideMark/>
          </w:tcPr>
          <w:p w14:paraId="427F55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094EC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1F688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F9ED24" w14:textId="77777777" w:rsidR="00000000" w:rsidRDefault="003C49E9">
            <w:pPr>
              <w:pStyle w:val="a3"/>
              <w:spacing w:before="0" w:beforeAutospacing="0" w:after="0" w:afterAutospacing="0"/>
              <w:jc w:val="right"/>
              <w:rPr>
                <w:sz w:val="20"/>
                <w:szCs w:val="20"/>
              </w:rPr>
            </w:pPr>
            <w:r>
              <w:rPr>
                <w:sz w:val="20"/>
                <w:szCs w:val="20"/>
              </w:rPr>
              <w:t>51,13</w:t>
            </w:r>
            <w:r>
              <w:rPr>
                <w:sz w:val="20"/>
                <w:szCs w:val="20"/>
              </w:rPr>
              <w:t>4</w:t>
            </w:r>
          </w:p>
        </w:tc>
        <w:tc>
          <w:tcPr>
            <w:tcW w:w="0" w:type="auto"/>
            <w:noWrap/>
            <w:vAlign w:val="bottom"/>
            <w:hideMark/>
          </w:tcPr>
          <w:p w14:paraId="140B5FB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63969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E95180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C72047" w14:textId="77777777" w:rsidR="00000000" w:rsidRDefault="003C49E9">
            <w:pPr>
              <w:pStyle w:val="a3"/>
              <w:spacing w:before="0" w:beforeAutospacing="0" w:after="0" w:afterAutospacing="0"/>
              <w:jc w:val="right"/>
              <w:rPr>
                <w:sz w:val="20"/>
                <w:szCs w:val="20"/>
              </w:rPr>
            </w:pPr>
            <w:r>
              <w:rPr>
                <w:sz w:val="20"/>
                <w:szCs w:val="20"/>
              </w:rPr>
              <w:t>123,81</w:t>
            </w:r>
            <w:r>
              <w:rPr>
                <w:sz w:val="20"/>
                <w:szCs w:val="20"/>
              </w:rPr>
              <w:t>6</w:t>
            </w:r>
          </w:p>
        </w:tc>
        <w:tc>
          <w:tcPr>
            <w:tcW w:w="0" w:type="auto"/>
            <w:noWrap/>
            <w:vAlign w:val="bottom"/>
            <w:hideMark/>
          </w:tcPr>
          <w:p w14:paraId="3A2E20E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6B21B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9E29E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DE28B0" w14:textId="77777777" w:rsidR="00000000" w:rsidRDefault="003C49E9">
            <w:pPr>
              <w:pStyle w:val="a3"/>
              <w:spacing w:before="0" w:beforeAutospacing="0" w:after="0" w:afterAutospacing="0"/>
              <w:jc w:val="right"/>
              <w:rPr>
                <w:sz w:val="20"/>
                <w:szCs w:val="20"/>
              </w:rPr>
            </w:pPr>
            <w:r>
              <w:rPr>
                <w:sz w:val="20"/>
                <w:szCs w:val="20"/>
              </w:rPr>
              <w:t>94,98</w:t>
            </w:r>
            <w:r>
              <w:rPr>
                <w:sz w:val="20"/>
                <w:szCs w:val="20"/>
              </w:rPr>
              <w:t>6</w:t>
            </w:r>
          </w:p>
        </w:tc>
        <w:tc>
          <w:tcPr>
            <w:tcW w:w="0" w:type="auto"/>
            <w:noWrap/>
            <w:vAlign w:val="bottom"/>
            <w:hideMark/>
          </w:tcPr>
          <w:p w14:paraId="06CBB232" w14:textId="77777777" w:rsidR="00000000" w:rsidRDefault="003C49E9">
            <w:pPr>
              <w:pStyle w:val="a3"/>
              <w:spacing w:before="0" w:beforeAutospacing="0" w:after="0" w:afterAutospacing="0"/>
              <w:rPr>
                <w:sz w:val="20"/>
                <w:szCs w:val="20"/>
              </w:rPr>
            </w:pPr>
            <w:r>
              <w:rPr>
                <w:sz w:val="20"/>
                <w:szCs w:val="20"/>
              </w:rPr>
              <w:t> </w:t>
            </w:r>
          </w:p>
        </w:tc>
      </w:tr>
      <w:tr w:rsidR="00000000" w14:paraId="0D9C6299" w14:textId="77777777">
        <w:trPr>
          <w:trHeight w:val="200"/>
          <w:tblCellSpacing w:w="15" w:type="dxa"/>
        </w:trPr>
        <w:tc>
          <w:tcPr>
            <w:tcW w:w="0" w:type="auto"/>
            <w:vAlign w:val="bottom"/>
            <w:hideMark/>
          </w:tcPr>
          <w:p w14:paraId="772293DC"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noWrap/>
            <w:vAlign w:val="bottom"/>
            <w:hideMark/>
          </w:tcPr>
          <w:p w14:paraId="048F525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955966A" w14:textId="77777777" w:rsidR="00000000" w:rsidRDefault="003C49E9">
            <w:pPr>
              <w:pStyle w:val="a3"/>
              <w:spacing w:before="0" w:beforeAutospacing="0" w:after="0" w:afterAutospacing="0"/>
              <w:jc w:val="right"/>
              <w:rPr>
                <w:sz w:val="20"/>
                <w:szCs w:val="20"/>
              </w:rPr>
            </w:pPr>
            <w:r>
              <w:rPr>
                <w:sz w:val="20"/>
                <w:szCs w:val="20"/>
              </w:rPr>
              <w:t>14,50</w:t>
            </w:r>
            <w:r>
              <w:rPr>
                <w:sz w:val="20"/>
                <w:szCs w:val="20"/>
              </w:rPr>
              <w:t>0</w:t>
            </w:r>
          </w:p>
        </w:tc>
        <w:tc>
          <w:tcPr>
            <w:tcW w:w="0" w:type="auto"/>
            <w:noWrap/>
            <w:vAlign w:val="bottom"/>
            <w:hideMark/>
          </w:tcPr>
          <w:p w14:paraId="337821B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B1848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F36FBB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63D4A1" w14:textId="77777777" w:rsidR="00000000" w:rsidRDefault="003C49E9">
            <w:pPr>
              <w:pStyle w:val="a3"/>
              <w:spacing w:before="0" w:beforeAutospacing="0" w:after="0" w:afterAutospacing="0"/>
              <w:jc w:val="right"/>
              <w:rPr>
                <w:sz w:val="20"/>
                <w:szCs w:val="20"/>
              </w:rPr>
            </w:pPr>
            <w:r>
              <w:rPr>
                <w:sz w:val="20"/>
                <w:szCs w:val="20"/>
              </w:rPr>
              <w:t>11,74</w:t>
            </w:r>
            <w:r>
              <w:rPr>
                <w:sz w:val="20"/>
                <w:szCs w:val="20"/>
              </w:rPr>
              <w:t>3</w:t>
            </w:r>
          </w:p>
        </w:tc>
        <w:tc>
          <w:tcPr>
            <w:tcW w:w="0" w:type="auto"/>
            <w:noWrap/>
            <w:vAlign w:val="bottom"/>
            <w:hideMark/>
          </w:tcPr>
          <w:p w14:paraId="4FE0F7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95592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08B181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293202" w14:textId="77777777" w:rsidR="00000000" w:rsidRDefault="003C49E9">
            <w:pPr>
              <w:pStyle w:val="a3"/>
              <w:spacing w:before="0" w:beforeAutospacing="0" w:after="0" w:afterAutospacing="0"/>
              <w:jc w:val="right"/>
              <w:rPr>
                <w:sz w:val="20"/>
                <w:szCs w:val="20"/>
              </w:rPr>
            </w:pPr>
            <w:r>
              <w:rPr>
                <w:sz w:val="20"/>
                <w:szCs w:val="20"/>
              </w:rPr>
              <w:t>28,05</w:t>
            </w:r>
            <w:r>
              <w:rPr>
                <w:sz w:val="20"/>
                <w:szCs w:val="20"/>
              </w:rPr>
              <w:t>3</w:t>
            </w:r>
          </w:p>
        </w:tc>
        <w:tc>
          <w:tcPr>
            <w:tcW w:w="0" w:type="auto"/>
            <w:noWrap/>
            <w:vAlign w:val="bottom"/>
            <w:hideMark/>
          </w:tcPr>
          <w:p w14:paraId="7E703AF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93C19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76BB5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FE9BC8" w14:textId="77777777" w:rsidR="00000000" w:rsidRDefault="003C49E9">
            <w:pPr>
              <w:pStyle w:val="a3"/>
              <w:spacing w:before="0" w:beforeAutospacing="0" w:after="0" w:afterAutospacing="0"/>
              <w:jc w:val="right"/>
              <w:rPr>
                <w:sz w:val="20"/>
                <w:szCs w:val="20"/>
              </w:rPr>
            </w:pPr>
            <w:r>
              <w:rPr>
                <w:sz w:val="20"/>
                <w:szCs w:val="20"/>
              </w:rPr>
              <w:t>22,62</w:t>
            </w:r>
            <w:r>
              <w:rPr>
                <w:sz w:val="20"/>
                <w:szCs w:val="20"/>
              </w:rPr>
              <w:t>5</w:t>
            </w:r>
          </w:p>
        </w:tc>
        <w:tc>
          <w:tcPr>
            <w:tcW w:w="0" w:type="auto"/>
            <w:noWrap/>
            <w:vAlign w:val="bottom"/>
            <w:hideMark/>
          </w:tcPr>
          <w:p w14:paraId="64AAF596" w14:textId="77777777" w:rsidR="00000000" w:rsidRDefault="003C49E9">
            <w:pPr>
              <w:pStyle w:val="a3"/>
              <w:spacing w:before="0" w:beforeAutospacing="0" w:after="0" w:afterAutospacing="0"/>
              <w:rPr>
                <w:sz w:val="20"/>
                <w:szCs w:val="20"/>
              </w:rPr>
            </w:pPr>
            <w:r>
              <w:rPr>
                <w:sz w:val="20"/>
                <w:szCs w:val="20"/>
              </w:rPr>
              <w:t> </w:t>
            </w:r>
          </w:p>
        </w:tc>
      </w:tr>
      <w:tr w:rsidR="00000000" w14:paraId="41A551D8" w14:textId="77777777">
        <w:trPr>
          <w:trHeight w:val="200"/>
          <w:tblCellSpacing w:w="15" w:type="dxa"/>
        </w:trPr>
        <w:tc>
          <w:tcPr>
            <w:tcW w:w="0" w:type="auto"/>
            <w:vAlign w:val="bottom"/>
            <w:hideMark/>
          </w:tcPr>
          <w:p w14:paraId="437F38A9" w14:textId="77777777" w:rsidR="00000000" w:rsidRDefault="003C49E9">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noWrap/>
            <w:vAlign w:val="bottom"/>
            <w:hideMark/>
          </w:tcPr>
          <w:p w14:paraId="02AD84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B7C226" w14:textId="77777777" w:rsidR="00000000" w:rsidRDefault="003C49E9">
            <w:pPr>
              <w:pStyle w:val="a3"/>
              <w:spacing w:before="0" w:beforeAutospacing="0" w:after="0" w:afterAutospacing="0"/>
              <w:jc w:val="right"/>
              <w:rPr>
                <w:sz w:val="20"/>
                <w:szCs w:val="20"/>
              </w:rPr>
            </w:pPr>
            <w:r>
              <w:rPr>
                <w:sz w:val="20"/>
                <w:szCs w:val="20"/>
              </w:rPr>
              <w:t>78,93</w:t>
            </w:r>
            <w:r>
              <w:rPr>
                <w:sz w:val="20"/>
                <w:szCs w:val="20"/>
              </w:rPr>
              <w:t>1</w:t>
            </w:r>
          </w:p>
        </w:tc>
        <w:tc>
          <w:tcPr>
            <w:tcW w:w="0" w:type="auto"/>
            <w:noWrap/>
            <w:vAlign w:val="bottom"/>
            <w:hideMark/>
          </w:tcPr>
          <w:p w14:paraId="05A014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3BBA2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60C12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DFF434" w14:textId="77777777" w:rsidR="00000000" w:rsidRDefault="003C49E9">
            <w:pPr>
              <w:pStyle w:val="a3"/>
              <w:spacing w:before="0" w:beforeAutospacing="0" w:after="0" w:afterAutospacing="0"/>
              <w:jc w:val="right"/>
              <w:rPr>
                <w:sz w:val="20"/>
                <w:szCs w:val="20"/>
              </w:rPr>
            </w:pPr>
            <w:r>
              <w:rPr>
                <w:sz w:val="20"/>
                <w:szCs w:val="20"/>
              </w:rPr>
              <w:t>62,87</w:t>
            </w:r>
            <w:r>
              <w:rPr>
                <w:sz w:val="20"/>
                <w:szCs w:val="20"/>
              </w:rPr>
              <w:t>7</w:t>
            </w:r>
          </w:p>
        </w:tc>
        <w:tc>
          <w:tcPr>
            <w:tcW w:w="0" w:type="auto"/>
            <w:noWrap/>
            <w:vAlign w:val="bottom"/>
            <w:hideMark/>
          </w:tcPr>
          <w:p w14:paraId="27A8375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601D9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15CC01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411049" w14:textId="77777777" w:rsidR="00000000" w:rsidRDefault="003C49E9">
            <w:pPr>
              <w:pStyle w:val="a3"/>
              <w:spacing w:before="0" w:beforeAutospacing="0" w:after="0" w:afterAutospacing="0"/>
              <w:jc w:val="right"/>
              <w:rPr>
                <w:sz w:val="20"/>
                <w:szCs w:val="20"/>
              </w:rPr>
            </w:pPr>
            <w:r>
              <w:rPr>
                <w:sz w:val="20"/>
                <w:szCs w:val="20"/>
              </w:rPr>
              <w:t>151,86</w:t>
            </w:r>
            <w:r>
              <w:rPr>
                <w:sz w:val="20"/>
                <w:szCs w:val="20"/>
              </w:rPr>
              <w:t>9</w:t>
            </w:r>
          </w:p>
        </w:tc>
        <w:tc>
          <w:tcPr>
            <w:tcW w:w="0" w:type="auto"/>
            <w:noWrap/>
            <w:vAlign w:val="bottom"/>
            <w:hideMark/>
          </w:tcPr>
          <w:p w14:paraId="311A9EA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4465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BFF3EE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A1BFAF4" w14:textId="77777777" w:rsidR="00000000" w:rsidRDefault="003C49E9">
            <w:pPr>
              <w:pStyle w:val="a3"/>
              <w:spacing w:before="0" w:beforeAutospacing="0" w:after="0" w:afterAutospacing="0"/>
              <w:jc w:val="right"/>
              <w:rPr>
                <w:sz w:val="20"/>
                <w:szCs w:val="20"/>
              </w:rPr>
            </w:pPr>
            <w:r>
              <w:rPr>
                <w:sz w:val="20"/>
                <w:szCs w:val="20"/>
              </w:rPr>
              <w:t>117,61</w:t>
            </w:r>
            <w:r>
              <w:rPr>
                <w:sz w:val="20"/>
                <w:szCs w:val="20"/>
              </w:rPr>
              <w:t>1</w:t>
            </w:r>
          </w:p>
        </w:tc>
        <w:tc>
          <w:tcPr>
            <w:tcW w:w="0" w:type="auto"/>
            <w:noWrap/>
            <w:vAlign w:val="bottom"/>
            <w:hideMark/>
          </w:tcPr>
          <w:p w14:paraId="7E774BD6" w14:textId="77777777" w:rsidR="00000000" w:rsidRDefault="003C49E9">
            <w:pPr>
              <w:pStyle w:val="a3"/>
              <w:spacing w:before="0" w:beforeAutospacing="0" w:after="0" w:afterAutospacing="0"/>
              <w:rPr>
                <w:sz w:val="20"/>
                <w:szCs w:val="20"/>
              </w:rPr>
            </w:pPr>
            <w:r>
              <w:rPr>
                <w:sz w:val="20"/>
                <w:szCs w:val="20"/>
              </w:rPr>
              <w:t> </w:t>
            </w:r>
          </w:p>
        </w:tc>
      </w:tr>
      <w:tr w:rsidR="00000000" w14:paraId="1936B75D" w14:textId="77777777">
        <w:trPr>
          <w:trHeight w:val="200"/>
          <w:tblCellSpacing w:w="15" w:type="dxa"/>
        </w:trPr>
        <w:tc>
          <w:tcPr>
            <w:tcW w:w="0" w:type="auto"/>
            <w:vAlign w:val="bottom"/>
            <w:hideMark/>
          </w:tcPr>
          <w:p w14:paraId="7E41A41B" w14:textId="77777777" w:rsidR="00000000" w:rsidRDefault="003C49E9">
            <w:pPr>
              <w:pStyle w:val="a3"/>
              <w:spacing w:before="0" w:beforeAutospacing="0" w:after="0" w:afterAutospacing="0"/>
              <w:rPr>
                <w:sz w:val="20"/>
                <w:szCs w:val="20"/>
              </w:rPr>
            </w:pPr>
            <w:r>
              <w:rPr>
                <w:sz w:val="20"/>
                <w:szCs w:val="20"/>
              </w:rPr>
              <w:t>Gross profi</w:t>
            </w:r>
            <w:r>
              <w:rPr>
                <w:sz w:val="20"/>
                <w:szCs w:val="20"/>
              </w:rPr>
              <w:t>t</w:t>
            </w:r>
          </w:p>
        </w:tc>
        <w:tc>
          <w:tcPr>
            <w:tcW w:w="0" w:type="auto"/>
            <w:noWrap/>
            <w:vAlign w:val="bottom"/>
            <w:hideMark/>
          </w:tcPr>
          <w:p w14:paraId="37419B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F50CCC" w14:textId="77777777" w:rsidR="00000000" w:rsidRDefault="003C49E9">
            <w:pPr>
              <w:pStyle w:val="a3"/>
              <w:spacing w:before="0" w:beforeAutospacing="0" w:after="0" w:afterAutospacing="0"/>
              <w:jc w:val="right"/>
              <w:rPr>
                <w:sz w:val="20"/>
                <w:szCs w:val="20"/>
              </w:rPr>
            </w:pPr>
            <w:r>
              <w:rPr>
                <w:sz w:val="20"/>
                <w:szCs w:val="20"/>
              </w:rPr>
              <w:t>342,82</w:t>
            </w:r>
            <w:r>
              <w:rPr>
                <w:sz w:val="20"/>
                <w:szCs w:val="20"/>
              </w:rPr>
              <w:t>4</w:t>
            </w:r>
          </w:p>
        </w:tc>
        <w:tc>
          <w:tcPr>
            <w:tcW w:w="0" w:type="auto"/>
            <w:noWrap/>
            <w:vAlign w:val="bottom"/>
            <w:hideMark/>
          </w:tcPr>
          <w:p w14:paraId="55F8EAA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4E6B3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7434C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19DD02" w14:textId="77777777" w:rsidR="00000000" w:rsidRDefault="003C49E9">
            <w:pPr>
              <w:pStyle w:val="a3"/>
              <w:spacing w:before="0" w:beforeAutospacing="0" w:after="0" w:afterAutospacing="0"/>
              <w:jc w:val="right"/>
              <w:rPr>
                <w:sz w:val="20"/>
                <w:szCs w:val="20"/>
              </w:rPr>
            </w:pPr>
            <w:r>
              <w:rPr>
                <w:sz w:val="20"/>
                <w:szCs w:val="20"/>
              </w:rPr>
              <w:t>247,91</w:t>
            </w:r>
            <w:r>
              <w:rPr>
                <w:sz w:val="20"/>
                <w:szCs w:val="20"/>
              </w:rPr>
              <w:t>1</w:t>
            </w:r>
          </w:p>
        </w:tc>
        <w:tc>
          <w:tcPr>
            <w:tcW w:w="0" w:type="auto"/>
            <w:noWrap/>
            <w:vAlign w:val="bottom"/>
            <w:hideMark/>
          </w:tcPr>
          <w:p w14:paraId="2C40755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FE2356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4270C4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0FD10C" w14:textId="77777777" w:rsidR="00000000" w:rsidRDefault="003C49E9">
            <w:pPr>
              <w:pStyle w:val="a3"/>
              <w:spacing w:before="0" w:beforeAutospacing="0" w:after="0" w:afterAutospacing="0"/>
              <w:jc w:val="right"/>
              <w:rPr>
                <w:sz w:val="20"/>
                <w:szCs w:val="20"/>
              </w:rPr>
            </w:pPr>
            <w:r>
              <w:rPr>
                <w:sz w:val="20"/>
                <w:szCs w:val="20"/>
              </w:rPr>
              <w:t>665,48</w:t>
            </w:r>
            <w:r>
              <w:rPr>
                <w:sz w:val="20"/>
                <w:szCs w:val="20"/>
              </w:rPr>
              <w:t>5</w:t>
            </w:r>
          </w:p>
        </w:tc>
        <w:tc>
          <w:tcPr>
            <w:tcW w:w="0" w:type="auto"/>
            <w:noWrap/>
            <w:vAlign w:val="bottom"/>
            <w:hideMark/>
          </w:tcPr>
          <w:p w14:paraId="7ED382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41DA0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5689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E0F63F" w14:textId="77777777" w:rsidR="00000000" w:rsidRDefault="003C49E9">
            <w:pPr>
              <w:pStyle w:val="a3"/>
              <w:spacing w:before="0" w:beforeAutospacing="0" w:after="0" w:afterAutospacing="0"/>
              <w:jc w:val="right"/>
              <w:rPr>
                <w:sz w:val="20"/>
                <w:szCs w:val="20"/>
              </w:rPr>
            </w:pPr>
            <w:r>
              <w:rPr>
                <w:sz w:val="20"/>
                <w:szCs w:val="20"/>
              </w:rPr>
              <w:t>474,54</w:t>
            </w:r>
            <w:r>
              <w:rPr>
                <w:sz w:val="20"/>
                <w:szCs w:val="20"/>
              </w:rPr>
              <w:t>2</w:t>
            </w:r>
          </w:p>
        </w:tc>
        <w:tc>
          <w:tcPr>
            <w:tcW w:w="0" w:type="auto"/>
            <w:noWrap/>
            <w:vAlign w:val="bottom"/>
            <w:hideMark/>
          </w:tcPr>
          <w:p w14:paraId="3B53CEF1" w14:textId="77777777" w:rsidR="00000000" w:rsidRDefault="003C49E9">
            <w:pPr>
              <w:pStyle w:val="a3"/>
              <w:spacing w:before="0" w:beforeAutospacing="0" w:after="0" w:afterAutospacing="0"/>
              <w:rPr>
                <w:sz w:val="20"/>
                <w:szCs w:val="20"/>
              </w:rPr>
            </w:pPr>
            <w:r>
              <w:rPr>
                <w:sz w:val="20"/>
                <w:szCs w:val="20"/>
              </w:rPr>
              <w:t> </w:t>
            </w:r>
          </w:p>
        </w:tc>
      </w:tr>
      <w:tr w:rsidR="00000000" w14:paraId="76F20829" w14:textId="77777777">
        <w:trPr>
          <w:trHeight w:val="200"/>
          <w:tblCellSpacing w:w="15" w:type="dxa"/>
        </w:trPr>
        <w:tc>
          <w:tcPr>
            <w:tcW w:w="0" w:type="auto"/>
            <w:vAlign w:val="bottom"/>
            <w:hideMark/>
          </w:tcPr>
          <w:p w14:paraId="63252D05" w14:textId="77777777" w:rsidR="00000000" w:rsidRDefault="003C49E9">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14:paraId="243D088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47D42F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47DE2DA"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C74B41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42DA99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6D04B37"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FE267C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B32AB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37B3D0C"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9E1CB9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64CAF67"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44A87E6" w14:textId="77777777">
        <w:trPr>
          <w:trHeight w:val="200"/>
          <w:tblCellSpacing w:w="15" w:type="dxa"/>
        </w:trPr>
        <w:tc>
          <w:tcPr>
            <w:tcW w:w="0" w:type="auto"/>
            <w:vAlign w:val="bottom"/>
            <w:hideMark/>
          </w:tcPr>
          <w:p w14:paraId="3E3015F0" w14:textId="77777777" w:rsidR="00000000" w:rsidRDefault="003C49E9">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14:paraId="55C67A9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58F979" w14:textId="77777777" w:rsidR="00000000" w:rsidRDefault="003C49E9">
            <w:pPr>
              <w:pStyle w:val="a3"/>
              <w:spacing w:before="0" w:beforeAutospacing="0" w:after="0" w:afterAutospacing="0"/>
              <w:jc w:val="right"/>
              <w:rPr>
                <w:sz w:val="20"/>
                <w:szCs w:val="20"/>
              </w:rPr>
            </w:pPr>
            <w:r>
              <w:rPr>
                <w:sz w:val="20"/>
                <w:szCs w:val="20"/>
              </w:rPr>
              <w:t>118,91</w:t>
            </w:r>
            <w:r>
              <w:rPr>
                <w:sz w:val="20"/>
                <w:szCs w:val="20"/>
              </w:rPr>
              <w:t>4</w:t>
            </w:r>
          </w:p>
        </w:tc>
        <w:tc>
          <w:tcPr>
            <w:tcW w:w="0" w:type="auto"/>
            <w:noWrap/>
            <w:vAlign w:val="bottom"/>
            <w:hideMark/>
          </w:tcPr>
          <w:p w14:paraId="026766E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E3A4D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F381F7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1C8BD3" w14:textId="77777777" w:rsidR="00000000" w:rsidRDefault="003C49E9">
            <w:pPr>
              <w:pStyle w:val="a3"/>
              <w:spacing w:before="0" w:beforeAutospacing="0" w:after="0" w:afterAutospacing="0"/>
              <w:jc w:val="right"/>
              <w:rPr>
                <w:sz w:val="20"/>
                <w:szCs w:val="20"/>
              </w:rPr>
            </w:pPr>
            <w:r>
              <w:rPr>
                <w:sz w:val="20"/>
                <w:szCs w:val="20"/>
              </w:rPr>
              <w:t>72,10</w:t>
            </w:r>
            <w:r>
              <w:rPr>
                <w:sz w:val="20"/>
                <w:szCs w:val="20"/>
              </w:rPr>
              <w:t>4</w:t>
            </w:r>
          </w:p>
        </w:tc>
        <w:tc>
          <w:tcPr>
            <w:tcW w:w="0" w:type="auto"/>
            <w:noWrap/>
            <w:vAlign w:val="bottom"/>
            <w:hideMark/>
          </w:tcPr>
          <w:p w14:paraId="6D2CE4D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53AEA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B5FE61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0B5E85" w14:textId="77777777" w:rsidR="00000000" w:rsidRDefault="003C49E9">
            <w:pPr>
              <w:pStyle w:val="a3"/>
              <w:spacing w:before="0" w:beforeAutospacing="0" w:after="0" w:afterAutospacing="0"/>
              <w:jc w:val="right"/>
              <w:rPr>
                <w:sz w:val="20"/>
                <w:szCs w:val="20"/>
              </w:rPr>
            </w:pPr>
            <w:r>
              <w:rPr>
                <w:sz w:val="20"/>
                <w:szCs w:val="20"/>
              </w:rPr>
              <w:t>211,65</w:t>
            </w:r>
            <w:r>
              <w:rPr>
                <w:sz w:val="20"/>
                <w:szCs w:val="20"/>
              </w:rPr>
              <w:t>0</w:t>
            </w:r>
          </w:p>
        </w:tc>
        <w:tc>
          <w:tcPr>
            <w:tcW w:w="0" w:type="auto"/>
            <w:noWrap/>
            <w:vAlign w:val="bottom"/>
            <w:hideMark/>
          </w:tcPr>
          <w:p w14:paraId="5435DD7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17D430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81D4A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C8452A" w14:textId="77777777" w:rsidR="00000000" w:rsidRDefault="003C49E9">
            <w:pPr>
              <w:pStyle w:val="a3"/>
              <w:spacing w:before="0" w:beforeAutospacing="0" w:after="0" w:afterAutospacing="0"/>
              <w:jc w:val="right"/>
              <w:rPr>
                <w:sz w:val="20"/>
                <w:szCs w:val="20"/>
              </w:rPr>
            </w:pPr>
            <w:r>
              <w:rPr>
                <w:sz w:val="20"/>
                <w:szCs w:val="20"/>
              </w:rPr>
              <w:t>140,50</w:t>
            </w:r>
            <w:r>
              <w:rPr>
                <w:sz w:val="20"/>
                <w:szCs w:val="20"/>
              </w:rPr>
              <w:t>0</w:t>
            </w:r>
          </w:p>
        </w:tc>
        <w:tc>
          <w:tcPr>
            <w:tcW w:w="0" w:type="auto"/>
            <w:noWrap/>
            <w:vAlign w:val="bottom"/>
            <w:hideMark/>
          </w:tcPr>
          <w:p w14:paraId="66123A11" w14:textId="77777777" w:rsidR="00000000" w:rsidRDefault="003C49E9">
            <w:pPr>
              <w:pStyle w:val="a3"/>
              <w:spacing w:before="0" w:beforeAutospacing="0" w:after="0" w:afterAutospacing="0"/>
              <w:rPr>
                <w:sz w:val="20"/>
                <w:szCs w:val="20"/>
              </w:rPr>
            </w:pPr>
            <w:r>
              <w:rPr>
                <w:sz w:val="20"/>
                <w:szCs w:val="20"/>
              </w:rPr>
              <w:t> </w:t>
            </w:r>
          </w:p>
        </w:tc>
      </w:tr>
      <w:tr w:rsidR="00000000" w14:paraId="426BDCF3" w14:textId="77777777">
        <w:trPr>
          <w:trHeight w:val="200"/>
          <w:tblCellSpacing w:w="15" w:type="dxa"/>
        </w:trPr>
        <w:tc>
          <w:tcPr>
            <w:tcW w:w="0" w:type="auto"/>
            <w:vAlign w:val="bottom"/>
            <w:hideMark/>
          </w:tcPr>
          <w:p w14:paraId="1A4C67B6" w14:textId="77777777" w:rsidR="00000000" w:rsidRDefault="003C49E9">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noWrap/>
            <w:vAlign w:val="bottom"/>
            <w:hideMark/>
          </w:tcPr>
          <w:p w14:paraId="00336C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E31EAA" w14:textId="77777777" w:rsidR="00000000" w:rsidRDefault="003C49E9">
            <w:pPr>
              <w:pStyle w:val="a3"/>
              <w:spacing w:before="0" w:beforeAutospacing="0" w:after="0" w:afterAutospacing="0"/>
              <w:jc w:val="right"/>
              <w:rPr>
                <w:sz w:val="20"/>
                <w:szCs w:val="20"/>
              </w:rPr>
            </w:pPr>
            <w:r>
              <w:rPr>
                <w:sz w:val="20"/>
                <w:szCs w:val="20"/>
              </w:rPr>
              <w:t>224,26</w:t>
            </w:r>
            <w:r>
              <w:rPr>
                <w:sz w:val="20"/>
                <w:szCs w:val="20"/>
              </w:rPr>
              <w:t>2</w:t>
            </w:r>
          </w:p>
        </w:tc>
        <w:tc>
          <w:tcPr>
            <w:tcW w:w="0" w:type="auto"/>
            <w:noWrap/>
            <w:vAlign w:val="bottom"/>
            <w:hideMark/>
          </w:tcPr>
          <w:p w14:paraId="571C403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D7774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20708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DFE084" w14:textId="77777777" w:rsidR="00000000" w:rsidRDefault="003C49E9">
            <w:pPr>
              <w:pStyle w:val="a3"/>
              <w:spacing w:before="0" w:beforeAutospacing="0" w:after="0" w:afterAutospacing="0"/>
              <w:jc w:val="right"/>
              <w:rPr>
                <w:sz w:val="20"/>
                <w:szCs w:val="20"/>
              </w:rPr>
            </w:pPr>
            <w:r>
              <w:rPr>
                <w:sz w:val="20"/>
                <w:szCs w:val="20"/>
              </w:rPr>
              <w:t>157,79</w:t>
            </w:r>
            <w:r>
              <w:rPr>
                <w:sz w:val="20"/>
                <w:szCs w:val="20"/>
              </w:rPr>
              <w:t>9</w:t>
            </w:r>
          </w:p>
        </w:tc>
        <w:tc>
          <w:tcPr>
            <w:tcW w:w="0" w:type="auto"/>
            <w:noWrap/>
            <w:vAlign w:val="bottom"/>
            <w:hideMark/>
          </w:tcPr>
          <w:p w14:paraId="31B4F2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D9740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244EDE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67D46B" w14:textId="77777777" w:rsidR="00000000" w:rsidRDefault="003C49E9">
            <w:pPr>
              <w:pStyle w:val="a3"/>
              <w:spacing w:before="0" w:beforeAutospacing="0" w:after="0" w:afterAutospacing="0"/>
              <w:jc w:val="right"/>
              <w:rPr>
                <w:sz w:val="20"/>
                <w:szCs w:val="20"/>
              </w:rPr>
            </w:pPr>
            <w:r>
              <w:rPr>
                <w:sz w:val="20"/>
                <w:szCs w:val="20"/>
              </w:rPr>
              <w:t>421,39</w:t>
            </w:r>
            <w:r>
              <w:rPr>
                <w:sz w:val="20"/>
                <w:szCs w:val="20"/>
              </w:rPr>
              <w:t>6</w:t>
            </w:r>
          </w:p>
        </w:tc>
        <w:tc>
          <w:tcPr>
            <w:tcW w:w="0" w:type="auto"/>
            <w:noWrap/>
            <w:vAlign w:val="bottom"/>
            <w:hideMark/>
          </w:tcPr>
          <w:p w14:paraId="0F4CDF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22097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BD1FEC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2835B7" w14:textId="77777777" w:rsidR="00000000" w:rsidRDefault="003C49E9">
            <w:pPr>
              <w:pStyle w:val="a3"/>
              <w:spacing w:before="0" w:beforeAutospacing="0" w:after="0" w:afterAutospacing="0"/>
              <w:jc w:val="right"/>
              <w:rPr>
                <w:sz w:val="20"/>
                <w:szCs w:val="20"/>
              </w:rPr>
            </w:pPr>
            <w:r>
              <w:rPr>
                <w:sz w:val="20"/>
                <w:szCs w:val="20"/>
              </w:rPr>
              <w:t>298,81</w:t>
            </w:r>
            <w:r>
              <w:rPr>
                <w:sz w:val="20"/>
                <w:szCs w:val="20"/>
              </w:rPr>
              <w:t>7</w:t>
            </w:r>
          </w:p>
        </w:tc>
        <w:tc>
          <w:tcPr>
            <w:tcW w:w="0" w:type="auto"/>
            <w:noWrap/>
            <w:vAlign w:val="bottom"/>
            <w:hideMark/>
          </w:tcPr>
          <w:p w14:paraId="3BA19F5F" w14:textId="77777777" w:rsidR="00000000" w:rsidRDefault="003C49E9">
            <w:pPr>
              <w:pStyle w:val="a3"/>
              <w:spacing w:before="0" w:beforeAutospacing="0" w:after="0" w:afterAutospacing="0"/>
              <w:rPr>
                <w:sz w:val="20"/>
                <w:szCs w:val="20"/>
              </w:rPr>
            </w:pPr>
            <w:r>
              <w:rPr>
                <w:sz w:val="20"/>
                <w:szCs w:val="20"/>
              </w:rPr>
              <w:t> </w:t>
            </w:r>
          </w:p>
        </w:tc>
      </w:tr>
      <w:tr w:rsidR="00000000" w14:paraId="76ED672C" w14:textId="77777777">
        <w:trPr>
          <w:trHeight w:val="200"/>
          <w:tblCellSpacing w:w="15" w:type="dxa"/>
        </w:trPr>
        <w:tc>
          <w:tcPr>
            <w:tcW w:w="0" w:type="auto"/>
            <w:vAlign w:val="bottom"/>
            <w:hideMark/>
          </w:tcPr>
          <w:p w14:paraId="3F081D29" w14:textId="77777777" w:rsidR="00000000" w:rsidRDefault="003C49E9">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14:paraId="355381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93D417" w14:textId="77777777" w:rsidR="00000000" w:rsidRDefault="003C49E9">
            <w:pPr>
              <w:pStyle w:val="a3"/>
              <w:spacing w:before="0" w:beforeAutospacing="0" w:after="0" w:afterAutospacing="0"/>
              <w:jc w:val="right"/>
              <w:rPr>
                <w:sz w:val="20"/>
                <w:szCs w:val="20"/>
              </w:rPr>
            </w:pPr>
            <w:r>
              <w:rPr>
                <w:sz w:val="20"/>
                <w:szCs w:val="20"/>
              </w:rPr>
              <w:t>51,89</w:t>
            </w:r>
            <w:r>
              <w:rPr>
                <w:sz w:val="20"/>
                <w:szCs w:val="20"/>
              </w:rPr>
              <w:t>8</w:t>
            </w:r>
          </w:p>
        </w:tc>
        <w:tc>
          <w:tcPr>
            <w:tcW w:w="0" w:type="auto"/>
            <w:noWrap/>
            <w:vAlign w:val="bottom"/>
            <w:hideMark/>
          </w:tcPr>
          <w:p w14:paraId="453C58E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2AD0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09A697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CC3419" w14:textId="77777777" w:rsidR="00000000" w:rsidRDefault="003C49E9">
            <w:pPr>
              <w:pStyle w:val="a3"/>
              <w:spacing w:before="0" w:beforeAutospacing="0" w:after="0" w:afterAutospacing="0"/>
              <w:jc w:val="right"/>
              <w:rPr>
                <w:sz w:val="20"/>
                <w:szCs w:val="20"/>
              </w:rPr>
            </w:pPr>
            <w:r>
              <w:rPr>
                <w:sz w:val="20"/>
                <w:szCs w:val="20"/>
              </w:rPr>
              <w:t>34,61</w:t>
            </w:r>
            <w:r>
              <w:rPr>
                <w:sz w:val="20"/>
                <w:szCs w:val="20"/>
              </w:rPr>
              <w:t>0</w:t>
            </w:r>
          </w:p>
        </w:tc>
        <w:tc>
          <w:tcPr>
            <w:tcW w:w="0" w:type="auto"/>
            <w:noWrap/>
            <w:vAlign w:val="bottom"/>
            <w:hideMark/>
          </w:tcPr>
          <w:p w14:paraId="3AF77C5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36947E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8F85B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D1D3DC" w14:textId="77777777" w:rsidR="00000000" w:rsidRDefault="003C49E9">
            <w:pPr>
              <w:pStyle w:val="a3"/>
              <w:spacing w:before="0" w:beforeAutospacing="0" w:after="0" w:afterAutospacing="0"/>
              <w:jc w:val="right"/>
              <w:rPr>
                <w:sz w:val="20"/>
                <w:szCs w:val="20"/>
              </w:rPr>
            </w:pPr>
            <w:r>
              <w:rPr>
                <w:sz w:val="20"/>
                <w:szCs w:val="20"/>
              </w:rPr>
              <w:t>95,84</w:t>
            </w:r>
            <w:r>
              <w:rPr>
                <w:sz w:val="20"/>
                <w:szCs w:val="20"/>
              </w:rPr>
              <w:t>4</w:t>
            </w:r>
          </w:p>
        </w:tc>
        <w:tc>
          <w:tcPr>
            <w:tcW w:w="0" w:type="auto"/>
            <w:noWrap/>
            <w:vAlign w:val="bottom"/>
            <w:hideMark/>
          </w:tcPr>
          <w:p w14:paraId="4EB973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8E8BB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691F6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B3B104" w14:textId="77777777" w:rsidR="00000000" w:rsidRDefault="003C49E9">
            <w:pPr>
              <w:pStyle w:val="a3"/>
              <w:spacing w:before="0" w:beforeAutospacing="0" w:after="0" w:afterAutospacing="0"/>
              <w:jc w:val="right"/>
              <w:rPr>
                <w:sz w:val="20"/>
                <w:szCs w:val="20"/>
              </w:rPr>
            </w:pPr>
            <w:r>
              <w:rPr>
                <w:sz w:val="20"/>
                <w:szCs w:val="20"/>
              </w:rPr>
              <w:t>66,86</w:t>
            </w:r>
            <w:r>
              <w:rPr>
                <w:sz w:val="20"/>
                <w:szCs w:val="20"/>
              </w:rPr>
              <w:t>0</w:t>
            </w:r>
          </w:p>
        </w:tc>
        <w:tc>
          <w:tcPr>
            <w:tcW w:w="0" w:type="auto"/>
            <w:noWrap/>
            <w:vAlign w:val="bottom"/>
            <w:hideMark/>
          </w:tcPr>
          <w:p w14:paraId="709A9FB2" w14:textId="77777777" w:rsidR="00000000" w:rsidRDefault="003C49E9">
            <w:pPr>
              <w:pStyle w:val="a3"/>
              <w:spacing w:before="0" w:beforeAutospacing="0" w:after="0" w:afterAutospacing="0"/>
              <w:rPr>
                <w:sz w:val="20"/>
                <w:szCs w:val="20"/>
              </w:rPr>
            </w:pPr>
            <w:r>
              <w:rPr>
                <w:sz w:val="20"/>
                <w:szCs w:val="20"/>
              </w:rPr>
              <w:t> </w:t>
            </w:r>
          </w:p>
        </w:tc>
      </w:tr>
      <w:tr w:rsidR="00000000" w14:paraId="1421991C" w14:textId="77777777">
        <w:trPr>
          <w:trHeight w:val="200"/>
          <w:tblCellSpacing w:w="15" w:type="dxa"/>
        </w:trPr>
        <w:tc>
          <w:tcPr>
            <w:tcW w:w="0" w:type="auto"/>
            <w:vAlign w:val="bottom"/>
            <w:hideMark/>
          </w:tcPr>
          <w:p w14:paraId="0C9BF867" w14:textId="77777777" w:rsidR="00000000" w:rsidRDefault="003C49E9">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noWrap/>
            <w:vAlign w:val="bottom"/>
            <w:hideMark/>
          </w:tcPr>
          <w:p w14:paraId="56952CC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3E4CD2D" w14:textId="77777777" w:rsidR="00000000" w:rsidRDefault="003C49E9">
            <w:pPr>
              <w:pStyle w:val="a3"/>
              <w:spacing w:before="0" w:beforeAutospacing="0" w:after="0" w:afterAutospacing="0"/>
              <w:jc w:val="right"/>
              <w:rPr>
                <w:sz w:val="20"/>
                <w:szCs w:val="20"/>
              </w:rPr>
            </w:pPr>
            <w:r>
              <w:rPr>
                <w:sz w:val="20"/>
                <w:szCs w:val="20"/>
              </w:rPr>
              <w:t>395,07</w:t>
            </w:r>
            <w:r>
              <w:rPr>
                <w:sz w:val="20"/>
                <w:szCs w:val="20"/>
              </w:rPr>
              <w:t>4</w:t>
            </w:r>
          </w:p>
        </w:tc>
        <w:tc>
          <w:tcPr>
            <w:tcW w:w="0" w:type="auto"/>
            <w:noWrap/>
            <w:vAlign w:val="bottom"/>
            <w:hideMark/>
          </w:tcPr>
          <w:p w14:paraId="6BA0183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CE63F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DD5D4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E5084AD" w14:textId="77777777" w:rsidR="00000000" w:rsidRDefault="003C49E9">
            <w:pPr>
              <w:pStyle w:val="a3"/>
              <w:spacing w:before="0" w:beforeAutospacing="0" w:after="0" w:afterAutospacing="0"/>
              <w:jc w:val="right"/>
              <w:rPr>
                <w:sz w:val="20"/>
                <w:szCs w:val="20"/>
              </w:rPr>
            </w:pPr>
            <w:r>
              <w:rPr>
                <w:sz w:val="20"/>
                <w:szCs w:val="20"/>
              </w:rPr>
              <w:t>264,51</w:t>
            </w:r>
            <w:r>
              <w:rPr>
                <w:sz w:val="20"/>
                <w:szCs w:val="20"/>
              </w:rPr>
              <w:t>3</w:t>
            </w:r>
          </w:p>
        </w:tc>
        <w:tc>
          <w:tcPr>
            <w:tcW w:w="0" w:type="auto"/>
            <w:noWrap/>
            <w:vAlign w:val="bottom"/>
            <w:hideMark/>
          </w:tcPr>
          <w:p w14:paraId="11FE9B7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9E198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F4694A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C1BC7B" w14:textId="77777777" w:rsidR="00000000" w:rsidRDefault="003C49E9">
            <w:pPr>
              <w:pStyle w:val="a3"/>
              <w:spacing w:before="0" w:beforeAutospacing="0" w:after="0" w:afterAutospacing="0"/>
              <w:jc w:val="right"/>
              <w:rPr>
                <w:sz w:val="20"/>
                <w:szCs w:val="20"/>
              </w:rPr>
            </w:pPr>
            <w:r>
              <w:rPr>
                <w:sz w:val="20"/>
                <w:szCs w:val="20"/>
              </w:rPr>
              <w:t>728,89</w:t>
            </w:r>
            <w:r>
              <w:rPr>
                <w:sz w:val="20"/>
                <w:szCs w:val="20"/>
              </w:rPr>
              <w:t>0</w:t>
            </w:r>
          </w:p>
        </w:tc>
        <w:tc>
          <w:tcPr>
            <w:tcW w:w="0" w:type="auto"/>
            <w:noWrap/>
            <w:vAlign w:val="bottom"/>
            <w:hideMark/>
          </w:tcPr>
          <w:p w14:paraId="3068B7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550E1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60B02C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75F4B2" w14:textId="77777777" w:rsidR="00000000" w:rsidRDefault="003C49E9">
            <w:pPr>
              <w:pStyle w:val="a3"/>
              <w:spacing w:before="0" w:beforeAutospacing="0" w:after="0" w:afterAutospacing="0"/>
              <w:jc w:val="right"/>
              <w:rPr>
                <w:sz w:val="20"/>
                <w:szCs w:val="20"/>
              </w:rPr>
            </w:pPr>
            <w:r>
              <w:rPr>
                <w:sz w:val="20"/>
                <w:szCs w:val="20"/>
              </w:rPr>
              <w:t>506,17</w:t>
            </w:r>
            <w:r>
              <w:rPr>
                <w:sz w:val="20"/>
                <w:szCs w:val="20"/>
              </w:rPr>
              <w:t>7</w:t>
            </w:r>
          </w:p>
        </w:tc>
        <w:tc>
          <w:tcPr>
            <w:tcW w:w="0" w:type="auto"/>
            <w:noWrap/>
            <w:vAlign w:val="bottom"/>
            <w:hideMark/>
          </w:tcPr>
          <w:p w14:paraId="3B38FBD3" w14:textId="77777777" w:rsidR="00000000" w:rsidRDefault="003C49E9">
            <w:pPr>
              <w:pStyle w:val="a3"/>
              <w:spacing w:before="0" w:beforeAutospacing="0" w:after="0" w:afterAutospacing="0"/>
              <w:rPr>
                <w:sz w:val="20"/>
                <w:szCs w:val="20"/>
              </w:rPr>
            </w:pPr>
            <w:r>
              <w:rPr>
                <w:sz w:val="20"/>
                <w:szCs w:val="20"/>
              </w:rPr>
              <w:t> </w:t>
            </w:r>
          </w:p>
        </w:tc>
      </w:tr>
      <w:tr w:rsidR="00000000" w14:paraId="3B913E36" w14:textId="77777777">
        <w:trPr>
          <w:trHeight w:val="200"/>
          <w:tblCellSpacing w:w="15" w:type="dxa"/>
        </w:trPr>
        <w:tc>
          <w:tcPr>
            <w:tcW w:w="0" w:type="auto"/>
            <w:vAlign w:val="bottom"/>
            <w:hideMark/>
          </w:tcPr>
          <w:p w14:paraId="67FB7746" w14:textId="77777777" w:rsidR="00000000" w:rsidRDefault="003C49E9">
            <w:pPr>
              <w:pStyle w:val="a3"/>
              <w:spacing w:before="0" w:beforeAutospacing="0" w:after="0" w:afterAutospacing="0"/>
              <w:rPr>
                <w:sz w:val="20"/>
                <w:szCs w:val="20"/>
              </w:rPr>
            </w:pPr>
            <w:r>
              <w:rPr>
                <w:sz w:val="20"/>
                <w:szCs w:val="20"/>
              </w:rPr>
              <w:t>Loss from operation</w:t>
            </w:r>
            <w:r>
              <w:rPr>
                <w:sz w:val="20"/>
                <w:szCs w:val="20"/>
              </w:rPr>
              <w:t>s</w:t>
            </w:r>
          </w:p>
        </w:tc>
        <w:tc>
          <w:tcPr>
            <w:tcW w:w="0" w:type="auto"/>
            <w:noWrap/>
            <w:vAlign w:val="bottom"/>
            <w:hideMark/>
          </w:tcPr>
          <w:p w14:paraId="351BA9C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4DCA22" w14:textId="77777777" w:rsidR="00000000" w:rsidRDefault="003C49E9">
            <w:pPr>
              <w:pStyle w:val="a3"/>
              <w:spacing w:before="0" w:beforeAutospacing="0" w:after="0" w:afterAutospacing="0"/>
              <w:jc w:val="right"/>
              <w:rPr>
                <w:sz w:val="20"/>
                <w:szCs w:val="20"/>
              </w:rPr>
            </w:pPr>
            <w:r>
              <w:rPr>
                <w:sz w:val="20"/>
                <w:szCs w:val="20"/>
              </w:rPr>
              <w:t>(</w:t>
            </w:r>
            <w:r>
              <w:rPr>
                <w:sz w:val="20"/>
                <w:szCs w:val="20"/>
              </w:rPr>
              <w:t>52,25</w:t>
            </w:r>
            <w:r>
              <w:rPr>
                <w:sz w:val="20"/>
                <w:szCs w:val="20"/>
              </w:rPr>
              <w:t>0</w:t>
            </w:r>
          </w:p>
        </w:tc>
        <w:tc>
          <w:tcPr>
            <w:tcW w:w="0" w:type="auto"/>
            <w:noWrap/>
            <w:vAlign w:val="bottom"/>
            <w:hideMark/>
          </w:tcPr>
          <w:p w14:paraId="205037B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0765E9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18B1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5A57B2" w14:textId="77777777" w:rsidR="00000000" w:rsidRDefault="003C49E9">
            <w:pPr>
              <w:pStyle w:val="a3"/>
              <w:spacing w:before="0" w:beforeAutospacing="0" w:after="0" w:afterAutospacing="0"/>
              <w:jc w:val="right"/>
              <w:rPr>
                <w:sz w:val="20"/>
                <w:szCs w:val="20"/>
              </w:rPr>
            </w:pPr>
            <w:r>
              <w:rPr>
                <w:sz w:val="20"/>
                <w:szCs w:val="20"/>
              </w:rPr>
              <w:t>(</w:t>
            </w:r>
            <w:r>
              <w:rPr>
                <w:sz w:val="20"/>
                <w:szCs w:val="20"/>
              </w:rPr>
              <w:t>16,60</w:t>
            </w:r>
            <w:r>
              <w:rPr>
                <w:sz w:val="20"/>
                <w:szCs w:val="20"/>
              </w:rPr>
              <w:t>2</w:t>
            </w:r>
          </w:p>
        </w:tc>
        <w:tc>
          <w:tcPr>
            <w:tcW w:w="0" w:type="auto"/>
            <w:noWrap/>
            <w:vAlign w:val="bottom"/>
            <w:hideMark/>
          </w:tcPr>
          <w:p w14:paraId="52E2FFA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975DDF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9D2219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5F0F78" w14:textId="77777777" w:rsidR="00000000" w:rsidRDefault="003C49E9">
            <w:pPr>
              <w:pStyle w:val="a3"/>
              <w:spacing w:before="0" w:beforeAutospacing="0" w:after="0" w:afterAutospacing="0"/>
              <w:jc w:val="right"/>
              <w:rPr>
                <w:sz w:val="20"/>
                <w:szCs w:val="20"/>
              </w:rPr>
            </w:pPr>
            <w:r>
              <w:rPr>
                <w:sz w:val="20"/>
                <w:szCs w:val="20"/>
              </w:rPr>
              <w:t>(</w:t>
            </w:r>
            <w:r>
              <w:rPr>
                <w:sz w:val="20"/>
                <w:szCs w:val="20"/>
              </w:rPr>
              <w:t>63,40</w:t>
            </w:r>
            <w:r>
              <w:rPr>
                <w:sz w:val="20"/>
                <w:szCs w:val="20"/>
              </w:rPr>
              <w:t>5</w:t>
            </w:r>
          </w:p>
        </w:tc>
        <w:tc>
          <w:tcPr>
            <w:tcW w:w="0" w:type="auto"/>
            <w:noWrap/>
            <w:vAlign w:val="bottom"/>
            <w:hideMark/>
          </w:tcPr>
          <w:p w14:paraId="02E14D3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85C93B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29BD80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FBB81C0" w14:textId="77777777" w:rsidR="00000000" w:rsidRDefault="003C49E9">
            <w:pPr>
              <w:pStyle w:val="a3"/>
              <w:spacing w:before="0" w:beforeAutospacing="0" w:after="0" w:afterAutospacing="0"/>
              <w:jc w:val="right"/>
              <w:rPr>
                <w:sz w:val="20"/>
                <w:szCs w:val="20"/>
              </w:rPr>
            </w:pPr>
            <w:r>
              <w:rPr>
                <w:sz w:val="20"/>
                <w:szCs w:val="20"/>
              </w:rPr>
              <w:t>(</w:t>
            </w:r>
            <w:r>
              <w:rPr>
                <w:sz w:val="20"/>
                <w:szCs w:val="20"/>
              </w:rPr>
              <w:t>31,63</w:t>
            </w:r>
            <w:r>
              <w:rPr>
                <w:sz w:val="20"/>
                <w:szCs w:val="20"/>
              </w:rPr>
              <w:t>5</w:t>
            </w:r>
          </w:p>
        </w:tc>
        <w:tc>
          <w:tcPr>
            <w:tcW w:w="0" w:type="auto"/>
            <w:noWrap/>
            <w:vAlign w:val="bottom"/>
            <w:hideMark/>
          </w:tcPr>
          <w:p w14:paraId="776D6A3B" w14:textId="77777777" w:rsidR="00000000" w:rsidRDefault="003C49E9">
            <w:pPr>
              <w:pStyle w:val="a3"/>
              <w:spacing w:before="0" w:beforeAutospacing="0" w:after="0" w:afterAutospacing="0"/>
              <w:rPr>
                <w:sz w:val="20"/>
                <w:szCs w:val="20"/>
              </w:rPr>
            </w:pPr>
            <w:r>
              <w:rPr>
                <w:sz w:val="20"/>
                <w:szCs w:val="20"/>
              </w:rPr>
              <w:t>)</w:t>
            </w:r>
          </w:p>
        </w:tc>
      </w:tr>
      <w:tr w:rsidR="00000000" w14:paraId="1B7596AF" w14:textId="77777777">
        <w:trPr>
          <w:trHeight w:val="200"/>
          <w:tblCellSpacing w:w="15" w:type="dxa"/>
        </w:trPr>
        <w:tc>
          <w:tcPr>
            <w:tcW w:w="0" w:type="auto"/>
            <w:vAlign w:val="bottom"/>
            <w:hideMark/>
          </w:tcPr>
          <w:p w14:paraId="4E0C834B" w14:textId="77777777" w:rsidR="00000000" w:rsidRDefault="003C49E9">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14:paraId="5115C0B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A90137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44778E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4F6D48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C43C38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EB15B14"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4FFCED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4AF711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99153EC"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74D47C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AC82663"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1B0F3EB" w14:textId="77777777">
        <w:trPr>
          <w:trHeight w:val="200"/>
          <w:tblCellSpacing w:w="15" w:type="dxa"/>
        </w:trPr>
        <w:tc>
          <w:tcPr>
            <w:tcW w:w="0" w:type="auto"/>
            <w:vAlign w:val="bottom"/>
            <w:hideMark/>
          </w:tcPr>
          <w:p w14:paraId="09226EA6" w14:textId="77777777" w:rsidR="00000000" w:rsidRDefault="003C49E9">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noWrap/>
            <w:vAlign w:val="bottom"/>
            <w:hideMark/>
          </w:tcPr>
          <w:p w14:paraId="08FB9D3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CA0DD5" w14:textId="77777777" w:rsidR="00000000" w:rsidRDefault="003C49E9">
            <w:pPr>
              <w:pStyle w:val="a3"/>
              <w:spacing w:before="0" w:beforeAutospacing="0" w:after="0" w:afterAutospacing="0"/>
              <w:jc w:val="right"/>
              <w:rPr>
                <w:sz w:val="20"/>
                <w:szCs w:val="20"/>
              </w:rPr>
            </w:pPr>
            <w:r>
              <w:rPr>
                <w:sz w:val="20"/>
                <w:szCs w:val="20"/>
              </w:rPr>
              <w:t>2,05</w:t>
            </w:r>
            <w:r>
              <w:rPr>
                <w:sz w:val="20"/>
                <w:szCs w:val="20"/>
              </w:rPr>
              <w:t>0</w:t>
            </w:r>
          </w:p>
        </w:tc>
        <w:tc>
          <w:tcPr>
            <w:tcW w:w="0" w:type="auto"/>
            <w:noWrap/>
            <w:vAlign w:val="bottom"/>
            <w:hideMark/>
          </w:tcPr>
          <w:p w14:paraId="5D81849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C8510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BD9278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4CF13EF" w14:textId="77777777" w:rsidR="00000000" w:rsidRDefault="003C49E9">
            <w:pPr>
              <w:pStyle w:val="a3"/>
              <w:spacing w:before="0" w:beforeAutospacing="0" w:after="0" w:afterAutospacing="0"/>
              <w:jc w:val="right"/>
              <w:rPr>
                <w:sz w:val="20"/>
                <w:szCs w:val="20"/>
              </w:rPr>
            </w:pPr>
            <w:r>
              <w:rPr>
                <w:sz w:val="20"/>
                <w:szCs w:val="20"/>
              </w:rPr>
              <w:t>34</w:t>
            </w:r>
            <w:r>
              <w:rPr>
                <w:sz w:val="20"/>
                <w:szCs w:val="20"/>
              </w:rPr>
              <w:t>1</w:t>
            </w:r>
          </w:p>
        </w:tc>
        <w:tc>
          <w:tcPr>
            <w:tcW w:w="0" w:type="auto"/>
            <w:noWrap/>
            <w:vAlign w:val="bottom"/>
            <w:hideMark/>
          </w:tcPr>
          <w:p w14:paraId="673C64C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F325E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501A8D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B73A76" w14:textId="77777777" w:rsidR="00000000" w:rsidRDefault="003C49E9">
            <w:pPr>
              <w:pStyle w:val="a3"/>
              <w:spacing w:before="0" w:beforeAutospacing="0" w:after="0" w:afterAutospacing="0"/>
              <w:jc w:val="right"/>
              <w:rPr>
                <w:sz w:val="20"/>
                <w:szCs w:val="20"/>
              </w:rPr>
            </w:pPr>
            <w:r>
              <w:rPr>
                <w:sz w:val="20"/>
                <w:szCs w:val="20"/>
              </w:rPr>
              <w:t>2,56</w:t>
            </w:r>
            <w:r>
              <w:rPr>
                <w:sz w:val="20"/>
                <w:szCs w:val="20"/>
              </w:rPr>
              <w:t>4</w:t>
            </w:r>
          </w:p>
        </w:tc>
        <w:tc>
          <w:tcPr>
            <w:tcW w:w="0" w:type="auto"/>
            <w:noWrap/>
            <w:vAlign w:val="bottom"/>
            <w:hideMark/>
          </w:tcPr>
          <w:p w14:paraId="3F4AB27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AD1A6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EDBC55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2DF969" w14:textId="77777777" w:rsidR="00000000" w:rsidRDefault="003C49E9">
            <w:pPr>
              <w:pStyle w:val="a3"/>
              <w:spacing w:before="0" w:beforeAutospacing="0" w:after="0" w:afterAutospacing="0"/>
              <w:jc w:val="right"/>
              <w:rPr>
                <w:sz w:val="20"/>
                <w:szCs w:val="20"/>
              </w:rPr>
            </w:pPr>
            <w:r>
              <w:rPr>
                <w:sz w:val="20"/>
                <w:szCs w:val="20"/>
              </w:rPr>
              <w:t>81</w:t>
            </w:r>
            <w:r>
              <w:rPr>
                <w:sz w:val="20"/>
                <w:szCs w:val="20"/>
              </w:rPr>
              <w:t>6</w:t>
            </w:r>
          </w:p>
        </w:tc>
        <w:tc>
          <w:tcPr>
            <w:tcW w:w="0" w:type="auto"/>
            <w:noWrap/>
            <w:vAlign w:val="bottom"/>
            <w:hideMark/>
          </w:tcPr>
          <w:p w14:paraId="2EC61F71" w14:textId="77777777" w:rsidR="00000000" w:rsidRDefault="003C49E9">
            <w:pPr>
              <w:pStyle w:val="a3"/>
              <w:spacing w:before="0" w:beforeAutospacing="0" w:after="0" w:afterAutospacing="0"/>
              <w:rPr>
                <w:sz w:val="20"/>
                <w:szCs w:val="20"/>
              </w:rPr>
            </w:pPr>
            <w:r>
              <w:rPr>
                <w:sz w:val="20"/>
                <w:szCs w:val="20"/>
              </w:rPr>
              <w:t> </w:t>
            </w:r>
          </w:p>
        </w:tc>
      </w:tr>
      <w:tr w:rsidR="00000000" w14:paraId="399914F9" w14:textId="77777777">
        <w:trPr>
          <w:trHeight w:val="200"/>
          <w:tblCellSpacing w:w="15" w:type="dxa"/>
        </w:trPr>
        <w:tc>
          <w:tcPr>
            <w:tcW w:w="0" w:type="auto"/>
            <w:vAlign w:val="bottom"/>
            <w:hideMark/>
          </w:tcPr>
          <w:p w14:paraId="7C8A24E2" w14:textId="77777777" w:rsidR="00000000" w:rsidRDefault="003C49E9">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noWrap/>
            <w:vAlign w:val="bottom"/>
            <w:hideMark/>
          </w:tcPr>
          <w:p w14:paraId="5AB5D9E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746D2D" w14:textId="77777777" w:rsidR="00000000" w:rsidRDefault="003C49E9">
            <w:pPr>
              <w:pStyle w:val="a3"/>
              <w:spacing w:before="0" w:beforeAutospacing="0" w:after="0" w:afterAutospacing="0"/>
              <w:jc w:val="right"/>
              <w:rPr>
                <w:sz w:val="20"/>
                <w:szCs w:val="20"/>
              </w:rPr>
            </w:pPr>
            <w:r>
              <w:rPr>
                <w:sz w:val="20"/>
                <w:szCs w:val="20"/>
              </w:rPr>
              <w:t>(</w:t>
            </w:r>
            <w:r>
              <w:rPr>
                <w:sz w:val="20"/>
                <w:szCs w:val="20"/>
              </w:rPr>
              <w:t>94</w:t>
            </w:r>
            <w:r>
              <w:rPr>
                <w:sz w:val="20"/>
                <w:szCs w:val="20"/>
              </w:rPr>
              <w:t>9</w:t>
            </w:r>
          </w:p>
        </w:tc>
        <w:tc>
          <w:tcPr>
            <w:tcW w:w="0" w:type="auto"/>
            <w:noWrap/>
            <w:vAlign w:val="bottom"/>
            <w:hideMark/>
          </w:tcPr>
          <w:p w14:paraId="468D020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A94C17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7CE6E5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6BA200" w14:textId="77777777" w:rsidR="00000000" w:rsidRDefault="003C49E9">
            <w:pPr>
              <w:pStyle w:val="a3"/>
              <w:spacing w:before="0" w:beforeAutospacing="0" w:after="0" w:afterAutospacing="0"/>
              <w:jc w:val="right"/>
              <w:rPr>
                <w:sz w:val="20"/>
                <w:szCs w:val="20"/>
              </w:rPr>
            </w:pPr>
            <w:r>
              <w:rPr>
                <w:sz w:val="20"/>
                <w:szCs w:val="20"/>
              </w:rPr>
              <w:t>(</w:t>
            </w:r>
            <w:r>
              <w:rPr>
                <w:sz w:val="20"/>
                <w:szCs w:val="20"/>
              </w:rPr>
              <w:t>7,17</w:t>
            </w:r>
            <w:r>
              <w:rPr>
                <w:sz w:val="20"/>
                <w:szCs w:val="20"/>
              </w:rPr>
              <w:t>9</w:t>
            </w:r>
          </w:p>
        </w:tc>
        <w:tc>
          <w:tcPr>
            <w:tcW w:w="0" w:type="auto"/>
            <w:noWrap/>
            <w:vAlign w:val="bottom"/>
            <w:hideMark/>
          </w:tcPr>
          <w:p w14:paraId="7D329BC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98F5A4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B87B4D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0320596" w14:textId="77777777" w:rsidR="00000000" w:rsidRDefault="003C49E9">
            <w:pPr>
              <w:pStyle w:val="a3"/>
              <w:spacing w:before="0" w:beforeAutospacing="0" w:after="0" w:afterAutospacing="0"/>
              <w:jc w:val="right"/>
              <w:rPr>
                <w:sz w:val="20"/>
                <w:szCs w:val="20"/>
              </w:rPr>
            </w:pPr>
            <w:r>
              <w:rPr>
                <w:sz w:val="20"/>
                <w:szCs w:val="20"/>
              </w:rPr>
              <w:t>(</w:t>
            </w:r>
            <w:r>
              <w:rPr>
                <w:sz w:val="20"/>
                <w:szCs w:val="20"/>
              </w:rPr>
              <w:t>1,89</w:t>
            </w:r>
            <w:r>
              <w:rPr>
                <w:sz w:val="20"/>
                <w:szCs w:val="20"/>
              </w:rPr>
              <w:t>8</w:t>
            </w:r>
          </w:p>
        </w:tc>
        <w:tc>
          <w:tcPr>
            <w:tcW w:w="0" w:type="auto"/>
            <w:noWrap/>
            <w:vAlign w:val="bottom"/>
            <w:hideMark/>
          </w:tcPr>
          <w:p w14:paraId="6A0CFEA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F92C24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342E0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D6B5A2" w14:textId="77777777" w:rsidR="00000000" w:rsidRDefault="003C49E9">
            <w:pPr>
              <w:pStyle w:val="a3"/>
              <w:spacing w:before="0" w:beforeAutospacing="0" w:after="0" w:afterAutospacing="0"/>
              <w:jc w:val="right"/>
              <w:rPr>
                <w:sz w:val="20"/>
                <w:szCs w:val="20"/>
              </w:rPr>
            </w:pPr>
            <w:r>
              <w:rPr>
                <w:sz w:val="20"/>
                <w:szCs w:val="20"/>
              </w:rPr>
              <w:t>(</w:t>
            </w:r>
            <w:r>
              <w:rPr>
                <w:sz w:val="20"/>
                <w:szCs w:val="20"/>
              </w:rPr>
              <w:t>16,57</w:t>
            </w:r>
            <w:r>
              <w:rPr>
                <w:sz w:val="20"/>
                <w:szCs w:val="20"/>
              </w:rPr>
              <w:t>8</w:t>
            </w:r>
          </w:p>
        </w:tc>
        <w:tc>
          <w:tcPr>
            <w:tcW w:w="0" w:type="auto"/>
            <w:noWrap/>
            <w:vAlign w:val="bottom"/>
            <w:hideMark/>
          </w:tcPr>
          <w:p w14:paraId="7002E1B0" w14:textId="77777777" w:rsidR="00000000" w:rsidRDefault="003C49E9">
            <w:pPr>
              <w:pStyle w:val="a3"/>
              <w:spacing w:before="0" w:beforeAutospacing="0" w:after="0" w:afterAutospacing="0"/>
              <w:rPr>
                <w:sz w:val="20"/>
                <w:szCs w:val="20"/>
              </w:rPr>
            </w:pPr>
            <w:r>
              <w:rPr>
                <w:sz w:val="20"/>
                <w:szCs w:val="20"/>
              </w:rPr>
              <w:t>)</w:t>
            </w:r>
          </w:p>
        </w:tc>
      </w:tr>
      <w:tr w:rsidR="00000000" w14:paraId="508AD893" w14:textId="77777777">
        <w:trPr>
          <w:trHeight w:val="200"/>
          <w:tblCellSpacing w:w="15" w:type="dxa"/>
        </w:trPr>
        <w:tc>
          <w:tcPr>
            <w:tcW w:w="0" w:type="auto"/>
            <w:vAlign w:val="bottom"/>
            <w:hideMark/>
          </w:tcPr>
          <w:p w14:paraId="40C66DFF" w14:textId="77777777" w:rsidR="00000000" w:rsidRDefault="003C49E9">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noWrap/>
            <w:vAlign w:val="bottom"/>
            <w:hideMark/>
          </w:tcPr>
          <w:p w14:paraId="1776ABC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A99AFC" w14:textId="77777777" w:rsidR="00000000" w:rsidRDefault="003C49E9">
            <w:pPr>
              <w:pStyle w:val="a3"/>
              <w:spacing w:before="0" w:beforeAutospacing="0" w:after="0" w:afterAutospacing="0"/>
              <w:jc w:val="right"/>
              <w:rPr>
                <w:sz w:val="20"/>
                <w:szCs w:val="20"/>
              </w:rPr>
            </w:pPr>
            <w:r>
              <w:rPr>
                <w:sz w:val="20"/>
                <w:szCs w:val="20"/>
              </w:rPr>
              <w:t>(</w:t>
            </w:r>
            <w:r>
              <w:rPr>
                <w:sz w:val="20"/>
                <w:szCs w:val="20"/>
              </w:rPr>
              <w:t>3,09</w:t>
            </w:r>
            <w:r>
              <w:rPr>
                <w:sz w:val="20"/>
                <w:szCs w:val="20"/>
              </w:rPr>
              <w:t>1</w:t>
            </w:r>
          </w:p>
        </w:tc>
        <w:tc>
          <w:tcPr>
            <w:tcW w:w="0" w:type="auto"/>
            <w:noWrap/>
            <w:vAlign w:val="bottom"/>
            <w:hideMark/>
          </w:tcPr>
          <w:p w14:paraId="0BAB824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DB1914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01ED5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FA8D0D" w14:textId="77777777" w:rsidR="00000000" w:rsidRDefault="003C49E9">
            <w:pPr>
              <w:pStyle w:val="a3"/>
              <w:spacing w:before="0" w:beforeAutospacing="0" w:after="0" w:afterAutospacing="0"/>
              <w:jc w:val="right"/>
              <w:rPr>
                <w:sz w:val="20"/>
                <w:szCs w:val="20"/>
              </w:rPr>
            </w:pPr>
            <w:r>
              <w:rPr>
                <w:sz w:val="20"/>
                <w:szCs w:val="20"/>
              </w:rPr>
              <w:t>52</w:t>
            </w:r>
            <w:r>
              <w:rPr>
                <w:sz w:val="20"/>
                <w:szCs w:val="20"/>
              </w:rPr>
              <w:t>8</w:t>
            </w:r>
          </w:p>
        </w:tc>
        <w:tc>
          <w:tcPr>
            <w:tcW w:w="0" w:type="auto"/>
            <w:noWrap/>
            <w:vAlign w:val="bottom"/>
            <w:hideMark/>
          </w:tcPr>
          <w:p w14:paraId="0C01F9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DEAB0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3541DE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0B47FB" w14:textId="77777777" w:rsidR="00000000" w:rsidRDefault="003C49E9">
            <w:pPr>
              <w:pStyle w:val="a3"/>
              <w:spacing w:before="0" w:beforeAutospacing="0" w:after="0" w:afterAutospacing="0"/>
              <w:jc w:val="right"/>
              <w:rPr>
                <w:sz w:val="20"/>
                <w:szCs w:val="20"/>
              </w:rPr>
            </w:pPr>
            <w:r>
              <w:rPr>
                <w:sz w:val="20"/>
                <w:szCs w:val="20"/>
              </w:rPr>
              <w:t>60</w:t>
            </w:r>
            <w:r>
              <w:rPr>
                <w:sz w:val="20"/>
                <w:szCs w:val="20"/>
              </w:rPr>
              <w:t>2</w:t>
            </w:r>
          </w:p>
        </w:tc>
        <w:tc>
          <w:tcPr>
            <w:tcW w:w="0" w:type="auto"/>
            <w:noWrap/>
            <w:vAlign w:val="bottom"/>
            <w:hideMark/>
          </w:tcPr>
          <w:p w14:paraId="34D563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94938C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913852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E7193B" w14:textId="77777777" w:rsidR="00000000" w:rsidRDefault="003C49E9">
            <w:pPr>
              <w:pStyle w:val="a3"/>
              <w:spacing w:before="0" w:beforeAutospacing="0" w:after="0" w:afterAutospacing="0"/>
              <w:jc w:val="right"/>
              <w:rPr>
                <w:sz w:val="20"/>
                <w:szCs w:val="20"/>
              </w:rPr>
            </w:pPr>
            <w:r>
              <w:rPr>
                <w:sz w:val="20"/>
                <w:szCs w:val="20"/>
              </w:rPr>
              <w:t>1,18</w:t>
            </w:r>
            <w:r>
              <w:rPr>
                <w:sz w:val="20"/>
                <w:szCs w:val="20"/>
              </w:rPr>
              <w:t>8</w:t>
            </w:r>
          </w:p>
        </w:tc>
        <w:tc>
          <w:tcPr>
            <w:tcW w:w="0" w:type="auto"/>
            <w:noWrap/>
            <w:vAlign w:val="bottom"/>
            <w:hideMark/>
          </w:tcPr>
          <w:p w14:paraId="58BFC8E5" w14:textId="77777777" w:rsidR="00000000" w:rsidRDefault="003C49E9">
            <w:pPr>
              <w:pStyle w:val="a3"/>
              <w:spacing w:before="0" w:beforeAutospacing="0" w:after="0" w:afterAutospacing="0"/>
              <w:rPr>
                <w:sz w:val="20"/>
                <w:szCs w:val="20"/>
              </w:rPr>
            </w:pPr>
            <w:r>
              <w:rPr>
                <w:sz w:val="20"/>
                <w:szCs w:val="20"/>
              </w:rPr>
              <w:t> </w:t>
            </w:r>
          </w:p>
        </w:tc>
      </w:tr>
      <w:tr w:rsidR="00000000" w14:paraId="05E81934" w14:textId="77777777">
        <w:trPr>
          <w:trHeight w:val="200"/>
          <w:tblCellSpacing w:w="15" w:type="dxa"/>
        </w:trPr>
        <w:tc>
          <w:tcPr>
            <w:tcW w:w="0" w:type="auto"/>
            <w:vAlign w:val="bottom"/>
            <w:hideMark/>
          </w:tcPr>
          <w:p w14:paraId="79A36201" w14:textId="77777777" w:rsidR="00000000" w:rsidRDefault="003C49E9">
            <w:pPr>
              <w:pStyle w:val="a3"/>
              <w:spacing w:before="0" w:beforeAutospacing="0" w:after="0" w:afterAutospacing="0"/>
              <w:ind w:left="400"/>
              <w:rPr>
                <w:sz w:val="20"/>
                <w:szCs w:val="20"/>
              </w:rPr>
            </w:pPr>
            <w:r>
              <w:rPr>
                <w:sz w:val="20"/>
                <w:szCs w:val="20"/>
              </w:rPr>
              <w:t>Total other (expense) incom</w:t>
            </w:r>
            <w:r>
              <w:rPr>
                <w:sz w:val="20"/>
                <w:szCs w:val="20"/>
              </w:rPr>
              <w:t>e</w:t>
            </w:r>
          </w:p>
        </w:tc>
        <w:tc>
          <w:tcPr>
            <w:tcW w:w="0" w:type="auto"/>
            <w:noWrap/>
            <w:vAlign w:val="bottom"/>
            <w:hideMark/>
          </w:tcPr>
          <w:p w14:paraId="0BF3C21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68C9D7" w14:textId="77777777" w:rsidR="00000000" w:rsidRDefault="003C49E9">
            <w:pPr>
              <w:pStyle w:val="a3"/>
              <w:spacing w:before="0" w:beforeAutospacing="0" w:after="0" w:afterAutospacing="0"/>
              <w:jc w:val="right"/>
              <w:rPr>
                <w:sz w:val="20"/>
                <w:szCs w:val="20"/>
              </w:rPr>
            </w:pPr>
            <w:r>
              <w:rPr>
                <w:sz w:val="20"/>
                <w:szCs w:val="20"/>
              </w:rPr>
              <w:t>(</w:t>
            </w:r>
            <w:r>
              <w:rPr>
                <w:sz w:val="20"/>
                <w:szCs w:val="20"/>
              </w:rPr>
              <w:t>1,99</w:t>
            </w:r>
            <w:r>
              <w:rPr>
                <w:sz w:val="20"/>
                <w:szCs w:val="20"/>
              </w:rPr>
              <w:t>0</w:t>
            </w:r>
          </w:p>
        </w:tc>
        <w:tc>
          <w:tcPr>
            <w:tcW w:w="0" w:type="auto"/>
            <w:noWrap/>
            <w:vAlign w:val="bottom"/>
            <w:hideMark/>
          </w:tcPr>
          <w:p w14:paraId="4C13F16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420F46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4BFFA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19BC8BD" w14:textId="77777777" w:rsidR="00000000" w:rsidRDefault="003C49E9">
            <w:pPr>
              <w:pStyle w:val="a3"/>
              <w:spacing w:before="0" w:beforeAutospacing="0" w:after="0" w:afterAutospacing="0"/>
              <w:jc w:val="right"/>
              <w:rPr>
                <w:sz w:val="20"/>
                <w:szCs w:val="20"/>
              </w:rPr>
            </w:pPr>
            <w:r>
              <w:rPr>
                <w:sz w:val="20"/>
                <w:szCs w:val="20"/>
              </w:rPr>
              <w:t>(</w:t>
            </w:r>
            <w:r>
              <w:rPr>
                <w:sz w:val="20"/>
                <w:szCs w:val="20"/>
              </w:rPr>
              <w:t>6,31</w:t>
            </w:r>
            <w:r>
              <w:rPr>
                <w:sz w:val="20"/>
                <w:szCs w:val="20"/>
              </w:rPr>
              <w:t>0</w:t>
            </w:r>
          </w:p>
        </w:tc>
        <w:tc>
          <w:tcPr>
            <w:tcW w:w="0" w:type="auto"/>
            <w:noWrap/>
            <w:vAlign w:val="bottom"/>
            <w:hideMark/>
          </w:tcPr>
          <w:p w14:paraId="6070EC7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72CDAC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ED2426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49A2FD" w14:textId="77777777" w:rsidR="00000000" w:rsidRDefault="003C49E9">
            <w:pPr>
              <w:pStyle w:val="a3"/>
              <w:spacing w:before="0" w:beforeAutospacing="0" w:after="0" w:afterAutospacing="0"/>
              <w:jc w:val="right"/>
              <w:rPr>
                <w:sz w:val="20"/>
                <w:szCs w:val="20"/>
              </w:rPr>
            </w:pPr>
            <w:r>
              <w:rPr>
                <w:sz w:val="20"/>
                <w:szCs w:val="20"/>
              </w:rPr>
              <w:t>1,26</w:t>
            </w:r>
            <w:r>
              <w:rPr>
                <w:sz w:val="20"/>
                <w:szCs w:val="20"/>
              </w:rPr>
              <w:t>8</w:t>
            </w:r>
          </w:p>
        </w:tc>
        <w:tc>
          <w:tcPr>
            <w:tcW w:w="0" w:type="auto"/>
            <w:noWrap/>
            <w:vAlign w:val="bottom"/>
            <w:hideMark/>
          </w:tcPr>
          <w:p w14:paraId="5AFE814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B2519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3EFFA2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5D4360" w14:textId="77777777" w:rsidR="00000000" w:rsidRDefault="003C49E9">
            <w:pPr>
              <w:pStyle w:val="a3"/>
              <w:spacing w:before="0" w:beforeAutospacing="0" w:after="0" w:afterAutospacing="0"/>
              <w:jc w:val="right"/>
              <w:rPr>
                <w:sz w:val="20"/>
                <w:szCs w:val="20"/>
              </w:rPr>
            </w:pPr>
            <w:r>
              <w:rPr>
                <w:sz w:val="20"/>
                <w:szCs w:val="20"/>
              </w:rPr>
              <w:t>(</w:t>
            </w:r>
            <w:r>
              <w:rPr>
                <w:sz w:val="20"/>
                <w:szCs w:val="20"/>
              </w:rPr>
              <w:t>14,57</w:t>
            </w:r>
            <w:r>
              <w:rPr>
                <w:sz w:val="20"/>
                <w:szCs w:val="20"/>
              </w:rPr>
              <w:t>4</w:t>
            </w:r>
          </w:p>
        </w:tc>
        <w:tc>
          <w:tcPr>
            <w:tcW w:w="0" w:type="auto"/>
            <w:noWrap/>
            <w:vAlign w:val="bottom"/>
            <w:hideMark/>
          </w:tcPr>
          <w:p w14:paraId="1CEE881A" w14:textId="77777777" w:rsidR="00000000" w:rsidRDefault="003C49E9">
            <w:pPr>
              <w:pStyle w:val="a3"/>
              <w:spacing w:before="0" w:beforeAutospacing="0" w:after="0" w:afterAutospacing="0"/>
              <w:rPr>
                <w:sz w:val="20"/>
                <w:szCs w:val="20"/>
              </w:rPr>
            </w:pPr>
            <w:r>
              <w:rPr>
                <w:sz w:val="20"/>
                <w:szCs w:val="20"/>
              </w:rPr>
              <w:t>)</w:t>
            </w:r>
          </w:p>
        </w:tc>
      </w:tr>
      <w:tr w:rsidR="00000000" w14:paraId="0EA2C215" w14:textId="77777777">
        <w:trPr>
          <w:trHeight w:val="200"/>
          <w:tblCellSpacing w:w="15" w:type="dxa"/>
        </w:trPr>
        <w:tc>
          <w:tcPr>
            <w:tcW w:w="0" w:type="auto"/>
            <w:vAlign w:val="bottom"/>
            <w:hideMark/>
          </w:tcPr>
          <w:p w14:paraId="341B8581" w14:textId="77777777" w:rsidR="00000000" w:rsidRDefault="003C49E9">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noWrap/>
            <w:vAlign w:val="bottom"/>
            <w:hideMark/>
          </w:tcPr>
          <w:p w14:paraId="1EDD86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38721E8" w14:textId="77777777" w:rsidR="00000000" w:rsidRDefault="003C49E9">
            <w:pPr>
              <w:pStyle w:val="a3"/>
              <w:spacing w:before="0" w:beforeAutospacing="0" w:after="0" w:afterAutospacing="0"/>
              <w:jc w:val="right"/>
              <w:rPr>
                <w:sz w:val="20"/>
                <w:szCs w:val="20"/>
              </w:rPr>
            </w:pPr>
            <w:r>
              <w:rPr>
                <w:sz w:val="20"/>
                <w:szCs w:val="20"/>
              </w:rPr>
              <w:t>(</w:t>
            </w:r>
            <w:r>
              <w:rPr>
                <w:sz w:val="20"/>
                <w:szCs w:val="20"/>
              </w:rPr>
              <w:t>54,24</w:t>
            </w:r>
            <w:r>
              <w:rPr>
                <w:sz w:val="20"/>
                <w:szCs w:val="20"/>
              </w:rPr>
              <w:t>0</w:t>
            </w:r>
          </w:p>
        </w:tc>
        <w:tc>
          <w:tcPr>
            <w:tcW w:w="0" w:type="auto"/>
            <w:noWrap/>
            <w:vAlign w:val="bottom"/>
            <w:hideMark/>
          </w:tcPr>
          <w:p w14:paraId="622C96E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3A6CD2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1A11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17EFDA" w14:textId="77777777" w:rsidR="00000000" w:rsidRDefault="003C49E9">
            <w:pPr>
              <w:pStyle w:val="a3"/>
              <w:spacing w:before="0" w:beforeAutospacing="0" w:after="0" w:afterAutospacing="0"/>
              <w:jc w:val="right"/>
              <w:rPr>
                <w:sz w:val="20"/>
                <w:szCs w:val="20"/>
              </w:rPr>
            </w:pPr>
            <w:r>
              <w:rPr>
                <w:sz w:val="20"/>
                <w:szCs w:val="20"/>
              </w:rPr>
              <w:t>(</w:t>
            </w:r>
            <w:r>
              <w:rPr>
                <w:sz w:val="20"/>
                <w:szCs w:val="20"/>
              </w:rPr>
              <w:t>22,91</w:t>
            </w:r>
            <w:r>
              <w:rPr>
                <w:sz w:val="20"/>
                <w:szCs w:val="20"/>
              </w:rPr>
              <w:t>2</w:t>
            </w:r>
          </w:p>
        </w:tc>
        <w:tc>
          <w:tcPr>
            <w:tcW w:w="0" w:type="auto"/>
            <w:noWrap/>
            <w:vAlign w:val="bottom"/>
            <w:hideMark/>
          </w:tcPr>
          <w:p w14:paraId="21594F5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A45B1F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EC8559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689A454" w14:textId="77777777" w:rsidR="00000000" w:rsidRDefault="003C49E9">
            <w:pPr>
              <w:pStyle w:val="a3"/>
              <w:spacing w:before="0" w:beforeAutospacing="0" w:after="0" w:afterAutospacing="0"/>
              <w:jc w:val="right"/>
              <w:rPr>
                <w:sz w:val="20"/>
                <w:szCs w:val="20"/>
              </w:rPr>
            </w:pPr>
            <w:r>
              <w:rPr>
                <w:sz w:val="20"/>
                <w:szCs w:val="20"/>
              </w:rPr>
              <w:t>(</w:t>
            </w:r>
            <w:r>
              <w:rPr>
                <w:sz w:val="20"/>
                <w:szCs w:val="20"/>
              </w:rPr>
              <w:t>62,13</w:t>
            </w:r>
            <w:r>
              <w:rPr>
                <w:sz w:val="20"/>
                <w:szCs w:val="20"/>
              </w:rPr>
              <w:t>7</w:t>
            </w:r>
          </w:p>
        </w:tc>
        <w:tc>
          <w:tcPr>
            <w:tcW w:w="0" w:type="auto"/>
            <w:noWrap/>
            <w:vAlign w:val="bottom"/>
            <w:hideMark/>
          </w:tcPr>
          <w:p w14:paraId="2972161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8C72A1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BA62F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75A96F" w14:textId="77777777" w:rsidR="00000000" w:rsidRDefault="003C49E9">
            <w:pPr>
              <w:pStyle w:val="a3"/>
              <w:spacing w:before="0" w:beforeAutospacing="0" w:after="0" w:afterAutospacing="0"/>
              <w:jc w:val="right"/>
              <w:rPr>
                <w:sz w:val="20"/>
                <w:szCs w:val="20"/>
              </w:rPr>
            </w:pPr>
            <w:r>
              <w:rPr>
                <w:sz w:val="20"/>
                <w:szCs w:val="20"/>
              </w:rPr>
              <w:t>(</w:t>
            </w:r>
            <w:r>
              <w:rPr>
                <w:sz w:val="20"/>
                <w:szCs w:val="20"/>
              </w:rPr>
              <w:t>46,20</w:t>
            </w:r>
            <w:r>
              <w:rPr>
                <w:sz w:val="20"/>
                <w:szCs w:val="20"/>
              </w:rPr>
              <w:t>9</w:t>
            </w:r>
          </w:p>
        </w:tc>
        <w:tc>
          <w:tcPr>
            <w:tcW w:w="0" w:type="auto"/>
            <w:noWrap/>
            <w:vAlign w:val="bottom"/>
            <w:hideMark/>
          </w:tcPr>
          <w:p w14:paraId="39F1DC72" w14:textId="77777777" w:rsidR="00000000" w:rsidRDefault="003C49E9">
            <w:pPr>
              <w:pStyle w:val="a3"/>
              <w:spacing w:before="0" w:beforeAutospacing="0" w:after="0" w:afterAutospacing="0"/>
              <w:rPr>
                <w:sz w:val="20"/>
                <w:szCs w:val="20"/>
              </w:rPr>
            </w:pPr>
            <w:r>
              <w:rPr>
                <w:sz w:val="20"/>
                <w:szCs w:val="20"/>
              </w:rPr>
              <w:t>)</w:t>
            </w:r>
          </w:p>
        </w:tc>
      </w:tr>
      <w:tr w:rsidR="00000000" w14:paraId="402BC23D" w14:textId="77777777">
        <w:trPr>
          <w:trHeight w:val="200"/>
          <w:tblCellSpacing w:w="15" w:type="dxa"/>
        </w:trPr>
        <w:tc>
          <w:tcPr>
            <w:tcW w:w="0" w:type="auto"/>
            <w:vAlign w:val="bottom"/>
            <w:hideMark/>
          </w:tcPr>
          <w:p w14:paraId="14FC49BE" w14:textId="77777777" w:rsidR="00000000" w:rsidRDefault="003C49E9">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noWrap/>
            <w:vAlign w:val="bottom"/>
            <w:hideMark/>
          </w:tcPr>
          <w:p w14:paraId="2DA5B4A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1007BD" w14:textId="77777777" w:rsidR="00000000" w:rsidRDefault="003C49E9">
            <w:pPr>
              <w:pStyle w:val="a3"/>
              <w:spacing w:before="0" w:beforeAutospacing="0" w:after="0" w:afterAutospacing="0"/>
              <w:jc w:val="right"/>
              <w:rPr>
                <w:sz w:val="20"/>
                <w:szCs w:val="20"/>
              </w:rPr>
            </w:pPr>
            <w:r>
              <w:rPr>
                <w:sz w:val="20"/>
                <w:szCs w:val="20"/>
              </w:rPr>
              <w:t>(</w:t>
            </w:r>
            <w:r>
              <w:rPr>
                <w:sz w:val="20"/>
                <w:szCs w:val="20"/>
              </w:rPr>
              <w:t>2,12</w:t>
            </w:r>
            <w:r>
              <w:rPr>
                <w:sz w:val="20"/>
                <w:szCs w:val="20"/>
              </w:rPr>
              <w:t>1</w:t>
            </w:r>
          </w:p>
        </w:tc>
        <w:tc>
          <w:tcPr>
            <w:tcW w:w="0" w:type="auto"/>
            <w:noWrap/>
            <w:vAlign w:val="bottom"/>
            <w:hideMark/>
          </w:tcPr>
          <w:p w14:paraId="0705C9C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41ADB9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5680DB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E24293" w14:textId="77777777" w:rsidR="00000000" w:rsidRDefault="003C49E9">
            <w:pPr>
              <w:pStyle w:val="a3"/>
              <w:spacing w:before="0" w:beforeAutospacing="0" w:after="0" w:afterAutospacing="0"/>
              <w:jc w:val="right"/>
              <w:rPr>
                <w:sz w:val="20"/>
                <w:szCs w:val="20"/>
              </w:rPr>
            </w:pPr>
            <w:r>
              <w:rPr>
                <w:sz w:val="20"/>
                <w:szCs w:val="20"/>
              </w:rPr>
              <w:t>(</w:t>
            </w:r>
            <w:r>
              <w:rPr>
                <w:sz w:val="20"/>
                <w:szCs w:val="20"/>
              </w:rPr>
              <w:t>1,66</w:t>
            </w:r>
            <w:r>
              <w:rPr>
                <w:sz w:val="20"/>
                <w:szCs w:val="20"/>
              </w:rPr>
              <w:t>0</w:t>
            </w:r>
          </w:p>
        </w:tc>
        <w:tc>
          <w:tcPr>
            <w:tcW w:w="0" w:type="auto"/>
            <w:noWrap/>
            <w:vAlign w:val="bottom"/>
            <w:hideMark/>
          </w:tcPr>
          <w:p w14:paraId="2A20E43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E09BA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5C1196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F98C24" w14:textId="77777777" w:rsidR="00000000" w:rsidRDefault="003C49E9">
            <w:pPr>
              <w:pStyle w:val="a3"/>
              <w:spacing w:before="0" w:beforeAutospacing="0" w:after="0" w:afterAutospacing="0"/>
              <w:jc w:val="right"/>
              <w:rPr>
                <w:sz w:val="20"/>
                <w:szCs w:val="20"/>
              </w:rPr>
            </w:pPr>
            <w:r>
              <w:rPr>
                <w:sz w:val="20"/>
                <w:szCs w:val="20"/>
              </w:rPr>
              <w:t>(</w:t>
            </w:r>
            <w:r>
              <w:rPr>
                <w:sz w:val="20"/>
                <w:szCs w:val="20"/>
              </w:rPr>
              <w:t>3,56</w:t>
            </w:r>
            <w:r>
              <w:rPr>
                <w:sz w:val="20"/>
                <w:szCs w:val="20"/>
              </w:rPr>
              <w:t>5</w:t>
            </w:r>
          </w:p>
        </w:tc>
        <w:tc>
          <w:tcPr>
            <w:tcW w:w="0" w:type="auto"/>
            <w:noWrap/>
            <w:vAlign w:val="bottom"/>
            <w:hideMark/>
          </w:tcPr>
          <w:p w14:paraId="2F82329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0DBD24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C1DC3B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E9C428" w14:textId="77777777" w:rsidR="00000000" w:rsidRDefault="003C49E9">
            <w:pPr>
              <w:pStyle w:val="a3"/>
              <w:spacing w:before="0" w:beforeAutospacing="0" w:after="0" w:afterAutospacing="0"/>
              <w:jc w:val="right"/>
              <w:rPr>
                <w:sz w:val="20"/>
                <w:szCs w:val="20"/>
              </w:rPr>
            </w:pPr>
            <w:r>
              <w:rPr>
                <w:sz w:val="20"/>
                <w:szCs w:val="20"/>
              </w:rPr>
              <w:t>(</w:t>
            </w:r>
            <w:r>
              <w:rPr>
                <w:sz w:val="20"/>
                <w:szCs w:val="20"/>
              </w:rPr>
              <w:t>1,52</w:t>
            </w:r>
            <w:r>
              <w:rPr>
                <w:sz w:val="20"/>
                <w:szCs w:val="20"/>
              </w:rPr>
              <w:t>2</w:t>
            </w:r>
          </w:p>
        </w:tc>
        <w:tc>
          <w:tcPr>
            <w:tcW w:w="0" w:type="auto"/>
            <w:noWrap/>
            <w:vAlign w:val="bottom"/>
            <w:hideMark/>
          </w:tcPr>
          <w:p w14:paraId="4F16FE6F" w14:textId="77777777" w:rsidR="00000000" w:rsidRDefault="003C49E9">
            <w:pPr>
              <w:pStyle w:val="a3"/>
              <w:spacing w:before="0" w:beforeAutospacing="0" w:after="0" w:afterAutospacing="0"/>
              <w:rPr>
                <w:sz w:val="20"/>
                <w:szCs w:val="20"/>
              </w:rPr>
            </w:pPr>
            <w:r>
              <w:rPr>
                <w:sz w:val="20"/>
                <w:szCs w:val="20"/>
              </w:rPr>
              <w:t>)</w:t>
            </w:r>
          </w:p>
        </w:tc>
      </w:tr>
      <w:tr w:rsidR="00000000" w14:paraId="3A3C5242" w14:textId="77777777">
        <w:trPr>
          <w:trHeight w:val="200"/>
          <w:tblCellSpacing w:w="15" w:type="dxa"/>
        </w:trPr>
        <w:tc>
          <w:tcPr>
            <w:tcW w:w="0" w:type="auto"/>
            <w:vAlign w:val="bottom"/>
            <w:hideMark/>
          </w:tcPr>
          <w:p w14:paraId="69C776CC" w14:textId="77777777" w:rsidR="00000000" w:rsidRDefault="003C49E9">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14:paraId="24256BB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A3269F" w14:textId="77777777" w:rsidR="00000000" w:rsidRDefault="003C49E9">
            <w:pPr>
              <w:pStyle w:val="a3"/>
              <w:spacing w:before="0" w:beforeAutospacing="0" w:after="0" w:afterAutospacing="0"/>
              <w:jc w:val="right"/>
              <w:rPr>
                <w:sz w:val="20"/>
                <w:szCs w:val="20"/>
              </w:rPr>
            </w:pPr>
            <w:r>
              <w:rPr>
                <w:sz w:val="20"/>
                <w:szCs w:val="20"/>
              </w:rPr>
              <w:t>(</w:t>
            </w:r>
            <w:r>
              <w:rPr>
                <w:sz w:val="20"/>
                <w:szCs w:val="20"/>
              </w:rPr>
              <w:t>56,36</w:t>
            </w:r>
            <w:r>
              <w:rPr>
                <w:sz w:val="20"/>
                <w:szCs w:val="20"/>
              </w:rPr>
              <w:t>1</w:t>
            </w:r>
          </w:p>
        </w:tc>
        <w:tc>
          <w:tcPr>
            <w:tcW w:w="0" w:type="auto"/>
            <w:noWrap/>
            <w:vAlign w:val="bottom"/>
            <w:hideMark/>
          </w:tcPr>
          <w:p w14:paraId="700D905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367D0C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C1DE9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8849DA5" w14:textId="77777777" w:rsidR="00000000" w:rsidRDefault="003C49E9">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noWrap/>
            <w:vAlign w:val="bottom"/>
            <w:hideMark/>
          </w:tcPr>
          <w:p w14:paraId="52A0A08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73B2FD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4A7FC7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B8C35B9" w14:textId="77777777" w:rsidR="00000000" w:rsidRDefault="003C49E9">
            <w:pPr>
              <w:pStyle w:val="a3"/>
              <w:spacing w:before="0" w:beforeAutospacing="0" w:after="0" w:afterAutospacing="0"/>
              <w:jc w:val="right"/>
              <w:rPr>
                <w:sz w:val="20"/>
                <w:szCs w:val="20"/>
              </w:rPr>
            </w:pPr>
            <w:r>
              <w:rPr>
                <w:sz w:val="20"/>
                <w:szCs w:val="20"/>
              </w:rPr>
              <w:t>(</w:t>
            </w:r>
            <w:r>
              <w:rPr>
                <w:sz w:val="20"/>
                <w:szCs w:val="20"/>
              </w:rPr>
              <w:t>65,70</w:t>
            </w:r>
            <w:r>
              <w:rPr>
                <w:sz w:val="20"/>
                <w:szCs w:val="20"/>
              </w:rPr>
              <w:t>2</w:t>
            </w:r>
          </w:p>
        </w:tc>
        <w:tc>
          <w:tcPr>
            <w:tcW w:w="0" w:type="auto"/>
            <w:noWrap/>
            <w:vAlign w:val="bottom"/>
            <w:hideMark/>
          </w:tcPr>
          <w:p w14:paraId="3CF5B64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95F75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E26AFB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D2F5F56" w14:textId="77777777" w:rsidR="00000000" w:rsidRDefault="003C49E9">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noWrap/>
            <w:vAlign w:val="bottom"/>
            <w:hideMark/>
          </w:tcPr>
          <w:p w14:paraId="2D694301" w14:textId="77777777" w:rsidR="00000000" w:rsidRDefault="003C49E9">
            <w:pPr>
              <w:pStyle w:val="a3"/>
              <w:spacing w:before="0" w:beforeAutospacing="0" w:after="0" w:afterAutospacing="0"/>
              <w:rPr>
                <w:sz w:val="20"/>
                <w:szCs w:val="20"/>
              </w:rPr>
            </w:pPr>
            <w:r>
              <w:rPr>
                <w:sz w:val="20"/>
                <w:szCs w:val="20"/>
              </w:rPr>
              <w:t>)</w:t>
            </w:r>
          </w:p>
        </w:tc>
      </w:tr>
      <w:tr w:rsidR="00000000" w14:paraId="3BB2E26E" w14:textId="77777777">
        <w:trPr>
          <w:trHeight w:val="200"/>
          <w:tblCellSpacing w:w="15" w:type="dxa"/>
        </w:trPr>
        <w:tc>
          <w:tcPr>
            <w:tcW w:w="0" w:type="auto"/>
            <w:vAlign w:val="bottom"/>
            <w:hideMark/>
          </w:tcPr>
          <w:p w14:paraId="372C8019" w14:textId="77777777" w:rsidR="00000000" w:rsidRDefault="003C49E9">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noWrap/>
            <w:vAlign w:val="bottom"/>
            <w:hideMark/>
          </w:tcPr>
          <w:p w14:paraId="413B1BE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3AAE23C" w14:textId="77777777" w:rsidR="00000000" w:rsidRDefault="003C49E9">
            <w:pPr>
              <w:pStyle w:val="a3"/>
              <w:spacing w:before="0" w:beforeAutospacing="0" w:after="0" w:afterAutospacing="0"/>
              <w:jc w:val="right"/>
              <w:rPr>
                <w:sz w:val="20"/>
                <w:szCs w:val="20"/>
              </w:rPr>
            </w:pPr>
            <w:r>
              <w:rPr>
                <w:sz w:val="20"/>
                <w:szCs w:val="20"/>
              </w:rPr>
              <w:t>(</w:t>
            </w:r>
            <w:r>
              <w:rPr>
                <w:sz w:val="20"/>
                <w:szCs w:val="20"/>
              </w:rPr>
              <w:t>1.1</w:t>
            </w:r>
            <w:r>
              <w:rPr>
                <w:sz w:val="20"/>
                <w:szCs w:val="20"/>
              </w:rPr>
              <w:t>8</w:t>
            </w:r>
          </w:p>
        </w:tc>
        <w:tc>
          <w:tcPr>
            <w:tcW w:w="0" w:type="auto"/>
            <w:noWrap/>
            <w:vAlign w:val="bottom"/>
            <w:hideMark/>
          </w:tcPr>
          <w:p w14:paraId="1DB5E5C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63DA05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3C422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3C1CBBF" w14:textId="77777777" w:rsidR="00000000" w:rsidRDefault="003C49E9">
            <w:pPr>
              <w:pStyle w:val="a3"/>
              <w:spacing w:before="0" w:beforeAutospacing="0" w:after="0" w:afterAutospacing="0"/>
              <w:jc w:val="right"/>
              <w:rPr>
                <w:sz w:val="20"/>
                <w:szCs w:val="20"/>
              </w:rPr>
            </w:pPr>
            <w:r>
              <w:rPr>
                <w:sz w:val="20"/>
                <w:szCs w:val="20"/>
              </w:rPr>
              <w:t>(</w:t>
            </w:r>
            <w:r>
              <w:rPr>
                <w:sz w:val="20"/>
                <w:szCs w:val="20"/>
              </w:rPr>
              <w:t>0.5</w:t>
            </w:r>
            <w:r>
              <w:rPr>
                <w:sz w:val="20"/>
                <w:szCs w:val="20"/>
              </w:rPr>
              <w:t>3</w:t>
            </w:r>
          </w:p>
        </w:tc>
        <w:tc>
          <w:tcPr>
            <w:tcW w:w="0" w:type="auto"/>
            <w:noWrap/>
            <w:vAlign w:val="bottom"/>
            <w:hideMark/>
          </w:tcPr>
          <w:p w14:paraId="4CB23D7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CED11B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DCC78C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8419301" w14:textId="77777777" w:rsidR="00000000" w:rsidRDefault="003C49E9">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noWrap/>
            <w:vAlign w:val="bottom"/>
            <w:hideMark/>
          </w:tcPr>
          <w:p w14:paraId="56B14FC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B4D500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00480E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7D2D027" w14:textId="77777777" w:rsidR="00000000" w:rsidRDefault="003C49E9">
            <w:pPr>
              <w:pStyle w:val="a3"/>
              <w:spacing w:before="0" w:beforeAutospacing="0" w:after="0" w:afterAutospacing="0"/>
              <w:jc w:val="right"/>
              <w:rPr>
                <w:sz w:val="20"/>
                <w:szCs w:val="20"/>
              </w:rPr>
            </w:pPr>
            <w:r>
              <w:rPr>
                <w:sz w:val="20"/>
                <w:szCs w:val="20"/>
              </w:rPr>
              <w:t>(</w:t>
            </w:r>
            <w:r>
              <w:rPr>
                <w:sz w:val="20"/>
                <w:szCs w:val="20"/>
              </w:rPr>
              <w:t>1.0</w:t>
            </w:r>
            <w:r>
              <w:rPr>
                <w:sz w:val="20"/>
                <w:szCs w:val="20"/>
              </w:rPr>
              <w:t>2</w:t>
            </w:r>
          </w:p>
        </w:tc>
        <w:tc>
          <w:tcPr>
            <w:tcW w:w="0" w:type="auto"/>
            <w:noWrap/>
            <w:vAlign w:val="bottom"/>
            <w:hideMark/>
          </w:tcPr>
          <w:p w14:paraId="0D8829A9" w14:textId="77777777" w:rsidR="00000000" w:rsidRDefault="003C49E9">
            <w:pPr>
              <w:pStyle w:val="a3"/>
              <w:spacing w:before="0" w:beforeAutospacing="0" w:after="0" w:afterAutospacing="0"/>
              <w:rPr>
                <w:sz w:val="20"/>
                <w:szCs w:val="20"/>
              </w:rPr>
            </w:pPr>
            <w:r>
              <w:rPr>
                <w:sz w:val="20"/>
                <w:szCs w:val="20"/>
              </w:rPr>
              <w:t>)</w:t>
            </w:r>
          </w:p>
        </w:tc>
      </w:tr>
      <w:tr w:rsidR="00000000" w14:paraId="7CA4E8DD" w14:textId="77777777">
        <w:trPr>
          <w:trHeight w:val="200"/>
          <w:tblCellSpacing w:w="15" w:type="dxa"/>
        </w:trPr>
        <w:tc>
          <w:tcPr>
            <w:tcW w:w="0" w:type="auto"/>
            <w:vAlign w:val="bottom"/>
            <w:hideMark/>
          </w:tcPr>
          <w:p w14:paraId="58A56BFA" w14:textId="77777777" w:rsidR="00000000" w:rsidRDefault="003C49E9">
            <w:pPr>
              <w:pStyle w:val="a3"/>
              <w:spacing w:before="0" w:beforeAutospacing="0" w:after="0" w:afterAutospacing="0"/>
              <w:rPr>
                <w:sz w:val="20"/>
                <w:szCs w:val="20"/>
              </w:rPr>
            </w:pPr>
            <w:r>
              <w:rPr>
                <w:sz w:val="20"/>
                <w:szCs w:val="20"/>
              </w:rPr>
              <w:t xml:space="preserve">Weighted average common shares used in </w:t>
            </w:r>
            <w:r>
              <w:rPr>
                <w:sz w:val="20"/>
                <w:szCs w:val="20"/>
              </w:rPr>
              <w:br/>
              <w:t>  </w:t>
            </w:r>
            <w:r>
              <w:rPr>
                <w:sz w:val="20"/>
                <w:szCs w:val="20"/>
              </w:rPr>
              <w:t>computing basic and diluted net loss per share</w:t>
            </w:r>
            <w:r>
              <w:rPr>
                <w:sz w:val="20"/>
                <w:szCs w:val="20"/>
              </w:rPr>
              <w:t>:</w:t>
            </w:r>
          </w:p>
        </w:tc>
        <w:tc>
          <w:tcPr>
            <w:tcW w:w="0" w:type="auto"/>
            <w:noWrap/>
            <w:vAlign w:val="bottom"/>
            <w:hideMark/>
          </w:tcPr>
          <w:p w14:paraId="5D2C43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2F9569" w14:textId="77777777" w:rsidR="00000000" w:rsidRDefault="003C49E9">
            <w:pPr>
              <w:pStyle w:val="a3"/>
              <w:spacing w:before="0" w:beforeAutospacing="0" w:after="0" w:afterAutospacing="0"/>
              <w:jc w:val="right"/>
              <w:rPr>
                <w:sz w:val="20"/>
                <w:szCs w:val="20"/>
              </w:rPr>
            </w:pPr>
            <w:r>
              <w:rPr>
                <w:sz w:val="20"/>
                <w:szCs w:val="20"/>
              </w:rPr>
              <w:t>47,81</w:t>
            </w:r>
            <w:r>
              <w:rPr>
                <w:sz w:val="20"/>
                <w:szCs w:val="20"/>
              </w:rPr>
              <w:t>5</w:t>
            </w:r>
          </w:p>
        </w:tc>
        <w:tc>
          <w:tcPr>
            <w:tcW w:w="0" w:type="auto"/>
            <w:noWrap/>
            <w:vAlign w:val="bottom"/>
            <w:hideMark/>
          </w:tcPr>
          <w:p w14:paraId="6A8398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75283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95AD9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303B64" w14:textId="77777777" w:rsidR="00000000" w:rsidRDefault="003C49E9">
            <w:pPr>
              <w:pStyle w:val="a3"/>
              <w:spacing w:before="0" w:beforeAutospacing="0" w:after="0" w:afterAutospacing="0"/>
              <w:jc w:val="right"/>
              <w:rPr>
                <w:sz w:val="20"/>
                <w:szCs w:val="20"/>
              </w:rPr>
            </w:pPr>
            <w:r>
              <w:rPr>
                <w:sz w:val="20"/>
                <w:szCs w:val="20"/>
              </w:rPr>
              <w:t>46,77</w:t>
            </w:r>
            <w:r>
              <w:rPr>
                <w:sz w:val="20"/>
                <w:szCs w:val="20"/>
              </w:rPr>
              <w:t>7</w:t>
            </w:r>
          </w:p>
        </w:tc>
        <w:tc>
          <w:tcPr>
            <w:tcW w:w="0" w:type="auto"/>
            <w:noWrap/>
            <w:vAlign w:val="bottom"/>
            <w:hideMark/>
          </w:tcPr>
          <w:p w14:paraId="746329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B2E44A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90CE78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1B019B" w14:textId="77777777" w:rsidR="00000000" w:rsidRDefault="003C49E9">
            <w:pPr>
              <w:pStyle w:val="a3"/>
              <w:spacing w:before="0" w:beforeAutospacing="0" w:after="0" w:afterAutospacing="0"/>
              <w:jc w:val="right"/>
              <w:rPr>
                <w:sz w:val="20"/>
                <w:szCs w:val="20"/>
              </w:rPr>
            </w:pPr>
            <w:r>
              <w:rPr>
                <w:sz w:val="20"/>
                <w:szCs w:val="20"/>
              </w:rPr>
              <w:t>47,69</w:t>
            </w:r>
            <w:r>
              <w:rPr>
                <w:sz w:val="20"/>
                <w:szCs w:val="20"/>
              </w:rPr>
              <w:t>7</w:t>
            </w:r>
          </w:p>
        </w:tc>
        <w:tc>
          <w:tcPr>
            <w:tcW w:w="0" w:type="auto"/>
            <w:noWrap/>
            <w:vAlign w:val="bottom"/>
            <w:hideMark/>
          </w:tcPr>
          <w:p w14:paraId="2A196FC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CE2D2C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4BDFF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067DB1" w14:textId="77777777" w:rsidR="00000000" w:rsidRDefault="003C49E9">
            <w:pPr>
              <w:pStyle w:val="a3"/>
              <w:spacing w:before="0" w:beforeAutospacing="0" w:after="0" w:afterAutospacing="0"/>
              <w:jc w:val="right"/>
              <w:rPr>
                <w:sz w:val="20"/>
                <w:szCs w:val="20"/>
              </w:rPr>
            </w:pPr>
            <w:r>
              <w:rPr>
                <w:sz w:val="20"/>
                <w:szCs w:val="20"/>
              </w:rPr>
              <w:t>46,60</w:t>
            </w:r>
            <w:r>
              <w:rPr>
                <w:sz w:val="20"/>
                <w:szCs w:val="20"/>
              </w:rPr>
              <w:t>3</w:t>
            </w:r>
          </w:p>
        </w:tc>
        <w:tc>
          <w:tcPr>
            <w:tcW w:w="0" w:type="auto"/>
            <w:noWrap/>
            <w:vAlign w:val="bottom"/>
            <w:hideMark/>
          </w:tcPr>
          <w:p w14:paraId="0C10D415" w14:textId="77777777" w:rsidR="00000000" w:rsidRDefault="003C49E9">
            <w:pPr>
              <w:pStyle w:val="a3"/>
              <w:spacing w:before="0" w:beforeAutospacing="0" w:after="0" w:afterAutospacing="0"/>
              <w:rPr>
                <w:sz w:val="20"/>
                <w:szCs w:val="20"/>
              </w:rPr>
            </w:pPr>
            <w:r>
              <w:rPr>
                <w:sz w:val="20"/>
                <w:szCs w:val="20"/>
              </w:rPr>
              <w:t> </w:t>
            </w:r>
          </w:p>
        </w:tc>
      </w:tr>
    </w:tbl>
    <w:p w14:paraId="5D86722D" w14:textId="77777777" w:rsidR="00000000" w:rsidRDefault="003C49E9">
      <w:pPr>
        <w:pStyle w:val="a3"/>
        <w:spacing w:before="0" w:beforeAutospacing="0" w:after="0" w:afterAutospacing="0"/>
        <w:jc w:val="center"/>
        <w:rPr>
          <w:sz w:val="20"/>
          <w:szCs w:val="20"/>
        </w:rPr>
      </w:pPr>
      <w:r>
        <w:rPr>
          <w:sz w:val="20"/>
          <w:szCs w:val="20"/>
        </w:rPr>
        <w:t> </w:t>
      </w:r>
    </w:p>
    <w:p w14:paraId="09D706FC" w14:textId="77777777" w:rsidR="00000000" w:rsidRDefault="003C49E9">
      <w:pPr>
        <w:pStyle w:val="a3"/>
        <w:spacing w:before="240" w:beforeAutospacing="0" w:after="0" w:afterAutospacing="0"/>
        <w:jc w:val="center"/>
        <w:rPr>
          <w:sz w:val="20"/>
          <w:szCs w:val="20"/>
        </w:rPr>
      </w:pPr>
      <w:r>
        <w:rPr>
          <w:sz w:val="20"/>
          <w:szCs w:val="20"/>
        </w:rPr>
        <w:t>6</w:t>
      </w:r>
    </w:p>
    <w:p w14:paraId="1933B4D6" w14:textId="77777777" w:rsidR="00000000" w:rsidRDefault="003C49E9">
      <w:pPr>
        <w:rPr>
          <w:rFonts w:eastAsia="Times New Roman"/>
        </w:rPr>
      </w:pPr>
      <w:r>
        <w:rPr>
          <w:rFonts w:eastAsia="Times New Roman"/>
        </w:rPr>
        <w:pict w14:anchorId="5283B8D1">
          <v:rect id="_x0000_i1030" style="width:0;height:1.5pt" o:hralign="center" o:hrstd="t" o:hr="t" fillcolor="#a0a0a0" stroked="f"/>
        </w:pict>
      </w:r>
    </w:p>
    <w:p w14:paraId="6FAD2D90" w14:textId="77777777" w:rsidR="00000000" w:rsidRDefault="003C49E9">
      <w:pPr>
        <w:pStyle w:val="a3"/>
        <w:spacing w:before="0" w:beforeAutospacing="0" w:after="0" w:afterAutospacing="0"/>
        <w:rPr>
          <w:sz w:val="20"/>
          <w:szCs w:val="20"/>
        </w:rPr>
      </w:pPr>
      <w:r>
        <w:rPr>
          <w:sz w:val="20"/>
          <w:szCs w:val="20"/>
        </w:rPr>
        <w:t> </w:t>
      </w:r>
    </w:p>
    <w:p w14:paraId="61B9D383"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30F43F81" w14:textId="77777777" w:rsidR="00000000" w:rsidRDefault="003C49E9">
      <w:pPr>
        <w:pStyle w:val="a3"/>
        <w:spacing w:before="0" w:beforeAutospacing="0" w:after="0" w:afterAutospacing="0"/>
        <w:jc w:val="center"/>
        <w:rPr>
          <w:sz w:val="20"/>
          <w:szCs w:val="20"/>
        </w:rPr>
      </w:pPr>
      <w:r>
        <w:rPr>
          <w:b/>
          <w:bCs/>
          <w:sz w:val="20"/>
          <w:szCs w:val="20"/>
        </w:rPr>
        <w:t>Unaudited Consolidated Stat</w:t>
      </w:r>
      <w:r>
        <w:rPr>
          <w:b/>
          <w:bCs/>
          <w:sz w:val="20"/>
          <w:szCs w:val="20"/>
        </w:rPr>
        <w:t>e</w:t>
      </w:r>
      <w:r>
        <w:rPr>
          <w:b/>
          <w:bCs/>
          <w:sz w:val="20"/>
          <w:szCs w:val="20"/>
        </w:rPr>
        <w:t>ments of Comprehensive Los</w:t>
      </w:r>
      <w:r>
        <w:rPr>
          <w:b/>
          <w:bCs/>
          <w:sz w:val="20"/>
          <w:szCs w:val="20"/>
        </w:rPr>
        <w:t>s</w:t>
      </w:r>
    </w:p>
    <w:p w14:paraId="2534F575" w14:textId="77777777" w:rsidR="00000000" w:rsidRDefault="003C49E9">
      <w:pPr>
        <w:pStyle w:val="a3"/>
        <w:spacing w:before="0" w:beforeAutospacing="0" w:after="0" w:afterAutospacing="0"/>
        <w:jc w:val="center"/>
        <w:rPr>
          <w:sz w:val="20"/>
          <w:szCs w:val="20"/>
        </w:rPr>
      </w:pPr>
      <w:r>
        <w:rPr>
          <w:b/>
          <w:bCs/>
          <w:sz w:val="20"/>
          <w:szCs w:val="20"/>
        </w:rPr>
        <w:t>(in thousands</w:t>
      </w:r>
      <w:r>
        <w:rPr>
          <w:b/>
          <w:bCs/>
          <w:sz w:val="20"/>
          <w:szCs w:val="20"/>
        </w:rPr>
        <w:t>)</w:t>
      </w:r>
    </w:p>
    <w:p w14:paraId="7BB948D1"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5"/>
        <w:gridCol w:w="160"/>
        <w:gridCol w:w="677"/>
        <w:gridCol w:w="127"/>
        <w:gridCol w:w="110"/>
        <w:gridCol w:w="160"/>
        <w:gridCol w:w="677"/>
        <w:gridCol w:w="127"/>
        <w:gridCol w:w="110"/>
        <w:gridCol w:w="160"/>
        <w:gridCol w:w="677"/>
        <w:gridCol w:w="127"/>
        <w:gridCol w:w="110"/>
        <w:gridCol w:w="160"/>
        <w:gridCol w:w="677"/>
        <w:gridCol w:w="142"/>
      </w:tblGrid>
      <w:tr w:rsidR="00000000" w14:paraId="3E19A420" w14:textId="77777777">
        <w:trPr>
          <w:tblCellSpacing w:w="15" w:type="dxa"/>
        </w:trPr>
        <w:tc>
          <w:tcPr>
            <w:tcW w:w="2872" w:type="pct"/>
            <w:vAlign w:val="center"/>
            <w:hideMark/>
          </w:tcPr>
          <w:p w14:paraId="0E2B666D" w14:textId="77777777" w:rsidR="00000000" w:rsidRDefault="003C49E9">
            <w:pPr>
              <w:rPr>
                <w:sz w:val="20"/>
                <w:szCs w:val="20"/>
              </w:rPr>
            </w:pPr>
          </w:p>
        </w:tc>
        <w:tc>
          <w:tcPr>
            <w:tcW w:w="50" w:type="pct"/>
            <w:vAlign w:val="center"/>
            <w:hideMark/>
          </w:tcPr>
          <w:p w14:paraId="320517AD" w14:textId="77777777" w:rsidR="00000000" w:rsidRDefault="003C49E9">
            <w:pPr>
              <w:rPr>
                <w:rFonts w:eastAsia="Times New Roman"/>
                <w:sz w:val="20"/>
                <w:szCs w:val="20"/>
              </w:rPr>
            </w:pPr>
          </w:p>
        </w:tc>
        <w:tc>
          <w:tcPr>
            <w:tcW w:w="378" w:type="pct"/>
            <w:vAlign w:val="center"/>
            <w:hideMark/>
          </w:tcPr>
          <w:p w14:paraId="086A048B" w14:textId="77777777" w:rsidR="00000000" w:rsidRDefault="003C49E9">
            <w:pPr>
              <w:rPr>
                <w:rFonts w:eastAsia="Times New Roman"/>
                <w:sz w:val="20"/>
                <w:szCs w:val="20"/>
              </w:rPr>
            </w:pPr>
          </w:p>
        </w:tc>
        <w:tc>
          <w:tcPr>
            <w:tcW w:w="50" w:type="pct"/>
            <w:vAlign w:val="center"/>
            <w:hideMark/>
          </w:tcPr>
          <w:p w14:paraId="663D00EA" w14:textId="77777777" w:rsidR="00000000" w:rsidRDefault="003C49E9">
            <w:pPr>
              <w:rPr>
                <w:rFonts w:eastAsia="Times New Roman"/>
                <w:sz w:val="20"/>
                <w:szCs w:val="20"/>
              </w:rPr>
            </w:pPr>
          </w:p>
        </w:tc>
        <w:tc>
          <w:tcPr>
            <w:tcW w:w="64" w:type="pct"/>
            <w:vAlign w:val="center"/>
            <w:hideMark/>
          </w:tcPr>
          <w:p w14:paraId="4D590898" w14:textId="77777777" w:rsidR="00000000" w:rsidRDefault="003C49E9">
            <w:pPr>
              <w:rPr>
                <w:rFonts w:eastAsia="Times New Roman"/>
                <w:sz w:val="20"/>
                <w:szCs w:val="20"/>
              </w:rPr>
            </w:pPr>
          </w:p>
        </w:tc>
        <w:tc>
          <w:tcPr>
            <w:tcW w:w="50" w:type="pct"/>
            <w:vAlign w:val="center"/>
            <w:hideMark/>
          </w:tcPr>
          <w:p w14:paraId="6BAB8529" w14:textId="77777777" w:rsidR="00000000" w:rsidRDefault="003C49E9">
            <w:pPr>
              <w:rPr>
                <w:rFonts w:eastAsia="Times New Roman"/>
                <w:sz w:val="20"/>
                <w:szCs w:val="20"/>
              </w:rPr>
            </w:pPr>
          </w:p>
        </w:tc>
        <w:tc>
          <w:tcPr>
            <w:tcW w:w="388" w:type="pct"/>
            <w:vAlign w:val="center"/>
            <w:hideMark/>
          </w:tcPr>
          <w:p w14:paraId="2E205CD9" w14:textId="77777777" w:rsidR="00000000" w:rsidRDefault="003C49E9">
            <w:pPr>
              <w:rPr>
                <w:rFonts w:eastAsia="Times New Roman"/>
                <w:sz w:val="20"/>
                <w:szCs w:val="20"/>
              </w:rPr>
            </w:pPr>
          </w:p>
        </w:tc>
        <w:tc>
          <w:tcPr>
            <w:tcW w:w="50" w:type="pct"/>
            <w:vAlign w:val="center"/>
            <w:hideMark/>
          </w:tcPr>
          <w:p w14:paraId="2A96BA7D" w14:textId="77777777" w:rsidR="00000000" w:rsidRDefault="003C49E9">
            <w:pPr>
              <w:rPr>
                <w:rFonts w:eastAsia="Times New Roman"/>
                <w:sz w:val="20"/>
                <w:szCs w:val="20"/>
              </w:rPr>
            </w:pPr>
          </w:p>
        </w:tc>
        <w:tc>
          <w:tcPr>
            <w:tcW w:w="64" w:type="pct"/>
            <w:vAlign w:val="center"/>
            <w:hideMark/>
          </w:tcPr>
          <w:p w14:paraId="737D1616" w14:textId="77777777" w:rsidR="00000000" w:rsidRDefault="003C49E9">
            <w:pPr>
              <w:rPr>
                <w:rFonts w:eastAsia="Times New Roman"/>
                <w:sz w:val="20"/>
                <w:szCs w:val="20"/>
              </w:rPr>
            </w:pPr>
          </w:p>
        </w:tc>
        <w:tc>
          <w:tcPr>
            <w:tcW w:w="50" w:type="pct"/>
            <w:vAlign w:val="center"/>
            <w:hideMark/>
          </w:tcPr>
          <w:p w14:paraId="20C5518A" w14:textId="77777777" w:rsidR="00000000" w:rsidRDefault="003C49E9">
            <w:pPr>
              <w:rPr>
                <w:rFonts w:eastAsia="Times New Roman"/>
                <w:sz w:val="20"/>
                <w:szCs w:val="20"/>
              </w:rPr>
            </w:pPr>
          </w:p>
        </w:tc>
        <w:tc>
          <w:tcPr>
            <w:tcW w:w="378" w:type="pct"/>
            <w:vAlign w:val="center"/>
            <w:hideMark/>
          </w:tcPr>
          <w:p w14:paraId="4CD5E53D" w14:textId="77777777" w:rsidR="00000000" w:rsidRDefault="003C49E9">
            <w:pPr>
              <w:rPr>
                <w:rFonts w:eastAsia="Times New Roman"/>
                <w:sz w:val="20"/>
                <w:szCs w:val="20"/>
              </w:rPr>
            </w:pPr>
          </w:p>
        </w:tc>
        <w:tc>
          <w:tcPr>
            <w:tcW w:w="50" w:type="pct"/>
            <w:vAlign w:val="center"/>
            <w:hideMark/>
          </w:tcPr>
          <w:p w14:paraId="44C8214A" w14:textId="77777777" w:rsidR="00000000" w:rsidRDefault="003C49E9">
            <w:pPr>
              <w:rPr>
                <w:rFonts w:eastAsia="Times New Roman"/>
                <w:sz w:val="20"/>
                <w:szCs w:val="20"/>
              </w:rPr>
            </w:pPr>
          </w:p>
        </w:tc>
        <w:tc>
          <w:tcPr>
            <w:tcW w:w="64" w:type="pct"/>
            <w:vAlign w:val="center"/>
            <w:hideMark/>
          </w:tcPr>
          <w:p w14:paraId="4CB1DC57" w14:textId="77777777" w:rsidR="00000000" w:rsidRDefault="003C49E9">
            <w:pPr>
              <w:rPr>
                <w:rFonts w:eastAsia="Times New Roman"/>
                <w:sz w:val="20"/>
                <w:szCs w:val="20"/>
              </w:rPr>
            </w:pPr>
          </w:p>
        </w:tc>
        <w:tc>
          <w:tcPr>
            <w:tcW w:w="50" w:type="pct"/>
            <w:vAlign w:val="center"/>
            <w:hideMark/>
          </w:tcPr>
          <w:p w14:paraId="5E5EC1E2" w14:textId="77777777" w:rsidR="00000000" w:rsidRDefault="003C49E9">
            <w:pPr>
              <w:rPr>
                <w:rFonts w:eastAsia="Times New Roman"/>
                <w:sz w:val="20"/>
                <w:szCs w:val="20"/>
              </w:rPr>
            </w:pPr>
          </w:p>
        </w:tc>
        <w:tc>
          <w:tcPr>
            <w:tcW w:w="388" w:type="pct"/>
            <w:vAlign w:val="center"/>
            <w:hideMark/>
          </w:tcPr>
          <w:p w14:paraId="7440D17E" w14:textId="77777777" w:rsidR="00000000" w:rsidRDefault="003C49E9">
            <w:pPr>
              <w:rPr>
                <w:rFonts w:eastAsia="Times New Roman"/>
                <w:sz w:val="20"/>
                <w:szCs w:val="20"/>
              </w:rPr>
            </w:pPr>
          </w:p>
        </w:tc>
        <w:tc>
          <w:tcPr>
            <w:tcW w:w="50" w:type="pct"/>
            <w:vAlign w:val="center"/>
            <w:hideMark/>
          </w:tcPr>
          <w:p w14:paraId="75B1B92B" w14:textId="77777777" w:rsidR="00000000" w:rsidRDefault="003C49E9">
            <w:pPr>
              <w:rPr>
                <w:rFonts w:eastAsia="Times New Roman"/>
                <w:sz w:val="20"/>
                <w:szCs w:val="20"/>
              </w:rPr>
            </w:pPr>
          </w:p>
        </w:tc>
      </w:tr>
      <w:tr w:rsidR="00000000" w14:paraId="67B4EB28" w14:textId="77777777">
        <w:trPr>
          <w:trHeight w:val="160"/>
          <w:tblCellSpacing w:w="15" w:type="dxa"/>
        </w:trPr>
        <w:tc>
          <w:tcPr>
            <w:tcW w:w="0" w:type="auto"/>
            <w:vAlign w:val="bottom"/>
            <w:hideMark/>
          </w:tcPr>
          <w:p w14:paraId="78BA430D"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CAB4B5A" w14:textId="77777777" w:rsidR="00000000" w:rsidRDefault="003C49E9">
            <w:pPr>
              <w:pStyle w:val="a3"/>
              <w:spacing w:before="0" w:beforeAutospacing="0" w:after="0" w:afterAutospacing="0"/>
              <w:jc w:val="center"/>
              <w:rPr>
                <w:sz w:val="16"/>
                <w:szCs w:val="16"/>
              </w:rPr>
            </w:pPr>
            <w:r>
              <w:rPr>
                <w:b/>
                <w:bCs/>
                <w:sz w:val="16"/>
                <w:szCs w:val="16"/>
              </w:rPr>
              <w:t>For the Three Months Ended June 30</w:t>
            </w:r>
            <w:r>
              <w:rPr>
                <w:b/>
                <w:bCs/>
                <w:sz w:val="16"/>
                <w:szCs w:val="16"/>
              </w:rPr>
              <w:t>,</w:t>
            </w:r>
          </w:p>
        </w:tc>
        <w:tc>
          <w:tcPr>
            <w:tcW w:w="0" w:type="auto"/>
            <w:vAlign w:val="bottom"/>
            <w:hideMark/>
          </w:tcPr>
          <w:p w14:paraId="7276787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5F82C9F"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CD49D03" w14:textId="77777777" w:rsidR="00000000" w:rsidRDefault="003C49E9">
            <w:pPr>
              <w:pStyle w:val="a3"/>
              <w:spacing w:before="0" w:beforeAutospacing="0" w:after="0" w:afterAutospacing="0"/>
              <w:jc w:val="center"/>
              <w:rPr>
                <w:sz w:val="16"/>
                <w:szCs w:val="16"/>
              </w:rPr>
            </w:pPr>
            <w:r>
              <w:rPr>
                <w:b/>
                <w:bCs/>
                <w:sz w:val="16"/>
                <w:szCs w:val="16"/>
              </w:rPr>
              <w:t>For the Six Months Ended June 30</w:t>
            </w:r>
            <w:r>
              <w:rPr>
                <w:b/>
                <w:bCs/>
                <w:sz w:val="16"/>
                <w:szCs w:val="16"/>
              </w:rPr>
              <w:t>,</w:t>
            </w:r>
          </w:p>
        </w:tc>
        <w:tc>
          <w:tcPr>
            <w:tcW w:w="0" w:type="auto"/>
            <w:vAlign w:val="bottom"/>
            <w:hideMark/>
          </w:tcPr>
          <w:p w14:paraId="6398605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56515AB" w14:textId="77777777">
        <w:trPr>
          <w:trHeight w:val="160"/>
          <w:tblCellSpacing w:w="15" w:type="dxa"/>
        </w:trPr>
        <w:tc>
          <w:tcPr>
            <w:tcW w:w="0" w:type="auto"/>
            <w:vAlign w:val="bottom"/>
            <w:hideMark/>
          </w:tcPr>
          <w:p w14:paraId="22AE398C"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0E26570"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85A284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5C89E5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C6F21F5"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E76903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588650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C979FF8"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FE0C74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D4AEFDA"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EE042FB"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C76674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ECF3D2A" w14:textId="77777777">
        <w:trPr>
          <w:trHeight w:val="200"/>
          <w:tblCellSpacing w:w="15" w:type="dxa"/>
        </w:trPr>
        <w:tc>
          <w:tcPr>
            <w:tcW w:w="0" w:type="auto"/>
            <w:vAlign w:val="bottom"/>
            <w:hideMark/>
          </w:tcPr>
          <w:p w14:paraId="61FCF2CC" w14:textId="77777777" w:rsidR="00000000" w:rsidRDefault="003C49E9">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14:paraId="3FFB665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A92A0A1" w14:textId="77777777" w:rsidR="00000000" w:rsidRDefault="003C49E9">
            <w:pPr>
              <w:pStyle w:val="a3"/>
              <w:spacing w:before="0" w:beforeAutospacing="0" w:after="0" w:afterAutospacing="0"/>
              <w:jc w:val="right"/>
              <w:rPr>
                <w:sz w:val="20"/>
                <w:szCs w:val="20"/>
              </w:rPr>
            </w:pPr>
            <w:r>
              <w:rPr>
                <w:sz w:val="20"/>
                <w:szCs w:val="20"/>
              </w:rPr>
              <w:t>(</w:t>
            </w:r>
            <w:r>
              <w:rPr>
                <w:sz w:val="20"/>
                <w:szCs w:val="20"/>
              </w:rPr>
              <w:t>56,36</w:t>
            </w:r>
            <w:r>
              <w:rPr>
                <w:sz w:val="20"/>
                <w:szCs w:val="20"/>
              </w:rPr>
              <w:t>1</w:t>
            </w:r>
          </w:p>
        </w:tc>
        <w:tc>
          <w:tcPr>
            <w:tcW w:w="0" w:type="auto"/>
            <w:noWrap/>
            <w:vAlign w:val="bottom"/>
            <w:hideMark/>
          </w:tcPr>
          <w:p w14:paraId="562905B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ECD5DC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7927CE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9CE37A1" w14:textId="77777777" w:rsidR="00000000" w:rsidRDefault="003C49E9">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noWrap/>
            <w:vAlign w:val="bottom"/>
            <w:hideMark/>
          </w:tcPr>
          <w:p w14:paraId="3738FE8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089F94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82D106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3DA2F2F" w14:textId="77777777" w:rsidR="00000000" w:rsidRDefault="003C49E9">
            <w:pPr>
              <w:pStyle w:val="a3"/>
              <w:spacing w:before="0" w:beforeAutospacing="0" w:after="0" w:afterAutospacing="0"/>
              <w:jc w:val="right"/>
              <w:rPr>
                <w:sz w:val="20"/>
                <w:szCs w:val="20"/>
              </w:rPr>
            </w:pPr>
            <w:r>
              <w:rPr>
                <w:sz w:val="20"/>
                <w:szCs w:val="20"/>
              </w:rPr>
              <w:t>(</w:t>
            </w:r>
            <w:r>
              <w:rPr>
                <w:sz w:val="20"/>
                <w:szCs w:val="20"/>
              </w:rPr>
              <w:t>65,70</w:t>
            </w:r>
            <w:r>
              <w:rPr>
                <w:sz w:val="20"/>
                <w:szCs w:val="20"/>
              </w:rPr>
              <w:t>2</w:t>
            </w:r>
          </w:p>
        </w:tc>
        <w:tc>
          <w:tcPr>
            <w:tcW w:w="0" w:type="auto"/>
            <w:noWrap/>
            <w:vAlign w:val="bottom"/>
            <w:hideMark/>
          </w:tcPr>
          <w:p w14:paraId="0450DEA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7AE94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F53907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3D94ED7" w14:textId="77777777" w:rsidR="00000000" w:rsidRDefault="003C49E9">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noWrap/>
            <w:vAlign w:val="bottom"/>
            <w:hideMark/>
          </w:tcPr>
          <w:p w14:paraId="62B25762" w14:textId="77777777" w:rsidR="00000000" w:rsidRDefault="003C49E9">
            <w:pPr>
              <w:pStyle w:val="a3"/>
              <w:spacing w:before="0" w:beforeAutospacing="0" w:after="0" w:afterAutospacing="0"/>
              <w:rPr>
                <w:sz w:val="20"/>
                <w:szCs w:val="20"/>
              </w:rPr>
            </w:pPr>
            <w:r>
              <w:rPr>
                <w:sz w:val="20"/>
                <w:szCs w:val="20"/>
              </w:rPr>
              <w:t>)</w:t>
            </w:r>
          </w:p>
        </w:tc>
      </w:tr>
      <w:tr w:rsidR="00000000" w14:paraId="3A39A207" w14:textId="77777777">
        <w:trPr>
          <w:trHeight w:val="200"/>
          <w:tblCellSpacing w:w="15" w:type="dxa"/>
        </w:trPr>
        <w:tc>
          <w:tcPr>
            <w:tcW w:w="0" w:type="auto"/>
            <w:vAlign w:val="bottom"/>
            <w:hideMark/>
          </w:tcPr>
          <w:p w14:paraId="1F6A6A0C" w14:textId="77777777" w:rsidR="00000000" w:rsidRDefault="003C49E9">
            <w:pPr>
              <w:pStyle w:val="a3"/>
              <w:spacing w:before="0" w:beforeAutospacing="0" w:after="0" w:afterAutospacing="0"/>
              <w:rPr>
                <w:sz w:val="20"/>
                <w:szCs w:val="20"/>
              </w:rPr>
            </w:pPr>
            <w:r>
              <w:rPr>
                <w:sz w:val="20"/>
                <w:szCs w:val="20"/>
              </w:rPr>
              <w:t>Other comprehensive loss</w:t>
            </w:r>
            <w:r>
              <w:rPr>
                <w:sz w:val="20"/>
                <w:szCs w:val="20"/>
              </w:rPr>
              <w:t>:</w:t>
            </w:r>
          </w:p>
        </w:tc>
        <w:tc>
          <w:tcPr>
            <w:tcW w:w="0" w:type="auto"/>
            <w:gridSpan w:val="2"/>
            <w:vAlign w:val="bottom"/>
            <w:hideMark/>
          </w:tcPr>
          <w:p w14:paraId="5073168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A339CB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91025B8"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5B83ECB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F1E1A4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0E1F24C"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1940E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EDC8C8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E08EFD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7E6C7A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B87223E" w14:textId="77777777" w:rsidR="00000000" w:rsidRDefault="003C49E9">
            <w:pPr>
              <w:pStyle w:val="a3"/>
              <w:spacing w:before="0" w:beforeAutospacing="0" w:after="0" w:afterAutospacing="0"/>
              <w:jc w:val="right"/>
              <w:rPr>
                <w:sz w:val="20"/>
                <w:szCs w:val="20"/>
              </w:rPr>
            </w:pPr>
            <w:r>
              <w:rPr>
                <w:sz w:val="20"/>
                <w:szCs w:val="20"/>
              </w:rPr>
              <w:t> </w:t>
            </w:r>
          </w:p>
        </w:tc>
      </w:tr>
      <w:tr w:rsidR="00000000" w14:paraId="5C2310C1" w14:textId="77777777">
        <w:trPr>
          <w:trHeight w:val="200"/>
          <w:tblCellSpacing w:w="15" w:type="dxa"/>
        </w:trPr>
        <w:tc>
          <w:tcPr>
            <w:tcW w:w="0" w:type="auto"/>
            <w:vAlign w:val="bottom"/>
            <w:hideMark/>
          </w:tcPr>
          <w:p w14:paraId="5009C9F9" w14:textId="77777777" w:rsidR="00000000" w:rsidRDefault="003C49E9">
            <w:pPr>
              <w:pStyle w:val="a3"/>
              <w:spacing w:before="0" w:beforeAutospacing="0" w:after="0" w:afterAutospacing="0"/>
              <w:ind w:left="200"/>
              <w:rPr>
                <w:sz w:val="20"/>
                <w:szCs w:val="20"/>
              </w:rPr>
            </w:pPr>
            <w:r>
              <w:rPr>
                <w:sz w:val="20"/>
                <w:szCs w:val="20"/>
              </w:rPr>
              <w:t>Foreign currency translation adjustmen</w:t>
            </w:r>
            <w:r>
              <w:rPr>
                <w:sz w:val="20"/>
                <w:szCs w:val="20"/>
              </w:rPr>
              <w:t>t</w:t>
            </w:r>
          </w:p>
        </w:tc>
        <w:tc>
          <w:tcPr>
            <w:tcW w:w="0" w:type="auto"/>
            <w:noWrap/>
            <w:vAlign w:val="bottom"/>
            <w:hideMark/>
          </w:tcPr>
          <w:p w14:paraId="229630B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6D7E5D2" w14:textId="77777777" w:rsidR="00000000" w:rsidRDefault="003C49E9">
            <w:pPr>
              <w:pStyle w:val="a3"/>
              <w:spacing w:before="0" w:beforeAutospacing="0" w:after="0" w:afterAutospacing="0"/>
              <w:jc w:val="right"/>
              <w:rPr>
                <w:sz w:val="20"/>
                <w:szCs w:val="20"/>
              </w:rPr>
            </w:pPr>
            <w:r>
              <w:rPr>
                <w:sz w:val="20"/>
                <w:szCs w:val="20"/>
              </w:rPr>
              <w:t>(</w:t>
            </w:r>
            <w:r>
              <w:rPr>
                <w:sz w:val="20"/>
                <w:szCs w:val="20"/>
              </w:rPr>
              <w:t>2,66</w:t>
            </w:r>
            <w:r>
              <w:rPr>
                <w:sz w:val="20"/>
                <w:szCs w:val="20"/>
              </w:rPr>
              <w:t>9</w:t>
            </w:r>
          </w:p>
        </w:tc>
        <w:tc>
          <w:tcPr>
            <w:tcW w:w="0" w:type="auto"/>
            <w:noWrap/>
            <w:vAlign w:val="bottom"/>
            <w:hideMark/>
          </w:tcPr>
          <w:p w14:paraId="5398A77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25D7BF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687BC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608595" w14:textId="77777777" w:rsidR="00000000" w:rsidRDefault="003C49E9">
            <w:pPr>
              <w:pStyle w:val="a3"/>
              <w:spacing w:before="0" w:beforeAutospacing="0" w:after="0" w:afterAutospacing="0"/>
              <w:jc w:val="right"/>
              <w:rPr>
                <w:sz w:val="20"/>
                <w:szCs w:val="20"/>
              </w:rPr>
            </w:pPr>
            <w:r>
              <w:rPr>
                <w:sz w:val="20"/>
                <w:szCs w:val="20"/>
              </w:rPr>
              <w:t>53</w:t>
            </w:r>
            <w:r>
              <w:rPr>
                <w:sz w:val="20"/>
                <w:szCs w:val="20"/>
              </w:rPr>
              <w:t>4</w:t>
            </w:r>
          </w:p>
        </w:tc>
        <w:tc>
          <w:tcPr>
            <w:tcW w:w="0" w:type="auto"/>
            <w:noWrap/>
            <w:vAlign w:val="bottom"/>
            <w:hideMark/>
          </w:tcPr>
          <w:p w14:paraId="57F1A9A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07381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900FB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AF73E9" w14:textId="77777777" w:rsidR="00000000" w:rsidRDefault="003C49E9">
            <w:pPr>
              <w:pStyle w:val="a3"/>
              <w:spacing w:before="0" w:beforeAutospacing="0" w:after="0" w:afterAutospacing="0"/>
              <w:jc w:val="right"/>
              <w:rPr>
                <w:sz w:val="20"/>
                <w:szCs w:val="20"/>
              </w:rPr>
            </w:pPr>
            <w:r>
              <w:rPr>
                <w:sz w:val="20"/>
                <w:szCs w:val="20"/>
              </w:rPr>
              <w:t>(</w:t>
            </w:r>
            <w:r>
              <w:rPr>
                <w:sz w:val="20"/>
                <w:szCs w:val="20"/>
              </w:rPr>
              <w:t>3,02</w:t>
            </w:r>
            <w:r>
              <w:rPr>
                <w:sz w:val="20"/>
                <w:szCs w:val="20"/>
              </w:rPr>
              <w:t>5</w:t>
            </w:r>
          </w:p>
        </w:tc>
        <w:tc>
          <w:tcPr>
            <w:tcW w:w="0" w:type="auto"/>
            <w:noWrap/>
            <w:vAlign w:val="bottom"/>
            <w:hideMark/>
          </w:tcPr>
          <w:p w14:paraId="76FE97B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00E70A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0409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ECC5F1" w14:textId="77777777" w:rsidR="00000000" w:rsidRDefault="003C49E9">
            <w:pPr>
              <w:pStyle w:val="a3"/>
              <w:spacing w:before="0" w:beforeAutospacing="0" w:after="0" w:afterAutospacing="0"/>
              <w:jc w:val="right"/>
              <w:rPr>
                <w:sz w:val="20"/>
                <w:szCs w:val="20"/>
              </w:rPr>
            </w:pPr>
            <w:r>
              <w:rPr>
                <w:sz w:val="20"/>
                <w:szCs w:val="20"/>
              </w:rPr>
              <w:t>(</w:t>
            </w:r>
            <w:r>
              <w:rPr>
                <w:sz w:val="20"/>
                <w:szCs w:val="20"/>
              </w:rPr>
              <w:t>1,95</w:t>
            </w:r>
            <w:r>
              <w:rPr>
                <w:sz w:val="20"/>
                <w:szCs w:val="20"/>
              </w:rPr>
              <w:t>5</w:t>
            </w:r>
          </w:p>
        </w:tc>
        <w:tc>
          <w:tcPr>
            <w:tcW w:w="0" w:type="auto"/>
            <w:noWrap/>
            <w:vAlign w:val="bottom"/>
            <w:hideMark/>
          </w:tcPr>
          <w:p w14:paraId="24729DF9" w14:textId="77777777" w:rsidR="00000000" w:rsidRDefault="003C49E9">
            <w:pPr>
              <w:pStyle w:val="a3"/>
              <w:spacing w:before="0" w:beforeAutospacing="0" w:after="0" w:afterAutospacing="0"/>
              <w:rPr>
                <w:sz w:val="20"/>
                <w:szCs w:val="20"/>
              </w:rPr>
            </w:pPr>
            <w:r>
              <w:rPr>
                <w:sz w:val="20"/>
                <w:szCs w:val="20"/>
              </w:rPr>
              <w:t>)</w:t>
            </w:r>
          </w:p>
        </w:tc>
      </w:tr>
      <w:tr w:rsidR="00000000" w14:paraId="1515AFF8" w14:textId="77777777">
        <w:trPr>
          <w:trHeight w:val="200"/>
          <w:tblCellSpacing w:w="15" w:type="dxa"/>
        </w:trPr>
        <w:tc>
          <w:tcPr>
            <w:tcW w:w="0" w:type="auto"/>
            <w:hideMark/>
          </w:tcPr>
          <w:p w14:paraId="484697E6" w14:textId="77777777" w:rsidR="00000000" w:rsidRDefault="003C49E9">
            <w:pPr>
              <w:pStyle w:val="a3"/>
              <w:spacing w:before="0" w:beforeAutospacing="0" w:after="0" w:afterAutospacing="0"/>
              <w:ind w:left="200"/>
              <w:rPr>
                <w:sz w:val="20"/>
                <w:szCs w:val="20"/>
              </w:rPr>
            </w:pPr>
            <w:r>
              <w:rPr>
                <w:sz w:val="20"/>
                <w:szCs w:val="20"/>
              </w:rPr>
              <w:t xml:space="preserve">Changes in unrealized loss on investments, net of income taxes </w:t>
            </w:r>
            <w:r>
              <w:rPr>
                <w:sz w:val="20"/>
                <w:szCs w:val="20"/>
              </w:rPr>
              <w:br/>
              <w:t xml:space="preserve">  of </w:t>
            </w:r>
            <w:r>
              <w:rPr>
                <w:sz w:val="20"/>
                <w:szCs w:val="20"/>
              </w:rPr>
              <w:t>$</w:t>
            </w:r>
            <w:r>
              <w:rPr>
                <w:sz w:val="20"/>
                <w:szCs w:val="20"/>
              </w:rPr>
              <w:t>0</w:t>
            </w:r>
            <w:r>
              <w:rPr>
                <w:sz w:val="20"/>
                <w:szCs w:val="20"/>
              </w:rPr>
              <w:t> for the three and six months ended June 30, 2022, (</w:t>
            </w:r>
            <w:r>
              <w:rPr>
                <w:sz w:val="20"/>
                <w:szCs w:val="20"/>
              </w:rPr>
              <w:t>$</w:t>
            </w:r>
            <w:r>
              <w:rPr>
                <w:sz w:val="20"/>
                <w:szCs w:val="20"/>
              </w:rPr>
              <w:t>7</w:t>
            </w:r>
            <w:r>
              <w:rPr>
                <w:sz w:val="20"/>
                <w:szCs w:val="20"/>
              </w:rPr>
              <w:t>) and (</w:t>
            </w:r>
            <w:r>
              <w:rPr>
                <w:sz w:val="20"/>
                <w:szCs w:val="20"/>
              </w:rPr>
              <w:t>$</w:t>
            </w:r>
            <w:r>
              <w:rPr>
                <w:sz w:val="20"/>
                <w:szCs w:val="20"/>
              </w:rPr>
              <w:t>4</w:t>
            </w:r>
            <w:r>
              <w:rPr>
                <w:sz w:val="20"/>
                <w:szCs w:val="20"/>
              </w:rPr>
              <w:t>3</w:t>
            </w:r>
            <w:r>
              <w:rPr>
                <w:sz w:val="20"/>
                <w:szCs w:val="20"/>
              </w:rPr>
              <w:t xml:space="preserve">) </w:t>
            </w:r>
            <w:r>
              <w:rPr>
                <w:sz w:val="20"/>
                <w:szCs w:val="20"/>
              </w:rPr>
              <w:br/>
              <w:t>  for the three and six months ended June 30, 202</w:t>
            </w:r>
            <w:r>
              <w:rPr>
                <w:sz w:val="20"/>
                <w:szCs w:val="20"/>
              </w:rPr>
              <w:t>1</w:t>
            </w:r>
          </w:p>
        </w:tc>
        <w:tc>
          <w:tcPr>
            <w:tcW w:w="0" w:type="auto"/>
            <w:noWrap/>
            <w:vAlign w:val="bottom"/>
            <w:hideMark/>
          </w:tcPr>
          <w:p w14:paraId="573E3FF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282E9D" w14:textId="77777777" w:rsidR="00000000" w:rsidRDefault="003C49E9">
            <w:pPr>
              <w:pStyle w:val="a3"/>
              <w:spacing w:before="0" w:beforeAutospacing="0" w:after="0" w:afterAutospacing="0"/>
              <w:jc w:val="right"/>
              <w:rPr>
                <w:sz w:val="20"/>
                <w:szCs w:val="20"/>
              </w:rPr>
            </w:pPr>
            <w:r>
              <w:rPr>
                <w:sz w:val="20"/>
                <w:szCs w:val="20"/>
              </w:rPr>
              <w:t>(</w:t>
            </w:r>
            <w:r>
              <w:rPr>
                <w:sz w:val="20"/>
                <w:szCs w:val="20"/>
              </w:rPr>
              <w:t>2,65</w:t>
            </w:r>
            <w:r>
              <w:rPr>
                <w:sz w:val="20"/>
                <w:szCs w:val="20"/>
              </w:rPr>
              <w:t>2</w:t>
            </w:r>
          </w:p>
        </w:tc>
        <w:tc>
          <w:tcPr>
            <w:tcW w:w="0" w:type="auto"/>
            <w:noWrap/>
            <w:vAlign w:val="bottom"/>
            <w:hideMark/>
          </w:tcPr>
          <w:p w14:paraId="4290EEA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D1FC67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70EC37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C6D7116" w14:textId="77777777" w:rsidR="00000000" w:rsidRDefault="003C49E9">
            <w:pPr>
              <w:pStyle w:val="a3"/>
              <w:spacing w:before="0" w:beforeAutospacing="0" w:after="0" w:afterAutospacing="0"/>
              <w:jc w:val="right"/>
              <w:rPr>
                <w:sz w:val="20"/>
                <w:szCs w:val="20"/>
              </w:rPr>
            </w:pPr>
            <w:r>
              <w:rPr>
                <w:sz w:val="20"/>
                <w:szCs w:val="20"/>
              </w:rPr>
              <w:t>(</w:t>
            </w:r>
            <w:r>
              <w:rPr>
                <w:sz w:val="20"/>
                <w:szCs w:val="20"/>
              </w:rPr>
              <w:t>18</w:t>
            </w:r>
            <w:r>
              <w:rPr>
                <w:sz w:val="20"/>
                <w:szCs w:val="20"/>
              </w:rPr>
              <w:t>0</w:t>
            </w:r>
          </w:p>
        </w:tc>
        <w:tc>
          <w:tcPr>
            <w:tcW w:w="0" w:type="auto"/>
            <w:noWrap/>
            <w:vAlign w:val="bottom"/>
            <w:hideMark/>
          </w:tcPr>
          <w:p w14:paraId="3D98566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83849C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272F0E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9145DB" w14:textId="77777777" w:rsidR="00000000" w:rsidRDefault="003C49E9">
            <w:pPr>
              <w:pStyle w:val="a3"/>
              <w:spacing w:before="0" w:beforeAutospacing="0" w:after="0" w:afterAutospacing="0"/>
              <w:jc w:val="right"/>
              <w:rPr>
                <w:sz w:val="20"/>
                <w:szCs w:val="20"/>
              </w:rPr>
            </w:pPr>
            <w:r>
              <w:rPr>
                <w:sz w:val="20"/>
                <w:szCs w:val="20"/>
              </w:rPr>
              <w:t>(</w:t>
            </w:r>
            <w:r>
              <w:rPr>
                <w:sz w:val="20"/>
                <w:szCs w:val="20"/>
              </w:rPr>
              <w:t>6,65</w:t>
            </w:r>
            <w:r>
              <w:rPr>
                <w:sz w:val="20"/>
                <w:szCs w:val="20"/>
              </w:rPr>
              <w:t>3</w:t>
            </w:r>
          </w:p>
        </w:tc>
        <w:tc>
          <w:tcPr>
            <w:tcW w:w="0" w:type="auto"/>
            <w:noWrap/>
            <w:vAlign w:val="bottom"/>
            <w:hideMark/>
          </w:tcPr>
          <w:p w14:paraId="3631BE4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5D437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DF31E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DB6EAA" w14:textId="77777777" w:rsidR="00000000" w:rsidRDefault="003C49E9">
            <w:pPr>
              <w:pStyle w:val="a3"/>
              <w:spacing w:before="0" w:beforeAutospacing="0" w:after="0" w:afterAutospacing="0"/>
              <w:jc w:val="right"/>
              <w:rPr>
                <w:sz w:val="20"/>
                <w:szCs w:val="20"/>
              </w:rPr>
            </w:pPr>
            <w:r>
              <w:rPr>
                <w:sz w:val="20"/>
                <w:szCs w:val="20"/>
              </w:rPr>
              <w:t>(</w:t>
            </w:r>
            <w:r>
              <w:rPr>
                <w:sz w:val="20"/>
                <w:szCs w:val="20"/>
              </w:rPr>
              <w:t>42</w:t>
            </w:r>
            <w:r>
              <w:rPr>
                <w:sz w:val="20"/>
                <w:szCs w:val="20"/>
              </w:rPr>
              <w:t>0</w:t>
            </w:r>
          </w:p>
        </w:tc>
        <w:tc>
          <w:tcPr>
            <w:tcW w:w="0" w:type="auto"/>
            <w:noWrap/>
            <w:vAlign w:val="bottom"/>
            <w:hideMark/>
          </w:tcPr>
          <w:p w14:paraId="57313045" w14:textId="77777777" w:rsidR="00000000" w:rsidRDefault="003C49E9">
            <w:pPr>
              <w:pStyle w:val="a3"/>
              <w:spacing w:before="0" w:beforeAutospacing="0" w:after="0" w:afterAutospacing="0"/>
              <w:rPr>
                <w:sz w:val="20"/>
                <w:szCs w:val="20"/>
              </w:rPr>
            </w:pPr>
            <w:r>
              <w:rPr>
                <w:sz w:val="20"/>
                <w:szCs w:val="20"/>
              </w:rPr>
              <w:t>)</w:t>
            </w:r>
          </w:p>
        </w:tc>
      </w:tr>
      <w:tr w:rsidR="00000000" w14:paraId="2184B768" w14:textId="77777777">
        <w:trPr>
          <w:trHeight w:val="200"/>
          <w:tblCellSpacing w:w="15" w:type="dxa"/>
        </w:trPr>
        <w:tc>
          <w:tcPr>
            <w:tcW w:w="0" w:type="auto"/>
            <w:vAlign w:val="bottom"/>
            <w:hideMark/>
          </w:tcPr>
          <w:p w14:paraId="7C0C7BF5" w14:textId="77777777" w:rsidR="00000000" w:rsidRDefault="003C49E9">
            <w:pPr>
              <w:pStyle w:val="a3"/>
              <w:spacing w:before="0" w:beforeAutospacing="0" w:after="0" w:afterAutospacing="0"/>
              <w:rPr>
                <w:sz w:val="20"/>
                <w:szCs w:val="20"/>
              </w:rPr>
            </w:pPr>
            <w:r>
              <w:rPr>
                <w:sz w:val="20"/>
                <w:szCs w:val="20"/>
              </w:rPr>
              <w:t>Comprehensive los</w:t>
            </w:r>
            <w:r>
              <w:rPr>
                <w:sz w:val="20"/>
                <w:szCs w:val="20"/>
              </w:rPr>
              <w:t>s</w:t>
            </w:r>
          </w:p>
        </w:tc>
        <w:tc>
          <w:tcPr>
            <w:tcW w:w="0" w:type="auto"/>
            <w:noWrap/>
            <w:vAlign w:val="bottom"/>
            <w:hideMark/>
          </w:tcPr>
          <w:p w14:paraId="05FC4F0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B71990A" w14:textId="77777777" w:rsidR="00000000" w:rsidRDefault="003C49E9">
            <w:pPr>
              <w:pStyle w:val="a3"/>
              <w:spacing w:before="0" w:beforeAutospacing="0" w:after="0" w:afterAutospacing="0"/>
              <w:jc w:val="right"/>
              <w:rPr>
                <w:sz w:val="20"/>
                <w:szCs w:val="20"/>
              </w:rPr>
            </w:pPr>
            <w:r>
              <w:rPr>
                <w:sz w:val="20"/>
                <w:szCs w:val="20"/>
              </w:rPr>
              <w:t>(</w:t>
            </w:r>
            <w:r>
              <w:rPr>
                <w:sz w:val="20"/>
                <w:szCs w:val="20"/>
              </w:rPr>
              <w:t>61,68</w:t>
            </w:r>
            <w:r>
              <w:rPr>
                <w:sz w:val="20"/>
                <w:szCs w:val="20"/>
              </w:rPr>
              <w:t>2</w:t>
            </w:r>
          </w:p>
        </w:tc>
        <w:tc>
          <w:tcPr>
            <w:tcW w:w="0" w:type="auto"/>
            <w:noWrap/>
            <w:vAlign w:val="bottom"/>
            <w:hideMark/>
          </w:tcPr>
          <w:p w14:paraId="1008DD0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F13A7C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017BE5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9EE6CB8" w14:textId="77777777" w:rsidR="00000000" w:rsidRDefault="003C49E9">
            <w:pPr>
              <w:pStyle w:val="a3"/>
              <w:spacing w:before="0" w:beforeAutospacing="0" w:after="0" w:afterAutospacing="0"/>
              <w:jc w:val="right"/>
              <w:rPr>
                <w:sz w:val="20"/>
                <w:szCs w:val="20"/>
              </w:rPr>
            </w:pPr>
            <w:r>
              <w:rPr>
                <w:sz w:val="20"/>
                <w:szCs w:val="20"/>
              </w:rPr>
              <w:t>(</w:t>
            </w:r>
            <w:r>
              <w:rPr>
                <w:sz w:val="20"/>
                <w:szCs w:val="20"/>
              </w:rPr>
              <w:t>24,21</w:t>
            </w:r>
            <w:r>
              <w:rPr>
                <w:sz w:val="20"/>
                <w:szCs w:val="20"/>
              </w:rPr>
              <w:t>8</w:t>
            </w:r>
          </w:p>
        </w:tc>
        <w:tc>
          <w:tcPr>
            <w:tcW w:w="0" w:type="auto"/>
            <w:noWrap/>
            <w:vAlign w:val="bottom"/>
            <w:hideMark/>
          </w:tcPr>
          <w:p w14:paraId="2ACDA99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EEF91B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7B527F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BCB0174" w14:textId="77777777" w:rsidR="00000000" w:rsidRDefault="003C49E9">
            <w:pPr>
              <w:pStyle w:val="a3"/>
              <w:spacing w:before="0" w:beforeAutospacing="0" w:after="0" w:afterAutospacing="0"/>
              <w:jc w:val="right"/>
              <w:rPr>
                <w:sz w:val="20"/>
                <w:szCs w:val="20"/>
              </w:rPr>
            </w:pPr>
            <w:r>
              <w:rPr>
                <w:sz w:val="20"/>
                <w:szCs w:val="20"/>
              </w:rPr>
              <w:t>(</w:t>
            </w:r>
            <w:r>
              <w:rPr>
                <w:sz w:val="20"/>
                <w:szCs w:val="20"/>
              </w:rPr>
              <w:t>75,38</w:t>
            </w:r>
            <w:r>
              <w:rPr>
                <w:sz w:val="20"/>
                <w:szCs w:val="20"/>
              </w:rPr>
              <w:t>0</w:t>
            </w:r>
          </w:p>
        </w:tc>
        <w:tc>
          <w:tcPr>
            <w:tcW w:w="0" w:type="auto"/>
            <w:noWrap/>
            <w:vAlign w:val="bottom"/>
            <w:hideMark/>
          </w:tcPr>
          <w:p w14:paraId="760386F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05EC5E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EDAB35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71EDF95" w14:textId="77777777" w:rsidR="00000000" w:rsidRDefault="003C49E9">
            <w:pPr>
              <w:pStyle w:val="a3"/>
              <w:spacing w:before="0" w:beforeAutospacing="0" w:after="0" w:afterAutospacing="0"/>
              <w:jc w:val="right"/>
              <w:rPr>
                <w:sz w:val="20"/>
                <w:szCs w:val="20"/>
              </w:rPr>
            </w:pPr>
            <w:r>
              <w:rPr>
                <w:sz w:val="20"/>
                <w:szCs w:val="20"/>
              </w:rPr>
              <w:t>(</w:t>
            </w:r>
            <w:r>
              <w:rPr>
                <w:sz w:val="20"/>
                <w:szCs w:val="20"/>
              </w:rPr>
              <w:t>50,10</w:t>
            </w:r>
            <w:r>
              <w:rPr>
                <w:sz w:val="20"/>
                <w:szCs w:val="20"/>
              </w:rPr>
              <w:t>6</w:t>
            </w:r>
          </w:p>
        </w:tc>
        <w:tc>
          <w:tcPr>
            <w:tcW w:w="0" w:type="auto"/>
            <w:noWrap/>
            <w:vAlign w:val="bottom"/>
            <w:hideMark/>
          </w:tcPr>
          <w:p w14:paraId="36742A3A" w14:textId="77777777" w:rsidR="00000000" w:rsidRDefault="003C49E9">
            <w:pPr>
              <w:pStyle w:val="a3"/>
              <w:spacing w:before="0" w:beforeAutospacing="0" w:after="0" w:afterAutospacing="0"/>
              <w:rPr>
                <w:sz w:val="20"/>
                <w:szCs w:val="20"/>
              </w:rPr>
            </w:pPr>
            <w:r>
              <w:rPr>
                <w:sz w:val="20"/>
                <w:szCs w:val="20"/>
              </w:rPr>
              <w:t>)</w:t>
            </w:r>
          </w:p>
        </w:tc>
      </w:tr>
    </w:tbl>
    <w:p w14:paraId="7B7CDD6E" w14:textId="77777777" w:rsidR="00000000" w:rsidRDefault="003C49E9">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14:paraId="0047BE33" w14:textId="77777777" w:rsidR="00000000" w:rsidRDefault="003C49E9">
      <w:pPr>
        <w:pStyle w:val="a3"/>
        <w:spacing w:before="40" w:beforeAutospacing="0" w:after="0" w:afterAutospacing="0"/>
        <w:rPr>
          <w:sz w:val="20"/>
          <w:szCs w:val="20"/>
        </w:rPr>
      </w:pPr>
      <w:r>
        <w:rPr>
          <w:sz w:val="20"/>
          <w:szCs w:val="20"/>
        </w:rPr>
        <w:t> </w:t>
      </w:r>
    </w:p>
    <w:p w14:paraId="5B585A1B" w14:textId="77777777" w:rsidR="00000000" w:rsidRDefault="003C49E9">
      <w:pPr>
        <w:pStyle w:val="a3"/>
        <w:spacing w:before="240" w:beforeAutospacing="0" w:after="0" w:afterAutospacing="0"/>
        <w:jc w:val="center"/>
        <w:rPr>
          <w:sz w:val="20"/>
          <w:szCs w:val="20"/>
        </w:rPr>
      </w:pPr>
      <w:r>
        <w:rPr>
          <w:sz w:val="20"/>
          <w:szCs w:val="20"/>
        </w:rPr>
        <w:t>7</w:t>
      </w:r>
    </w:p>
    <w:p w14:paraId="6785A4C2" w14:textId="77777777" w:rsidR="00000000" w:rsidRDefault="003C49E9">
      <w:pPr>
        <w:rPr>
          <w:rFonts w:eastAsia="Times New Roman"/>
        </w:rPr>
      </w:pPr>
      <w:r>
        <w:rPr>
          <w:rFonts w:eastAsia="Times New Roman"/>
        </w:rPr>
        <w:pict w14:anchorId="2255FC80">
          <v:rect id="_x0000_i1031" style="width:0;height:1.5pt" o:hralign="center" o:hrstd="t" o:hr="t" fillcolor="#a0a0a0" stroked="f"/>
        </w:pict>
      </w:r>
    </w:p>
    <w:p w14:paraId="0D0EA4BC" w14:textId="77777777" w:rsidR="00000000" w:rsidRDefault="003C49E9">
      <w:pPr>
        <w:pStyle w:val="a3"/>
        <w:spacing w:before="0" w:beforeAutospacing="0" w:after="0" w:afterAutospacing="0"/>
        <w:rPr>
          <w:sz w:val="20"/>
          <w:szCs w:val="20"/>
        </w:rPr>
      </w:pPr>
      <w:r>
        <w:rPr>
          <w:sz w:val="20"/>
          <w:szCs w:val="20"/>
        </w:rPr>
        <w:t> </w:t>
      </w:r>
    </w:p>
    <w:p w14:paraId="05D27640"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760F2055" w14:textId="77777777" w:rsidR="00000000" w:rsidRDefault="003C49E9">
      <w:pPr>
        <w:pStyle w:val="a3"/>
        <w:spacing w:before="0" w:beforeAutospacing="0" w:after="0" w:afterAutospacing="0"/>
        <w:jc w:val="center"/>
        <w:rPr>
          <w:sz w:val="20"/>
          <w:szCs w:val="20"/>
        </w:rPr>
      </w:pPr>
      <w:r>
        <w:rPr>
          <w:b/>
          <w:bCs/>
          <w:sz w:val="20"/>
          <w:szCs w:val="20"/>
        </w:rPr>
        <w:t>Unaudited Consolidated Statements of Stockholders' Equit</w:t>
      </w:r>
      <w:r>
        <w:rPr>
          <w:b/>
          <w:bCs/>
          <w:sz w:val="20"/>
          <w:szCs w:val="20"/>
        </w:rPr>
        <w:t>y</w:t>
      </w:r>
    </w:p>
    <w:p w14:paraId="3D5847BA" w14:textId="77777777" w:rsidR="00000000" w:rsidRDefault="003C49E9">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14:paraId="7EC4854E" w14:textId="77777777" w:rsidR="00000000" w:rsidRDefault="003C49E9">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08"/>
        <w:gridCol w:w="108"/>
        <w:gridCol w:w="155"/>
        <w:gridCol w:w="250"/>
        <w:gridCol w:w="108"/>
        <w:gridCol w:w="108"/>
        <w:gridCol w:w="109"/>
        <w:gridCol w:w="365"/>
        <w:gridCol w:w="108"/>
        <w:gridCol w:w="108"/>
        <w:gridCol w:w="155"/>
        <w:gridCol w:w="250"/>
        <w:gridCol w:w="108"/>
        <w:gridCol w:w="108"/>
        <w:gridCol w:w="155"/>
        <w:gridCol w:w="820"/>
        <w:gridCol w:w="124"/>
        <w:gridCol w:w="108"/>
        <w:gridCol w:w="156"/>
        <w:gridCol w:w="871"/>
        <w:gridCol w:w="124"/>
        <w:gridCol w:w="108"/>
        <w:gridCol w:w="155"/>
        <w:gridCol w:w="741"/>
        <w:gridCol w:w="124"/>
        <w:gridCol w:w="108"/>
        <w:gridCol w:w="155"/>
        <w:gridCol w:w="678"/>
        <w:gridCol w:w="139"/>
      </w:tblGrid>
      <w:tr w:rsidR="00000000" w14:paraId="47388FF0" w14:textId="77777777">
        <w:trPr>
          <w:tblCellSpacing w:w="15" w:type="dxa"/>
        </w:trPr>
        <w:tc>
          <w:tcPr>
            <w:tcW w:w="1423" w:type="pct"/>
            <w:vAlign w:val="center"/>
            <w:hideMark/>
          </w:tcPr>
          <w:p w14:paraId="543B0043" w14:textId="77777777" w:rsidR="00000000" w:rsidRDefault="003C49E9">
            <w:pPr>
              <w:rPr>
                <w:sz w:val="20"/>
                <w:szCs w:val="20"/>
              </w:rPr>
            </w:pPr>
          </w:p>
        </w:tc>
        <w:tc>
          <w:tcPr>
            <w:tcW w:w="50" w:type="pct"/>
            <w:vAlign w:val="center"/>
            <w:hideMark/>
          </w:tcPr>
          <w:p w14:paraId="7685FF26" w14:textId="77777777" w:rsidR="00000000" w:rsidRDefault="003C49E9">
            <w:pPr>
              <w:rPr>
                <w:rFonts w:eastAsia="Times New Roman"/>
                <w:sz w:val="20"/>
                <w:szCs w:val="20"/>
              </w:rPr>
            </w:pPr>
          </w:p>
        </w:tc>
        <w:tc>
          <w:tcPr>
            <w:tcW w:w="330" w:type="pct"/>
            <w:vAlign w:val="center"/>
            <w:hideMark/>
          </w:tcPr>
          <w:p w14:paraId="0D9A5BD4" w14:textId="77777777" w:rsidR="00000000" w:rsidRDefault="003C49E9">
            <w:pPr>
              <w:rPr>
                <w:rFonts w:eastAsia="Times New Roman"/>
                <w:sz w:val="20"/>
                <w:szCs w:val="20"/>
              </w:rPr>
            </w:pPr>
          </w:p>
        </w:tc>
        <w:tc>
          <w:tcPr>
            <w:tcW w:w="50" w:type="pct"/>
            <w:vAlign w:val="center"/>
            <w:hideMark/>
          </w:tcPr>
          <w:p w14:paraId="75C193C7" w14:textId="77777777" w:rsidR="00000000" w:rsidRDefault="003C49E9">
            <w:pPr>
              <w:rPr>
                <w:rFonts w:eastAsia="Times New Roman"/>
                <w:sz w:val="20"/>
                <w:szCs w:val="20"/>
              </w:rPr>
            </w:pPr>
          </w:p>
        </w:tc>
        <w:tc>
          <w:tcPr>
            <w:tcW w:w="47" w:type="pct"/>
            <w:vAlign w:val="center"/>
            <w:hideMark/>
          </w:tcPr>
          <w:p w14:paraId="1E4F293D" w14:textId="77777777" w:rsidR="00000000" w:rsidRDefault="003C49E9">
            <w:pPr>
              <w:rPr>
                <w:rFonts w:eastAsia="Times New Roman"/>
                <w:sz w:val="20"/>
                <w:szCs w:val="20"/>
              </w:rPr>
            </w:pPr>
          </w:p>
        </w:tc>
        <w:tc>
          <w:tcPr>
            <w:tcW w:w="50" w:type="pct"/>
            <w:vAlign w:val="center"/>
            <w:hideMark/>
          </w:tcPr>
          <w:p w14:paraId="5DEDCB05" w14:textId="77777777" w:rsidR="00000000" w:rsidRDefault="003C49E9">
            <w:pPr>
              <w:rPr>
                <w:rFonts w:eastAsia="Times New Roman"/>
                <w:sz w:val="20"/>
                <w:szCs w:val="20"/>
              </w:rPr>
            </w:pPr>
          </w:p>
        </w:tc>
        <w:tc>
          <w:tcPr>
            <w:tcW w:w="139" w:type="pct"/>
            <w:vAlign w:val="center"/>
            <w:hideMark/>
          </w:tcPr>
          <w:p w14:paraId="0692720F" w14:textId="77777777" w:rsidR="00000000" w:rsidRDefault="003C49E9">
            <w:pPr>
              <w:rPr>
                <w:rFonts w:eastAsia="Times New Roman"/>
                <w:sz w:val="20"/>
                <w:szCs w:val="20"/>
              </w:rPr>
            </w:pPr>
          </w:p>
        </w:tc>
        <w:tc>
          <w:tcPr>
            <w:tcW w:w="50" w:type="pct"/>
            <w:vAlign w:val="center"/>
            <w:hideMark/>
          </w:tcPr>
          <w:p w14:paraId="3B2E6ADD" w14:textId="77777777" w:rsidR="00000000" w:rsidRDefault="003C49E9">
            <w:pPr>
              <w:rPr>
                <w:rFonts w:eastAsia="Times New Roman"/>
                <w:sz w:val="20"/>
                <w:szCs w:val="20"/>
              </w:rPr>
            </w:pPr>
          </w:p>
        </w:tc>
        <w:tc>
          <w:tcPr>
            <w:tcW w:w="47" w:type="pct"/>
            <w:vAlign w:val="center"/>
            <w:hideMark/>
          </w:tcPr>
          <w:p w14:paraId="7EC669B6" w14:textId="77777777" w:rsidR="00000000" w:rsidRDefault="003C49E9">
            <w:pPr>
              <w:rPr>
                <w:rFonts w:eastAsia="Times New Roman"/>
                <w:sz w:val="20"/>
                <w:szCs w:val="20"/>
              </w:rPr>
            </w:pPr>
          </w:p>
        </w:tc>
        <w:tc>
          <w:tcPr>
            <w:tcW w:w="50" w:type="pct"/>
            <w:vAlign w:val="center"/>
            <w:hideMark/>
          </w:tcPr>
          <w:p w14:paraId="1CD26B9F" w14:textId="77777777" w:rsidR="00000000" w:rsidRDefault="003C49E9">
            <w:pPr>
              <w:rPr>
                <w:rFonts w:eastAsia="Times New Roman"/>
                <w:sz w:val="20"/>
                <w:szCs w:val="20"/>
              </w:rPr>
            </w:pPr>
          </w:p>
        </w:tc>
        <w:tc>
          <w:tcPr>
            <w:tcW w:w="237" w:type="pct"/>
            <w:vAlign w:val="center"/>
            <w:hideMark/>
          </w:tcPr>
          <w:p w14:paraId="4F777A05" w14:textId="77777777" w:rsidR="00000000" w:rsidRDefault="003C49E9">
            <w:pPr>
              <w:rPr>
                <w:rFonts w:eastAsia="Times New Roman"/>
                <w:sz w:val="20"/>
                <w:szCs w:val="20"/>
              </w:rPr>
            </w:pPr>
          </w:p>
        </w:tc>
        <w:tc>
          <w:tcPr>
            <w:tcW w:w="50" w:type="pct"/>
            <w:vAlign w:val="center"/>
            <w:hideMark/>
          </w:tcPr>
          <w:p w14:paraId="3590E1B1" w14:textId="77777777" w:rsidR="00000000" w:rsidRDefault="003C49E9">
            <w:pPr>
              <w:rPr>
                <w:rFonts w:eastAsia="Times New Roman"/>
                <w:sz w:val="20"/>
                <w:szCs w:val="20"/>
              </w:rPr>
            </w:pPr>
          </w:p>
        </w:tc>
        <w:tc>
          <w:tcPr>
            <w:tcW w:w="47" w:type="pct"/>
            <w:vAlign w:val="center"/>
            <w:hideMark/>
          </w:tcPr>
          <w:p w14:paraId="122F0EE8" w14:textId="77777777" w:rsidR="00000000" w:rsidRDefault="003C49E9">
            <w:pPr>
              <w:rPr>
                <w:rFonts w:eastAsia="Times New Roman"/>
                <w:sz w:val="20"/>
                <w:szCs w:val="20"/>
              </w:rPr>
            </w:pPr>
          </w:p>
        </w:tc>
        <w:tc>
          <w:tcPr>
            <w:tcW w:w="50" w:type="pct"/>
            <w:vAlign w:val="center"/>
            <w:hideMark/>
          </w:tcPr>
          <w:p w14:paraId="325B9853" w14:textId="77777777" w:rsidR="00000000" w:rsidRDefault="003C49E9">
            <w:pPr>
              <w:rPr>
                <w:rFonts w:eastAsia="Times New Roman"/>
                <w:sz w:val="20"/>
                <w:szCs w:val="20"/>
              </w:rPr>
            </w:pPr>
          </w:p>
        </w:tc>
        <w:tc>
          <w:tcPr>
            <w:tcW w:w="147" w:type="pct"/>
            <w:vAlign w:val="center"/>
            <w:hideMark/>
          </w:tcPr>
          <w:p w14:paraId="7EEF6AE9" w14:textId="77777777" w:rsidR="00000000" w:rsidRDefault="003C49E9">
            <w:pPr>
              <w:rPr>
                <w:rFonts w:eastAsia="Times New Roman"/>
                <w:sz w:val="20"/>
                <w:szCs w:val="20"/>
              </w:rPr>
            </w:pPr>
          </w:p>
        </w:tc>
        <w:tc>
          <w:tcPr>
            <w:tcW w:w="50" w:type="pct"/>
            <w:vAlign w:val="center"/>
            <w:hideMark/>
          </w:tcPr>
          <w:p w14:paraId="41E566C7" w14:textId="77777777" w:rsidR="00000000" w:rsidRDefault="003C49E9">
            <w:pPr>
              <w:rPr>
                <w:rFonts w:eastAsia="Times New Roman"/>
                <w:sz w:val="20"/>
                <w:szCs w:val="20"/>
              </w:rPr>
            </w:pPr>
          </w:p>
        </w:tc>
        <w:tc>
          <w:tcPr>
            <w:tcW w:w="47" w:type="pct"/>
            <w:vAlign w:val="center"/>
            <w:hideMark/>
          </w:tcPr>
          <w:p w14:paraId="18A4BD22" w14:textId="77777777" w:rsidR="00000000" w:rsidRDefault="003C49E9">
            <w:pPr>
              <w:rPr>
                <w:rFonts w:eastAsia="Times New Roman"/>
                <w:sz w:val="20"/>
                <w:szCs w:val="20"/>
              </w:rPr>
            </w:pPr>
          </w:p>
        </w:tc>
        <w:tc>
          <w:tcPr>
            <w:tcW w:w="50" w:type="pct"/>
            <w:vAlign w:val="center"/>
            <w:hideMark/>
          </w:tcPr>
          <w:p w14:paraId="02F876DB" w14:textId="77777777" w:rsidR="00000000" w:rsidRDefault="003C49E9">
            <w:pPr>
              <w:rPr>
                <w:rFonts w:eastAsia="Times New Roman"/>
                <w:sz w:val="20"/>
                <w:szCs w:val="20"/>
              </w:rPr>
            </w:pPr>
          </w:p>
        </w:tc>
        <w:tc>
          <w:tcPr>
            <w:tcW w:w="376" w:type="pct"/>
            <w:vAlign w:val="center"/>
            <w:hideMark/>
          </w:tcPr>
          <w:p w14:paraId="10F45733" w14:textId="77777777" w:rsidR="00000000" w:rsidRDefault="003C49E9">
            <w:pPr>
              <w:rPr>
                <w:rFonts w:eastAsia="Times New Roman"/>
                <w:sz w:val="20"/>
                <w:szCs w:val="20"/>
              </w:rPr>
            </w:pPr>
          </w:p>
        </w:tc>
        <w:tc>
          <w:tcPr>
            <w:tcW w:w="50" w:type="pct"/>
            <w:vAlign w:val="center"/>
            <w:hideMark/>
          </w:tcPr>
          <w:p w14:paraId="08C1F662" w14:textId="77777777" w:rsidR="00000000" w:rsidRDefault="003C49E9">
            <w:pPr>
              <w:rPr>
                <w:rFonts w:eastAsia="Times New Roman"/>
                <w:sz w:val="20"/>
                <w:szCs w:val="20"/>
              </w:rPr>
            </w:pPr>
          </w:p>
        </w:tc>
        <w:tc>
          <w:tcPr>
            <w:tcW w:w="47" w:type="pct"/>
            <w:vAlign w:val="center"/>
            <w:hideMark/>
          </w:tcPr>
          <w:p w14:paraId="1415B039" w14:textId="77777777" w:rsidR="00000000" w:rsidRDefault="003C49E9">
            <w:pPr>
              <w:rPr>
                <w:rFonts w:eastAsia="Times New Roman"/>
                <w:sz w:val="20"/>
                <w:szCs w:val="20"/>
              </w:rPr>
            </w:pPr>
          </w:p>
        </w:tc>
        <w:tc>
          <w:tcPr>
            <w:tcW w:w="50" w:type="pct"/>
            <w:vAlign w:val="center"/>
            <w:hideMark/>
          </w:tcPr>
          <w:p w14:paraId="1F162B0A" w14:textId="77777777" w:rsidR="00000000" w:rsidRDefault="003C49E9">
            <w:pPr>
              <w:rPr>
                <w:rFonts w:eastAsia="Times New Roman"/>
                <w:sz w:val="20"/>
                <w:szCs w:val="20"/>
              </w:rPr>
            </w:pPr>
          </w:p>
        </w:tc>
        <w:tc>
          <w:tcPr>
            <w:tcW w:w="457" w:type="pct"/>
            <w:vAlign w:val="center"/>
            <w:hideMark/>
          </w:tcPr>
          <w:p w14:paraId="307DD82E" w14:textId="77777777" w:rsidR="00000000" w:rsidRDefault="003C49E9">
            <w:pPr>
              <w:rPr>
                <w:rFonts w:eastAsia="Times New Roman"/>
                <w:sz w:val="20"/>
                <w:szCs w:val="20"/>
              </w:rPr>
            </w:pPr>
          </w:p>
        </w:tc>
        <w:tc>
          <w:tcPr>
            <w:tcW w:w="50" w:type="pct"/>
            <w:vAlign w:val="center"/>
            <w:hideMark/>
          </w:tcPr>
          <w:p w14:paraId="66DB235E" w14:textId="77777777" w:rsidR="00000000" w:rsidRDefault="003C49E9">
            <w:pPr>
              <w:rPr>
                <w:rFonts w:eastAsia="Times New Roman"/>
                <w:sz w:val="20"/>
                <w:szCs w:val="20"/>
              </w:rPr>
            </w:pPr>
          </w:p>
        </w:tc>
        <w:tc>
          <w:tcPr>
            <w:tcW w:w="47" w:type="pct"/>
            <w:vAlign w:val="center"/>
            <w:hideMark/>
          </w:tcPr>
          <w:p w14:paraId="7FE8B200" w14:textId="77777777" w:rsidR="00000000" w:rsidRDefault="003C49E9">
            <w:pPr>
              <w:rPr>
                <w:rFonts w:eastAsia="Times New Roman"/>
                <w:sz w:val="20"/>
                <w:szCs w:val="20"/>
              </w:rPr>
            </w:pPr>
          </w:p>
        </w:tc>
        <w:tc>
          <w:tcPr>
            <w:tcW w:w="50" w:type="pct"/>
            <w:vAlign w:val="center"/>
            <w:hideMark/>
          </w:tcPr>
          <w:p w14:paraId="1D019693" w14:textId="77777777" w:rsidR="00000000" w:rsidRDefault="003C49E9">
            <w:pPr>
              <w:rPr>
                <w:rFonts w:eastAsia="Times New Roman"/>
                <w:sz w:val="20"/>
                <w:szCs w:val="20"/>
              </w:rPr>
            </w:pPr>
          </w:p>
        </w:tc>
        <w:tc>
          <w:tcPr>
            <w:tcW w:w="378" w:type="pct"/>
            <w:vAlign w:val="center"/>
            <w:hideMark/>
          </w:tcPr>
          <w:p w14:paraId="60FA4085" w14:textId="77777777" w:rsidR="00000000" w:rsidRDefault="003C49E9">
            <w:pPr>
              <w:rPr>
                <w:rFonts w:eastAsia="Times New Roman"/>
                <w:sz w:val="20"/>
                <w:szCs w:val="20"/>
              </w:rPr>
            </w:pPr>
          </w:p>
        </w:tc>
        <w:tc>
          <w:tcPr>
            <w:tcW w:w="50" w:type="pct"/>
            <w:vAlign w:val="center"/>
            <w:hideMark/>
          </w:tcPr>
          <w:p w14:paraId="7B8A1437" w14:textId="77777777" w:rsidR="00000000" w:rsidRDefault="003C49E9">
            <w:pPr>
              <w:rPr>
                <w:rFonts w:eastAsia="Times New Roman"/>
                <w:sz w:val="20"/>
                <w:szCs w:val="20"/>
              </w:rPr>
            </w:pPr>
          </w:p>
        </w:tc>
        <w:tc>
          <w:tcPr>
            <w:tcW w:w="47" w:type="pct"/>
            <w:vAlign w:val="center"/>
            <w:hideMark/>
          </w:tcPr>
          <w:p w14:paraId="7B368361" w14:textId="77777777" w:rsidR="00000000" w:rsidRDefault="003C49E9">
            <w:pPr>
              <w:rPr>
                <w:rFonts w:eastAsia="Times New Roman"/>
                <w:sz w:val="20"/>
                <w:szCs w:val="20"/>
              </w:rPr>
            </w:pPr>
          </w:p>
        </w:tc>
        <w:tc>
          <w:tcPr>
            <w:tcW w:w="50" w:type="pct"/>
            <w:vAlign w:val="center"/>
            <w:hideMark/>
          </w:tcPr>
          <w:p w14:paraId="755B14C0" w14:textId="77777777" w:rsidR="00000000" w:rsidRDefault="003C49E9">
            <w:pPr>
              <w:rPr>
                <w:rFonts w:eastAsia="Times New Roman"/>
                <w:sz w:val="20"/>
                <w:szCs w:val="20"/>
              </w:rPr>
            </w:pPr>
          </w:p>
        </w:tc>
        <w:tc>
          <w:tcPr>
            <w:tcW w:w="376" w:type="pct"/>
            <w:vAlign w:val="center"/>
            <w:hideMark/>
          </w:tcPr>
          <w:p w14:paraId="4237F4F9" w14:textId="77777777" w:rsidR="00000000" w:rsidRDefault="003C49E9">
            <w:pPr>
              <w:rPr>
                <w:rFonts w:eastAsia="Times New Roman"/>
                <w:sz w:val="20"/>
                <w:szCs w:val="20"/>
              </w:rPr>
            </w:pPr>
          </w:p>
        </w:tc>
        <w:tc>
          <w:tcPr>
            <w:tcW w:w="50" w:type="pct"/>
            <w:vAlign w:val="center"/>
            <w:hideMark/>
          </w:tcPr>
          <w:p w14:paraId="77BDCB98" w14:textId="77777777" w:rsidR="00000000" w:rsidRDefault="003C49E9">
            <w:pPr>
              <w:rPr>
                <w:rFonts w:eastAsia="Times New Roman"/>
                <w:sz w:val="20"/>
                <w:szCs w:val="20"/>
              </w:rPr>
            </w:pPr>
          </w:p>
        </w:tc>
      </w:tr>
      <w:tr w:rsidR="00000000" w14:paraId="6484E8B7" w14:textId="77777777">
        <w:trPr>
          <w:trHeight w:val="140"/>
          <w:tblCellSpacing w:w="15" w:type="dxa"/>
        </w:trPr>
        <w:tc>
          <w:tcPr>
            <w:tcW w:w="0" w:type="auto"/>
            <w:vAlign w:val="bottom"/>
            <w:hideMark/>
          </w:tcPr>
          <w:p w14:paraId="5FF6BEA1" w14:textId="77777777" w:rsidR="00000000" w:rsidRDefault="003C49E9">
            <w:pPr>
              <w:pStyle w:val="a3"/>
              <w:spacing w:before="0" w:beforeAutospacing="0" w:after="0" w:afterAutospacing="0"/>
              <w:jc w:val="right"/>
              <w:rPr>
                <w:sz w:val="14"/>
                <w:szCs w:val="14"/>
              </w:rPr>
            </w:pPr>
            <w:r>
              <w:rPr>
                <w:sz w:val="14"/>
                <w:szCs w:val="14"/>
              </w:rPr>
              <w:t> </w:t>
            </w:r>
          </w:p>
        </w:tc>
        <w:tc>
          <w:tcPr>
            <w:tcW w:w="0" w:type="auto"/>
            <w:gridSpan w:val="6"/>
            <w:vAlign w:val="bottom"/>
            <w:hideMark/>
          </w:tcPr>
          <w:p w14:paraId="17FC1B87" w14:textId="77777777" w:rsidR="00000000" w:rsidRDefault="003C49E9">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14:paraId="3DB8D93E"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7772F922" w14:textId="77777777" w:rsidR="00000000" w:rsidRDefault="003C49E9">
            <w:pPr>
              <w:pStyle w:val="a3"/>
              <w:spacing w:before="0" w:beforeAutospacing="0" w:after="0" w:afterAutospacing="0"/>
              <w:rPr>
                <w:sz w:val="14"/>
                <w:szCs w:val="14"/>
              </w:rPr>
            </w:pPr>
            <w:r>
              <w:rPr>
                <w:sz w:val="14"/>
                <w:szCs w:val="14"/>
              </w:rPr>
              <w:t> </w:t>
            </w:r>
          </w:p>
        </w:tc>
        <w:tc>
          <w:tcPr>
            <w:tcW w:w="0" w:type="auto"/>
            <w:gridSpan w:val="6"/>
            <w:vAlign w:val="bottom"/>
            <w:hideMark/>
          </w:tcPr>
          <w:p w14:paraId="10CC96D9" w14:textId="77777777" w:rsidR="00000000" w:rsidRDefault="003C49E9">
            <w:pPr>
              <w:pStyle w:val="a3"/>
              <w:spacing w:before="0" w:beforeAutospacing="0" w:after="0" w:afterAutospacing="0"/>
              <w:jc w:val="center"/>
              <w:rPr>
                <w:sz w:val="14"/>
                <w:szCs w:val="14"/>
              </w:rPr>
            </w:pPr>
            <w:r>
              <w:rPr>
                <w:b/>
                <w:bCs/>
                <w:sz w:val="14"/>
                <w:szCs w:val="14"/>
              </w:rPr>
              <w:t>Treasury Stock, $0.001</w:t>
            </w:r>
            <w:r>
              <w:rPr>
                <w:b/>
                <w:bCs/>
                <w:sz w:val="14"/>
                <w:szCs w:val="14"/>
              </w:rPr>
              <w:br/>
              <w:t>Par Valu</w:t>
            </w:r>
            <w:r>
              <w:rPr>
                <w:b/>
                <w:bCs/>
                <w:sz w:val="14"/>
                <w:szCs w:val="14"/>
              </w:rPr>
              <w:t>e</w:t>
            </w:r>
          </w:p>
        </w:tc>
        <w:tc>
          <w:tcPr>
            <w:tcW w:w="0" w:type="auto"/>
            <w:vAlign w:val="bottom"/>
            <w:hideMark/>
          </w:tcPr>
          <w:p w14:paraId="13C3C24D"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5801B1AE"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540A3268" w14:textId="77777777" w:rsidR="00000000" w:rsidRDefault="003C49E9">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14:paraId="263CA396"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7F5C893B"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1C09912D" w14:textId="77777777" w:rsidR="00000000" w:rsidRDefault="003C49E9">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14:paraId="36131ED3"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16925654"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0706878C" w14:textId="77777777" w:rsidR="00000000" w:rsidRDefault="003C49E9">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14:paraId="208AADB9"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03375DF7"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7E1C7257"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245B7ADB" w14:textId="77777777" w:rsidR="00000000" w:rsidRDefault="003C49E9">
            <w:pPr>
              <w:pStyle w:val="a3"/>
              <w:spacing w:before="0" w:beforeAutospacing="0" w:after="0" w:afterAutospacing="0"/>
              <w:jc w:val="center"/>
              <w:rPr>
                <w:sz w:val="14"/>
                <w:szCs w:val="14"/>
              </w:rPr>
            </w:pPr>
            <w:r>
              <w:rPr>
                <w:sz w:val="14"/>
                <w:szCs w:val="14"/>
              </w:rPr>
              <w:t> </w:t>
            </w:r>
          </w:p>
        </w:tc>
      </w:tr>
      <w:tr w:rsidR="00000000" w14:paraId="1486154A" w14:textId="77777777">
        <w:trPr>
          <w:trHeight w:val="140"/>
          <w:tblCellSpacing w:w="15" w:type="dxa"/>
        </w:trPr>
        <w:tc>
          <w:tcPr>
            <w:tcW w:w="0" w:type="auto"/>
            <w:vAlign w:val="bottom"/>
            <w:hideMark/>
          </w:tcPr>
          <w:p w14:paraId="59E0A76B"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1A83A624" w14:textId="77777777" w:rsidR="00000000" w:rsidRDefault="003C49E9">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14:paraId="478966A1"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7D330720"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29A55242" w14:textId="77777777" w:rsidR="00000000" w:rsidRDefault="003C49E9">
            <w:pPr>
              <w:pStyle w:val="a3"/>
              <w:spacing w:before="0" w:beforeAutospacing="0" w:after="0" w:afterAutospacing="0"/>
              <w:jc w:val="center"/>
              <w:rPr>
                <w:sz w:val="14"/>
                <w:szCs w:val="14"/>
              </w:rPr>
            </w:pPr>
            <w:r>
              <w:rPr>
                <w:b/>
                <w:bCs/>
                <w:sz w:val="14"/>
                <w:szCs w:val="14"/>
              </w:rPr>
              <w:t>$</w:t>
            </w:r>
          </w:p>
        </w:tc>
        <w:tc>
          <w:tcPr>
            <w:tcW w:w="0" w:type="auto"/>
            <w:vAlign w:val="bottom"/>
            <w:hideMark/>
          </w:tcPr>
          <w:p w14:paraId="46517CBA"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3F2AC1BD"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66574527" w14:textId="77777777" w:rsidR="00000000" w:rsidRDefault="003C49E9">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14:paraId="3D04CCAC"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7C2CC4B6"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5C837F57" w14:textId="77777777" w:rsidR="00000000" w:rsidRDefault="003C49E9">
            <w:pPr>
              <w:pStyle w:val="a3"/>
              <w:spacing w:before="0" w:beforeAutospacing="0" w:after="0" w:afterAutospacing="0"/>
              <w:jc w:val="center"/>
              <w:rPr>
                <w:sz w:val="14"/>
                <w:szCs w:val="14"/>
              </w:rPr>
            </w:pPr>
            <w:r>
              <w:rPr>
                <w:b/>
                <w:bCs/>
                <w:sz w:val="14"/>
                <w:szCs w:val="14"/>
              </w:rPr>
              <w:t>$</w:t>
            </w:r>
          </w:p>
        </w:tc>
        <w:tc>
          <w:tcPr>
            <w:tcW w:w="0" w:type="auto"/>
            <w:vAlign w:val="bottom"/>
            <w:hideMark/>
          </w:tcPr>
          <w:p w14:paraId="3BB904F2"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43FF97AC"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center"/>
            <w:hideMark/>
          </w:tcPr>
          <w:p w14:paraId="3F6A8092" w14:textId="77777777" w:rsidR="00000000" w:rsidRDefault="003C49E9">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14:paraId="73D327C5"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06A99C64"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33E16A7E" w14:textId="77777777" w:rsidR="00000000" w:rsidRDefault="003C49E9">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center"/>
            <w:hideMark/>
          </w:tcPr>
          <w:p w14:paraId="69BF2628"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6527CA2F"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42845E5E" w14:textId="77777777" w:rsidR="00000000" w:rsidRDefault="003C49E9">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14:paraId="6B250833"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06B87462"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6D557DC9" w14:textId="77777777" w:rsidR="00000000" w:rsidRDefault="003C49E9">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14:paraId="03C76BFA" w14:textId="77777777" w:rsidR="00000000" w:rsidRDefault="003C49E9">
            <w:pPr>
              <w:pStyle w:val="a3"/>
              <w:spacing w:before="0" w:beforeAutospacing="0" w:after="0" w:afterAutospacing="0"/>
              <w:jc w:val="center"/>
              <w:rPr>
                <w:sz w:val="14"/>
                <w:szCs w:val="14"/>
              </w:rPr>
            </w:pPr>
            <w:r>
              <w:rPr>
                <w:sz w:val="14"/>
                <w:szCs w:val="14"/>
              </w:rPr>
              <w:t> </w:t>
            </w:r>
          </w:p>
        </w:tc>
      </w:tr>
      <w:tr w:rsidR="00000000" w14:paraId="57E62D86" w14:textId="77777777">
        <w:trPr>
          <w:trHeight w:val="180"/>
          <w:tblCellSpacing w:w="15" w:type="dxa"/>
        </w:trPr>
        <w:tc>
          <w:tcPr>
            <w:tcW w:w="0" w:type="auto"/>
            <w:vAlign w:val="bottom"/>
            <w:hideMark/>
          </w:tcPr>
          <w:p w14:paraId="76EB6596" w14:textId="77777777" w:rsidR="00000000" w:rsidRDefault="003C49E9">
            <w:pPr>
              <w:pStyle w:val="a3"/>
              <w:spacing w:before="0" w:beforeAutospacing="0" w:after="0" w:afterAutospacing="0"/>
              <w:rPr>
                <w:sz w:val="19"/>
                <w:szCs w:val="19"/>
              </w:rPr>
            </w:pPr>
            <w:r>
              <w:rPr>
                <w:sz w:val="19"/>
                <w:szCs w:val="19"/>
              </w:rPr>
              <w:t>Balances at December 31, 202</w:t>
            </w:r>
            <w:r>
              <w:rPr>
                <w:sz w:val="19"/>
                <w:szCs w:val="19"/>
              </w:rPr>
              <w:t>1</w:t>
            </w:r>
          </w:p>
        </w:tc>
        <w:tc>
          <w:tcPr>
            <w:tcW w:w="0" w:type="auto"/>
            <w:noWrap/>
            <w:vAlign w:val="bottom"/>
            <w:hideMark/>
          </w:tcPr>
          <w:p w14:paraId="3FA5240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D64EA9A" w14:textId="77777777" w:rsidR="00000000" w:rsidRDefault="003C49E9">
            <w:pPr>
              <w:pStyle w:val="a3"/>
              <w:spacing w:before="0" w:beforeAutospacing="0" w:after="0" w:afterAutospacing="0"/>
              <w:jc w:val="right"/>
              <w:rPr>
                <w:sz w:val="20"/>
                <w:szCs w:val="20"/>
              </w:rPr>
            </w:pPr>
            <w:r>
              <w:rPr>
                <w:sz w:val="19"/>
                <w:szCs w:val="19"/>
              </w:rPr>
              <w:t>47,39</w:t>
            </w:r>
            <w:r>
              <w:rPr>
                <w:sz w:val="19"/>
                <w:szCs w:val="19"/>
              </w:rPr>
              <w:t>0</w:t>
            </w:r>
          </w:p>
        </w:tc>
        <w:tc>
          <w:tcPr>
            <w:tcW w:w="0" w:type="auto"/>
            <w:noWrap/>
            <w:vAlign w:val="bottom"/>
            <w:hideMark/>
          </w:tcPr>
          <w:p w14:paraId="6388F4A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1E9B4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9381995"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83A4FB5" w14:textId="77777777" w:rsidR="00000000" w:rsidRDefault="003C49E9">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14:paraId="60109FC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CE8B0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6B78CE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A5C80B" w14:textId="77777777" w:rsidR="00000000" w:rsidRDefault="003C49E9">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14:paraId="74F8426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319808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463A929"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E5D4AB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C07E02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52F800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A4E6A8D"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D5A61F1" w14:textId="77777777" w:rsidR="00000000" w:rsidRDefault="003C49E9">
            <w:pPr>
              <w:pStyle w:val="a3"/>
              <w:spacing w:before="0" w:beforeAutospacing="0" w:after="0" w:afterAutospacing="0"/>
              <w:jc w:val="right"/>
              <w:rPr>
                <w:sz w:val="20"/>
                <w:szCs w:val="20"/>
              </w:rPr>
            </w:pPr>
            <w:r>
              <w:rPr>
                <w:sz w:val="19"/>
                <w:szCs w:val="19"/>
              </w:rPr>
              <w:t>1,436,08</w:t>
            </w:r>
            <w:r>
              <w:rPr>
                <w:sz w:val="19"/>
                <w:szCs w:val="19"/>
              </w:rPr>
              <w:t>9</w:t>
            </w:r>
          </w:p>
        </w:tc>
        <w:tc>
          <w:tcPr>
            <w:tcW w:w="0" w:type="auto"/>
            <w:noWrap/>
            <w:vAlign w:val="bottom"/>
            <w:hideMark/>
          </w:tcPr>
          <w:p w14:paraId="2F6C0F4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93D20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4ECC38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A154D2F" w14:textId="77777777" w:rsidR="00000000" w:rsidRDefault="003C49E9">
            <w:pPr>
              <w:pStyle w:val="a3"/>
              <w:spacing w:before="0" w:beforeAutospacing="0" w:after="0" w:afterAutospacing="0"/>
              <w:jc w:val="right"/>
              <w:rPr>
                <w:sz w:val="20"/>
                <w:szCs w:val="20"/>
              </w:rPr>
            </w:pPr>
            <w:r>
              <w:rPr>
                <w:sz w:val="19"/>
                <w:szCs w:val="19"/>
              </w:rPr>
              <w:t>(</w:t>
            </w:r>
            <w:r>
              <w:rPr>
                <w:sz w:val="19"/>
                <w:szCs w:val="19"/>
              </w:rPr>
              <w:t>1,33</w:t>
            </w:r>
            <w:r>
              <w:rPr>
                <w:sz w:val="19"/>
                <w:szCs w:val="19"/>
              </w:rPr>
              <w:t>9</w:t>
            </w:r>
          </w:p>
        </w:tc>
        <w:tc>
          <w:tcPr>
            <w:tcW w:w="0" w:type="auto"/>
            <w:noWrap/>
            <w:vAlign w:val="bottom"/>
            <w:hideMark/>
          </w:tcPr>
          <w:p w14:paraId="2E3EE0B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D3E86E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2C9D98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4ABF8AC" w14:textId="77777777" w:rsidR="00000000" w:rsidRDefault="003C49E9">
            <w:pPr>
              <w:pStyle w:val="a3"/>
              <w:spacing w:before="0" w:beforeAutospacing="0" w:after="0" w:afterAutospacing="0"/>
              <w:jc w:val="right"/>
              <w:rPr>
                <w:sz w:val="20"/>
                <w:szCs w:val="20"/>
              </w:rPr>
            </w:pPr>
            <w:r>
              <w:rPr>
                <w:sz w:val="19"/>
                <w:szCs w:val="19"/>
              </w:rPr>
              <w:t>(</w:t>
            </w:r>
            <w:r>
              <w:rPr>
                <w:sz w:val="19"/>
                <w:szCs w:val="19"/>
              </w:rPr>
              <w:t>560,99</w:t>
            </w:r>
            <w:r>
              <w:rPr>
                <w:sz w:val="19"/>
                <w:szCs w:val="19"/>
              </w:rPr>
              <w:t>8</w:t>
            </w:r>
          </w:p>
        </w:tc>
        <w:tc>
          <w:tcPr>
            <w:tcW w:w="0" w:type="auto"/>
            <w:noWrap/>
            <w:vAlign w:val="bottom"/>
            <w:hideMark/>
          </w:tcPr>
          <w:p w14:paraId="446FC164"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E5AEA2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0D699D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3D795C1" w14:textId="77777777" w:rsidR="00000000" w:rsidRDefault="003C49E9">
            <w:pPr>
              <w:pStyle w:val="a3"/>
              <w:spacing w:before="0" w:beforeAutospacing="0" w:after="0" w:afterAutospacing="0"/>
              <w:jc w:val="right"/>
              <w:rPr>
                <w:sz w:val="20"/>
                <w:szCs w:val="20"/>
              </w:rPr>
            </w:pPr>
            <w:r>
              <w:rPr>
                <w:sz w:val="19"/>
                <w:szCs w:val="19"/>
              </w:rPr>
              <w:t>873,79</w:t>
            </w:r>
            <w:r>
              <w:rPr>
                <w:sz w:val="19"/>
                <w:szCs w:val="19"/>
              </w:rPr>
              <w:t>9</w:t>
            </w:r>
          </w:p>
        </w:tc>
        <w:tc>
          <w:tcPr>
            <w:tcW w:w="0" w:type="auto"/>
            <w:noWrap/>
            <w:vAlign w:val="bottom"/>
            <w:hideMark/>
          </w:tcPr>
          <w:p w14:paraId="1098FB1C" w14:textId="77777777" w:rsidR="00000000" w:rsidRDefault="003C49E9">
            <w:pPr>
              <w:pStyle w:val="a3"/>
              <w:spacing w:before="0" w:beforeAutospacing="0" w:after="0" w:afterAutospacing="0"/>
              <w:rPr>
                <w:sz w:val="19"/>
                <w:szCs w:val="19"/>
              </w:rPr>
            </w:pPr>
            <w:r>
              <w:rPr>
                <w:sz w:val="19"/>
                <w:szCs w:val="19"/>
              </w:rPr>
              <w:t> </w:t>
            </w:r>
          </w:p>
        </w:tc>
      </w:tr>
      <w:tr w:rsidR="00000000" w14:paraId="1618ACCE" w14:textId="77777777">
        <w:trPr>
          <w:trHeight w:val="180"/>
          <w:tblCellSpacing w:w="15" w:type="dxa"/>
        </w:trPr>
        <w:tc>
          <w:tcPr>
            <w:tcW w:w="0" w:type="auto"/>
            <w:vAlign w:val="bottom"/>
            <w:hideMark/>
          </w:tcPr>
          <w:p w14:paraId="346D4B0B" w14:textId="77777777" w:rsidR="00000000" w:rsidRDefault="003C49E9">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noWrap/>
            <w:vAlign w:val="bottom"/>
            <w:hideMark/>
          </w:tcPr>
          <w:p w14:paraId="5FE4A4E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975629" w14:textId="77777777" w:rsidR="00000000" w:rsidRDefault="003C49E9">
            <w:pPr>
              <w:pStyle w:val="a3"/>
              <w:spacing w:before="0" w:beforeAutospacing="0" w:after="0" w:afterAutospacing="0"/>
              <w:jc w:val="right"/>
              <w:rPr>
                <w:sz w:val="20"/>
                <w:szCs w:val="20"/>
              </w:rPr>
            </w:pPr>
            <w:r>
              <w:rPr>
                <w:sz w:val="19"/>
                <w:szCs w:val="19"/>
              </w:rPr>
              <w:t>25</w:t>
            </w:r>
            <w:r>
              <w:rPr>
                <w:sz w:val="19"/>
                <w:szCs w:val="19"/>
              </w:rPr>
              <w:t>0</w:t>
            </w:r>
          </w:p>
        </w:tc>
        <w:tc>
          <w:tcPr>
            <w:tcW w:w="0" w:type="auto"/>
            <w:noWrap/>
            <w:vAlign w:val="bottom"/>
            <w:hideMark/>
          </w:tcPr>
          <w:p w14:paraId="05D142B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7F9BF9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3391FB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1835B7E" w14:textId="77777777" w:rsidR="00000000" w:rsidRDefault="003C49E9">
            <w:pPr>
              <w:pStyle w:val="a3"/>
              <w:spacing w:before="0" w:beforeAutospacing="0" w:after="0" w:afterAutospacing="0"/>
              <w:jc w:val="right"/>
              <w:rPr>
                <w:sz w:val="20"/>
                <w:szCs w:val="20"/>
              </w:rPr>
            </w:pPr>
            <w:r>
              <w:rPr>
                <w:sz w:val="19"/>
                <w:szCs w:val="19"/>
              </w:rPr>
              <w:t>1</w:t>
            </w:r>
          </w:p>
        </w:tc>
        <w:tc>
          <w:tcPr>
            <w:tcW w:w="0" w:type="auto"/>
            <w:noWrap/>
            <w:vAlign w:val="bottom"/>
            <w:hideMark/>
          </w:tcPr>
          <w:p w14:paraId="3759D5B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68279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2C2C2F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4BE36A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044667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B1C828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FC7787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6437F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9C4631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E1B1B9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0FE315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2B7CD5E" w14:textId="77777777" w:rsidR="00000000" w:rsidRDefault="003C49E9">
            <w:pPr>
              <w:pStyle w:val="a3"/>
              <w:spacing w:before="0" w:beforeAutospacing="0" w:after="0" w:afterAutospacing="0"/>
              <w:jc w:val="right"/>
              <w:rPr>
                <w:sz w:val="20"/>
                <w:szCs w:val="20"/>
              </w:rPr>
            </w:pPr>
            <w:r>
              <w:rPr>
                <w:sz w:val="19"/>
                <w:szCs w:val="19"/>
              </w:rPr>
              <w:t>2,14</w:t>
            </w:r>
            <w:r>
              <w:rPr>
                <w:sz w:val="19"/>
                <w:szCs w:val="19"/>
              </w:rPr>
              <w:t>4</w:t>
            </w:r>
          </w:p>
        </w:tc>
        <w:tc>
          <w:tcPr>
            <w:tcW w:w="0" w:type="auto"/>
            <w:noWrap/>
            <w:vAlign w:val="bottom"/>
            <w:hideMark/>
          </w:tcPr>
          <w:p w14:paraId="504E652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8BF5A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65CE84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547E45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210348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2BAEA3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B91AE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349C33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FD40B9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CEB46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8EB54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708C86B" w14:textId="77777777" w:rsidR="00000000" w:rsidRDefault="003C49E9">
            <w:pPr>
              <w:pStyle w:val="a3"/>
              <w:spacing w:before="0" w:beforeAutospacing="0" w:after="0" w:afterAutospacing="0"/>
              <w:jc w:val="right"/>
              <w:rPr>
                <w:sz w:val="20"/>
                <w:szCs w:val="20"/>
              </w:rPr>
            </w:pPr>
            <w:r>
              <w:rPr>
                <w:sz w:val="19"/>
                <w:szCs w:val="19"/>
              </w:rPr>
              <w:t>2,14</w:t>
            </w:r>
            <w:r>
              <w:rPr>
                <w:sz w:val="19"/>
                <w:szCs w:val="19"/>
              </w:rPr>
              <w:t>5</w:t>
            </w:r>
          </w:p>
        </w:tc>
        <w:tc>
          <w:tcPr>
            <w:tcW w:w="0" w:type="auto"/>
            <w:noWrap/>
            <w:vAlign w:val="bottom"/>
            <w:hideMark/>
          </w:tcPr>
          <w:p w14:paraId="16FD7FB3" w14:textId="77777777" w:rsidR="00000000" w:rsidRDefault="003C49E9">
            <w:pPr>
              <w:pStyle w:val="a3"/>
              <w:spacing w:before="0" w:beforeAutospacing="0" w:after="0" w:afterAutospacing="0"/>
              <w:rPr>
                <w:sz w:val="19"/>
                <w:szCs w:val="19"/>
              </w:rPr>
            </w:pPr>
            <w:r>
              <w:rPr>
                <w:sz w:val="19"/>
                <w:szCs w:val="19"/>
              </w:rPr>
              <w:t> </w:t>
            </w:r>
          </w:p>
        </w:tc>
      </w:tr>
      <w:tr w:rsidR="00000000" w14:paraId="4B38E72B" w14:textId="77777777">
        <w:trPr>
          <w:trHeight w:val="180"/>
          <w:tblCellSpacing w:w="15" w:type="dxa"/>
        </w:trPr>
        <w:tc>
          <w:tcPr>
            <w:tcW w:w="0" w:type="auto"/>
            <w:vAlign w:val="bottom"/>
            <w:hideMark/>
          </w:tcPr>
          <w:p w14:paraId="4BAA05D8" w14:textId="77777777" w:rsidR="00000000" w:rsidRDefault="003C49E9">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noWrap/>
            <w:vAlign w:val="bottom"/>
            <w:hideMark/>
          </w:tcPr>
          <w:p w14:paraId="54AF135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B861C0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2EE9C4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ED1D5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18A6CA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6769C9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F62B5A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8DFD59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E11900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2CECFF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30CB01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8CB294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4FB965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2C3194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1AE00A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B5AE4A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9037F9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41926C" w14:textId="77777777" w:rsidR="00000000" w:rsidRDefault="003C49E9">
            <w:pPr>
              <w:pStyle w:val="a3"/>
              <w:spacing w:before="0" w:beforeAutospacing="0" w:after="0" w:afterAutospacing="0"/>
              <w:jc w:val="right"/>
              <w:rPr>
                <w:sz w:val="20"/>
                <w:szCs w:val="20"/>
              </w:rPr>
            </w:pPr>
            <w:r>
              <w:rPr>
                <w:sz w:val="19"/>
                <w:szCs w:val="19"/>
              </w:rPr>
              <w:t>(</w:t>
            </w:r>
            <w:r>
              <w:rPr>
                <w:sz w:val="19"/>
                <w:szCs w:val="19"/>
              </w:rPr>
              <w:t>4,35</w:t>
            </w:r>
            <w:r>
              <w:rPr>
                <w:sz w:val="19"/>
                <w:szCs w:val="19"/>
              </w:rPr>
              <w:t>4</w:t>
            </w:r>
          </w:p>
        </w:tc>
        <w:tc>
          <w:tcPr>
            <w:tcW w:w="0" w:type="auto"/>
            <w:noWrap/>
            <w:vAlign w:val="bottom"/>
            <w:hideMark/>
          </w:tcPr>
          <w:p w14:paraId="7C9B34A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93F57A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E11DCF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E568D8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9813F4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E66481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4E8490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46BE5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B00711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B001BD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E3994D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2101F13" w14:textId="77777777" w:rsidR="00000000" w:rsidRDefault="003C49E9">
            <w:pPr>
              <w:pStyle w:val="a3"/>
              <w:spacing w:before="0" w:beforeAutospacing="0" w:after="0" w:afterAutospacing="0"/>
              <w:jc w:val="right"/>
              <w:rPr>
                <w:sz w:val="20"/>
                <w:szCs w:val="20"/>
              </w:rPr>
            </w:pPr>
            <w:r>
              <w:rPr>
                <w:sz w:val="19"/>
                <w:szCs w:val="19"/>
              </w:rPr>
              <w:t>(</w:t>
            </w:r>
            <w:r>
              <w:rPr>
                <w:sz w:val="19"/>
                <w:szCs w:val="19"/>
              </w:rPr>
              <w:t>4,35</w:t>
            </w:r>
            <w:r>
              <w:rPr>
                <w:sz w:val="19"/>
                <w:szCs w:val="19"/>
              </w:rPr>
              <w:t>4</w:t>
            </w:r>
          </w:p>
        </w:tc>
        <w:tc>
          <w:tcPr>
            <w:tcW w:w="0" w:type="auto"/>
            <w:noWrap/>
            <w:vAlign w:val="bottom"/>
            <w:hideMark/>
          </w:tcPr>
          <w:p w14:paraId="1F84F85E" w14:textId="77777777" w:rsidR="00000000" w:rsidRDefault="003C49E9">
            <w:pPr>
              <w:pStyle w:val="a3"/>
              <w:spacing w:before="0" w:beforeAutospacing="0" w:after="0" w:afterAutospacing="0"/>
              <w:rPr>
                <w:sz w:val="19"/>
                <w:szCs w:val="19"/>
              </w:rPr>
            </w:pPr>
            <w:r>
              <w:rPr>
                <w:sz w:val="19"/>
                <w:szCs w:val="19"/>
              </w:rPr>
              <w:t>)</w:t>
            </w:r>
          </w:p>
        </w:tc>
      </w:tr>
      <w:tr w:rsidR="00000000" w14:paraId="41B04F63" w14:textId="77777777">
        <w:trPr>
          <w:trHeight w:val="180"/>
          <w:tblCellSpacing w:w="15" w:type="dxa"/>
        </w:trPr>
        <w:tc>
          <w:tcPr>
            <w:tcW w:w="0" w:type="auto"/>
            <w:vAlign w:val="bottom"/>
            <w:hideMark/>
          </w:tcPr>
          <w:p w14:paraId="61093F3A" w14:textId="77777777" w:rsidR="00000000" w:rsidRDefault="003C49E9">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14:paraId="3ACB6F6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7DD2B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B0A23A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F05AD3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7D29C4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C30BD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6AA171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6449AF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0FA6FE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A450F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4C27E8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7CCB5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292F3A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A98FB1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9E69E5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F56485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C22741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CD916B" w14:textId="77777777" w:rsidR="00000000" w:rsidRDefault="003C49E9">
            <w:pPr>
              <w:pStyle w:val="a3"/>
              <w:spacing w:before="0" w:beforeAutospacing="0" w:after="0" w:afterAutospacing="0"/>
              <w:jc w:val="right"/>
              <w:rPr>
                <w:sz w:val="20"/>
                <w:szCs w:val="20"/>
              </w:rPr>
            </w:pPr>
            <w:r>
              <w:rPr>
                <w:sz w:val="19"/>
                <w:szCs w:val="19"/>
              </w:rPr>
              <w:t>46,43</w:t>
            </w:r>
            <w:r>
              <w:rPr>
                <w:sz w:val="19"/>
                <w:szCs w:val="19"/>
              </w:rPr>
              <w:t>6</w:t>
            </w:r>
          </w:p>
        </w:tc>
        <w:tc>
          <w:tcPr>
            <w:tcW w:w="0" w:type="auto"/>
            <w:noWrap/>
            <w:vAlign w:val="bottom"/>
            <w:hideMark/>
          </w:tcPr>
          <w:p w14:paraId="29508CA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230301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DB1CB4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8CF61D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6E95E2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CDF15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4B02AB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5626F7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C5BE82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CE6D10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DEEBD4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AE15497" w14:textId="77777777" w:rsidR="00000000" w:rsidRDefault="003C49E9">
            <w:pPr>
              <w:pStyle w:val="a3"/>
              <w:spacing w:before="0" w:beforeAutospacing="0" w:after="0" w:afterAutospacing="0"/>
              <w:jc w:val="right"/>
              <w:rPr>
                <w:sz w:val="20"/>
                <w:szCs w:val="20"/>
              </w:rPr>
            </w:pPr>
            <w:r>
              <w:rPr>
                <w:sz w:val="19"/>
                <w:szCs w:val="19"/>
              </w:rPr>
              <w:t>46,43</w:t>
            </w:r>
            <w:r>
              <w:rPr>
                <w:sz w:val="19"/>
                <w:szCs w:val="19"/>
              </w:rPr>
              <w:t>6</w:t>
            </w:r>
          </w:p>
        </w:tc>
        <w:tc>
          <w:tcPr>
            <w:tcW w:w="0" w:type="auto"/>
            <w:noWrap/>
            <w:vAlign w:val="bottom"/>
            <w:hideMark/>
          </w:tcPr>
          <w:p w14:paraId="31771D6B" w14:textId="77777777" w:rsidR="00000000" w:rsidRDefault="003C49E9">
            <w:pPr>
              <w:pStyle w:val="a3"/>
              <w:spacing w:before="0" w:beforeAutospacing="0" w:after="0" w:afterAutospacing="0"/>
              <w:rPr>
                <w:sz w:val="19"/>
                <w:szCs w:val="19"/>
              </w:rPr>
            </w:pPr>
            <w:r>
              <w:rPr>
                <w:sz w:val="19"/>
                <w:szCs w:val="19"/>
              </w:rPr>
              <w:t> </w:t>
            </w:r>
          </w:p>
        </w:tc>
      </w:tr>
      <w:tr w:rsidR="00000000" w14:paraId="211A5025" w14:textId="77777777">
        <w:trPr>
          <w:trHeight w:val="180"/>
          <w:tblCellSpacing w:w="15" w:type="dxa"/>
        </w:trPr>
        <w:tc>
          <w:tcPr>
            <w:tcW w:w="0" w:type="auto"/>
            <w:vAlign w:val="bottom"/>
            <w:hideMark/>
          </w:tcPr>
          <w:p w14:paraId="23E267AD" w14:textId="77777777" w:rsidR="00000000" w:rsidRDefault="003C49E9">
            <w:pPr>
              <w:pStyle w:val="a3"/>
              <w:spacing w:before="0" w:beforeAutospacing="0" w:after="0" w:afterAutospacing="0"/>
              <w:rPr>
                <w:sz w:val="19"/>
                <w:szCs w:val="19"/>
              </w:rPr>
            </w:pPr>
            <w:r>
              <w:rPr>
                <w:sz w:val="19"/>
                <w:szCs w:val="19"/>
              </w:rPr>
              <w:t>Conversion of the 2025 Note</w:t>
            </w:r>
            <w:r>
              <w:rPr>
                <w:sz w:val="19"/>
                <w:szCs w:val="19"/>
              </w:rPr>
              <w:t>s</w:t>
            </w:r>
          </w:p>
        </w:tc>
        <w:tc>
          <w:tcPr>
            <w:tcW w:w="0" w:type="auto"/>
            <w:noWrap/>
            <w:vAlign w:val="bottom"/>
            <w:hideMark/>
          </w:tcPr>
          <w:p w14:paraId="3FB0221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319198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4F476C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7E89D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E7BB2A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A80D86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BFAC24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DFD10D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07BCE2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8A0F4C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1DC4AB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B2A498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054C3F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EEE026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BDE8A3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36A7D8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75DD05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50EC44B" w14:textId="77777777" w:rsidR="00000000" w:rsidRDefault="003C49E9">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14:paraId="428D428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03EAB6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F4297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BF2BE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9048D9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EB8D51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3D48BA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BFE88D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ED5888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0E2D7B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97B58E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C0DAD2B" w14:textId="77777777" w:rsidR="00000000" w:rsidRDefault="003C49E9">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14:paraId="73B92701" w14:textId="77777777" w:rsidR="00000000" w:rsidRDefault="003C49E9">
            <w:pPr>
              <w:pStyle w:val="a3"/>
              <w:spacing w:before="0" w:beforeAutospacing="0" w:after="0" w:afterAutospacing="0"/>
              <w:rPr>
                <w:sz w:val="19"/>
                <w:szCs w:val="19"/>
              </w:rPr>
            </w:pPr>
            <w:r>
              <w:rPr>
                <w:sz w:val="19"/>
                <w:szCs w:val="19"/>
              </w:rPr>
              <w:t>)</w:t>
            </w:r>
          </w:p>
        </w:tc>
      </w:tr>
      <w:tr w:rsidR="00000000" w14:paraId="48D73885" w14:textId="77777777">
        <w:trPr>
          <w:trHeight w:val="180"/>
          <w:tblCellSpacing w:w="15" w:type="dxa"/>
        </w:trPr>
        <w:tc>
          <w:tcPr>
            <w:tcW w:w="0" w:type="auto"/>
            <w:vAlign w:val="bottom"/>
            <w:hideMark/>
          </w:tcPr>
          <w:p w14:paraId="09815BCF" w14:textId="77777777" w:rsidR="00000000" w:rsidRDefault="003C49E9">
            <w:pPr>
              <w:pStyle w:val="a3"/>
              <w:spacing w:before="0" w:beforeAutospacing="0" w:after="0" w:afterAutospacing="0"/>
              <w:rPr>
                <w:sz w:val="19"/>
                <w:szCs w:val="19"/>
              </w:rPr>
            </w:pPr>
            <w:r>
              <w:rPr>
                <w:sz w:val="19"/>
                <w:szCs w:val="19"/>
              </w:rPr>
              <w:t xml:space="preserve">Cumulative adjustment from adoption of </w:t>
            </w:r>
            <w:r>
              <w:rPr>
                <w:sz w:val="19"/>
                <w:szCs w:val="19"/>
              </w:rPr>
              <w:br/>
              <w:t>  convertible debt standard (Note 8</w:t>
            </w:r>
            <w:r>
              <w:rPr>
                <w:sz w:val="19"/>
                <w:szCs w:val="19"/>
              </w:rPr>
              <w:t>)</w:t>
            </w:r>
          </w:p>
        </w:tc>
        <w:tc>
          <w:tcPr>
            <w:tcW w:w="0" w:type="auto"/>
            <w:noWrap/>
            <w:vAlign w:val="bottom"/>
            <w:hideMark/>
          </w:tcPr>
          <w:p w14:paraId="42ABC8C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343279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25241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96FD0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3758C7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F9AC7C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FEE5A7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611137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823C73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F9D874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95B9EE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AEB3A1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D21479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0C482F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DE1E58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E300A3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403EDF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CBFF01" w14:textId="77777777" w:rsidR="00000000" w:rsidRDefault="003C49E9">
            <w:pPr>
              <w:pStyle w:val="a3"/>
              <w:spacing w:before="0" w:beforeAutospacing="0" w:after="0" w:afterAutospacing="0"/>
              <w:jc w:val="right"/>
              <w:rPr>
                <w:sz w:val="20"/>
                <w:szCs w:val="20"/>
              </w:rPr>
            </w:pPr>
            <w:r>
              <w:rPr>
                <w:sz w:val="19"/>
                <w:szCs w:val="19"/>
              </w:rPr>
              <w:t>(</w:t>
            </w:r>
            <w:r>
              <w:rPr>
                <w:sz w:val="19"/>
                <w:szCs w:val="19"/>
              </w:rPr>
              <w:t>101,16</w:t>
            </w:r>
            <w:r>
              <w:rPr>
                <w:sz w:val="19"/>
                <w:szCs w:val="19"/>
              </w:rPr>
              <w:t>7</w:t>
            </w:r>
          </w:p>
        </w:tc>
        <w:tc>
          <w:tcPr>
            <w:tcW w:w="0" w:type="auto"/>
            <w:noWrap/>
            <w:vAlign w:val="bottom"/>
            <w:hideMark/>
          </w:tcPr>
          <w:p w14:paraId="2E02BC0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9F348E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540BE4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CF928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9348FB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0796CE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D54314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F2B287" w14:textId="77777777" w:rsidR="00000000" w:rsidRDefault="003C49E9">
            <w:pPr>
              <w:pStyle w:val="a3"/>
              <w:spacing w:before="0" w:beforeAutospacing="0" w:after="0" w:afterAutospacing="0"/>
              <w:jc w:val="right"/>
              <w:rPr>
                <w:sz w:val="20"/>
                <w:szCs w:val="20"/>
              </w:rPr>
            </w:pPr>
            <w:r>
              <w:rPr>
                <w:sz w:val="19"/>
                <w:szCs w:val="19"/>
              </w:rPr>
              <w:t>31,36</w:t>
            </w:r>
            <w:r>
              <w:rPr>
                <w:sz w:val="19"/>
                <w:szCs w:val="19"/>
              </w:rPr>
              <w:t>6</w:t>
            </w:r>
          </w:p>
        </w:tc>
        <w:tc>
          <w:tcPr>
            <w:tcW w:w="0" w:type="auto"/>
            <w:noWrap/>
            <w:vAlign w:val="bottom"/>
            <w:hideMark/>
          </w:tcPr>
          <w:p w14:paraId="36B7C10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276120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69E452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CF9BE5" w14:textId="77777777" w:rsidR="00000000" w:rsidRDefault="003C49E9">
            <w:pPr>
              <w:pStyle w:val="a3"/>
              <w:spacing w:before="0" w:beforeAutospacing="0" w:after="0" w:afterAutospacing="0"/>
              <w:jc w:val="right"/>
              <w:rPr>
                <w:sz w:val="20"/>
                <w:szCs w:val="20"/>
              </w:rPr>
            </w:pPr>
            <w:r>
              <w:rPr>
                <w:sz w:val="19"/>
                <w:szCs w:val="19"/>
              </w:rPr>
              <w:t>(</w:t>
            </w:r>
            <w:r>
              <w:rPr>
                <w:sz w:val="19"/>
                <w:szCs w:val="19"/>
              </w:rPr>
              <w:t>69,80</w:t>
            </w:r>
            <w:r>
              <w:rPr>
                <w:sz w:val="19"/>
                <w:szCs w:val="19"/>
              </w:rPr>
              <w:t>1</w:t>
            </w:r>
          </w:p>
        </w:tc>
        <w:tc>
          <w:tcPr>
            <w:tcW w:w="0" w:type="auto"/>
            <w:noWrap/>
            <w:vAlign w:val="bottom"/>
            <w:hideMark/>
          </w:tcPr>
          <w:p w14:paraId="779C78E7" w14:textId="77777777" w:rsidR="00000000" w:rsidRDefault="003C49E9">
            <w:pPr>
              <w:pStyle w:val="a3"/>
              <w:spacing w:before="0" w:beforeAutospacing="0" w:after="0" w:afterAutospacing="0"/>
              <w:rPr>
                <w:sz w:val="19"/>
                <w:szCs w:val="19"/>
              </w:rPr>
            </w:pPr>
            <w:r>
              <w:rPr>
                <w:sz w:val="19"/>
                <w:szCs w:val="19"/>
              </w:rPr>
              <w:t>)</w:t>
            </w:r>
          </w:p>
        </w:tc>
      </w:tr>
      <w:tr w:rsidR="00000000" w14:paraId="1C9B9549" w14:textId="77777777">
        <w:trPr>
          <w:trHeight w:val="180"/>
          <w:tblCellSpacing w:w="15" w:type="dxa"/>
        </w:trPr>
        <w:tc>
          <w:tcPr>
            <w:tcW w:w="0" w:type="auto"/>
            <w:vAlign w:val="bottom"/>
            <w:hideMark/>
          </w:tcPr>
          <w:p w14:paraId="03A010E0" w14:textId="77777777" w:rsidR="00000000" w:rsidRDefault="003C49E9">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14:paraId="2EB40A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C06F296"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195330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3D3081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1E9C92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D58CA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B815C6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CC19ED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AF6D73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AAB862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145E42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4E742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9CBAB2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72CC7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01AD96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1124A8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5C1491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31F19A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B2905E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FD317C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044DA8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C7F6832" w14:textId="77777777" w:rsidR="00000000" w:rsidRDefault="003C49E9">
            <w:pPr>
              <w:pStyle w:val="a3"/>
              <w:spacing w:before="0" w:beforeAutospacing="0" w:after="0" w:afterAutospacing="0"/>
              <w:jc w:val="right"/>
              <w:rPr>
                <w:sz w:val="20"/>
                <w:szCs w:val="20"/>
              </w:rPr>
            </w:pPr>
            <w:r>
              <w:rPr>
                <w:sz w:val="19"/>
                <w:szCs w:val="19"/>
              </w:rPr>
              <w:t>(</w:t>
            </w:r>
            <w:r>
              <w:rPr>
                <w:sz w:val="19"/>
                <w:szCs w:val="19"/>
              </w:rPr>
              <w:t>35</w:t>
            </w:r>
            <w:r>
              <w:rPr>
                <w:sz w:val="19"/>
                <w:szCs w:val="19"/>
              </w:rPr>
              <w:t>6</w:t>
            </w:r>
          </w:p>
        </w:tc>
        <w:tc>
          <w:tcPr>
            <w:tcW w:w="0" w:type="auto"/>
            <w:noWrap/>
            <w:vAlign w:val="bottom"/>
            <w:hideMark/>
          </w:tcPr>
          <w:p w14:paraId="1ECD1E2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E09BB4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662136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B8ECE8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096CE4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474C94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F5A347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9C396A" w14:textId="77777777" w:rsidR="00000000" w:rsidRDefault="003C49E9">
            <w:pPr>
              <w:pStyle w:val="a3"/>
              <w:spacing w:before="0" w:beforeAutospacing="0" w:after="0" w:afterAutospacing="0"/>
              <w:jc w:val="right"/>
              <w:rPr>
                <w:sz w:val="20"/>
                <w:szCs w:val="20"/>
              </w:rPr>
            </w:pPr>
            <w:r>
              <w:rPr>
                <w:sz w:val="19"/>
                <w:szCs w:val="19"/>
              </w:rPr>
              <w:t>(</w:t>
            </w:r>
            <w:r>
              <w:rPr>
                <w:sz w:val="19"/>
                <w:szCs w:val="19"/>
              </w:rPr>
              <w:t>35</w:t>
            </w:r>
            <w:r>
              <w:rPr>
                <w:sz w:val="19"/>
                <w:szCs w:val="19"/>
              </w:rPr>
              <w:t>6</w:t>
            </w:r>
          </w:p>
        </w:tc>
        <w:tc>
          <w:tcPr>
            <w:tcW w:w="0" w:type="auto"/>
            <w:noWrap/>
            <w:vAlign w:val="bottom"/>
            <w:hideMark/>
          </w:tcPr>
          <w:p w14:paraId="3E534C1C" w14:textId="77777777" w:rsidR="00000000" w:rsidRDefault="003C49E9">
            <w:pPr>
              <w:pStyle w:val="a3"/>
              <w:spacing w:before="0" w:beforeAutospacing="0" w:after="0" w:afterAutospacing="0"/>
              <w:rPr>
                <w:sz w:val="19"/>
                <w:szCs w:val="19"/>
              </w:rPr>
            </w:pPr>
            <w:r>
              <w:rPr>
                <w:sz w:val="19"/>
                <w:szCs w:val="19"/>
              </w:rPr>
              <w:t>)</w:t>
            </w:r>
          </w:p>
        </w:tc>
      </w:tr>
      <w:tr w:rsidR="00000000" w14:paraId="582BFAB8" w14:textId="77777777">
        <w:trPr>
          <w:trHeight w:val="180"/>
          <w:tblCellSpacing w:w="15" w:type="dxa"/>
        </w:trPr>
        <w:tc>
          <w:tcPr>
            <w:tcW w:w="0" w:type="auto"/>
            <w:vAlign w:val="bottom"/>
            <w:hideMark/>
          </w:tcPr>
          <w:p w14:paraId="17BAC419" w14:textId="77777777" w:rsidR="00000000" w:rsidRDefault="003C49E9">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noWrap/>
            <w:vAlign w:val="bottom"/>
            <w:hideMark/>
          </w:tcPr>
          <w:p w14:paraId="7301BDD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4DD856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1538A3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CEA835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BBCE01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7EDC38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771C39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6A4E2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34417A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64BA55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F133F2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06A32E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53088D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1FE525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4A86F0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CB725B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92F09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C7BA95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F1D4CF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1EAD6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DEFCE3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3C70700" w14:textId="77777777" w:rsidR="00000000" w:rsidRDefault="003C49E9">
            <w:pPr>
              <w:pStyle w:val="a3"/>
              <w:spacing w:before="0" w:beforeAutospacing="0" w:after="0" w:afterAutospacing="0"/>
              <w:jc w:val="right"/>
              <w:rPr>
                <w:sz w:val="20"/>
                <w:szCs w:val="20"/>
              </w:rPr>
            </w:pPr>
            <w:r>
              <w:rPr>
                <w:sz w:val="19"/>
                <w:szCs w:val="19"/>
              </w:rPr>
              <w:t>(</w:t>
            </w:r>
            <w:r>
              <w:rPr>
                <w:sz w:val="19"/>
                <w:szCs w:val="19"/>
              </w:rPr>
              <w:t>4,00</w:t>
            </w:r>
            <w:r>
              <w:rPr>
                <w:sz w:val="19"/>
                <w:szCs w:val="19"/>
              </w:rPr>
              <w:t>1</w:t>
            </w:r>
          </w:p>
        </w:tc>
        <w:tc>
          <w:tcPr>
            <w:tcW w:w="0" w:type="auto"/>
            <w:noWrap/>
            <w:vAlign w:val="bottom"/>
            <w:hideMark/>
          </w:tcPr>
          <w:p w14:paraId="5564378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0B24C0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31B34D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5C6A12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020347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E88E1D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44DBD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55B1097" w14:textId="77777777" w:rsidR="00000000" w:rsidRDefault="003C49E9">
            <w:pPr>
              <w:pStyle w:val="a3"/>
              <w:spacing w:before="0" w:beforeAutospacing="0" w:after="0" w:afterAutospacing="0"/>
              <w:jc w:val="right"/>
              <w:rPr>
                <w:sz w:val="20"/>
                <w:szCs w:val="20"/>
              </w:rPr>
            </w:pPr>
            <w:r>
              <w:rPr>
                <w:sz w:val="19"/>
                <w:szCs w:val="19"/>
              </w:rPr>
              <w:t>(</w:t>
            </w:r>
            <w:r>
              <w:rPr>
                <w:sz w:val="19"/>
                <w:szCs w:val="19"/>
              </w:rPr>
              <w:t>4,00</w:t>
            </w:r>
            <w:r>
              <w:rPr>
                <w:sz w:val="19"/>
                <w:szCs w:val="19"/>
              </w:rPr>
              <w:t>1</w:t>
            </w:r>
          </w:p>
        </w:tc>
        <w:tc>
          <w:tcPr>
            <w:tcW w:w="0" w:type="auto"/>
            <w:noWrap/>
            <w:vAlign w:val="bottom"/>
            <w:hideMark/>
          </w:tcPr>
          <w:p w14:paraId="51983B69" w14:textId="77777777" w:rsidR="00000000" w:rsidRDefault="003C49E9">
            <w:pPr>
              <w:pStyle w:val="a3"/>
              <w:spacing w:before="0" w:beforeAutospacing="0" w:after="0" w:afterAutospacing="0"/>
              <w:rPr>
                <w:sz w:val="19"/>
                <w:szCs w:val="19"/>
              </w:rPr>
            </w:pPr>
            <w:r>
              <w:rPr>
                <w:sz w:val="19"/>
                <w:szCs w:val="19"/>
              </w:rPr>
              <w:t>)</w:t>
            </w:r>
          </w:p>
        </w:tc>
      </w:tr>
      <w:tr w:rsidR="00000000" w14:paraId="5789D225" w14:textId="77777777">
        <w:trPr>
          <w:trHeight w:val="180"/>
          <w:tblCellSpacing w:w="15" w:type="dxa"/>
        </w:trPr>
        <w:tc>
          <w:tcPr>
            <w:tcW w:w="0" w:type="auto"/>
            <w:vAlign w:val="bottom"/>
            <w:hideMark/>
          </w:tcPr>
          <w:p w14:paraId="2A3E3AF0" w14:textId="77777777" w:rsidR="00000000" w:rsidRDefault="003C49E9">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14:paraId="3067D7B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ACB48B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3B282E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53D41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4FD6FB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9B2CF9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BD38C9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DC5F69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E91E85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8BBB4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19D8DD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57E16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A6EF3E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D8FAED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C3315A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ED1A76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C0F825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A091E4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ADC34C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E0C69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62ED5E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D123A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B52DAD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4A19A0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69E11E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9216FDC" w14:textId="77777777" w:rsidR="00000000" w:rsidRDefault="003C49E9">
            <w:pPr>
              <w:pStyle w:val="a3"/>
              <w:spacing w:before="0" w:beforeAutospacing="0" w:after="0" w:afterAutospacing="0"/>
              <w:jc w:val="right"/>
              <w:rPr>
                <w:sz w:val="20"/>
                <w:szCs w:val="20"/>
              </w:rPr>
            </w:pPr>
            <w:r>
              <w:rPr>
                <w:sz w:val="19"/>
                <w:szCs w:val="19"/>
              </w:rPr>
              <w:t>(</w:t>
            </w:r>
            <w:r>
              <w:rPr>
                <w:sz w:val="19"/>
                <w:szCs w:val="19"/>
              </w:rPr>
              <w:t>9,34</w:t>
            </w:r>
            <w:r>
              <w:rPr>
                <w:sz w:val="19"/>
                <w:szCs w:val="19"/>
              </w:rPr>
              <w:t>1</w:t>
            </w:r>
          </w:p>
        </w:tc>
        <w:tc>
          <w:tcPr>
            <w:tcW w:w="0" w:type="auto"/>
            <w:noWrap/>
            <w:vAlign w:val="bottom"/>
            <w:hideMark/>
          </w:tcPr>
          <w:p w14:paraId="52CD1374"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0701C6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7FDD43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FC3EC92" w14:textId="77777777" w:rsidR="00000000" w:rsidRDefault="003C49E9">
            <w:pPr>
              <w:pStyle w:val="a3"/>
              <w:spacing w:before="0" w:beforeAutospacing="0" w:after="0" w:afterAutospacing="0"/>
              <w:jc w:val="right"/>
              <w:rPr>
                <w:sz w:val="20"/>
                <w:szCs w:val="20"/>
              </w:rPr>
            </w:pPr>
            <w:r>
              <w:rPr>
                <w:sz w:val="19"/>
                <w:szCs w:val="19"/>
              </w:rPr>
              <w:t>(</w:t>
            </w:r>
            <w:r>
              <w:rPr>
                <w:sz w:val="19"/>
                <w:szCs w:val="19"/>
              </w:rPr>
              <w:t>9,34</w:t>
            </w:r>
            <w:r>
              <w:rPr>
                <w:sz w:val="19"/>
                <w:szCs w:val="19"/>
              </w:rPr>
              <w:t>1</w:t>
            </w:r>
          </w:p>
        </w:tc>
        <w:tc>
          <w:tcPr>
            <w:tcW w:w="0" w:type="auto"/>
            <w:noWrap/>
            <w:vAlign w:val="bottom"/>
            <w:hideMark/>
          </w:tcPr>
          <w:p w14:paraId="0A5770AA" w14:textId="77777777" w:rsidR="00000000" w:rsidRDefault="003C49E9">
            <w:pPr>
              <w:pStyle w:val="a3"/>
              <w:spacing w:before="0" w:beforeAutospacing="0" w:after="0" w:afterAutospacing="0"/>
              <w:rPr>
                <w:sz w:val="19"/>
                <w:szCs w:val="19"/>
              </w:rPr>
            </w:pPr>
            <w:r>
              <w:rPr>
                <w:sz w:val="19"/>
                <w:szCs w:val="19"/>
              </w:rPr>
              <w:t>)</w:t>
            </w:r>
          </w:p>
        </w:tc>
      </w:tr>
      <w:tr w:rsidR="00000000" w14:paraId="7678895F" w14:textId="77777777">
        <w:trPr>
          <w:trHeight w:val="180"/>
          <w:tblCellSpacing w:w="15" w:type="dxa"/>
        </w:trPr>
        <w:tc>
          <w:tcPr>
            <w:tcW w:w="0" w:type="auto"/>
            <w:vAlign w:val="bottom"/>
            <w:hideMark/>
          </w:tcPr>
          <w:p w14:paraId="5D4FAB9C" w14:textId="77777777" w:rsidR="00000000" w:rsidRDefault="003C49E9">
            <w:pPr>
              <w:pStyle w:val="a3"/>
              <w:spacing w:before="0" w:beforeAutospacing="0" w:after="0" w:afterAutospacing="0"/>
              <w:rPr>
                <w:sz w:val="19"/>
                <w:szCs w:val="19"/>
              </w:rPr>
            </w:pPr>
            <w:r>
              <w:rPr>
                <w:sz w:val="19"/>
                <w:szCs w:val="19"/>
              </w:rPr>
              <w:t>Balances at March 31, 202</w:t>
            </w:r>
            <w:r>
              <w:rPr>
                <w:sz w:val="19"/>
                <w:szCs w:val="19"/>
              </w:rPr>
              <w:t>2</w:t>
            </w:r>
          </w:p>
        </w:tc>
        <w:tc>
          <w:tcPr>
            <w:tcW w:w="0" w:type="auto"/>
            <w:noWrap/>
            <w:vAlign w:val="bottom"/>
            <w:hideMark/>
          </w:tcPr>
          <w:p w14:paraId="547755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10B0FC4" w14:textId="77777777" w:rsidR="00000000" w:rsidRDefault="003C49E9">
            <w:pPr>
              <w:pStyle w:val="a3"/>
              <w:spacing w:before="0" w:beforeAutospacing="0" w:after="0" w:afterAutospacing="0"/>
              <w:jc w:val="right"/>
              <w:rPr>
                <w:sz w:val="20"/>
                <w:szCs w:val="20"/>
              </w:rPr>
            </w:pPr>
            <w:r>
              <w:rPr>
                <w:sz w:val="19"/>
                <w:szCs w:val="19"/>
              </w:rPr>
              <w:t>47,64</w:t>
            </w:r>
            <w:r>
              <w:rPr>
                <w:sz w:val="19"/>
                <w:szCs w:val="19"/>
              </w:rPr>
              <w:t>0</w:t>
            </w:r>
          </w:p>
        </w:tc>
        <w:tc>
          <w:tcPr>
            <w:tcW w:w="0" w:type="auto"/>
            <w:noWrap/>
            <w:vAlign w:val="bottom"/>
            <w:hideMark/>
          </w:tcPr>
          <w:p w14:paraId="20688E1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1F276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43757B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A2E1AE4" w14:textId="77777777" w:rsidR="00000000" w:rsidRDefault="003C49E9">
            <w:pPr>
              <w:pStyle w:val="a3"/>
              <w:spacing w:before="0" w:beforeAutospacing="0" w:after="0" w:afterAutospacing="0"/>
              <w:jc w:val="right"/>
              <w:rPr>
                <w:sz w:val="20"/>
                <w:szCs w:val="20"/>
              </w:rPr>
            </w:pPr>
            <w:r>
              <w:rPr>
                <w:sz w:val="19"/>
                <w:szCs w:val="19"/>
              </w:rPr>
              <w:t>4</w:t>
            </w:r>
            <w:r>
              <w:rPr>
                <w:sz w:val="19"/>
                <w:szCs w:val="19"/>
              </w:rPr>
              <w:t>8</w:t>
            </w:r>
          </w:p>
        </w:tc>
        <w:tc>
          <w:tcPr>
            <w:tcW w:w="0" w:type="auto"/>
            <w:noWrap/>
            <w:vAlign w:val="bottom"/>
            <w:hideMark/>
          </w:tcPr>
          <w:p w14:paraId="05CA9B3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8B210A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236D2C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C4107E4" w14:textId="77777777" w:rsidR="00000000" w:rsidRDefault="003C49E9">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14:paraId="25D8896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F1AEFA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68DA5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C8C50F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E0B9B2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E4D001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B08432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705D542" w14:textId="77777777" w:rsidR="00000000" w:rsidRDefault="003C49E9">
            <w:pPr>
              <w:pStyle w:val="a3"/>
              <w:spacing w:before="0" w:beforeAutospacing="0" w:after="0" w:afterAutospacing="0"/>
              <w:jc w:val="right"/>
              <w:rPr>
                <w:sz w:val="20"/>
                <w:szCs w:val="20"/>
              </w:rPr>
            </w:pPr>
            <w:r>
              <w:rPr>
                <w:sz w:val="19"/>
                <w:szCs w:val="19"/>
              </w:rPr>
              <w:t>1,378,45</w:t>
            </w:r>
            <w:r>
              <w:rPr>
                <w:sz w:val="19"/>
                <w:szCs w:val="19"/>
              </w:rPr>
              <w:t>7</w:t>
            </w:r>
          </w:p>
        </w:tc>
        <w:tc>
          <w:tcPr>
            <w:tcW w:w="0" w:type="auto"/>
            <w:noWrap/>
            <w:vAlign w:val="bottom"/>
            <w:hideMark/>
          </w:tcPr>
          <w:p w14:paraId="65D342D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4B8AB6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B94016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805CF5D" w14:textId="77777777" w:rsidR="00000000" w:rsidRDefault="003C49E9">
            <w:pPr>
              <w:pStyle w:val="a3"/>
              <w:spacing w:before="0" w:beforeAutospacing="0" w:after="0" w:afterAutospacing="0"/>
              <w:jc w:val="right"/>
              <w:rPr>
                <w:sz w:val="20"/>
                <w:szCs w:val="20"/>
              </w:rPr>
            </w:pPr>
            <w:r>
              <w:rPr>
                <w:sz w:val="19"/>
                <w:szCs w:val="19"/>
              </w:rPr>
              <w:t>(</w:t>
            </w:r>
            <w:r>
              <w:rPr>
                <w:sz w:val="19"/>
                <w:szCs w:val="19"/>
              </w:rPr>
              <w:t>5,69</w:t>
            </w:r>
            <w:r>
              <w:rPr>
                <w:sz w:val="19"/>
                <w:szCs w:val="19"/>
              </w:rPr>
              <w:t>6</w:t>
            </w:r>
          </w:p>
        </w:tc>
        <w:tc>
          <w:tcPr>
            <w:tcW w:w="0" w:type="auto"/>
            <w:noWrap/>
            <w:vAlign w:val="bottom"/>
            <w:hideMark/>
          </w:tcPr>
          <w:p w14:paraId="01F0F6A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432622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BEBEF3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5463181" w14:textId="77777777" w:rsidR="00000000" w:rsidRDefault="003C49E9">
            <w:pPr>
              <w:pStyle w:val="a3"/>
              <w:spacing w:before="0" w:beforeAutospacing="0" w:after="0" w:afterAutospacing="0"/>
              <w:jc w:val="right"/>
              <w:rPr>
                <w:sz w:val="20"/>
                <w:szCs w:val="20"/>
              </w:rPr>
            </w:pPr>
            <w:r>
              <w:rPr>
                <w:sz w:val="19"/>
                <w:szCs w:val="19"/>
              </w:rPr>
              <w:t>(</w:t>
            </w:r>
            <w:r>
              <w:rPr>
                <w:sz w:val="19"/>
                <w:szCs w:val="19"/>
              </w:rPr>
              <w:t>538,97</w:t>
            </w:r>
            <w:r>
              <w:rPr>
                <w:sz w:val="19"/>
                <w:szCs w:val="19"/>
              </w:rPr>
              <w:t>3</w:t>
            </w:r>
          </w:p>
        </w:tc>
        <w:tc>
          <w:tcPr>
            <w:tcW w:w="0" w:type="auto"/>
            <w:noWrap/>
            <w:vAlign w:val="bottom"/>
            <w:hideMark/>
          </w:tcPr>
          <w:p w14:paraId="00E6182E"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63A48E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50C3FA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1F2DEAB" w14:textId="77777777" w:rsidR="00000000" w:rsidRDefault="003C49E9">
            <w:pPr>
              <w:pStyle w:val="a3"/>
              <w:spacing w:before="0" w:beforeAutospacing="0" w:after="0" w:afterAutospacing="0"/>
              <w:jc w:val="right"/>
              <w:rPr>
                <w:sz w:val="20"/>
                <w:szCs w:val="20"/>
              </w:rPr>
            </w:pPr>
            <w:r>
              <w:rPr>
                <w:sz w:val="19"/>
                <w:szCs w:val="19"/>
              </w:rPr>
              <w:t>833,83</w:t>
            </w:r>
            <w:r>
              <w:rPr>
                <w:sz w:val="19"/>
                <w:szCs w:val="19"/>
              </w:rPr>
              <w:t>6</w:t>
            </w:r>
          </w:p>
        </w:tc>
        <w:tc>
          <w:tcPr>
            <w:tcW w:w="0" w:type="auto"/>
            <w:noWrap/>
            <w:vAlign w:val="bottom"/>
            <w:hideMark/>
          </w:tcPr>
          <w:p w14:paraId="6D5524FA" w14:textId="77777777" w:rsidR="00000000" w:rsidRDefault="003C49E9">
            <w:pPr>
              <w:pStyle w:val="a3"/>
              <w:spacing w:before="0" w:beforeAutospacing="0" w:after="0" w:afterAutospacing="0"/>
              <w:rPr>
                <w:sz w:val="19"/>
                <w:szCs w:val="19"/>
              </w:rPr>
            </w:pPr>
            <w:r>
              <w:rPr>
                <w:sz w:val="19"/>
                <w:szCs w:val="19"/>
              </w:rPr>
              <w:t> </w:t>
            </w:r>
          </w:p>
        </w:tc>
      </w:tr>
      <w:tr w:rsidR="00000000" w14:paraId="2B7A9F85" w14:textId="77777777">
        <w:trPr>
          <w:trHeight w:val="180"/>
          <w:tblCellSpacing w:w="15" w:type="dxa"/>
        </w:trPr>
        <w:tc>
          <w:tcPr>
            <w:tcW w:w="0" w:type="auto"/>
            <w:vAlign w:val="bottom"/>
            <w:hideMark/>
          </w:tcPr>
          <w:p w14:paraId="093AF9C6" w14:textId="77777777" w:rsidR="00000000" w:rsidRDefault="003C49E9">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noWrap/>
            <w:vAlign w:val="bottom"/>
            <w:hideMark/>
          </w:tcPr>
          <w:p w14:paraId="368CE8F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D10804" w14:textId="77777777" w:rsidR="00000000" w:rsidRDefault="003C49E9">
            <w:pPr>
              <w:pStyle w:val="a3"/>
              <w:spacing w:before="0" w:beforeAutospacing="0" w:after="0" w:afterAutospacing="0"/>
              <w:jc w:val="right"/>
              <w:rPr>
                <w:sz w:val="20"/>
                <w:szCs w:val="20"/>
              </w:rPr>
            </w:pPr>
            <w:r>
              <w:rPr>
                <w:sz w:val="19"/>
                <w:szCs w:val="19"/>
              </w:rPr>
              <w:t>25</w:t>
            </w:r>
            <w:r>
              <w:rPr>
                <w:sz w:val="19"/>
                <w:szCs w:val="19"/>
              </w:rPr>
              <w:t>6</w:t>
            </w:r>
          </w:p>
        </w:tc>
        <w:tc>
          <w:tcPr>
            <w:tcW w:w="0" w:type="auto"/>
            <w:noWrap/>
            <w:vAlign w:val="bottom"/>
            <w:hideMark/>
          </w:tcPr>
          <w:p w14:paraId="2C2D709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44793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BEA12B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DDC95A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265F0B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BD0C6D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36A0E7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B8A5C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4BD450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C0EB13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AB0FB8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2AEF3D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CCC571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36EA9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3D2BB1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660FE9C" w14:textId="77777777" w:rsidR="00000000" w:rsidRDefault="003C49E9">
            <w:pPr>
              <w:pStyle w:val="a3"/>
              <w:spacing w:before="0" w:beforeAutospacing="0" w:after="0" w:afterAutospacing="0"/>
              <w:jc w:val="right"/>
              <w:rPr>
                <w:sz w:val="20"/>
                <w:szCs w:val="20"/>
              </w:rPr>
            </w:pPr>
            <w:r>
              <w:rPr>
                <w:sz w:val="19"/>
                <w:szCs w:val="19"/>
              </w:rPr>
              <w:t>18,54</w:t>
            </w:r>
            <w:r>
              <w:rPr>
                <w:sz w:val="19"/>
                <w:szCs w:val="19"/>
              </w:rPr>
              <w:t>8</w:t>
            </w:r>
          </w:p>
        </w:tc>
        <w:tc>
          <w:tcPr>
            <w:tcW w:w="0" w:type="auto"/>
            <w:noWrap/>
            <w:vAlign w:val="bottom"/>
            <w:hideMark/>
          </w:tcPr>
          <w:p w14:paraId="72146D8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BBB3F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FF4847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28AB2B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DF7802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AFD532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36BF57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B5424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7BB97E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BF15B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7AFF78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B8A44F" w14:textId="77777777" w:rsidR="00000000" w:rsidRDefault="003C49E9">
            <w:pPr>
              <w:pStyle w:val="a3"/>
              <w:spacing w:before="0" w:beforeAutospacing="0" w:after="0" w:afterAutospacing="0"/>
              <w:jc w:val="right"/>
              <w:rPr>
                <w:sz w:val="20"/>
                <w:szCs w:val="20"/>
              </w:rPr>
            </w:pPr>
            <w:r>
              <w:rPr>
                <w:sz w:val="19"/>
                <w:szCs w:val="19"/>
              </w:rPr>
              <w:t>18,54</w:t>
            </w:r>
            <w:r>
              <w:rPr>
                <w:sz w:val="19"/>
                <w:szCs w:val="19"/>
              </w:rPr>
              <w:t>8</w:t>
            </w:r>
          </w:p>
        </w:tc>
        <w:tc>
          <w:tcPr>
            <w:tcW w:w="0" w:type="auto"/>
            <w:noWrap/>
            <w:vAlign w:val="bottom"/>
            <w:hideMark/>
          </w:tcPr>
          <w:p w14:paraId="2A842B37" w14:textId="77777777" w:rsidR="00000000" w:rsidRDefault="003C49E9">
            <w:pPr>
              <w:pStyle w:val="a3"/>
              <w:spacing w:before="0" w:beforeAutospacing="0" w:after="0" w:afterAutospacing="0"/>
              <w:rPr>
                <w:sz w:val="19"/>
                <w:szCs w:val="19"/>
              </w:rPr>
            </w:pPr>
            <w:r>
              <w:rPr>
                <w:sz w:val="19"/>
                <w:szCs w:val="19"/>
              </w:rPr>
              <w:t> </w:t>
            </w:r>
          </w:p>
        </w:tc>
      </w:tr>
      <w:tr w:rsidR="00000000" w14:paraId="24ADA673" w14:textId="77777777">
        <w:trPr>
          <w:trHeight w:val="180"/>
          <w:tblCellSpacing w:w="15" w:type="dxa"/>
        </w:trPr>
        <w:tc>
          <w:tcPr>
            <w:tcW w:w="0" w:type="auto"/>
            <w:vAlign w:val="bottom"/>
            <w:hideMark/>
          </w:tcPr>
          <w:p w14:paraId="1A46702F" w14:textId="77777777" w:rsidR="00000000" w:rsidRDefault="003C49E9">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noWrap/>
            <w:vAlign w:val="bottom"/>
            <w:hideMark/>
          </w:tcPr>
          <w:p w14:paraId="1B4A7DC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3C76EA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4EC6A6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CBA258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C3E12B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460E78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49FC37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019C13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716E5F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807C4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02DC52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6F15CE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48708A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B63C19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D0780C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3E4E70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F7EE37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1E9E8E2" w14:textId="77777777" w:rsidR="00000000" w:rsidRDefault="003C49E9">
            <w:pPr>
              <w:pStyle w:val="a3"/>
              <w:spacing w:before="0" w:beforeAutospacing="0" w:after="0" w:afterAutospacing="0"/>
              <w:jc w:val="right"/>
              <w:rPr>
                <w:sz w:val="20"/>
                <w:szCs w:val="20"/>
              </w:rPr>
            </w:pPr>
            <w:r>
              <w:rPr>
                <w:sz w:val="19"/>
                <w:szCs w:val="19"/>
              </w:rPr>
              <w:t>(</w:t>
            </w:r>
            <w:r>
              <w:rPr>
                <w:sz w:val="19"/>
                <w:szCs w:val="19"/>
              </w:rPr>
              <w:t>3,40</w:t>
            </w:r>
            <w:r>
              <w:rPr>
                <w:sz w:val="19"/>
                <w:szCs w:val="19"/>
              </w:rPr>
              <w:t>9</w:t>
            </w:r>
          </w:p>
        </w:tc>
        <w:tc>
          <w:tcPr>
            <w:tcW w:w="0" w:type="auto"/>
            <w:noWrap/>
            <w:vAlign w:val="bottom"/>
            <w:hideMark/>
          </w:tcPr>
          <w:p w14:paraId="159801F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3902EB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D5D992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AC8F8C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AFCF06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49FF19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041AF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38AC81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E2B4F8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E96F63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06F6AE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D65D79F" w14:textId="77777777" w:rsidR="00000000" w:rsidRDefault="003C49E9">
            <w:pPr>
              <w:pStyle w:val="a3"/>
              <w:spacing w:before="0" w:beforeAutospacing="0" w:after="0" w:afterAutospacing="0"/>
              <w:jc w:val="right"/>
              <w:rPr>
                <w:sz w:val="20"/>
                <w:szCs w:val="20"/>
              </w:rPr>
            </w:pPr>
            <w:r>
              <w:rPr>
                <w:sz w:val="19"/>
                <w:szCs w:val="19"/>
              </w:rPr>
              <w:t>(</w:t>
            </w:r>
            <w:r>
              <w:rPr>
                <w:sz w:val="19"/>
                <w:szCs w:val="19"/>
              </w:rPr>
              <w:t>3,40</w:t>
            </w:r>
            <w:r>
              <w:rPr>
                <w:sz w:val="19"/>
                <w:szCs w:val="19"/>
              </w:rPr>
              <w:t>9</w:t>
            </w:r>
          </w:p>
        </w:tc>
        <w:tc>
          <w:tcPr>
            <w:tcW w:w="0" w:type="auto"/>
            <w:noWrap/>
            <w:vAlign w:val="bottom"/>
            <w:hideMark/>
          </w:tcPr>
          <w:p w14:paraId="370DBA37" w14:textId="77777777" w:rsidR="00000000" w:rsidRDefault="003C49E9">
            <w:pPr>
              <w:pStyle w:val="a3"/>
              <w:spacing w:before="0" w:beforeAutospacing="0" w:after="0" w:afterAutospacing="0"/>
              <w:rPr>
                <w:sz w:val="19"/>
                <w:szCs w:val="19"/>
              </w:rPr>
            </w:pPr>
            <w:r>
              <w:rPr>
                <w:sz w:val="19"/>
                <w:szCs w:val="19"/>
              </w:rPr>
              <w:t>)</w:t>
            </w:r>
          </w:p>
        </w:tc>
      </w:tr>
      <w:tr w:rsidR="00000000" w14:paraId="3B8E743F" w14:textId="77777777">
        <w:trPr>
          <w:trHeight w:val="180"/>
          <w:tblCellSpacing w:w="15" w:type="dxa"/>
        </w:trPr>
        <w:tc>
          <w:tcPr>
            <w:tcW w:w="0" w:type="auto"/>
            <w:vAlign w:val="bottom"/>
            <w:hideMark/>
          </w:tcPr>
          <w:p w14:paraId="34D754C8" w14:textId="77777777" w:rsidR="00000000" w:rsidRDefault="003C49E9">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14:paraId="43DC4FA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E9839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A69958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9AA1C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A3D368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6257E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CD1FD0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EE3AD8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F86288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CCC9B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364083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F9BF46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CFD009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10D936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0DBABE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65DC71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6AA542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6AB16E" w14:textId="77777777" w:rsidR="00000000" w:rsidRDefault="003C49E9">
            <w:pPr>
              <w:pStyle w:val="a3"/>
              <w:spacing w:before="0" w:beforeAutospacing="0" w:after="0" w:afterAutospacing="0"/>
              <w:jc w:val="right"/>
              <w:rPr>
                <w:sz w:val="20"/>
                <w:szCs w:val="20"/>
              </w:rPr>
            </w:pPr>
            <w:r>
              <w:rPr>
                <w:sz w:val="19"/>
                <w:szCs w:val="19"/>
              </w:rPr>
              <w:t>84,11</w:t>
            </w:r>
            <w:r>
              <w:rPr>
                <w:sz w:val="19"/>
                <w:szCs w:val="19"/>
              </w:rPr>
              <w:t>3</w:t>
            </w:r>
          </w:p>
        </w:tc>
        <w:tc>
          <w:tcPr>
            <w:tcW w:w="0" w:type="auto"/>
            <w:noWrap/>
            <w:vAlign w:val="bottom"/>
            <w:hideMark/>
          </w:tcPr>
          <w:p w14:paraId="1B25AD3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F72F22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C137A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A801DC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003A35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69E8CC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B8BD3B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E46BD5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ADB3D6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7CEE1A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6B4C93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09850AB" w14:textId="77777777" w:rsidR="00000000" w:rsidRDefault="003C49E9">
            <w:pPr>
              <w:pStyle w:val="a3"/>
              <w:spacing w:before="0" w:beforeAutospacing="0" w:after="0" w:afterAutospacing="0"/>
              <w:jc w:val="right"/>
              <w:rPr>
                <w:sz w:val="20"/>
                <w:szCs w:val="20"/>
              </w:rPr>
            </w:pPr>
            <w:r>
              <w:rPr>
                <w:sz w:val="19"/>
                <w:szCs w:val="19"/>
              </w:rPr>
              <w:t>84,11</w:t>
            </w:r>
            <w:r>
              <w:rPr>
                <w:sz w:val="19"/>
                <w:szCs w:val="19"/>
              </w:rPr>
              <w:t>3</w:t>
            </w:r>
          </w:p>
        </w:tc>
        <w:tc>
          <w:tcPr>
            <w:tcW w:w="0" w:type="auto"/>
            <w:noWrap/>
            <w:vAlign w:val="bottom"/>
            <w:hideMark/>
          </w:tcPr>
          <w:p w14:paraId="1E5B9C78" w14:textId="77777777" w:rsidR="00000000" w:rsidRDefault="003C49E9">
            <w:pPr>
              <w:pStyle w:val="a3"/>
              <w:spacing w:before="0" w:beforeAutospacing="0" w:after="0" w:afterAutospacing="0"/>
              <w:rPr>
                <w:sz w:val="19"/>
                <w:szCs w:val="19"/>
              </w:rPr>
            </w:pPr>
            <w:r>
              <w:rPr>
                <w:sz w:val="19"/>
                <w:szCs w:val="19"/>
              </w:rPr>
              <w:t> </w:t>
            </w:r>
          </w:p>
        </w:tc>
      </w:tr>
      <w:tr w:rsidR="00000000" w14:paraId="7D9D5507" w14:textId="77777777">
        <w:trPr>
          <w:trHeight w:val="180"/>
          <w:tblCellSpacing w:w="15" w:type="dxa"/>
        </w:trPr>
        <w:tc>
          <w:tcPr>
            <w:tcW w:w="0" w:type="auto"/>
            <w:vAlign w:val="bottom"/>
            <w:hideMark/>
          </w:tcPr>
          <w:p w14:paraId="630E67C1" w14:textId="77777777" w:rsidR="00000000" w:rsidRDefault="003C49E9">
            <w:pPr>
              <w:pStyle w:val="a3"/>
              <w:spacing w:before="0" w:beforeAutospacing="0" w:after="0" w:afterAutospacing="0"/>
              <w:rPr>
                <w:sz w:val="19"/>
                <w:szCs w:val="19"/>
              </w:rPr>
            </w:pPr>
            <w:r>
              <w:rPr>
                <w:sz w:val="19"/>
                <w:szCs w:val="19"/>
              </w:rPr>
              <w:t>Conversion of the 2022 Note</w:t>
            </w:r>
            <w:r>
              <w:rPr>
                <w:sz w:val="19"/>
                <w:szCs w:val="19"/>
              </w:rPr>
              <w:t>s</w:t>
            </w:r>
          </w:p>
        </w:tc>
        <w:tc>
          <w:tcPr>
            <w:tcW w:w="0" w:type="auto"/>
            <w:noWrap/>
            <w:vAlign w:val="bottom"/>
            <w:hideMark/>
          </w:tcPr>
          <w:p w14:paraId="3AAF534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31A571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48B926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97B4D5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A51A0C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89193F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3E5270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16B39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6F3D03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286ADB6"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3C2E4A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6CAA3B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6F7CDD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BA1997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18824B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F5882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C75FE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AA267E" w14:textId="77777777" w:rsidR="00000000" w:rsidRDefault="003C49E9">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14:paraId="5B938B09"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649BB4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5A15E1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A2878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835CEE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34E9E9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A264B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2E9FB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9B1403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F93B9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76F35B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06C99FA" w14:textId="77777777" w:rsidR="00000000" w:rsidRDefault="003C49E9">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14:paraId="415BE642" w14:textId="77777777" w:rsidR="00000000" w:rsidRDefault="003C49E9">
            <w:pPr>
              <w:pStyle w:val="a3"/>
              <w:spacing w:before="0" w:beforeAutospacing="0" w:after="0" w:afterAutospacing="0"/>
              <w:rPr>
                <w:sz w:val="19"/>
                <w:szCs w:val="19"/>
              </w:rPr>
            </w:pPr>
            <w:r>
              <w:rPr>
                <w:sz w:val="19"/>
                <w:szCs w:val="19"/>
              </w:rPr>
              <w:t>)</w:t>
            </w:r>
          </w:p>
        </w:tc>
      </w:tr>
      <w:tr w:rsidR="00000000" w14:paraId="2F41D554" w14:textId="77777777">
        <w:trPr>
          <w:trHeight w:val="180"/>
          <w:tblCellSpacing w:w="15" w:type="dxa"/>
        </w:trPr>
        <w:tc>
          <w:tcPr>
            <w:tcW w:w="0" w:type="auto"/>
            <w:vAlign w:val="bottom"/>
            <w:hideMark/>
          </w:tcPr>
          <w:p w14:paraId="17D3F2B1" w14:textId="77777777" w:rsidR="00000000" w:rsidRDefault="003C49E9">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14:paraId="3912419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6B677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F6E2F9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25173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6F76A0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CAB3CF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04FF42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6565D3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A424FF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D03525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379BC4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39E84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891EEC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82E89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622CD7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0302BF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3125F6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2E26AEE" w14:textId="77777777" w:rsidR="00000000" w:rsidRDefault="003C49E9">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14:paraId="132CD9A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AA656B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A59D18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C6CA4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F4A06A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ED920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608F0B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00756D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49BAFC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3B3432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F25060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A658EA9" w14:textId="77777777" w:rsidR="00000000" w:rsidRDefault="003C49E9">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14:paraId="251EF24A" w14:textId="77777777" w:rsidR="00000000" w:rsidRDefault="003C49E9">
            <w:pPr>
              <w:pStyle w:val="a3"/>
              <w:spacing w:before="0" w:beforeAutospacing="0" w:after="0" w:afterAutospacing="0"/>
              <w:rPr>
                <w:sz w:val="19"/>
                <w:szCs w:val="19"/>
              </w:rPr>
            </w:pPr>
            <w:r>
              <w:rPr>
                <w:sz w:val="19"/>
                <w:szCs w:val="19"/>
              </w:rPr>
              <w:t> </w:t>
            </w:r>
          </w:p>
        </w:tc>
      </w:tr>
      <w:tr w:rsidR="00000000" w14:paraId="6FCB710B" w14:textId="77777777">
        <w:trPr>
          <w:trHeight w:val="180"/>
          <w:tblCellSpacing w:w="15" w:type="dxa"/>
        </w:trPr>
        <w:tc>
          <w:tcPr>
            <w:tcW w:w="0" w:type="auto"/>
            <w:vAlign w:val="bottom"/>
            <w:hideMark/>
          </w:tcPr>
          <w:p w14:paraId="0BA1C632" w14:textId="77777777" w:rsidR="00000000" w:rsidRDefault="003C49E9">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14:paraId="583D150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A5B7A9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27BBC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EE7D0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B3EA93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ED931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E31C95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70576D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7AD732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27262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CEEE26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3718E5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66FA86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49B713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A53655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634E9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8CBA39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750C24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03A34D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40A49D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9C085B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D7976D" w14:textId="77777777" w:rsidR="00000000" w:rsidRDefault="003C49E9">
            <w:pPr>
              <w:pStyle w:val="a3"/>
              <w:spacing w:before="0" w:beforeAutospacing="0" w:after="0" w:afterAutospacing="0"/>
              <w:jc w:val="right"/>
              <w:rPr>
                <w:sz w:val="20"/>
                <w:szCs w:val="20"/>
              </w:rPr>
            </w:pPr>
            <w:r>
              <w:rPr>
                <w:sz w:val="19"/>
                <w:szCs w:val="19"/>
              </w:rPr>
              <w:t>(</w:t>
            </w:r>
            <w:r>
              <w:rPr>
                <w:sz w:val="19"/>
                <w:szCs w:val="19"/>
              </w:rPr>
              <w:t>2,66</w:t>
            </w:r>
            <w:r>
              <w:rPr>
                <w:sz w:val="19"/>
                <w:szCs w:val="19"/>
              </w:rPr>
              <w:t>9</w:t>
            </w:r>
          </w:p>
        </w:tc>
        <w:tc>
          <w:tcPr>
            <w:tcW w:w="0" w:type="auto"/>
            <w:noWrap/>
            <w:vAlign w:val="bottom"/>
            <w:hideMark/>
          </w:tcPr>
          <w:p w14:paraId="4ED8FC6D"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558B48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713154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2235A0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14151E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EED2F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22050B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CC5022D" w14:textId="77777777" w:rsidR="00000000" w:rsidRDefault="003C49E9">
            <w:pPr>
              <w:pStyle w:val="a3"/>
              <w:spacing w:before="0" w:beforeAutospacing="0" w:after="0" w:afterAutospacing="0"/>
              <w:jc w:val="right"/>
              <w:rPr>
                <w:sz w:val="20"/>
                <w:szCs w:val="20"/>
              </w:rPr>
            </w:pPr>
            <w:r>
              <w:rPr>
                <w:sz w:val="19"/>
                <w:szCs w:val="19"/>
              </w:rPr>
              <w:t>(</w:t>
            </w:r>
            <w:r>
              <w:rPr>
                <w:sz w:val="19"/>
                <w:szCs w:val="19"/>
              </w:rPr>
              <w:t>2,66</w:t>
            </w:r>
            <w:r>
              <w:rPr>
                <w:sz w:val="19"/>
                <w:szCs w:val="19"/>
              </w:rPr>
              <w:t>9</w:t>
            </w:r>
          </w:p>
        </w:tc>
        <w:tc>
          <w:tcPr>
            <w:tcW w:w="0" w:type="auto"/>
            <w:noWrap/>
            <w:vAlign w:val="bottom"/>
            <w:hideMark/>
          </w:tcPr>
          <w:p w14:paraId="1CF14AB3" w14:textId="77777777" w:rsidR="00000000" w:rsidRDefault="003C49E9">
            <w:pPr>
              <w:pStyle w:val="a3"/>
              <w:spacing w:before="0" w:beforeAutospacing="0" w:after="0" w:afterAutospacing="0"/>
              <w:rPr>
                <w:sz w:val="19"/>
                <w:szCs w:val="19"/>
              </w:rPr>
            </w:pPr>
            <w:r>
              <w:rPr>
                <w:sz w:val="19"/>
                <w:szCs w:val="19"/>
              </w:rPr>
              <w:t>)</w:t>
            </w:r>
          </w:p>
        </w:tc>
      </w:tr>
      <w:tr w:rsidR="00000000" w14:paraId="06614D52" w14:textId="77777777">
        <w:trPr>
          <w:trHeight w:val="180"/>
          <w:tblCellSpacing w:w="15" w:type="dxa"/>
        </w:trPr>
        <w:tc>
          <w:tcPr>
            <w:tcW w:w="0" w:type="auto"/>
            <w:vAlign w:val="bottom"/>
            <w:hideMark/>
          </w:tcPr>
          <w:p w14:paraId="6ABC9FCA" w14:textId="77777777" w:rsidR="00000000" w:rsidRDefault="003C49E9">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noWrap/>
            <w:vAlign w:val="bottom"/>
            <w:hideMark/>
          </w:tcPr>
          <w:p w14:paraId="614AFEB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519C53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8B06F1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3A23BC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1DB9E7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15A903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A5BAA8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A901D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3B93D7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477272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A264D8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A79E53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15BB51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63F171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D6577C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8B06CD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34CA82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EDBF2E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7016E3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CEF057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8B1378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1AC8165" w14:textId="77777777" w:rsidR="00000000" w:rsidRDefault="003C49E9">
            <w:pPr>
              <w:pStyle w:val="a3"/>
              <w:spacing w:before="0" w:beforeAutospacing="0" w:after="0" w:afterAutospacing="0"/>
              <w:jc w:val="right"/>
              <w:rPr>
                <w:sz w:val="20"/>
                <w:szCs w:val="20"/>
              </w:rPr>
            </w:pPr>
            <w:r>
              <w:rPr>
                <w:sz w:val="19"/>
                <w:szCs w:val="19"/>
              </w:rPr>
              <w:t>(</w:t>
            </w:r>
            <w:r>
              <w:rPr>
                <w:sz w:val="19"/>
                <w:szCs w:val="19"/>
              </w:rPr>
              <w:t>2,65</w:t>
            </w:r>
            <w:r>
              <w:rPr>
                <w:sz w:val="19"/>
                <w:szCs w:val="19"/>
              </w:rPr>
              <w:t>2</w:t>
            </w:r>
          </w:p>
        </w:tc>
        <w:tc>
          <w:tcPr>
            <w:tcW w:w="0" w:type="auto"/>
            <w:noWrap/>
            <w:vAlign w:val="bottom"/>
            <w:hideMark/>
          </w:tcPr>
          <w:p w14:paraId="01ECFED9"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BF987B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ED99E1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92413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EDC3CD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179D2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EF5148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B2212DA" w14:textId="77777777" w:rsidR="00000000" w:rsidRDefault="003C49E9">
            <w:pPr>
              <w:pStyle w:val="a3"/>
              <w:spacing w:before="0" w:beforeAutospacing="0" w:after="0" w:afterAutospacing="0"/>
              <w:jc w:val="right"/>
              <w:rPr>
                <w:sz w:val="20"/>
                <w:szCs w:val="20"/>
              </w:rPr>
            </w:pPr>
            <w:r>
              <w:rPr>
                <w:sz w:val="19"/>
                <w:szCs w:val="19"/>
              </w:rPr>
              <w:t>(</w:t>
            </w:r>
            <w:r>
              <w:rPr>
                <w:sz w:val="19"/>
                <w:szCs w:val="19"/>
              </w:rPr>
              <w:t>2,65</w:t>
            </w:r>
            <w:r>
              <w:rPr>
                <w:sz w:val="19"/>
                <w:szCs w:val="19"/>
              </w:rPr>
              <w:t>2</w:t>
            </w:r>
          </w:p>
        </w:tc>
        <w:tc>
          <w:tcPr>
            <w:tcW w:w="0" w:type="auto"/>
            <w:noWrap/>
            <w:vAlign w:val="bottom"/>
            <w:hideMark/>
          </w:tcPr>
          <w:p w14:paraId="653A3DCA" w14:textId="77777777" w:rsidR="00000000" w:rsidRDefault="003C49E9">
            <w:pPr>
              <w:pStyle w:val="a3"/>
              <w:spacing w:before="0" w:beforeAutospacing="0" w:after="0" w:afterAutospacing="0"/>
              <w:rPr>
                <w:sz w:val="19"/>
                <w:szCs w:val="19"/>
              </w:rPr>
            </w:pPr>
            <w:r>
              <w:rPr>
                <w:sz w:val="19"/>
                <w:szCs w:val="19"/>
              </w:rPr>
              <w:t>)</w:t>
            </w:r>
          </w:p>
        </w:tc>
      </w:tr>
      <w:tr w:rsidR="00000000" w14:paraId="37795F22" w14:textId="77777777">
        <w:trPr>
          <w:trHeight w:val="180"/>
          <w:tblCellSpacing w:w="15" w:type="dxa"/>
        </w:trPr>
        <w:tc>
          <w:tcPr>
            <w:tcW w:w="0" w:type="auto"/>
            <w:vAlign w:val="bottom"/>
            <w:hideMark/>
          </w:tcPr>
          <w:p w14:paraId="5DDFFB95" w14:textId="77777777" w:rsidR="00000000" w:rsidRDefault="003C49E9">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14:paraId="74C3773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9C07A8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828695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15D736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92170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2DE9FD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1A75E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D06CE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2EF5CC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3C7D2E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3F24FA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E7960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C74259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ED427B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C057BE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6F9C5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9CCC73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00433A6"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C3E1B8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B2FB0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E556CA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E36EB9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BF9937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09A32B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6994A9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1CF32BD" w14:textId="77777777" w:rsidR="00000000" w:rsidRDefault="003C49E9">
            <w:pPr>
              <w:pStyle w:val="a3"/>
              <w:spacing w:before="0" w:beforeAutospacing="0" w:after="0" w:afterAutospacing="0"/>
              <w:jc w:val="right"/>
              <w:rPr>
                <w:sz w:val="20"/>
                <w:szCs w:val="20"/>
              </w:rPr>
            </w:pPr>
            <w:r>
              <w:rPr>
                <w:sz w:val="19"/>
                <w:szCs w:val="19"/>
              </w:rPr>
              <w:t>(</w:t>
            </w:r>
            <w:r>
              <w:rPr>
                <w:sz w:val="19"/>
                <w:szCs w:val="19"/>
              </w:rPr>
              <w:t>56,36</w:t>
            </w:r>
            <w:r>
              <w:rPr>
                <w:sz w:val="19"/>
                <w:szCs w:val="19"/>
              </w:rPr>
              <w:t>1</w:t>
            </w:r>
          </w:p>
        </w:tc>
        <w:tc>
          <w:tcPr>
            <w:tcW w:w="0" w:type="auto"/>
            <w:noWrap/>
            <w:vAlign w:val="bottom"/>
            <w:hideMark/>
          </w:tcPr>
          <w:p w14:paraId="24DA32C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1DA1BD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76BA98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8537B61" w14:textId="77777777" w:rsidR="00000000" w:rsidRDefault="003C49E9">
            <w:pPr>
              <w:pStyle w:val="a3"/>
              <w:spacing w:before="0" w:beforeAutospacing="0" w:after="0" w:afterAutospacing="0"/>
              <w:jc w:val="right"/>
              <w:rPr>
                <w:sz w:val="20"/>
                <w:szCs w:val="20"/>
              </w:rPr>
            </w:pPr>
            <w:r>
              <w:rPr>
                <w:sz w:val="19"/>
                <w:szCs w:val="19"/>
              </w:rPr>
              <w:t>(</w:t>
            </w:r>
            <w:r>
              <w:rPr>
                <w:sz w:val="19"/>
                <w:szCs w:val="19"/>
              </w:rPr>
              <w:t>56,36</w:t>
            </w:r>
            <w:r>
              <w:rPr>
                <w:sz w:val="19"/>
                <w:szCs w:val="19"/>
              </w:rPr>
              <w:t>1</w:t>
            </w:r>
          </w:p>
        </w:tc>
        <w:tc>
          <w:tcPr>
            <w:tcW w:w="0" w:type="auto"/>
            <w:noWrap/>
            <w:vAlign w:val="bottom"/>
            <w:hideMark/>
          </w:tcPr>
          <w:p w14:paraId="45B12230" w14:textId="77777777" w:rsidR="00000000" w:rsidRDefault="003C49E9">
            <w:pPr>
              <w:pStyle w:val="a3"/>
              <w:spacing w:before="0" w:beforeAutospacing="0" w:after="0" w:afterAutospacing="0"/>
              <w:rPr>
                <w:sz w:val="19"/>
                <w:szCs w:val="19"/>
              </w:rPr>
            </w:pPr>
            <w:r>
              <w:rPr>
                <w:sz w:val="19"/>
                <w:szCs w:val="19"/>
              </w:rPr>
              <w:t>)</w:t>
            </w:r>
          </w:p>
        </w:tc>
      </w:tr>
      <w:tr w:rsidR="00000000" w14:paraId="25AC1DC5" w14:textId="77777777">
        <w:trPr>
          <w:trHeight w:val="180"/>
          <w:tblCellSpacing w:w="15" w:type="dxa"/>
        </w:trPr>
        <w:tc>
          <w:tcPr>
            <w:tcW w:w="0" w:type="auto"/>
            <w:vAlign w:val="bottom"/>
            <w:hideMark/>
          </w:tcPr>
          <w:p w14:paraId="46437112" w14:textId="77777777" w:rsidR="00000000" w:rsidRDefault="003C49E9">
            <w:pPr>
              <w:pStyle w:val="a3"/>
              <w:spacing w:before="0" w:beforeAutospacing="0" w:after="0" w:afterAutospacing="0"/>
              <w:rPr>
                <w:sz w:val="19"/>
                <w:szCs w:val="19"/>
              </w:rPr>
            </w:pPr>
            <w:r>
              <w:rPr>
                <w:sz w:val="19"/>
                <w:szCs w:val="19"/>
              </w:rPr>
              <w:t>Balances at June 30, 202</w:t>
            </w:r>
            <w:r>
              <w:rPr>
                <w:sz w:val="19"/>
                <w:szCs w:val="19"/>
              </w:rPr>
              <w:t>2</w:t>
            </w:r>
          </w:p>
        </w:tc>
        <w:tc>
          <w:tcPr>
            <w:tcW w:w="0" w:type="auto"/>
            <w:noWrap/>
            <w:vAlign w:val="bottom"/>
            <w:hideMark/>
          </w:tcPr>
          <w:p w14:paraId="245591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1BEFD5D" w14:textId="77777777" w:rsidR="00000000" w:rsidRDefault="003C49E9">
            <w:pPr>
              <w:pStyle w:val="a3"/>
              <w:spacing w:before="0" w:beforeAutospacing="0" w:after="0" w:afterAutospacing="0"/>
              <w:jc w:val="right"/>
              <w:rPr>
                <w:sz w:val="20"/>
                <w:szCs w:val="20"/>
              </w:rPr>
            </w:pPr>
            <w:r>
              <w:rPr>
                <w:sz w:val="19"/>
                <w:szCs w:val="19"/>
              </w:rPr>
              <w:t>47,89</w:t>
            </w:r>
            <w:r>
              <w:rPr>
                <w:sz w:val="19"/>
                <w:szCs w:val="19"/>
              </w:rPr>
              <w:t>6</w:t>
            </w:r>
          </w:p>
        </w:tc>
        <w:tc>
          <w:tcPr>
            <w:tcW w:w="0" w:type="auto"/>
            <w:noWrap/>
            <w:vAlign w:val="bottom"/>
            <w:hideMark/>
          </w:tcPr>
          <w:p w14:paraId="170A926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B9F6D6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E35268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81379D5" w14:textId="77777777" w:rsidR="00000000" w:rsidRDefault="003C49E9">
            <w:pPr>
              <w:pStyle w:val="a3"/>
              <w:spacing w:before="0" w:beforeAutospacing="0" w:after="0" w:afterAutospacing="0"/>
              <w:jc w:val="right"/>
              <w:rPr>
                <w:sz w:val="20"/>
                <w:szCs w:val="20"/>
              </w:rPr>
            </w:pPr>
            <w:r>
              <w:rPr>
                <w:sz w:val="19"/>
                <w:szCs w:val="19"/>
              </w:rPr>
              <w:t>4</w:t>
            </w:r>
            <w:r>
              <w:rPr>
                <w:sz w:val="19"/>
                <w:szCs w:val="19"/>
              </w:rPr>
              <w:t>8</w:t>
            </w:r>
          </w:p>
        </w:tc>
        <w:tc>
          <w:tcPr>
            <w:tcW w:w="0" w:type="auto"/>
            <w:noWrap/>
            <w:vAlign w:val="bottom"/>
            <w:hideMark/>
          </w:tcPr>
          <w:p w14:paraId="7E35BF2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F37F7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E6E67A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C8A4C27" w14:textId="77777777" w:rsidR="00000000" w:rsidRDefault="003C49E9">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14:paraId="209844A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8E249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41D921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D7B284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8C5A33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12F98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FFC732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2D9C22F" w14:textId="77777777" w:rsidR="00000000" w:rsidRDefault="003C49E9">
            <w:pPr>
              <w:pStyle w:val="a3"/>
              <w:spacing w:before="0" w:beforeAutospacing="0" w:after="0" w:afterAutospacing="0"/>
              <w:jc w:val="right"/>
              <w:rPr>
                <w:sz w:val="20"/>
                <w:szCs w:val="20"/>
              </w:rPr>
            </w:pPr>
            <w:r>
              <w:rPr>
                <w:sz w:val="19"/>
                <w:szCs w:val="19"/>
              </w:rPr>
              <w:t>1,477,77</w:t>
            </w:r>
            <w:r>
              <w:rPr>
                <w:sz w:val="19"/>
                <w:szCs w:val="19"/>
              </w:rPr>
              <w:t>0</w:t>
            </w:r>
          </w:p>
        </w:tc>
        <w:tc>
          <w:tcPr>
            <w:tcW w:w="0" w:type="auto"/>
            <w:noWrap/>
            <w:vAlign w:val="bottom"/>
            <w:hideMark/>
          </w:tcPr>
          <w:p w14:paraId="66FB4EF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210C43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844B9E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F9C2AFC" w14:textId="77777777" w:rsidR="00000000" w:rsidRDefault="003C49E9">
            <w:pPr>
              <w:pStyle w:val="a3"/>
              <w:spacing w:before="0" w:beforeAutospacing="0" w:after="0" w:afterAutospacing="0"/>
              <w:jc w:val="right"/>
              <w:rPr>
                <w:sz w:val="20"/>
                <w:szCs w:val="20"/>
              </w:rPr>
            </w:pPr>
            <w:r>
              <w:rPr>
                <w:sz w:val="19"/>
                <w:szCs w:val="19"/>
              </w:rPr>
              <w:t>(</w:t>
            </w:r>
            <w:r>
              <w:rPr>
                <w:sz w:val="19"/>
                <w:szCs w:val="19"/>
              </w:rPr>
              <w:t>11,01</w:t>
            </w:r>
            <w:r>
              <w:rPr>
                <w:sz w:val="19"/>
                <w:szCs w:val="19"/>
              </w:rPr>
              <w:t>7</w:t>
            </w:r>
          </w:p>
        </w:tc>
        <w:tc>
          <w:tcPr>
            <w:tcW w:w="0" w:type="auto"/>
            <w:noWrap/>
            <w:vAlign w:val="bottom"/>
            <w:hideMark/>
          </w:tcPr>
          <w:p w14:paraId="1529C025"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DBD009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6CB8C3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9CE4BFB" w14:textId="77777777" w:rsidR="00000000" w:rsidRDefault="003C49E9">
            <w:pPr>
              <w:pStyle w:val="a3"/>
              <w:spacing w:before="0" w:beforeAutospacing="0" w:after="0" w:afterAutospacing="0"/>
              <w:jc w:val="right"/>
              <w:rPr>
                <w:sz w:val="20"/>
                <w:szCs w:val="20"/>
              </w:rPr>
            </w:pPr>
            <w:r>
              <w:rPr>
                <w:sz w:val="19"/>
                <w:szCs w:val="19"/>
              </w:rPr>
              <w:t>(</w:t>
            </w:r>
            <w:r>
              <w:rPr>
                <w:sz w:val="19"/>
                <w:szCs w:val="19"/>
              </w:rPr>
              <w:t>595,33</w:t>
            </w:r>
            <w:r>
              <w:rPr>
                <w:sz w:val="19"/>
                <w:szCs w:val="19"/>
              </w:rPr>
              <w:t>4</w:t>
            </w:r>
          </w:p>
        </w:tc>
        <w:tc>
          <w:tcPr>
            <w:tcW w:w="0" w:type="auto"/>
            <w:noWrap/>
            <w:vAlign w:val="bottom"/>
            <w:hideMark/>
          </w:tcPr>
          <w:p w14:paraId="5A45B2A6"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EE37BA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80C488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A466098" w14:textId="77777777" w:rsidR="00000000" w:rsidRDefault="003C49E9">
            <w:pPr>
              <w:pStyle w:val="a3"/>
              <w:spacing w:before="0" w:beforeAutospacing="0" w:after="0" w:afterAutospacing="0"/>
              <w:jc w:val="right"/>
              <w:rPr>
                <w:sz w:val="20"/>
                <w:szCs w:val="20"/>
              </w:rPr>
            </w:pPr>
            <w:r>
              <w:rPr>
                <w:sz w:val="19"/>
                <w:szCs w:val="19"/>
              </w:rPr>
              <w:t>871,46</w:t>
            </w:r>
            <w:r>
              <w:rPr>
                <w:sz w:val="19"/>
                <w:szCs w:val="19"/>
              </w:rPr>
              <w:t>7</w:t>
            </w:r>
          </w:p>
        </w:tc>
        <w:tc>
          <w:tcPr>
            <w:tcW w:w="0" w:type="auto"/>
            <w:noWrap/>
            <w:vAlign w:val="bottom"/>
            <w:hideMark/>
          </w:tcPr>
          <w:p w14:paraId="08F477FF" w14:textId="77777777" w:rsidR="00000000" w:rsidRDefault="003C49E9">
            <w:pPr>
              <w:pStyle w:val="a3"/>
              <w:spacing w:before="0" w:beforeAutospacing="0" w:after="0" w:afterAutospacing="0"/>
              <w:rPr>
                <w:sz w:val="19"/>
                <w:szCs w:val="19"/>
              </w:rPr>
            </w:pPr>
            <w:r>
              <w:rPr>
                <w:sz w:val="19"/>
                <w:szCs w:val="19"/>
              </w:rPr>
              <w:t> </w:t>
            </w:r>
          </w:p>
        </w:tc>
      </w:tr>
    </w:tbl>
    <w:p w14:paraId="56FEE7E1" w14:textId="77777777" w:rsidR="00000000" w:rsidRDefault="003C49E9">
      <w:pPr>
        <w:pStyle w:val="a3"/>
        <w:spacing w:before="0" w:beforeAutospacing="0" w:after="0" w:afterAutospacing="0"/>
        <w:rPr>
          <w:sz w:val="20"/>
          <w:szCs w:val="20"/>
        </w:rPr>
      </w:pPr>
      <w:r>
        <w:rPr>
          <w:sz w:val="20"/>
          <w:szCs w:val="20"/>
        </w:rPr>
        <w:t> </w:t>
      </w:r>
    </w:p>
    <w:p w14:paraId="0C12905D" w14:textId="77777777" w:rsidR="00000000" w:rsidRDefault="003C49E9">
      <w:pPr>
        <w:pStyle w:val="a3"/>
        <w:spacing w:before="240" w:beforeAutospacing="0" w:after="0" w:afterAutospacing="0"/>
        <w:jc w:val="center"/>
        <w:rPr>
          <w:sz w:val="20"/>
          <w:szCs w:val="20"/>
        </w:rPr>
      </w:pPr>
      <w:r>
        <w:rPr>
          <w:sz w:val="20"/>
          <w:szCs w:val="20"/>
        </w:rPr>
        <w:t>8</w:t>
      </w:r>
    </w:p>
    <w:p w14:paraId="3F38E94C" w14:textId="77777777" w:rsidR="00000000" w:rsidRDefault="003C49E9">
      <w:pPr>
        <w:rPr>
          <w:rFonts w:eastAsia="Times New Roman"/>
        </w:rPr>
      </w:pPr>
      <w:r>
        <w:rPr>
          <w:rFonts w:eastAsia="Times New Roman"/>
        </w:rPr>
        <w:pict w14:anchorId="57C4746B">
          <v:rect id="_x0000_i1032" style="width:0;height:1.5pt" o:hralign="center" o:hrstd="t" o:hr="t" fillcolor="#a0a0a0" stroked="f"/>
        </w:pict>
      </w:r>
    </w:p>
    <w:p w14:paraId="055AD437" w14:textId="77777777" w:rsidR="00000000" w:rsidRDefault="003C49E9">
      <w:pPr>
        <w:pStyle w:val="a3"/>
        <w:spacing w:before="0" w:beforeAutospacing="0" w:after="0" w:afterAutospacing="0"/>
        <w:rPr>
          <w:sz w:val="20"/>
          <w:szCs w:val="20"/>
        </w:rPr>
      </w:pPr>
      <w:r>
        <w:rPr>
          <w:sz w:val="20"/>
          <w:szCs w:val="20"/>
        </w:rPr>
        <w:t> </w:t>
      </w:r>
    </w:p>
    <w:p w14:paraId="088C0006" w14:textId="77777777" w:rsidR="00000000" w:rsidRDefault="003C49E9">
      <w:pPr>
        <w:pStyle w:val="a3"/>
        <w:spacing w:before="0" w:beforeAutospacing="0" w:after="0" w:afterAutospacing="0"/>
        <w:jc w:val="center"/>
        <w:rPr>
          <w:sz w:val="20"/>
          <w:szCs w:val="20"/>
        </w:rPr>
      </w:pPr>
      <w:r>
        <w:rPr>
          <w:sz w:val="20"/>
          <w:szCs w:val="20"/>
        </w:rPr>
        <w:t> </w:t>
      </w:r>
    </w:p>
    <w:p w14:paraId="7DE9A8F0" w14:textId="77777777" w:rsidR="00000000" w:rsidRDefault="003C49E9">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24"/>
        <w:gridCol w:w="108"/>
        <w:gridCol w:w="155"/>
        <w:gridCol w:w="250"/>
        <w:gridCol w:w="108"/>
        <w:gridCol w:w="108"/>
        <w:gridCol w:w="109"/>
        <w:gridCol w:w="375"/>
        <w:gridCol w:w="108"/>
        <w:gridCol w:w="108"/>
        <w:gridCol w:w="155"/>
        <w:gridCol w:w="250"/>
        <w:gridCol w:w="108"/>
        <w:gridCol w:w="155"/>
        <w:gridCol w:w="820"/>
        <w:gridCol w:w="124"/>
        <w:gridCol w:w="108"/>
        <w:gridCol w:w="156"/>
        <w:gridCol w:w="879"/>
        <w:gridCol w:w="124"/>
        <w:gridCol w:w="108"/>
        <w:gridCol w:w="155"/>
        <w:gridCol w:w="741"/>
        <w:gridCol w:w="124"/>
        <w:gridCol w:w="108"/>
        <w:gridCol w:w="155"/>
        <w:gridCol w:w="678"/>
        <w:gridCol w:w="139"/>
      </w:tblGrid>
      <w:tr w:rsidR="00000000" w14:paraId="16D7E2E6" w14:textId="77777777">
        <w:trPr>
          <w:tblCellSpacing w:w="15" w:type="dxa"/>
        </w:trPr>
        <w:tc>
          <w:tcPr>
            <w:tcW w:w="1391" w:type="pct"/>
            <w:vAlign w:val="center"/>
            <w:hideMark/>
          </w:tcPr>
          <w:p w14:paraId="0802F953" w14:textId="77777777" w:rsidR="00000000" w:rsidRDefault="003C49E9">
            <w:pPr>
              <w:rPr>
                <w:sz w:val="20"/>
                <w:szCs w:val="20"/>
              </w:rPr>
            </w:pPr>
          </w:p>
        </w:tc>
        <w:tc>
          <w:tcPr>
            <w:tcW w:w="50" w:type="pct"/>
            <w:vAlign w:val="center"/>
            <w:hideMark/>
          </w:tcPr>
          <w:p w14:paraId="75239B9F" w14:textId="77777777" w:rsidR="00000000" w:rsidRDefault="003C49E9">
            <w:pPr>
              <w:rPr>
                <w:rFonts w:eastAsia="Times New Roman"/>
                <w:sz w:val="20"/>
                <w:szCs w:val="20"/>
              </w:rPr>
            </w:pPr>
          </w:p>
        </w:tc>
        <w:tc>
          <w:tcPr>
            <w:tcW w:w="270" w:type="pct"/>
            <w:vAlign w:val="center"/>
            <w:hideMark/>
          </w:tcPr>
          <w:p w14:paraId="721624FC" w14:textId="77777777" w:rsidR="00000000" w:rsidRDefault="003C49E9">
            <w:pPr>
              <w:rPr>
                <w:rFonts w:eastAsia="Times New Roman"/>
                <w:sz w:val="20"/>
                <w:szCs w:val="20"/>
              </w:rPr>
            </w:pPr>
          </w:p>
        </w:tc>
        <w:tc>
          <w:tcPr>
            <w:tcW w:w="50" w:type="pct"/>
            <w:vAlign w:val="center"/>
            <w:hideMark/>
          </w:tcPr>
          <w:p w14:paraId="5695CC0F" w14:textId="77777777" w:rsidR="00000000" w:rsidRDefault="003C49E9">
            <w:pPr>
              <w:rPr>
                <w:rFonts w:eastAsia="Times New Roman"/>
                <w:sz w:val="20"/>
                <w:szCs w:val="20"/>
              </w:rPr>
            </w:pPr>
          </w:p>
        </w:tc>
        <w:tc>
          <w:tcPr>
            <w:tcW w:w="47" w:type="pct"/>
            <w:vAlign w:val="center"/>
            <w:hideMark/>
          </w:tcPr>
          <w:p w14:paraId="4BC246AC" w14:textId="77777777" w:rsidR="00000000" w:rsidRDefault="003C49E9">
            <w:pPr>
              <w:rPr>
                <w:rFonts w:eastAsia="Times New Roman"/>
                <w:sz w:val="20"/>
                <w:szCs w:val="20"/>
              </w:rPr>
            </w:pPr>
          </w:p>
        </w:tc>
        <w:tc>
          <w:tcPr>
            <w:tcW w:w="50" w:type="pct"/>
            <w:vAlign w:val="center"/>
            <w:hideMark/>
          </w:tcPr>
          <w:p w14:paraId="771E0B8C" w14:textId="77777777" w:rsidR="00000000" w:rsidRDefault="003C49E9">
            <w:pPr>
              <w:rPr>
                <w:rFonts w:eastAsia="Times New Roman"/>
                <w:sz w:val="20"/>
                <w:szCs w:val="20"/>
              </w:rPr>
            </w:pPr>
          </w:p>
        </w:tc>
        <w:tc>
          <w:tcPr>
            <w:tcW w:w="175" w:type="pct"/>
            <w:vAlign w:val="center"/>
            <w:hideMark/>
          </w:tcPr>
          <w:p w14:paraId="56ADFC9C" w14:textId="77777777" w:rsidR="00000000" w:rsidRDefault="003C49E9">
            <w:pPr>
              <w:rPr>
                <w:rFonts w:eastAsia="Times New Roman"/>
                <w:sz w:val="20"/>
                <w:szCs w:val="20"/>
              </w:rPr>
            </w:pPr>
          </w:p>
        </w:tc>
        <w:tc>
          <w:tcPr>
            <w:tcW w:w="50" w:type="pct"/>
            <w:vAlign w:val="center"/>
            <w:hideMark/>
          </w:tcPr>
          <w:p w14:paraId="6BC0C529" w14:textId="77777777" w:rsidR="00000000" w:rsidRDefault="003C49E9">
            <w:pPr>
              <w:rPr>
                <w:rFonts w:eastAsia="Times New Roman"/>
                <w:sz w:val="20"/>
                <w:szCs w:val="20"/>
              </w:rPr>
            </w:pPr>
          </w:p>
        </w:tc>
        <w:tc>
          <w:tcPr>
            <w:tcW w:w="47" w:type="pct"/>
            <w:vAlign w:val="center"/>
            <w:hideMark/>
          </w:tcPr>
          <w:p w14:paraId="5D58A397" w14:textId="77777777" w:rsidR="00000000" w:rsidRDefault="003C49E9">
            <w:pPr>
              <w:rPr>
                <w:rFonts w:eastAsia="Times New Roman"/>
                <w:sz w:val="20"/>
                <w:szCs w:val="20"/>
              </w:rPr>
            </w:pPr>
          </w:p>
        </w:tc>
        <w:tc>
          <w:tcPr>
            <w:tcW w:w="50" w:type="pct"/>
            <w:vAlign w:val="center"/>
            <w:hideMark/>
          </w:tcPr>
          <w:p w14:paraId="2C88AEB3" w14:textId="77777777" w:rsidR="00000000" w:rsidRDefault="003C49E9">
            <w:pPr>
              <w:rPr>
                <w:rFonts w:eastAsia="Times New Roman"/>
                <w:sz w:val="20"/>
                <w:szCs w:val="20"/>
              </w:rPr>
            </w:pPr>
          </w:p>
        </w:tc>
        <w:tc>
          <w:tcPr>
            <w:tcW w:w="284" w:type="pct"/>
            <w:vAlign w:val="center"/>
            <w:hideMark/>
          </w:tcPr>
          <w:p w14:paraId="12A2D083" w14:textId="77777777" w:rsidR="00000000" w:rsidRDefault="003C49E9">
            <w:pPr>
              <w:rPr>
                <w:rFonts w:eastAsia="Times New Roman"/>
                <w:sz w:val="20"/>
                <w:szCs w:val="20"/>
              </w:rPr>
            </w:pPr>
          </w:p>
        </w:tc>
        <w:tc>
          <w:tcPr>
            <w:tcW w:w="50" w:type="pct"/>
            <w:vAlign w:val="center"/>
            <w:hideMark/>
          </w:tcPr>
          <w:p w14:paraId="0B25F002" w14:textId="77777777" w:rsidR="00000000" w:rsidRDefault="003C49E9">
            <w:pPr>
              <w:rPr>
                <w:rFonts w:eastAsia="Times New Roman"/>
                <w:sz w:val="20"/>
                <w:szCs w:val="20"/>
              </w:rPr>
            </w:pPr>
          </w:p>
        </w:tc>
        <w:tc>
          <w:tcPr>
            <w:tcW w:w="47" w:type="pct"/>
            <w:vAlign w:val="center"/>
            <w:hideMark/>
          </w:tcPr>
          <w:p w14:paraId="49753BF7" w14:textId="77777777" w:rsidR="00000000" w:rsidRDefault="003C49E9">
            <w:pPr>
              <w:rPr>
                <w:rFonts w:eastAsia="Times New Roman"/>
                <w:sz w:val="20"/>
                <w:szCs w:val="20"/>
              </w:rPr>
            </w:pPr>
          </w:p>
        </w:tc>
        <w:tc>
          <w:tcPr>
            <w:tcW w:w="50" w:type="pct"/>
            <w:vAlign w:val="center"/>
            <w:hideMark/>
          </w:tcPr>
          <w:p w14:paraId="318A5842" w14:textId="77777777" w:rsidR="00000000" w:rsidRDefault="003C49E9">
            <w:pPr>
              <w:rPr>
                <w:rFonts w:eastAsia="Times New Roman"/>
                <w:sz w:val="20"/>
                <w:szCs w:val="20"/>
              </w:rPr>
            </w:pPr>
          </w:p>
        </w:tc>
        <w:tc>
          <w:tcPr>
            <w:tcW w:w="175" w:type="pct"/>
            <w:vAlign w:val="center"/>
            <w:hideMark/>
          </w:tcPr>
          <w:p w14:paraId="2368BA8A" w14:textId="77777777" w:rsidR="00000000" w:rsidRDefault="003C49E9">
            <w:pPr>
              <w:rPr>
                <w:rFonts w:eastAsia="Times New Roman"/>
                <w:sz w:val="20"/>
                <w:szCs w:val="20"/>
              </w:rPr>
            </w:pPr>
          </w:p>
        </w:tc>
        <w:tc>
          <w:tcPr>
            <w:tcW w:w="50" w:type="pct"/>
            <w:vAlign w:val="center"/>
            <w:hideMark/>
          </w:tcPr>
          <w:p w14:paraId="03C8FC74" w14:textId="77777777" w:rsidR="00000000" w:rsidRDefault="003C49E9">
            <w:pPr>
              <w:rPr>
                <w:rFonts w:eastAsia="Times New Roman"/>
                <w:sz w:val="20"/>
                <w:szCs w:val="20"/>
              </w:rPr>
            </w:pPr>
          </w:p>
        </w:tc>
        <w:tc>
          <w:tcPr>
            <w:tcW w:w="50" w:type="pct"/>
            <w:vAlign w:val="center"/>
            <w:hideMark/>
          </w:tcPr>
          <w:p w14:paraId="5089AA15" w14:textId="77777777" w:rsidR="00000000" w:rsidRDefault="003C49E9">
            <w:pPr>
              <w:rPr>
                <w:rFonts w:eastAsia="Times New Roman"/>
                <w:sz w:val="20"/>
                <w:szCs w:val="20"/>
              </w:rPr>
            </w:pPr>
          </w:p>
        </w:tc>
        <w:tc>
          <w:tcPr>
            <w:tcW w:w="451" w:type="pct"/>
            <w:vAlign w:val="center"/>
            <w:hideMark/>
          </w:tcPr>
          <w:p w14:paraId="4C4ECD75" w14:textId="77777777" w:rsidR="00000000" w:rsidRDefault="003C49E9">
            <w:pPr>
              <w:rPr>
                <w:rFonts w:eastAsia="Times New Roman"/>
                <w:sz w:val="20"/>
                <w:szCs w:val="20"/>
              </w:rPr>
            </w:pPr>
          </w:p>
        </w:tc>
        <w:tc>
          <w:tcPr>
            <w:tcW w:w="50" w:type="pct"/>
            <w:vAlign w:val="center"/>
            <w:hideMark/>
          </w:tcPr>
          <w:p w14:paraId="062CD594" w14:textId="77777777" w:rsidR="00000000" w:rsidRDefault="003C49E9">
            <w:pPr>
              <w:rPr>
                <w:rFonts w:eastAsia="Times New Roman"/>
                <w:sz w:val="20"/>
                <w:szCs w:val="20"/>
              </w:rPr>
            </w:pPr>
          </w:p>
        </w:tc>
        <w:tc>
          <w:tcPr>
            <w:tcW w:w="47" w:type="pct"/>
            <w:vAlign w:val="center"/>
            <w:hideMark/>
          </w:tcPr>
          <w:p w14:paraId="010A3A9A" w14:textId="77777777" w:rsidR="00000000" w:rsidRDefault="003C49E9">
            <w:pPr>
              <w:rPr>
                <w:rFonts w:eastAsia="Times New Roman"/>
                <w:sz w:val="20"/>
                <w:szCs w:val="20"/>
              </w:rPr>
            </w:pPr>
          </w:p>
        </w:tc>
        <w:tc>
          <w:tcPr>
            <w:tcW w:w="50" w:type="pct"/>
            <w:vAlign w:val="center"/>
            <w:hideMark/>
          </w:tcPr>
          <w:p w14:paraId="0076E364" w14:textId="77777777" w:rsidR="00000000" w:rsidRDefault="003C49E9">
            <w:pPr>
              <w:rPr>
                <w:rFonts w:eastAsia="Times New Roman"/>
                <w:sz w:val="20"/>
                <w:szCs w:val="20"/>
              </w:rPr>
            </w:pPr>
          </w:p>
        </w:tc>
        <w:tc>
          <w:tcPr>
            <w:tcW w:w="501" w:type="pct"/>
            <w:vAlign w:val="center"/>
            <w:hideMark/>
          </w:tcPr>
          <w:p w14:paraId="6BFE24B4" w14:textId="77777777" w:rsidR="00000000" w:rsidRDefault="003C49E9">
            <w:pPr>
              <w:rPr>
                <w:rFonts w:eastAsia="Times New Roman"/>
                <w:sz w:val="20"/>
                <w:szCs w:val="20"/>
              </w:rPr>
            </w:pPr>
          </w:p>
        </w:tc>
        <w:tc>
          <w:tcPr>
            <w:tcW w:w="50" w:type="pct"/>
            <w:vAlign w:val="center"/>
            <w:hideMark/>
          </w:tcPr>
          <w:p w14:paraId="0FD30DA2" w14:textId="77777777" w:rsidR="00000000" w:rsidRDefault="003C49E9">
            <w:pPr>
              <w:rPr>
                <w:rFonts w:eastAsia="Times New Roman"/>
                <w:sz w:val="20"/>
                <w:szCs w:val="20"/>
              </w:rPr>
            </w:pPr>
          </w:p>
        </w:tc>
        <w:tc>
          <w:tcPr>
            <w:tcW w:w="47" w:type="pct"/>
            <w:vAlign w:val="center"/>
            <w:hideMark/>
          </w:tcPr>
          <w:p w14:paraId="2EBEAAF0" w14:textId="77777777" w:rsidR="00000000" w:rsidRDefault="003C49E9">
            <w:pPr>
              <w:rPr>
                <w:rFonts w:eastAsia="Times New Roman"/>
                <w:sz w:val="20"/>
                <w:szCs w:val="20"/>
              </w:rPr>
            </w:pPr>
          </w:p>
        </w:tc>
        <w:tc>
          <w:tcPr>
            <w:tcW w:w="50" w:type="pct"/>
            <w:vAlign w:val="center"/>
            <w:hideMark/>
          </w:tcPr>
          <w:p w14:paraId="63B07DAC" w14:textId="77777777" w:rsidR="00000000" w:rsidRDefault="003C49E9">
            <w:pPr>
              <w:rPr>
                <w:rFonts w:eastAsia="Times New Roman"/>
                <w:sz w:val="20"/>
                <w:szCs w:val="20"/>
              </w:rPr>
            </w:pPr>
          </w:p>
        </w:tc>
        <w:tc>
          <w:tcPr>
            <w:tcW w:w="333" w:type="pct"/>
            <w:vAlign w:val="center"/>
            <w:hideMark/>
          </w:tcPr>
          <w:p w14:paraId="04D20A14" w14:textId="77777777" w:rsidR="00000000" w:rsidRDefault="003C49E9">
            <w:pPr>
              <w:rPr>
                <w:rFonts w:eastAsia="Times New Roman"/>
                <w:sz w:val="20"/>
                <w:szCs w:val="20"/>
              </w:rPr>
            </w:pPr>
          </w:p>
        </w:tc>
        <w:tc>
          <w:tcPr>
            <w:tcW w:w="50" w:type="pct"/>
            <w:vAlign w:val="center"/>
            <w:hideMark/>
          </w:tcPr>
          <w:p w14:paraId="08D94589" w14:textId="77777777" w:rsidR="00000000" w:rsidRDefault="003C49E9">
            <w:pPr>
              <w:rPr>
                <w:rFonts w:eastAsia="Times New Roman"/>
                <w:sz w:val="20"/>
                <w:szCs w:val="20"/>
              </w:rPr>
            </w:pPr>
          </w:p>
        </w:tc>
        <w:tc>
          <w:tcPr>
            <w:tcW w:w="47" w:type="pct"/>
            <w:vAlign w:val="center"/>
            <w:hideMark/>
          </w:tcPr>
          <w:p w14:paraId="124D48F4" w14:textId="77777777" w:rsidR="00000000" w:rsidRDefault="003C49E9">
            <w:pPr>
              <w:rPr>
                <w:rFonts w:eastAsia="Times New Roman"/>
                <w:sz w:val="20"/>
                <w:szCs w:val="20"/>
              </w:rPr>
            </w:pPr>
          </w:p>
        </w:tc>
        <w:tc>
          <w:tcPr>
            <w:tcW w:w="50" w:type="pct"/>
            <w:vAlign w:val="center"/>
            <w:hideMark/>
          </w:tcPr>
          <w:p w14:paraId="39F46440" w14:textId="77777777" w:rsidR="00000000" w:rsidRDefault="003C49E9">
            <w:pPr>
              <w:rPr>
                <w:rFonts w:eastAsia="Times New Roman"/>
                <w:sz w:val="20"/>
                <w:szCs w:val="20"/>
              </w:rPr>
            </w:pPr>
          </w:p>
        </w:tc>
        <w:tc>
          <w:tcPr>
            <w:tcW w:w="331" w:type="pct"/>
            <w:vAlign w:val="center"/>
            <w:hideMark/>
          </w:tcPr>
          <w:p w14:paraId="6FB6BA26" w14:textId="77777777" w:rsidR="00000000" w:rsidRDefault="003C49E9">
            <w:pPr>
              <w:rPr>
                <w:rFonts w:eastAsia="Times New Roman"/>
                <w:sz w:val="20"/>
                <w:szCs w:val="20"/>
              </w:rPr>
            </w:pPr>
          </w:p>
        </w:tc>
        <w:tc>
          <w:tcPr>
            <w:tcW w:w="50" w:type="pct"/>
            <w:vAlign w:val="center"/>
            <w:hideMark/>
          </w:tcPr>
          <w:p w14:paraId="501027E9" w14:textId="77777777" w:rsidR="00000000" w:rsidRDefault="003C49E9">
            <w:pPr>
              <w:rPr>
                <w:rFonts w:eastAsia="Times New Roman"/>
                <w:sz w:val="20"/>
                <w:szCs w:val="20"/>
              </w:rPr>
            </w:pPr>
          </w:p>
        </w:tc>
      </w:tr>
      <w:tr w:rsidR="00000000" w14:paraId="292E2CB7" w14:textId="77777777">
        <w:trPr>
          <w:trHeight w:val="140"/>
          <w:tblCellSpacing w:w="15" w:type="dxa"/>
        </w:trPr>
        <w:tc>
          <w:tcPr>
            <w:tcW w:w="0" w:type="auto"/>
            <w:vAlign w:val="bottom"/>
            <w:hideMark/>
          </w:tcPr>
          <w:p w14:paraId="73284F71" w14:textId="77777777" w:rsidR="00000000" w:rsidRDefault="003C49E9">
            <w:pPr>
              <w:pStyle w:val="a3"/>
              <w:spacing w:before="0" w:beforeAutospacing="0" w:after="0" w:afterAutospacing="0"/>
              <w:jc w:val="right"/>
              <w:rPr>
                <w:sz w:val="14"/>
                <w:szCs w:val="14"/>
              </w:rPr>
            </w:pPr>
            <w:r>
              <w:rPr>
                <w:sz w:val="14"/>
                <w:szCs w:val="14"/>
              </w:rPr>
              <w:t> </w:t>
            </w:r>
          </w:p>
        </w:tc>
        <w:tc>
          <w:tcPr>
            <w:tcW w:w="0" w:type="auto"/>
            <w:gridSpan w:val="6"/>
            <w:vAlign w:val="bottom"/>
            <w:hideMark/>
          </w:tcPr>
          <w:p w14:paraId="6C7CA399" w14:textId="77777777" w:rsidR="00000000" w:rsidRDefault="003C49E9">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14:paraId="049D2709"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1BEF40E4" w14:textId="77777777" w:rsidR="00000000" w:rsidRDefault="003C49E9">
            <w:pPr>
              <w:pStyle w:val="a3"/>
              <w:spacing w:before="0" w:beforeAutospacing="0" w:after="0" w:afterAutospacing="0"/>
              <w:rPr>
                <w:sz w:val="14"/>
                <w:szCs w:val="14"/>
              </w:rPr>
            </w:pPr>
            <w:r>
              <w:rPr>
                <w:sz w:val="14"/>
                <w:szCs w:val="14"/>
              </w:rPr>
              <w:t> </w:t>
            </w:r>
          </w:p>
        </w:tc>
        <w:tc>
          <w:tcPr>
            <w:tcW w:w="0" w:type="auto"/>
            <w:gridSpan w:val="6"/>
            <w:vAlign w:val="bottom"/>
            <w:hideMark/>
          </w:tcPr>
          <w:p w14:paraId="44991C48" w14:textId="77777777" w:rsidR="00000000" w:rsidRDefault="003C49E9">
            <w:pPr>
              <w:pStyle w:val="a3"/>
              <w:spacing w:before="0" w:beforeAutospacing="0" w:after="0" w:afterAutospacing="0"/>
              <w:jc w:val="center"/>
              <w:rPr>
                <w:sz w:val="14"/>
                <w:szCs w:val="14"/>
              </w:rPr>
            </w:pPr>
            <w:r>
              <w:rPr>
                <w:b/>
                <w:bCs/>
                <w:sz w:val="14"/>
                <w:szCs w:val="14"/>
              </w:rPr>
              <w:t>Treasury Stock, $0.001</w:t>
            </w:r>
            <w:r>
              <w:rPr>
                <w:b/>
                <w:bCs/>
                <w:sz w:val="14"/>
                <w:szCs w:val="14"/>
              </w:rPr>
              <w:br/>
              <w:t>Par Valu</w:t>
            </w:r>
            <w:r>
              <w:rPr>
                <w:b/>
                <w:bCs/>
                <w:sz w:val="14"/>
                <w:szCs w:val="14"/>
              </w:rPr>
              <w:t>e</w:t>
            </w:r>
          </w:p>
        </w:tc>
        <w:tc>
          <w:tcPr>
            <w:tcW w:w="0" w:type="auto"/>
            <w:vAlign w:val="bottom"/>
            <w:hideMark/>
          </w:tcPr>
          <w:p w14:paraId="40DECB80"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3E31C312" w14:textId="77777777" w:rsidR="00000000" w:rsidRDefault="003C49E9">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14:paraId="16154DA7"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4A50B76A"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15993CBF" w14:textId="77777777" w:rsidR="00000000" w:rsidRDefault="003C49E9">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14:paraId="32BC19B2"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75327EE1"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2D3A66F0" w14:textId="77777777" w:rsidR="00000000" w:rsidRDefault="003C49E9">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14:paraId="348BDFED"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751A5FA9"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0FD4CB10"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717ED13E" w14:textId="77777777" w:rsidR="00000000" w:rsidRDefault="003C49E9">
            <w:pPr>
              <w:pStyle w:val="a3"/>
              <w:spacing w:before="0" w:beforeAutospacing="0" w:after="0" w:afterAutospacing="0"/>
              <w:jc w:val="center"/>
              <w:rPr>
                <w:sz w:val="14"/>
                <w:szCs w:val="14"/>
              </w:rPr>
            </w:pPr>
            <w:r>
              <w:rPr>
                <w:sz w:val="14"/>
                <w:szCs w:val="14"/>
              </w:rPr>
              <w:t> </w:t>
            </w:r>
          </w:p>
        </w:tc>
      </w:tr>
      <w:tr w:rsidR="00000000" w14:paraId="4BD52C8E" w14:textId="77777777">
        <w:trPr>
          <w:trHeight w:val="140"/>
          <w:tblCellSpacing w:w="15" w:type="dxa"/>
        </w:trPr>
        <w:tc>
          <w:tcPr>
            <w:tcW w:w="0" w:type="auto"/>
            <w:vAlign w:val="bottom"/>
            <w:hideMark/>
          </w:tcPr>
          <w:p w14:paraId="6B761F40"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2D99D1FD" w14:textId="77777777" w:rsidR="00000000" w:rsidRDefault="003C49E9">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14:paraId="01199495"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4D65B80C"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52528CBC" w14:textId="77777777" w:rsidR="00000000" w:rsidRDefault="003C49E9">
            <w:pPr>
              <w:pStyle w:val="a3"/>
              <w:spacing w:before="0" w:beforeAutospacing="0" w:after="0" w:afterAutospacing="0"/>
              <w:jc w:val="center"/>
              <w:rPr>
                <w:sz w:val="14"/>
                <w:szCs w:val="14"/>
              </w:rPr>
            </w:pPr>
            <w:r>
              <w:rPr>
                <w:b/>
                <w:bCs/>
                <w:sz w:val="14"/>
                <w:szCs w:val="14"/>
              </w:rPr>
              <w:t>$</w:t>
            </w:r>
          </w:p>
        </w:tc>
        <w:tc>
          <w:tcPr>
            <w:tcW w:w="0" w:type="auto"/>
            <w:vAlign w:val="bottom"/>
            <w:hideMark/>
          </w:tcPr>
          <w:p w14:paraId="43EDEE93"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19E654EC"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34549B35" w14:textId="77777777" w:rsidR="00000000" w:rsidRDefault="003C49E9">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14:paraId="2CD2FFF2"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bottom"/>
            <w:hideMark/>
          </w:tcPr>
          <w:p w14:paraId="35B1A987" w14:textId="77777777" w:rsidR="00000000" w:rsidRDefault="003C49E9">
            <w:pPr>
              <w:pStyle w:val="a3"/>
              <w:spacing w:before="0" w:beforeAutospacing="0" w:after="0" w:afterAutospacing="0"/>
              <w:rPr>
                <w:sz w:val="14"/>
                <w:szCs w:val="14"/>
              </w:rPr>
            </w:pPr>
            <w:r>
              <w:rPr>
                <w:sz w:val="14"/>
                <w:szCs w:val="14"/>
              </w:rPr>
              <w:t> </w:t>
            </w:r>
          </w:p>
        </w:tc>
        <w:tc>
          <w:tcPr>
            <w:tcW w:w="0" w:type="auto"/>
            <w:gridSpan w:val="2"/>
            <w:vAlign w:val="bottom"/>
            <w:hideMark/>
          </w:tcPr>
          <w:p w14:paraId="7BC165DF" w14:textId="77777777" w:rsidR="00000000" w:rsidRDefault="003C49E9">
            <w:pPr>
              <w:pStyle w:val="a3"/>
              <w:spacing w:before="0" w:beforeAutospacing="0" w:after="0" w:afterAutospacing="0"/>
              <w:jc w:val="center"/>
              <w:rPr>
                <w:sz w:val="14"/>
                <w:szCs w:val="14"/>
              </w:rPr>
            </w:pPr>
            <w:r>
              <w:rPr>
                <w:b/>
                <w:bCs/>
                <w:sz w:val="14"/>
                <w:szCs w:val="14"/>
              </w:rPr>
              <w:t>$</w:t>
            </w:r>
          </w:p>
        </w:tc>
        <w:tc>
          <w:tcPr>
            <w:tcW w:w="0" w:type="auto"/>
            <w:vAlign w:val="bottom"/>
            <w:hideMark/>
          </w:tcPr>
          <w:p w14:paraId="456E274E"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2DE6A897" w14:textId="77777777" w:rsidR="00000000" w:rsidRDefault="003C49E9">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14:paraId="04DE66C0"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63188893"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3F3C4B6A" w14:textId="77777777" w:rsidR="00000000" w:rsidRDefault="003C49E9">
            <w:pPr>
              <w:pStyle w:val="a3"/>
              <w:spacing w:before="0" w:beforeAutospacing="0" w:after="0" w:afterAutospacing="0"/>
              <w:jc w:val="center"/>
              <w:rPr>
                <w:sz w:val="14"/>
                <w:szCs w:val="14"/>
              </w:rPr>
            </w:pPr>
            <w:r>
              <w:rPr>
                <w:b/>
                <w:bCs/>
                <w:sz w:val="14"/>
                <w:szCs w:val="14"/>
              </w:rPr>
              <w:t>(Loss</w:t>
            </w:r>
            <w:r>
              <w:rPr>
                <w:b/>
                <w:bCs/>
                <w:sz w:val="14"/>
                <w:szCs w:val="14"/>
              </w:rPr>
              <w:t>)</w:t>
            </w:r>
          </w:p>
        </w:tc>
        <w:tc>
          <w:tcPr>
            <w:tcW w:w="0" w:type="auto"/>
            <w:vAlign w:val="center"/>
            <w:hideMark/>
          </w:tcPr>
          <w:p w14:paraId="0725FD73"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5778D362"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center"/>
            <w:hideMark/>
          </w:tcPr>
          <w:p w14:paraId="51522FB1" w14:textId="77777777" w:rsidR="00000000" w:rsidRDefault="003C49E9">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14:paraId="58FC7204" w14:textId="77777777" w:rsidR="00000000" w:rsidRDefault="003C49E9">
            <w:pPr>
              <w:pStyle w:val="a3"/>
              <w:spacing w:before="0" w:beforeAutospacing="0" w:after="0" w:afterAutospacing="0"/>
              <w:jc w:val="center"/>
              <w:rPr>
                <w:sz w:val="14"/>
                <w:szCs w:val="14"/>
              </w:rPr>
            </w:pPr>
            <w:r>
              <w:rPr>
                <w:sz w:val="14"/>
                <w:szCs w:val="14"/>
              </w:rPr>
              <w:t> </w:t>
            </w:r>
          </w:p>
        </w:tc>
        <w:tc>
          <w:tcPr>
            <w:tcW w:w="0" w:type="auto"/>
            <w:vAlign w:val="center"/>
            <w:hideMark/>
          </w:tcPr>
          <w:p w14:paraId="67AEDFB0" w14:textId="77777777" w:rsidR="00000000" w:rsidRDefault="003C49E9">
            <w:pPr>
              <w:pStyle w:val="a3"/>
              <w:spacing w:before="0" w:beforeAutospacing="0" w:after="0" w:afterAutospacing="0"/>
              <w:jc w:val="center"/>
              <w:rPr>
                <w:sz w:val="14"/>
                <w:szCs w:val="14"/>
              </w:rPr>
            </w:pPr>
            <w:r>
              <w:rPr>
                <w:sz w:val="14"/>
                <w:szCs w:val="14"/>
              </w:rPr>
              <w:t> </w:t>
            </w:r>
          </w:p>
        </w:tc>
        <w:tc>
          <w:tcPr>
            <w:tcW w:w="0" w:type="auto"/>
            <w:gridSpan w:val="2"/>
            <w:vAlign w:val="bottom"/>
            <w:hideMark/>
          </w:tcPr>
          <w:p w14:paraId="3AC853C8" w14:textId="77777777" w:rsidR="00000000" w:rsidRDefault="003C49E9">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14:paraId="3242E843" w14:textId="77777777" w:rsidR="00000000" w:rsidRDefault="003C49E9">
            <w:pPr>
              <w:pStyle w:val="a3"/>
              <w:spacing w:before="0" w:beforeAutospacing="0" w:after="0" w:afterAutospacing="0"/>
              <w:jc w:val="center"/>
              <w:rPr>
                <w:sz w:val="14"/>
                <w:szCs w:val="14"/>
              </w:rPr>
            </w:pPr>
            <w:r>
              <w:rPr>
                <w:sz w:val="14"/>
                <w:szCs w:val="14"/>
              </w:rPr>
              <w:t> </w:t>
            </w:r>
          </w:p>
        </w:tc>
      </w:tr>
      <w:tr w:rsidR="00000000" w14:paraId="7EFCE19B" w14:textId="77777777">
        <w:trPr>
          <w:trHeight w:val="180"/>
          <w:tblCellSpacing w:w="15" w:type="dxa"/>
        </w:trPr>
        <w:tc>
          <w:tcPr>
            <w:tcW w:w="0" w:type="auto"/>
            <w:vAlign w:val="bottom"/>
            <w:hideMark/>
          </w:tcPr>
          <w:p w14:paraId="4C1B11BC" w14:textId="77777777" w:rsidR="00000000" w:rsidRDefault="003C49E9">
            <w:pPr>
              <w:pStyle w:val="a3"/>
              <w:spacing w:before="0" w:beforeAutospacing="0" w:after="0" w:afterAutospacing="0"/>
              <w:rPr>
                <w:sz w:val="19"/>
                <w:szCs w:val="19"/>
              </w:rPr>
            </w:pPr>
            <w:r>
              <w:rPr>
                <w:sz w:val="19"/>
                <w:szCs w:val="19"/>
              </w:rPr>
              <w:t>Balances at December 31, 202</w:t>
            </w:r>
            <w:r>
              <w:rPr>
                <w:sz w:val="19"/>
                <w:szCs w:val="19"/>
              </w:rPr>
              <w:t>0</w:t>
            </w:r>
          </w:p>
        </w:tc>
        <w:tc>
          <w:tcPr>
            <w:tcW w:w="0" w:type="auto"/>
            <w:noWrap/>
            <w:vAlign w:val="bottom"/>
            <w:hideMark/>
          </w:tcPr>
          <w:p w14:paraId="4584447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E429982" w14:textId="77777777" w:rsidR="00000000" w:rsidRDefault="003C49E9">
            <w:pPr>
              <w:pStyle w:val="a3"/>
              <w:spacing w:before="0" w:beforeAutospacing="0" w:after="0" w:afterAutospacing="0"/>
              <w:jc w:val="right"/>
              <w:rPr>
                <w:sz w:val="20"/>
                <w:szCs w:val="20"/>
              </w:rPr>
            </w:pPr>
            <w:r>
              <w:rPr>
                <w:sz w:val="19"/>
                <w:szCs w:val="19"/>
              </w:rPr>
              <w:t>46,11</w:t>
            </w:r>
            <w:r>
              <w:rPr>
                <w:sz w:val="19"/>
                <w:szCs w:val="19"/>
              </w:rPr>
              <w:t>5</w:t>
            </w:r>
          </w:p>
        </w:tc>
        <w:tc>
          <w:tcPr>
            <w:tcW w:w="0" w:type="auto"/>
            <w:noWrap/>
            <w:vAlign w:val="bottom"/>
            <w:hideMark/>
          </w:tcPr>
          <w:p w14:paraId="5C08171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D6AF22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AD7798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75D5FCB" w14:textId="77777777" w:rsidR="00000000" w:rsidRDefault="003C49E9">
            <w:pPr>
              <w:pStyle w:val="a3"/>
              <w:spacing w:before="0" w:beforeAutospacing="0" w:after="0" w:afterAutospacing="0"/>
              <w:jc w:val="right"/>
              <w:rPr>
                <w:sz w:val="20"/>
                <w:szCs w:val="20"/>
              </w:rPr>
            </w:pPr>
            <w:r>
              <w:rPr>
                <w:sz w:val="19"/>
                <w:szCs w:val="19"/>
              </w:rPr>
              <w:t>4</w:t>
            </w:r>
            <w:r>
              <w:rPr>
                <w:sz w:val="19"/>
                <w:szCs w:val="19"/>
              </w:rPr>
              <w:t>6</w:t>
            </w:r>
          </w:p>
        </w:tc>
        <w:tc>
          <w:tcPr>
            <w:tcW w:w="0" w:type="auto"/>
            <w:noWrap/>
            <w:vAlign w:val="bottom"/>
            <w:hideMark/>
          </w:tcPr>
          <w:p w14:paraId="6430DA5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35358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152D0B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11E9696" w14:textId="77777777" w:rsidR="00000000" w:rsidRDefault="003C49E9">
            <w:pPr>
              <w:pStyle w:val="a3"/>
              <w:spacing w:before="0" w:beforeAutospacing="0" w:after="0" w:afterAutospacing="0"/>
              <w:jc w:val="right"/>
              <w:rPr>
                <w:sz w:val="20"/>
                <w:szCs w:val="20"/>
              </w:rPr>
            </w:pPr>
            <w:r>
              <w:rPr>
                <w:sz w:val="19"/>
                <w:szCs w:val="19"/>
              </w:rPr>
              <w:t>1</w:t>
            </w:r>
            <w:r>
              <w:rPr>
                <w:sz w:val="19"/>
                <w:szCs w:val="19"/>
              </w:rPr>
              <w:t>2</w:t>
            </w:r>
          </w:p>
        </w:tc>
        <w:tc>
          <w:tcPr>
            <w:tcW w:w="0" w:type="auto"/>
            <w:noWrap/>
            <w:vAlign w:val="bottom"/>
            <w:hideMark/>
          </w:tcPr>
          <w:p w14:paraId="1D83CD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73C0B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B4638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E5A027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E1E38D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877A29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0A558D0" w14:textId="77777777" w:rsidR="00000000" w:rsidRDefault="003C49E9">
            <w:pPr>
              <w:pStyle w:val="a3"/>
              <w:spacing w:before="0" w:beforeAutospacing="0" w:after="0" w:afterAutospacing="0"/>
              <w:jc w:val="right"/>
              <w:rPr>
                <w:sz w:val="20"/>
                <w:szCs w:val="20"/>
              </w:rPr>
            </w:pPr>
            <w:r>
              <w:rPr>
                <w:sz w:val="19"/>
                <w:szCs w:val="19"/>
              </w:rPr>
              <w:t>1,241,16</w:t>
            </w:r>
            <w:r>
              <w:rPr>
                <w:sz w:val="19"/>
                <w:szCs w:val="19"/>
              </w:rPr>
              <w:t>7</w:t>
            </w:r>
          </w:p>
        </w:tc>
        <w:tc>
          <w:tcPr>
            <w:tcW w:w="0" w:type="auto"/>
            <w:noWrap/>
            <w:vAlign w:val="bottom"/>
            <w:hideMark/>
          </w:tcPr>
          <w:p w14:paraId="424D1B3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31A369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FAE2E3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8305751" w14:textId="77777777" w:rsidR="00000000" w:rsidRDefault="003C49E9">
            <w:pPr>
              <w:pStyle w:val="a3"/>
              <w:spacing w:before="0" w:beforeAutospacing="0" w:after="0" w:afterAutospacing="0"/>
              <w:jc w:val="right"/>
              <w:rPr>
                <w:sz w:val="20"/>
                <w:szCs w:val="20"/>
              </w:rPr>
            </w:pPr>
            <w:r>
              <w:rPr>
                <w:sz w:val="19"/>
                <w:szCs w:val="19"/>
              </w:rPr>
              <w:t>4,60</w:t>
            </w:r>
            <w:r>
              <w:rPr>
                <w:sz w:val="19"/>
                <w:szCs w:val="19"/>
              </w:rPr>
              <w:t>3</w:t>
            </w:r>
          </w:p>
        </w:tc>
        <w:tc>
          <w:tcPr>
            <w:tcW w:w="0" w:type="auto"/>
            <w:noWrap/>
            <w:vAlign w:val="bottom"/>
            <w:hideMark/>
          </w:tcPr>
          <w:p w14:paraId="119275A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AB8362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80134C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152973F" w14:textId="77777777" w:rsidR="00000000" w:rsidRDefault="003C49E9">
            <w:pPr>
              <w:pStyle w:val="a3"/>
              <w:spacing w:before="0" w:beforeAutospacing="0" w:after="0" w:afterAutospacing="0"/>
              <w:jc w:val="right"/>
              <w:rPr>
                <w:sz w:val="20"/>
                <w:szCs w:val="20"/>
              </w:rPr>
            </w:pPr>
            <w:r>
              <w:rPr>
                <w:sz w:val="19"/>
                <w:szCs w:val="19"/>
              </w:rPr>
              <w:t>(</w:t>
            </w:r>
            <w:r>
              <w:rPr>
                <w:sz w:val="19"/>
                <w:szCs w:val="19"/>
              </w:rPr>
              <w:t>483,16</w:t>
            </w:r>
            <w:r>
              <w:rPr>
                <w:sz w:val="19"/>
                <w:szCs w:val="19"/>
              </w:rPr>
              <w:t>1</w:t>
            </w:r>
          </w:p>
        </w:tc>
        <w:tc>
          <w:tcPr>
            <w:tcW w:w="0" w:type="auto"/>
            <w:noWrap/>
            <w:vAlign w:val="bottom"/>
            <w:hideMark/>
          </w:tcPr>
          <w:p w14:paraId="08814DBE"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3901D4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ABF3F6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5EFFE68" w14:textId="77777777" w:rsidR="00000000" w:rsidRDefault="003C49E9">
            <w:pPr>
              <w:pStyle w:val="a3"/>
              <w:spacing w:before="0" w:beforeAutospacing="0" w:after="0" w:afterAutospacing="0"/>
              <w:jc w:val="right"/>
              <w:rPr>
                <w:sz w:val="20"/>
                <w:szCs w:val="20"/>
              </w:rPr>
            </w:pPr>
            <w:r>
              <w:rPr>
                <w:sz w:val="19"/>
                <w:szCs w:val="19"/>
              </w:rPr>
              <w:t>762,65</w:t>
            </w:r>
            <w:r>
              <w:rPr>
                <w:sz w:val="19"/>
                <w:szCs w:val="19"/>
              </w:rPr>
              <w:t>5</w:t>
            </w:r>
          </w:p>
        </w:tc>
        <w:tc>
          <w:tcPr>
            <w:tcW w:w="0" w:type="auto"/>
            <w:noWrap/>
            <w:vAlign w:val="bottom"/>
            <w:hideMark/>
          </w:tcPr>
          <w:p w14:paraId="62FF80CB" w14:textId="77777777" w:rsidR="00000000" w:rsidRDefault="003C49E9">
            <w:pPr>
              <w:pStyle w:val="a3"/>
              <w:spacing w:before="0" w:beforeAutospacing="0" w:after="0" w:afterAutospacing="0"/>
              <w:rPr>
                <w:sz w:val="19"/>
                <w:szCs w:val="19"/>
              </w:rPr>
            </w:pPr>
            <w:r>
              <w:rPr>
                <w:sz w:val="19"/>
                <w:szCs w:val="19"/>
              </w:rPr>
              <w:t> </w:t>
            </w:r>
          </w:p>
        </w:tc>
      </w:tr>
      <w:tr w:rsidR="00000000" w14:paraId="07C6B42D" w14:textId="77777777">
        <w:trPr>
          <w:trHeight w:val="180"/>
          <w:tblCellSpacing w:w="15" w:type="dxa"/>
        </w:trPr>
        <w:tc>
          <w:tcPr>
            <w:tcW w:w="0" w:type="auto"/>
            <w:vAlign w:val="bottom"/>
            <w:hideMark/>
          </w:tcPr>
          <w:p w14:paraId="4667ECCC" w14:textId="77777777" w:rsidR="00000000" w:rsidRDefault="003C49E9">
            <w:pPr>
              <w:pStyle w:val="a3"/>
              <w:spacing w:before="0" w:beforeAutospacing="0" w:after="0" w:afterAutospacing="0"/>
              <w:rPr>
                <w:sz w:val="19"/>
                <w:szCs w:val="19"/>
              </w:rPr>
            </w:pPr>
            <w:r>
              <w:rPr>
                <w:sz w:val="19"/>
                <w:szCs w:val="19"/>
              </w:rPr>
              <w:t xml:space="preserve">Issuance of common stock under stock </w:t>
            </w:r>
            <w:r>
              <w:rPr>
                <w:sz w:val="19"/>
                <w:szCs w:val="19"/>
              </w:rPr>
              <w:br/>
              <w:t xml:space="preserve">  plans, net of shares withheld </w:t>
            </w:r>
            <w:r>
              <w:rPr>
                <w:sz w:val="19"/>
                <w:szCs w:val="19"/>
              </w:rPr>
              <w:br/>
              <w:t>  for employee taxe</w:t>
            </w:r>
            <w:r>
              <w:rPr>
                <w:sz w:val="19"/>
                <w:szCs w:val="19"/>
              </w:rPr>
              <w:t>s</w:t>
            </w:r>
          </w:p>
        </w:tc>
        <w:tc>
          <w:tcPr>
            <w:tcW w:w="0" w:type="auto"/>
            <w:noWrap/>
            <w:vAlign w:val="bottom"/>
            <w:hideMark/>
          </w:tcPr>
          <w:p w14:paraId="1BF420C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F99735C" w14:textId="77777777" w:rsidR="00000000" w:rsidRDefault="003C49E9">
            <w:pPr>
              <w:pStyle w:val="a3"/>
              <w:spacing w:before="0" w:beforeAutospacing="0" w:after="0" w:afterAutospacing="0"/>
              <w:jc w:val="right"/>
              <w:rPr>
                <w:sz w:val="20"/>
                <w:szCs w:val="20"/>
              </w:rPr>
            </w:pPr>
            <w:r>
              <w:rPr>
                <w:sz w:val="19"/>
                <w:szCs w:val="19"/>
              </w:rPr>
              <w:t>48</w:t>
            </w:r>
            <w:r>
              <w:rPr>
                <w:sz w:val="19"/>
                <w:szCs w:val="19"/>
              </w:rPr>
              <w:t>2</w:t>
            </w:r>
          </w:p>
        </w:tc>
        <w:tc>
          <w:tcPr>
            <w:tcW w:w="0" w:type="auto"/>
            <w:noWrap/>
            <w:vAlign w:val="bottom"/>
            <w:hideMark/>
          </w:tcPr>
          <w:p w14:paraId="3CEB9C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D2C7F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24DCD8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DD2B7D8" w14:textId="77777777" w:rsidR="00000000" w:rsidRDefault="003C49E9">
            <w:pPr>
              <w:pStyle w:val="a3"/>
              <w:spacing w:before="0" w:beforeAutospacing="0" w:after="0" w:afterAutospacing="0"/>
              <w:jc w:val="right"/>
              <w:rPr>
                <w:sz w:val="20"/>
                <w:szCs w:val="20"/>
              </w:rPr>
            </w:pPr>
            <w:r>
              <w:rPr>
                <w:sz w:val="19"/>
                <w:szCs w:val="19"/>
              </w:rPr>
              <w:t>1</w:t>
            </w:r>
          </w:p>
        </w:tc>
        <w:tc>
          <w:tcPr>
            <w:tcW w:w="0" w:type="auto"/>
            <w:noWrap/>
            <w:vAlign w:val="bottom"/>
            <w:hideMark/>
          </w:tcPr>
          <w:p w14:paraId="07E3A06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28E4FF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89E6C7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B3810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16A7A3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DF1CB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65D940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F050B4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F8DFC0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50B827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59835D8" w14:textId="77777777" w:rsidR="00000000" w:rsidRDefault="003C49E9">
            <w:pPr>
              <w:pStyle w:val="a3"/>
              <w:spacing w:before="0" w:beforeAutospacing="0" w:after="0" w:afterAutospacing="0"/>
              <w:jc w:val="right"/>
              <w:rPr>
                <w:sz w:val="20"/>
                <w:szCs w:val="20"/>
              </w:rPr>
            </w:pPr>
            <w:r>
              <w:rPr>
                <w:sz w:val="19"/>
                <w:szCs w:val="19"/>
              </w:rPr>
              <w:t>6,58</w:t>
            </w:r>
            <w:r>
              <w:rPr>
                <w:sz w:val="19"/>
                <w:szCs w:val="19"/>
              </w:rPr>
              <w:t>2</w:t>
            </w:r>
          </w:p>
        </w:tc>
        <w:tc>
          <w:tcPr>
            <w:tcW w:w="0" w:type="auto"/>
            <w:noWrap/>
            <w:vAlign w:val="bottom"/>
            <w:hideMark/>
          </w:tcPr>
          <w:p w14:paraId="0B565E9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B766B8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90873E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5479C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7CFCA7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996F98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FF019D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1B5C5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9B2414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7F528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D8DEA0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58A280" w14:textId="77777777" w:rsidR="00000000" w:rsidRDefault="003C49E9">
            <w:pPr>
              <w:pStyle w:val="a3"/>
              <w:spacing w:before="0" w:beforeAutospacing="0" w:after="0" w:afterAutospacing="0"/>
              <w:jc w:val="right"/>
              <w:rPr>
                <w:sz w:val="20"/>
                <w:szCs w:val="20"/>
              </w:rPr>
            </w:pPr>
            <w:r>
              <w:rPr>
                <w:sz w:val="19"/>
                <w:szCs w:val="19"/>
              </w:rPr>
              <w:t>6,58</w:t>
            </w:r>
            <w:r>
              <w:rPr>
                <w:sz w:val="19"/>
                <w:szCs w:val="19"/>
              </w:rPr>
              <w:t>3</w:t>
            </w:r>
          </w:p>
        </w:tc>
        <w:tc>
          <w:tcPr>
            <w:tcW w:w="0" w:type="auto"/>
            <w:noWrap/>
            <w:vAlign w:val="bottom"/>
            <w:hideMark/>
          </w:tcPr>
          <w:p w14:paraId="7B5F0819" w14:textId="77777777" w:rsidR="00000000" w:rsidRDefault="003C49E9">
            <w:pPr>
              <w:pStyle w:val="a3"/>
              <w:spacing w:before="0" w:beforeAutospacing="0" w:after="0" w:afterAutospacing="0"/>
              <w:rPr>
                <w:sz w:val="19"/>
                <w:szCs w:val="19"/>
              </w:rPr>
            </w:pPr>
            <w:r>
              <w:rPr>
                <w:sz w:val="19"/>
                <w:szCs w:val="19"/>
              </w:rPr>
              <w:t> </w:t>
            </w:r>
          </w:p>
        </w:tc>
      </w:tr>
      <w:tr w:rsidR="00000000" w14:paraId="35985C74" w14:textId="77777777">
        <w:trPr>
          <w:trHeight w:val="180"/>
          <w:tblCellSpacing w:w="15" w:type="dxa"/>
        </w:trPr>
        <w:tc>
          <w:tcPr>
            <w:tcW w:w="0" w:type="auto"/>
            <w:vAlign w:val="bottom"/>
            <w:hideMark/>
          </w:tcPr>
          <w:p w14:paraId="6CFAD705" w14:textId="77777777" w:rsidR="00000000" w:rsidRDefault="003C49E9">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14:paraId="6E17CF4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276D4F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3D403C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7A1EE8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A48162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A865B4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F6800A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3EE661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BCFE6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C34FF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CE0C7A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658E9B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C0C438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D87E86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1EBF7D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48F919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2D19803" w14:textId="77777777" w:rsidR="00000000" w:rsidRDefault="003C49E9">
            <w:pPr>
              <w:pStyle w:val="a3"/>
              <w:spacing w:before="0" w:beforeAutospacing="0" w:after="0" w:afterAutospacing="0"/>
              <w:jc w:val="right"/>
              <w:rPr>
                <w:sz w:val="20"/>
                <w:szCs w:val="20"/>
              </w:rPr>
            </w:pPr>
            <w:r>
              <w:rPr>
                <w:sz w:val="19"/>
                <w:szCs w:val="19"/>
              </w:rPr>
              <w:t>32,94</w:t>
            </w:r>
            <w:r>
              <w:rPr>
                <w:sz w:val="19"/>
                <w:szCs w:val="19"/>
              </w:rPr>
              <w:t>7</w:t>
            </w:r>
          </w:p>
        </w:tc>
        <w:tc>
          <w:tcPr>
            <w:tcW w:w="0" w:type="auto"/>
            <w:noWrap/>
            <w:vAlign w:val="bottom"/>
            <w:hideMark/>
          </w:tcPr>
          <w:p w14:paraId="4DC1877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772BBD"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3AD5B206"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31B6B25"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DEA318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C7BB02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021E8B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FEA7E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FCB33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674B52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6556C89" w14:textId="77777777" w:rsidR="00000000" w:rsidRDefault="003C49E9">
            <w:pPr>
              <w:pStyle w:val="a3"/>
              <w:spacing w:before="0" w:beforeAutospacing="0" w:after="0" w:afterAutospacing="0"/>
              <w:jc w:val="right"/>
              <w:rPr>
                <w:sz w:val="20"/>
                <w:szCs w:val="20"/>
              </w:rPr>
            </w:pPr>
            <w:r>
              <w:rPr>
                <w:sz w:val="19"/>
                <w:szCs w:val="19"/>
              </w:rPr>
              <w:t>32,94</w:t>
            </w:r>
            <w:r>
              <w:rPr>
                <w:sz w:val="19"/>
                <w:szCs w:val="19"/>
              </w:rPr>
              <w:t>7</w:t>
            </w:r>
          </w:p>
        </w:tc>
        <w:tc>
          <w:tcPr>
            <w:tcW w:w="0" w:type="auto"/>
            <w:noWrap/>
            <w:vAlign w:val="bottom"/>
            <w:hideMark/>
          </w:tcPr>
          <w:p w14:paraId="06318A6E" w14:textId="77777777" w:rsidR="00000000" w:rsidRDefault="003C49E9">
            <w:pPr>
              <w:pStyle w:val="a3"/>
              <w:spacing w:before="0" w:beforeAutospacing="0" w:after="0" w:afterAutospacing="0"/>
              <w:rPr>
                <w:sz w:val="19"/>
                <w:szCs w:val="19"/>
              </w:rPr>
            </w:pPr>
            <w:r>
              <w:rPr>
                <w:sz w:val="19"/>
                <w:szCs w:val="19"/>
              </w:rPr>
              <w:t> </w:t>
            </w:r>
          </w:p>
        </w:tc>
      </w:tr>
      <w:tr w:rsidR="00000000" w14:paraId="0C6F8E9E" w14:textId="77777777">
        <w:trPr>
          <w:trHeight w:val="180"/>
          <w:tblCellSpacing w:w="15" w:type="dxa"/>
        </w:trPr>
        <w:tc>
          <w:tcPr>
            <w:tcW w:w="0" w:type="auto"/>
            <w:vAlign w:val="bottom"/>
            <w:hideMark/>
          </w:tcPr>
          <w:p w14:paraId="311F945A" w14:textId="77777777" w:rsidR="00000000" w:rsidRDefault="003C49E9">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noWrap/>
            <w:vAlign w:val="bottom"/>
            <w:hideMark/>
          </w:tcPr>
          <w:p w14:paraId="238AFBB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5E86099" w14:textId="77777777" w:rsidR="00000000" w:rsidRDefault="003C49E9">
            <w:pPr>
              <w:pStyle w:val="a3"/>
              <w:spacing w:before="0" w:beforeAutospacing="0" w:after="0" w:afterAutospacing="0"/>
              <w:jc w:val="right"/>
              <w:rPr>
                <w:sz w:val="20"/>
                <w:szCs w:val="20"/>
              </w:rPr>
            </w:pPr>
            <w:r>
              <w:rPr>
                <w:sz w:val="19"/>
                <w:szCs w:val="19"/>
              </w:rPr>
              <w:t>36</w:t>
            </w:r>
            <w:r>
              <w:rPr>
                <w:sz w:val="19"/>
                <w:szCs w:val="19"/>
              </w:rPr>
              <w:t>3</w:t>
            </w:r>
          </w:p>
        </w:tc>
        <w:tc>
          <w:tcPr>
            <w:tcW w:w="0" w:type="auto"/>
            <w:noWrap/>
            <w:vAlign w:val="bottom"/>
            <w:hideMark/>
          </w:tcPr>
          <w:p w14:paraId="5ECE866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0604F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5F852E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90B74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4D4702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DF024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A6634A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DFF767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C706DB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02F334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DCEB3B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DD1183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99A102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66A87C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E7AE70" w14:textId="77777777" w:rsidR="00000000" w:rsidRDefault="003C49E9">
            <w:pPr>
              <w:pStyle w:val="a3"/>
              <w:spacing w:before="0" w:beforeAutospacing="0" w:after="0" w:afterAutospacing="0"/>
              <w:jc w:val="right"/>
              <w:rPr>
                <w:sz w:val="20"/>
                <w:szCs w:val="20"/>
              </w:rPr>
            </w:pPr>
            <w:r>
              <w:rPr>
                <w:sz w:val="19"/>
                <w:szCs w:val="19"/>
              </w:rPr>
              <w:t>(</w:t>
            </w:r>
            <w:r>
              <w:rPr>
                <w:sz w:val="19"/>
                <w:szCs w:val="19"/>
              </w:rPr>
              <w:t>2,30</w:t>
            </w:r>
            <w:r>
              <w:rPr>
                <w:sz w:val="19"/>
                <w:szCs w:val="19"/>
              </w:rPr>
              <w:t>7</w:t>
            </w:r>
          </w:p>
        </w:tc>
        <w:tc>
          <w:tcPr>
            <w:tcW w:w="0" w:type="auto"/>
            <w:noWrap/>
            <w:vAlign w:val="bottom"/>
            <w:hideMark/>
          </w:tcPr>
          <w:p w14:paraId="561BF406"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96D754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3807B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B8DE8A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E23265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58278A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95B561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003804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15C492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C6E591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05BE64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9E5F8D" w14:textId="77777777" w:rsidR="00000000" w:rsidRDefault="003C49E9">
            <w:pPr>
              <w:pStyle w:val="a3"/>
              <w:spacing w:before="0" w:beforeAutospacing="0" w:after="0" w:afterAutospacing="0"/>
              <w:jc w:val="right"/>
              <w:rPr>
                <w:sz w:val="20"/>
                <w:szCs w:val="20"/>
              </w:rPr>
            </w:pPr>
            <w:r>
              <w:rPr>
                <w:sz w:val="19"/>
                <w:szCs w:val="19"/>
              </w:rPr>
              <w:t>(</w:t>
            </w:r>
            <w:r>
              <w:rPr>
                <w:sz w:val="19"/>
                <w:szCs w:val="19"/>
              </w:rPr>
              <w:t>2,30</w:t>
            </w:r>
            <w:r>
              <w:rPr>
                <w:sz w:val="19"/>
                <w:szCs w:val="19"/>
              </w:rPr>
              <w:t>7</w:t>
            </w:r>
          </w:p>
        </w:tc>
        <w:tc>
          <w:tcPr>
            <w:tcW w:w="0" w:type="auto"/>
            <w:noWrap/>
            <w:vAlign w:val="bottom"/>
            <w:hideMark/>
          </w:tcPr>
          <w:p w14:paraId="16C486AE" w14:textId="77777777" w:rsidR="00000000" w:rsidRDefault="003C49E9">
            <w:pPr>
              <w:pStyle w:val="a3"/>
              <w:spacing w:before="0" w:beforeAutospacing="0" w:after="0" w:afterAutospacing="0"/>
              <w:rPr>
                <w:sz w:val="19"/>
                <w:szCs w:val="19"/>
              </w:rPr>
            </w:pPr>
            <w:r>
              <w:rPr>
                <w:sz w:val="19"/>
                <w:szCs w:val="19"/>
              </w:rPr>
              <w:t>)</w:t>
            </w:r>
          </w:p>
        </w:tc>
      </w:tr>
      <w:tr w:rsidR="00000000" w14:paraId="7BE4117C" w14:textId="77777777">
        <w:trPr>
          <w:trHeight w:val="180"/>
          <w:tblCellSpacing w:w="15" w:type="dxa"/>
        </w:trPr>
        <w:tc>
          <w:tcPr>
            <w:tcW w:w="0" w:type="auto"/>
            <w:vAlign w:val="bottom"/>
            <w:hideMark/>
          </w:tcPr>
          <w:p w14:paraId="2EBEE8DD" w14:textId="77777777" w:rsidR="00000000" w:rsidRDefault="003C49E9">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14:paraId="6CF8393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9B86933" w14:textId="77777777" w:rsidR="00000000" w:rsidRDefault="003C49E9">
            <w:pPr>
              <w:pStyle w:val="a3"/>
              <w:spacing w:before="0" w:beforeAutospacing="0" w:after="0" w:afterAutospacing="0"/>
              <w:jc w:val="right"/>
              <w:rPr>
                <w:sz w:val="20"/>
                <w:szCs w:val="20"/>
              </w:rPr>
            </w:pPr>
            <w:r>
              <w:rPr>
                <w:sz w:val="19"/>
                <w:szCs w:val="19"/>
              </w:rPr>
              <w:t>(</w:t>
            </w:r>
            <w:r>
              <w:rPr>
                <w:sz w:val="19"/>
                <w:szCs w:val="19"/>
              </w:rPr>
              <w:t>36</w:t>
            </w:r>
            <w:r>
              <w:rPr>
                <w:sz w:val="19"/>
                <w:szCs w:val="19"/>
              </w:rPr>
              <w:t>4</w:t>
            </w:r>
          </w:p>
        </w:tc>
        <w:tc>
          <w:tcPr>
            <w:tcW w:w="0" w:type="auto"/>
            <w:noWrap/>
            <w:vAlign w:val="bottom"/>
            <w:hideMark/>
          </w:tcPr>
          <w:p w14:paraId="02A87836"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418695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78CF6A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5DF7EA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A0A643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BB2AD5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0B131B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8CCC8B0" w14:textId="77777777" w:rsidR="00000000" w:rsidRDefault="003C49E9">
            <w:pPr>
              <w:pStyle w:val="a3"/>
              <w:spacing w:before="0" w:beforeAutospacing="0" w:after="0" w:afterAutospacing="0"/>
              <w:jc w:val="right"/>
              <w:rPr>
                <w:sz w:val="20"/>
                <w:szCs w:val="20"/>
              </w:rPr>
            </w:pPr>
            <w:r>
              <w:rPr>
                <w:sz w:val="19"/>
                <w:szCs w:val="19"/>
              </w:rPr>
              <w:t>36</w:t>
            </w:r>
            <w:r>
              <w:rPr>
                <w:sz w:val="19"/>
                <w:szCs w:val="19"/>
              </w:rPr>
              <w:t>4</w:t>
            </w:r>
          </w:p>
        </w:tc>
        <w:tc>
          <w:tcPr>
            <w:tcW w:w="0" w:type="auto"/>
            <w:noWrap/>
            <w:vAlign w:val="bottom"/>
            <w:hideMark/>
          </w:tcPr>
          <w:p w14:paraId="133C034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056472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8F4A24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C01272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346CF7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E927C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4C34371" w14:textId="77777777" w:rsidR="00000000" w:rsidRDefault="003C49E9">
            <w:pPr>
              <w:pStyle w:val="a3"/>
              <w:spacing w:before="0" w:beforeAutospacing="0" w:after="0" w:afterAutospacing="0"/>
              <w:jc w:val="right"/>
              <w:rPr>
                <w:sz w:val="20"/>
                <w:szCs w:val="20"/>
              </w:rPr>
            </w:pPr>
            <w:r>
              <w:rPr>
                <w:sz w:val="19"/>
                <w:szCs w:val="19"/>
              </w:rPr>
              <w:t>72</w:t>
            </w:r>
            <w:r>
              <w:rPr>
                <w:sz w:val="19"/>
                <w:szCs w:val="19"/>
              </w:rPr>
              <w:t>4</w:t>
            </w:r>
          </w:p>
        </w:tc>
        <w:tc>
          <w:tcPr>
            <w:tcW w:w="0" w:type="auto"/>
            <w:noWrap/>
            <w:vAlign w:val="bottom"/>
            <w:hideMark/>
          </w:tcPr>
          <w:p w14:paraId="71FF069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FABAB3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7D41BD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F3D168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595B91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BEB94C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7B7912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4940F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D4F1B5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ED925B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B878A4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9CFDE17" w14:textId="77777777" w:rsidR="00000000" w:rsidRDefault="003C49E9">
            <w:pPr>
              <w:pStyle w:val="a3"/>
              <w:spacing w:before="0" w:beforeAutospacing="0" w:after="0" w:afterAutospacing="0"/>
              <w:jc w:val="right"/>
              <w:rPr>
                <w:sz w:val="20"/>
                <w:szCs w:val="20"/>
              </w:rPr>
            </w:pPr>
            <w:r>
              <w:rPr>
                <w:sz w:val="19"/>
                <w:szCs w:val="19"/>
              </w:rPr>
              <w:t>72</w:t>
            </w:r>
            <w:r>
              <w:rPr>
                <w:sz w:val="19"/>
                <w:szCs w:val="19"/>
              </w:rPr>
              <w:t>4</w:t>
            </w:r>
          </w:p>
        </w:tc>
        <w:tc>
          <w:tcPr>
            <w:tcW w:w="0" w:type="auto"/>
            <w:noWrap/>
            <w:vAlign w:val="bottom"/>
            <w:hideMark/>
          </w:tcPr>
          <w:p w14:paraId="16880993" w14:textId="77777777" w:rsidR="00000000" w:rsidRDefault="003C49E9">
            <w:pPr>
              <w:pStyle w:val="a3"/>
              <w:spacing w:before="0" w:beforeAutospacing="0" w:after="0" w:afterAutospacing="0"/>
              <w:rPr>
                <w:sz w:val="19"/>
                <w:szCs w:val="19"/>
              </w:rPr>
            </w:pPr>
            <w:r>
              <w:rPr>
                <w:sz w:val="19"/>
                <w:szCs w:val="19"/>
              </w:rPr>
              <w:t> </w:t>
            </w:r>
          </w:p>
        </w:tc>
      </w:tr>
      <w:tr w:rsidR="00000000" w14:paraId="299CB312" w14:textId="77777777">
        <w:trPr>
          <w:trHeight w:val="180"/>
          <w:tblCellSpacing w:w="15" w:type="dxa"/>
        </w:trPr>
        <w:tc>
          <w:tcPr>
            <w:tcW w:w="0" w:type="auto"/>
            <w:vAlign w:val="bottom"/>
            <w:hideMark/>
          </w:tcPr>
          <w:p w14:paraId="777FAE04" w14:textId="77777777" w:rsidR="00000000" w:rsidRDefault="003C49E9">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14:paraId="7843C5E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B0C829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9FAB9F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BC194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522CAF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2D1C15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3F335B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460AB2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B9228A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12E0DF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EDBB12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D26E92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8CC20F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A187CD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87B16D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528B0F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519D2A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AB3A2E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7DDF1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FE39D3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1415FC"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2,48</w:t>
            </w:r>
            <w:r>
              <w:rPr>
                <w:sz w:val="19"/>
                <w:szCs w:val="19"/>
              </w:rPr>
              <w:t>9</w:t>
            </w:r>
          </w:p>
        </w:tc>
        <w:tc>
          <w:tcPr>
            <w:tcW w:w="0" w:type="auto"/>
            <w:noWrap/>
            <w:vAlign w:val="bottom"/>
            <w:hideMark/>
          </w:tcPr>
          <w:p w14:paraId="1F9C42C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8BBC60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6A8072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727477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8EEB54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ADD62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FFCD90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1EB2FE"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2,48</w:t>
            </w:r>
            <w:r>
              <w:rPr>
                <w:sz w:val="19"/>
                <w:szCs w:val="19"/>
              </w:rPr>
              <w:t>9</w:t>
            </w:r>
          </w:p>
        </w:tc>
        <w:tc>
          <w:tcPr>
            <w:tcW w:w="0" w:type="auto"/>
            <w:noWrap/>
            <w:vAlign w:val="bottom"/>
            <w:hideMark/>
          </w:tcPr>
          <w:p w14:paraId="6EC57EC1" w14:textId="77777777" w:rsidR="00000000" w:rsidRDefault="003C49E9">
            <w:pPr>
              <w:pStyle w:val="a3"/>
              <w:spacing w:before="0" w:beforeAutospacing="0" w:after="0" w:afterAutospacing="0"/>
              <w:rPr>
                <w:sz w:val="19"/>
                <w:szCs w:val="19"/>
              </w:rPr>
            </w:pPr>
            <w:r>
              <w:rPr>
                <w:sz w:val="19"/>
                <w:szCs w:val="19"/>
              </w:rPr>
              <w:t>)</w:t>
            </w:r>
          </w:p>
        </w:tc>
      </w:tr>
      <w:tr w:rsidR="00000000" w14:paraId="2787CDEC" w14:textId="77777777">
        <w:trPr>
          <w:trHeight w:val="180"/>
          <w:tblCellSpacing w:w="15" w:type="dxa"/>
        </w:trPr>
        <w:tc>
          <w:tcPr>
            <w:tcW w:w="0" w:type="auto"/>
            <w:vAlign w:val="bottom"/>
            <w:hideMark/>
          </w:tcPr>
          <w:p w14:paraId="7B8E74CE" w14:textId="77777777" w:rsidR="00000000" w:rsidRDefault="003C49E9">
            <w:pPr>
              <w:pStyle w:val="a3"/>
              <w:spacing w:before="0" w:beforeAutospacing="0" w:after="0" w:afterAutospacing="0"/>
              <w:rPr>
                <w:sz w:val="20"/>
                <w:szCs w:val="20"/>
              </w:rPr>
            </w:pPr>
            <w:r>
              <w:rPr>
                <w:sz w:val="19"/>
                <w:szCs w:val="19"/>
              </w:rPr>
              <w:t>Unrealized gain on investments, net of</w:t>
            </w:r>
            <w:r>
              <w:rPr>
                <w:sz w:val="19"/>
                <w:szCs w:val="19"/>
              </w:rPr>
              <w:br/>
              <w:t>  income taxes of (</w:t>
            </w:r>
            <w:r>
              <w:rPr>
                <w:sz w:val="19"/>
                <w:szCs w:val="19"/>
              </w:rPr>
              <w:t>$</w:t>
            </w:r>
            <w:r>
              <w:rPr>
                <w:sz w:val="19"/>
                <w:szCs w:val="19"/>
              </w:rPr>
              <w:t>3</w:t>
            </w:r>
            <w:r>
              <w:rPr>
                <w:sz w:val="19"/>
                <w:szCs w:val="19"/>
              </w:rPr>
              <w:t>6</w:t>
            </w:r>
            <w:r>
              <w:rPr>
                <w:sz w:val="19"/>
                <w:szCs w:val="19"/>
              </w:rPr>
              <w:t>)</w:t>
            </w:r>
          </w:p>
        </w:tc>
        <w:tc>
          <w:tcPr>
            <w:tcW w:w="0" w:type="auto"/>
            <w:noWrap/>
            <w:vAlign w:val="bottom"/>
            <w:hideMark/>
          </w:tcPr>
          <w:p w14:paraId="2323F6A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BB1DC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672D18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DDC3D1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521A06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12AC7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56E208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E38F3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0FA5AE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F7EC1B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CDA42E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446A9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7BAB76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1B480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EA8262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3CCF45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C7B58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08CE8B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C8B66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70A8C4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AB420D5"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w:t>
            </w:r>
            <w:r>
              <w:rPr>
                <w:sz w:val="19"/>
                <w:szCs w:val="19"/>
              </w:rPr>
              <w:t>0</w:t>
            </w:r>
          </w:p>
        </w:tc>
        <w:tc>
          <w:tcPr>
            <w:tcW w:w="0" w:type="auto"/>
            <w:noWrap/>
            <w:vAlign w:val="bottom"/>
            <w:hideMark/>
          </w:tcPr>
          <w:p w14:paraId="6B5C8F8D"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8FBFDF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64A122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A6D82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5BE36C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48C44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B9E393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06155A"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w:t>
            </w:r>
            <w:r>
              <w:rPr>
                <w:sz w:val="19"/>
                <w:szCs w:val="19"/>
              </w:rPr>
              <w:t>0</w:t>
            </w:r>
          </w:p>
        </w:tc>
        <w:tc>
          <w:tcPr>
            <w:tcW w:w="0" w:type="auto"/>
            <w:noWrap/>
            <w:vAlign w:val="bottom"/>
            <w:hideMark/>
          </w:tcPr>
          <w:p w14:paraId="246DE8C7" w14:textId="77777777" w:rsidR="00000000" w:rsidRDefault="003C49E9">
            <w:pPr>
              <w:pStyle w:val="a3"/>
              <w:spacing w:before="0" w:beforeAutospacing="0" w:after="0" w:afterAutospacing="0"/>
              <w:rPr>
                <w:sz w:val="19"/>
                <w:szCs w:val="19"/>
              </w:rPr>
            </w:pPr>
            <w:r>
              <w:rPr>
                <w:sz w:val="19"/>
                <w:szCs w:val="19"/>
              </w:rPr>
              <w:t>)</w:t>
            </w:r>
          </w:p>
        </w:tc>
      </w:tr>
      <w:tr w:rsidR="00000000" w14:paraId="0E6FCE6F" w14:textId="77777777">
        <w:trPr>
          <w:trHeight w:val="180"/>
          <w:tblCellSpacing w:w="15" w:type="dxa"/>
        </w:trPr>
        <w:tc>
          <w:tcPr>
            <w:tcW w:w="0" w:type="auto"/>
            <w:vAlign w:val="bottom"/>
            <w:hideMark/>
          </w:tcPr>
          <w:p w14:paraId="1FF38FFB" w14:textId="77777777" w:rsidR="00000000" w:rsidRDefault="003C49E9">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14:paraId="5DE7615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08DC8D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A5F3E4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2E4A63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8C8B0C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633336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54830E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895ED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A0761A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3A028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480047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E37C94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D32962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B6D6F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962A81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8D8323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90AF4A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4582C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A3395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1DCE3E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220E30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2B2348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96B0C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507CA6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6ECE001" w14:textId="77777777" w:rsidR="00000000" w:rsidRDefault="003C49E9">
            <w:pPr>
              <w:pStyle w:val="a3"/>
              <w:spacing w:before="0" w:beforeAutospacing="0" w:after="0" w:afterAutospacing="0"/>
              <w:jc w:val="right"/>
              <w:rPr>
                <w:sz w:val="20"/>
                <w:szCs w:val="20"/>
              </w:rPr>
            </w:pPr>
            <w:r>
              <w:rPr>
                <w:sz w:val="19"/>
                <w:szCs w:val="19"/>
              </w:rPr>
              <w:t>(</w:t>
            </w:r>
            <w:r>
              <w:rPr>
                <w:sz w:val="19"/>
                <w:szCs w:val="19"/>
              </w:rPr>
              <w:t>23,15</w:t>
            </w:r>
            <w:r>
              <w:rPr>
                <w:sz w:val="19"/>
                <w:szCs w:val="19"/>
              </w:rPr>
              <w:t>9</w:t>
            </w:r>
          </w:p>
        </w:tc>
        <w:tc>
          <w:tcPr>
            <w:tcW w:w="0" w:type="auto"/>
            <w:noWrap/>
            <w:vAlign w:val="bottom"/>
            <w:hideMark/>
          </w:tcPr>
          <w:p w14:paraId="285A799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1F7F0B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FDAB2A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403F15A" w14:textId="77777777" w:rsidR="00000000" w:rsidRDefault="003C49E9">
            <w:pPr>
              <w:pStyle w:val="a3"/>
              <w:spacing w:before="0" w:beforeAutospacing="0" w:after="0" w:afterAutospacing="0"/>
              <w:jc w:val="right"/>
              <w:rPr>
                <w:sz w:val="20"/>
                <w:szCs w:val="20"/>
              </w:rPr>
            </w:pPr>
            <w:r>
              <w:rPr>
                <w:sz w:val="19"/>
                <w:szCs w:val="19"/>
              </w:rPr>
              <w:t>(</w:t>
            </w:r>
            <w:r>
              <w:rPr>
                <w:sz w:val="19"/>
                <w:szCs w:val="19"/>
              </w:rPr>
              <w:t>23,15</w:t>
            </w:r>
            <w:r>
              <w:rPr>
                <w:sz w:val="19"/>
                <w:szCs w:val="19"/>
              </w:rPr>
              <w:t>9</w:t>
            </w:r>
          </w:p>
        </w:tc>
        <w:tc>
          <w:tcPr>
            <w:tcW w:w="0" w:type="auto"/>
            <w:noWrap/>
            <w:vAlign w:val="bottom"/>
            <w:hideMark/>
          </w:tcPr>
          <w:p w14:paraId="364EF73E" w14:textId="77777777" w:rsidR="00000000" w:rsidRDefault="003C49E9">
            <w:pPr>
              <w:pStyle w:val="a3"/>
              <w:spacing w:before="0" w:beforeAutospacing="0" w:after="0" w:afterAutospacing="0"/>
              <w:rPr>
                <w:sz w:val="19"/>
                <w:szCs w:val="19"/>
              </w:rPr>
            </w:pPr>
            <w:r>
              <w:rPr>
                <w:sz w:val="19"/>
                <w:szCs w:val="19"/>
              </w:rPr>
              <w:t>)</w:t>
            </w:r>
          </w:p>
        </w:tc>
      </w:tr>
      <w:tr w:rsidR="00000000" w14:paraId="674C736C" w14:textId="77777777">
        <w:trPr>
          <w:trHeight w:val="180"/>
          <w:tblCellSpacing w:w="15" w:type="dxa"/>
        </w:trPr>
        <w:tc>
          <w:tcPr>
            <w:tcW w:w="0" w:type="auto"/>
            <w:vAlign w:val="bottom"/>
            <w:hideMark/>
          </w:tcPr>
          <w:p w14:paraId="724F21AF" w14:textId="77777777" w:rsidR="00000000" w:rsidRDefault="003C49E9">
            <w:pPr>
              <w:pStyle w:val="a3"/>
              <w:spacing w:before="0" w:beforeAutospacing="0" w:after="0" w:afterAutospacing="0"/>
              <w:rPr>
                <w:sz w:val="19"/>
                <w:szCs w:val="19"/>
              </w:rPr>
            </w:pPr>
            <w:r>
              <w:rPr>
                <w:sz w:val="19"/>
                <w:szCs w:val="19"/>
              </w:rPr>
              <w:t>Balances at March 31, 202</w:t>
            </w:r>
            <w:r>
              <w:rPr>
                <w:sz w:val="19"/>
                <w:szCs w:val="19"/>
              </w:rPr>
              <w:t>1</w:t>
            </w:r>
          </w:p>
        </w:tc>
        <w:tc>
          <w:tcPr>
            <w:tcW w:w="0" w:type="auto"/>
            <w:noWrap/>
            <w:vAlign w:val="bottom"/>
            <w:hideMark/>
          </w:tcPr>
          <w:p w14:paraId="60CC1A9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2572AB" w14:textId="77777777" w:rsidR="00000000" w:rsidRDefault="003C49E9">
            <w:pPr>
              <w:pStyle w:val="a3"/>
              <w:spacing w:before="0" w:beforeAutospacing="0" w:after="0" w:afterAutospacing="0"/>
              <w:jc w:val="right"/>
              <w:rPr>
                <w:sz w:val="20"/>
                <w:szCs w:val="20"/>
              </w:rPr>
            </w:pPr>
            <w:r>
              <w:rPr>
                <w:sz w:val="19"/>
                <w:szCs w:val="19"/>
              </w:rPr>
              <w:t>46,59</w:t>
            </w:r>
            <w:r>
              <w:rPr>
                <w:sz w:val="19"/>
                <w:szCs w:val="19"/>
              </w:rPr>
              <w:t>6</w:t>
            </w:r>
          </w:p>
        </w:tc>
        <w:tc>
          <w:tcPr>
            <w:tcW w:w="0" w:type="auto"/>
            <w:noWrap/>
            <w:vAlign w:val="bottom"/>
            <w:hideMark/>
          </w:tcPr>
          <w:p w14:paraId="64ACD31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52B632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C87159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55561C8" w14:textId="77777777" w:rsidR="00000000" w:rsidRDefault="003C49E9">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14:paraId="17951A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E29B9A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1C4B26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FD1F17" w14:textId="77777777" w:rsidR="00000000" w:rsidRDefault="003C49E9">
            <w:pPr>
              <w:pStyle w:val="a3"/>
              <w:spacing w:before="0" w:beforeAutospacing="0" w:after="0" w:afterAutospacing="0"/>
              <w:jc w:val="right"/>
              <w:rPr>
                <w:sz w:val="20"/>
                <w:szCs w:val="20"/>
              </w:rPr>
            </w:pPr>
            <w:r>
              <w:rPr>
                <w:sz w:val="19"/>
                <w:szCs w:val="19"/>
              </w:rPr>
              <w:t>37</w:t>
            </w:r>
            <w:r>
              <w:rPr>
                <w:sz w:val="19"/>
                <w:szCs w:val="19"/>
              </w:rPr>
              <w:t>6</w:t>
            </w:r>
          </w:p>
        </w:tc>
        <w:tc>
          <w:tcPr>
            <w:tcW w:w="0" w:type="auto"/>
            <w:noWrap/>
            <w:vAlign w:val="bottom"/>
            <w:hideMark/>
          </w:tcPr>
          <w:p w14:paraId="469E90F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C2D3FB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EF2D28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4829C7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1B8855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EE1840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C93A7D6" w14:textId="77777777" w:rsidR="00000000" w:rsidRDefault="003C49E9">
            <w:pPr>
              <w:pStyle w:val="a3"/>
              <w:spacing w:before="0" w:beforeAutospacing="0" w:after="0" w:afterAutospacing="0"/>
              <w:jc w:val="right"/>
              <w:rPr>
                <w:sz w:val="20"/>
                <w:szCs w:val="20"/>
              </w:rPr>
            </w:pPr>
            <w:r>
              <w:rPr>
                <w:sz w:val="19"/>
                <w:szCs w:val="19"/>
              </w:rPr>
              <w:t>1,279,11</w:t>
            </w:r>
            <w:r>
              <w:rPr>
                <w:sz w:val="19"/>
                <w:szCs w:val="19"/>
              </w:rPr>
              <w:t>3</w:t>
            </w:r>
          </w:p>
        </w:tc>
        <w:tc>
          <w:tcPr>
            <w:tcW w:w="0" w:type="auto"/>
            <w:noWrap/>
            <w:vAlign w:val="bottom"/>
            <w:hideMark/>
          </w:tcPr>
          <w:p w14:paraId="379A90B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AF6DE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8178564"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96524B2" w14:textId="77777777" w:rsidR="00000000" w:rsidRDefault="003C49E9">
            <w:pPr>
              <w:pStyle w:val="a3"/>
              <w:spacing w:before="0" w:beforeAutospacing="0" w:after="0" w:afterAutospacing="0"/>
              <w:jc w:val="right"/>
              <w:rPr>
                <w:sz w:val="20"/>
                <w:szCs w:val="20"/>
              </w:rPr>
            </w:pPr>
            <w:r>
              <w:rPr>
                <w:sz w:val="19"/>
                <w:szCs w:val="19"/>
              </w:rPr>
              <w:t>1,87</w:t>
            </w:r>
            <w:r>
              <w:rPr>
                <w:sz w:val="19"/>
                <w:szCs w:val="19"/>
              </w:rPr>
              <w:t>4</w:t>
            </w:r>
          </w:p>
        </w:tc>
        <w:tc>
          <w:tcPr>
            <w:tcW w:w="0" w:type="auto"/>
            <w:noWrap/>
            <w:vAlign w:val="bottom"/>
            <w:hideMark/>
          </w:tcPr>
          <w:p w14:paraId="483D928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D2C663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B5B40C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6CFD2B3" w14:textId="77777777" w:rsidR="00000000" w:rsidRDefault="003C49E9">
            <w:pPr>
              <w:pStyle w:val="a3"/>
              <w:spacing w:before="0" w:beforeAutospacing="0" w:after="0" w:afterAutospacing="0"/>
              <w:jc w:val="right"/>
              <w:rPr>
                <w:sz w:val="20"/>
                <w:szCs w:val="20"/>
              </w:rPr>
            </w:pPr>
            <w:r>
              <w:rPr>
                <w:sz w:val="19"/>
                <w:szCs w:val="19"/>
              </w:rPr>
              <w:t>(</w:t>
            </w:r>
            <w:r>
              <w:rPr>
                <w:sz w:val="19"/>
                <w:szCs w:val="19"/>
              </w:rPr>
              <w:t>506,32</w:t>
            </w:r>
            <w:r>
              <w:rPr>
                <w:sz w:val="19"/>
                <w:szCs w:val="19"/>
              </w:rPr>
              <w:t>0</w:t>
            </w:r>
          </w:p>
        </w:tc>
        <w:tc>
          <w:tcPr>
            <w:tcW w:w="0" w:type="auto"/>
            <w:noWrap/>
            <w:vAlign w:val="bottom"/>
            <w:hideMark/>
          </w:tcPr>
          <w:p w14:paraId="4DD30BC5"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477703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519AEA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54EE683" w14:textId="77777777" w:rsidR="00000000" w:rsidRDefault="003C49E9">
            <w:pPr>
              <w:pStyle w:val="a3"/>
              <w:spacing w:before="0" w:beforeAutospacing="0" w:after="0" w:afterAutospacing="0"/>
              <w:jc w:val="right"/>
              <w:rPr>
                <w:sz w:val="20"/>
                <w:szCs w:val="20"/>
              </w:rPr>
            </w:pPr>
            <w:r>
              <w:rPr>
                <w:sz w:val="19"/>
                <w:szCs w:val="19"/>
              </w:rPr>
              <w:t>774,71</w:t>
            </w:r>
            <w:r>
              <w:rPr>
                <w:sz w:val="19"/>
                <w:szCs w:val="19"/>
              </w:rPr>
              <w:t>4</w:t>
            </w:r>
          </w:p>
        </w:tc>
        <w:tc>
          <w:tcPr>
            <w:tcW w:w="0" w:type="auto"/>
            <w:noWrap/>
            <w:vAlign w:val="bottom"/>
            <w:hideMark/>
          </w:tcPr>
          <w:p w14:paraId="5EEDE3E3" w14:textId="77777777" w:rsidR="00000000" w:rsidRDefault="003C49E9">
            <w:pPr>
              <w:pStyle w:val="a3"/>
              <w:spacing w:before="0" w:beforeAutospacing="0" w:after="0" w:afterAutospacing="0"/>
              <w:rPr>
                <w:sz w:val="19"/>
                <w:szCs w:val="19"/>
              </w:rPr>
            </w:pPr>
            <w:r>
              <w:rPr>
                <w:sz w:val="19"/>
                <w:szCs w:val="19"/>
              </w:rPr>
              <w:t> </w:t>
            </w:r>
          </w:p>
        </w:tc>
      </w:tr>
      <w:tr w:rsidR="00000000" w14:paraId="36A5C422" w14:textId="77777777">
        <w:trPr>
          <w:trHeight w:val="180"/>
          <w:tblCellSpacing w:w="15" w:type="dxa"/>
        </w:trPr>
        <w:tc>
          <w:tcPr>
            <w:tcW w:w="0" w:type="auto"/>
            <w:vAlign w:val="bottom"/>
            <w:hideMark/>
          </w:tcPr>
          <w:p w14:paraId="7AF4EF04" w14:textId="77777777" w:rsidR="00000000" w:rsidRDefault="003C49E9">
            <w:pPr>
              <w:pStyle w:val="a3"/>
              <w:spacing w:before="0" w:beforeAutospacing="0" w:after="0" w:afterAutospacing="0"/>
              <w:rPr>
                <w:sz w:val="19"/>
                <w:szCs w:val="19"/>
              </w:rPr>
            </w:pPr>
            <w:r>
              <w:rPr>
                <w:sz w:val="19"/>
                <w:szCs w:val="19"/>
              </w:rPr>
              <w:t xml:space="preserve">Issuance of common stock under stock </w:t>
            </w:r>
            <w:r>
              <w:rPr>
                <w:sz w:val="19"/>
                <w:szCs w:val="19"/>
              </w:rPr>
              <w:br/>
              <w:t>  </w:t>
            </w:r>
            <w:r>
              <w:rPr>
                <w:sz w:val="19"/>
                <w:szCs w:val="19"/>
              </w:rPr>
              <w:t xml:space="preserve">plans, net of shares withheld </w:t>
            </w:r>
            <w:r>
              <w:rPr>
                <w:sz w:val="19"/>
                <w:szCs w:val="19"/>
              </w:rPr>
              <w:br/>
              <w:t>  for employee taxe</w:t>
            </w:r>
            <w:r>
              <w:rPr>
                <w:sz w:val="19"/>
                <w:szCs w:val="19"/>
              </w:rPr>
              <w:t>s</w:t>
            </w:r>
          </w:p>
        </w:tc>
        <w:tc>
          <w:tcPr>
            <w:tcW w:w="0" w:type="auto"/>
            <w:noWrap/>
            <w:vAlign w:val="bottom"/>
            <w:hideMark/>
          </w:tcPr>
          <w:p w14:paraId="218265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26FC7B6" w14:textId="77777777" w:rsidR="00000000" w:rsidRDefault="003C49E9">
            <w:pPr>
              <w:pStyle w:val="a3"/>
              <w:spacing w:before="0" w:beforeAutospacing="0" w:after="0" w:afterAutospacing="0"/>
              <w:jc w:val="right"/>
              <w:rPr>
                <w:sz w:val="20"/>
                <w:szCs w:val="20"/>
              </w:rPr>
            </w:pPr>
            <w:r>
              <w:rPr>
                <w:sz w:val="19"/>
                <w:szCs w:val="19"/>
              </w:rPr>
              <w:t>26</w:t>
            </w:r>
            <w:r>
              <w:rPr>
                <w:sz w:val="19"/>
                <w:szCs w:val="19"/>
              </w:rPr>
              <w:t>4</w:t>
            </w:r>
          </w:p>
        </w:tc>
        <w:tc>
          <w:tcPr>
            <w:tcW w:w="0" w:type="auto"/>
            <w:noWrap/>
            <w:vAlign w:val="bottom"/>
            <w:hideMark/>
          </w:tcPr>
          <w:p w14:paraId="354D67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8BB07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AFECB2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BC4A14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16B581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E20232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1F2830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F99DC9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CB1660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CA4D3A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A5923E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C269FE"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5692DC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F0D48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B9C00EC" w14:textId="77777777" w:rsidR="00000000" w:rsidRDefault="003C49E9">
            <w:pPr>
              <w:pStyle w:val="a3"/>
              <w:spacing w:before="0" w:beforeAutospacing="0" w:after="0" w:afterAutospacing="0"/>
              <w:jc w:val="right"/>
              <w:rPr>
                <w:sz w:val="20"/>
                <w:szCs w:val="20"/>
              </w:rPr>
            </w:pPr>
            <w:r>
              <w:rPr>
                <w:sz w:val="19"/>
                <w:szCs w:val="19"/>
              </w:rPr>
              <w:t>10,67</w:t>
            </w:r>
            <w:r>
              <w:rPr>
                <w:sz w:val="19"/>
                <w:szCs w:val="19"/>
              </w:rPr>
              <w:t>7</w:t>
            </w:r>
          </w:p>
        </w:tc>
        <w:tc>
          <w:tcPr>
            <w:tcW w:w="0" w:type="auto"/>
            <w:noWrap/>
            <w:vAlign w:val="bottom"/>
            <w:hideMark/>
          </w:tcPr>
          <w:p w14:paraId="2ADC521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46665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4D2037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7DB7B2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A0FF38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0FEB85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6F2DF2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68F86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C0E3CB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93B31D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EF3A8E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4A438D4" w14:textId="77777777" w:rsidR="00000000" w:rsidRDefault="003C49E9">
            <w:pPr>
              <w:pStyle w:val="a3"/>
              <w:spacing w:before="0" w:beforeAutospacing="0" w:after="0" w:afterAutospacing="0"/>
              <w:jc w:val="right"/>
              <w:rPr>
                <w:sz w:val="20"/>
                <w:szCs w:val="20"/>
              </w:rPr>
            </w:pPr>
            <w:r>
              <w:rPr>
                <w:sz w:val="19"/>
                <w:szCs w:val="19"/>
              </w:rPr>
              <w:t>10,67</w:t>
            </w:r>
            <w:r>
              <w:rPr>
                <w:sz w:val="19"/>
                <w:szCs w:val="19"/>
              </w:rPr>
              <w:t>7</w:t>
            </w:r>
          </w:p>
        </w:tc>
        <w:tc>
          <w:tcPr>
            <w:tcW w:w="0" w:type="auto"/>
            <w:noWrap/>
            <w:vAlign w:val="bottom"/>
            <w:hideMark/>
          </w:tcPr>
          <w:p w14:paraId="5B2507B6" w14:textId="77777777" w:rsidR="00000000" w:rsidRDefault="003C49E9">
            <w:pPr>
              <w:pStyle w:val="a3"/>
              <w:spacing w:before="0" w:beforeAutospacing="0" w:after="0" w:afterAutospacing="0"/>
              <w:rPr>
                <w:sz w:val="19"/>
                <w:szCs w:val="19"/>
              </w:rPr>
            </w:pPr>
            <w:r>
              <w:rPr>
                <w:sz w:val="19"/>
                <w:szCs w:val="19"/>
              </w:rPr>
              <w:t> </w:t>
            </w:r>
          </w:p>
        </w:tc>
      </w:tr>
      <w:tr w:rsidR="00000000" w14:paraId="44C54DEA" w14:textId="77777777">
        <w:trPr>
          <w:trHeight w:val="180"/>
          <w:tblCellSpacing w:w="15" w:type="dxa"/>
        </w:trPr>
        <w:tc>
          <w:tcPr>
            <w:tcW w:w="0" w:type="auto"/>
            <w:vAlign w:val="bottom"/>
            <w:hideMark/>
          </w:tcPr>
          <w:p w14:paraId="10621F3A" w14:textId="77777777" w:rsidR="00000000" w:rsidRDefault="003C49E9">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noWrap/>
            <w:vAlign w:val="bottom"/>
            <w:hideMark/>
          </w:tcPr>
          <w:p w14:paraId="1F54A38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D113E85" w14:textId="77777777" w:rsidR="00000000" w:rsidRDefault="003C49E9">
            <w:pPr>
              <w:pStyle w:val="a3"/>
              <w:spacing w:before="0" w:beforeAutospacing="0" w:after="0" w:afterAutospacing="0"/>
              <w:jc w:val="right"/>
              <w:rPr>
                <w:sz w:val="20"/>
                <w:szCs w:val="20"/>
              </w:rPr>
            </w:pPr>
            <w:r>
              <w:rPr>
                <w:sz w:val="19"/>
                <w:szCs w:val="19"/>
              </w:rPr>
              <w:t>10</w:t>
            </w:r>
            <w:r>
              <w:rPr>
                <w:sz w:val="19"/>
                <w:szCs w:val="19"/>
              </w:rPr>
              <w:t>8</w:t>
            </w:r>
          </w:p>
        </w:tc>
        <w:tc>
          <w:tcPr>
            <w:tcW w:w="0" w:type="auto"/>
            <w:noWrap/>
            <w:vAlign w:val="bottom"/>
            <w:hideMark/>
          </w:tcPr>
          <w:p w14:paraId="69981FB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04F66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56CFE1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15BC4A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8949C9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847A60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FB9CA6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96225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BB120E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49077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DAFC16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9CA66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6A97B0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EE2077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467D4F" w14:textId="77777777" w:rsidR="00000000" w:rsidRDefault="003C49E9">
            <w:pPr>
              <w:pStyle w:val="a3"/>
              <w:spacing w:before="0" w:beforeAutospacing="0" w:after="0" w:afterAutospacing="0"/>
              <w:jc w:val="right"/>
              <w:rPr>
                <w:sz w:val="20"/>
                <w:szCs w:val="20"/>
              </w:rPr>
            </w:pPr>
            <w:r>
              <w:rPr>
                <w:sz w:val="19"/>
                <w:szCs w:val="19"/>
              </w:rPr>
              <w:t>(</w:t>
            </w:r>
            <w:r>
              <w:rPr>
                <w:sz w:val="19"/>
                <w:szCs w:val="19"/>
              </w:rPr>
              <w:t>14</w:t>
            </w:r>
            <w:r>
              <w:rPr>
                <w:sz w:val="19"/>
                <w:szCs w:val="19"/>
              </w:rPr>
              <w:t>8</w:t>
            </w:r>
          </w:p>
        </w:tc>
        <w:tc>
          <w:tcPr>
            <w:tcW w:w="0" w:type="auto"/>
            <w:noWrap/>
            <w:vAlign w:val="bottom"/>
            <w:hideMark/>
          </w:tcPr>
          <w:p w14:paraId="6B42285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413BB3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401629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42F937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038416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32B13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8C6454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95D9A7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6FD003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2FCE34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AA7798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5EDF102" w14:textId="77777777" w:rsidR="00000000" w:rsidRDefault="003C49E9">
            <w:pPr>
              <w:pStyle w:val="a3"/>
              <w:spacing w:before="0" w:beforeAutospacing="0" w:after="0" w:afterAutospacing="0"/>
              <w:jc w:val="right"/>
              <w:rPr>
                <w:sz w:val="20"/>
                <w:szCs w:val="20"/>
              </w:rPr>
            </w:pPr>
            <w:r>
              <w:rPr>
                <w:sz w:val="19"/>
                <w:szCs w:val="19"/>
              </w:rPr>
              <w:t>(</w:t>
            </w:r>
            <w:r>
              <w:rPr>
                <w:sz w:val="19"/>
                <w:szCs w:val="19"/>
              </w:rPr>
              <w:t>14</w:t>
            </w:r>
            <w:r>
              <w:rPr>
                <w:sz w:val="19"/>
                <w:szCs w:val="19"/>
              </w:rPr>
              <w:t>8</w:t>
            </w:r>
          </w:p>
        </w:tc>
        <w:tc>
          <w:tcPr>
            <w:tcW w:w="0" w:type="auto"/>
            <w:noWrap/>
            <w:vAlign w:val="bottom"/>
            <w:hideMark/>
          </w:tcPr>
          <w:p w14:paraId="5443B6B6" w14:textId="77777777" w:rsidR="00000000" w:rsidRDefault="003C49E9">
            <w:pPr>
              <w:pStyle w:val="a3"/>
              <w:spacing w:before="0" w:beforeAutospacing="0" w:after="0" w:afterAutospacing="0"/>
              <w:rPr>
                <w:sz w:val="19"/>
                <w:szCs w:val="19"/>
              </w:rPr>
            </w:pPr>
            <w:r>
              <w:rPr>
                <w:sz w:val="19"/>
                <w:szCs w:val="19"/>
              </w:rPr>
              <w:t>)</w:t>
            </w:r>
          </w:p>
        </w:tc>
      </w:tr>
      <w:tr w:rsidR="00000000" w14:paraId="19328816" w14:textId="77777777">
        <w:trPr>
          <w:trHeight w:val="180"/>
          <w:tblCellSpacing w:w="15" w:type="dxa"/>
        </w:trPr>
        <w:tc>
          <w:tcPr>
            <w:tcW w:w="0" w:type="auto"/>
            <w:vAlign w:val="bottom"/>
            <w:hideMark/>
          </w:tcPr>
          <w:p w14:paraId="604AF621" w14:textId="77777777" w:rsidR="00000000" w:rsidRDefault="003C49E9">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14:paraId="36D12DF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1DC9494" w14:textId="77777777" w:rsidR="00000000" w:rsidRDefault="003C49E9">
            <w:pPr>
              <w:pStyle w:val="a3"/>
              <w:spacing w:before="0" w:beforeAutospacing="0" w:after="0" w:afterAutospacing="0"/>
              <w:jc w:val="right"/>
              <w:rPr>
                <w:sz w:val="20"/>
                <w:szCs w:val="20"/>
              </w:rPr>
            </w:pPr>
            <w:r>
              <w:rPr>
                <w:sz w:val="19"/>
                <w:szCs w:val="19"/>
              </w:rPr>
              <w:t>(</w:t>
            </w:r>
            <w:r>
              <w:rPr>
                <w:sz w:val="19"/>
                <w:szCs w:val="19"/>
              </w:rPr>
              <w:t>10</w:t>
            </w:r>
            <w:r>
              <w:rPr>
                <w:sz w:val="19"/>
                <w:szCs w:val="19"/>
              </w:rPr>
              <w:t>9</w:t>
            </w:r>
          </w:p>
        </w:tc>
        <w:tc>
          <w:tcPr>
            <w:tcW w:w="0" w:type="auto"/>
            <w:noWrap/>
            <w:vAlign w:val="bottom"/>
            <w:hideMark/>
          </w:tcPr>
          <w:p w14:paraId="563CA85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011E7E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9FA06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7C7BE4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4DB664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EEE23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A695BE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6F88E48" w14:textId="77777777" w:rsidR="00000000" w:rsidRDefault="003C49E9">
            <w:pPr>
              <w:pStyle w:val="a3"/>
              <w:spacing w:before="0" w:beforeAutospacing="0" w:after="0" w:afterAutospacing="0"/>
              <w:jc w:val="right"/>
              <w:rPr>
                <w:sz w:val="20"/>
                <w:szCs w:val="20"/>
              </w:rPr>
            </w:pPr>
            <w:r>
              <w:rPr>
                <w:sz w:val="19"/>
                <w:szCs w:val="19"/>
              </w:rPr>
              <w:t>10</w:t>
            </w:r>
            <w:r>
              <w:rPr>
                <w:sz w:val="19"/>
                <w:szCs w:val="19"/>
              </w:rPr>
              <w:t>9</w:t>
            </w:r>
          </w:p>
        </w:tc>
        <w:tc>
          <w:tcPr>
            <w:tcW w:w="0" w:type="auto"/>
            <w:noWrap/>
            <w:vAlign w:val="bottom"/>
            <w:hideMark/>
          </w:tcPr>
          <w:p w14:paraId="48772B4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EC556A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39A468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902DD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63B5C8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E5AB06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2EC3E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51D3B6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D7C756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AB1811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6B1DC2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205839C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3AD97A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5A0C8D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470B1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482849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2691D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8B6BDC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9B43B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082E906" w14:textId="77777777" w:rsidR="00000000" w:rsidRDefault="003C49E9">
            <w:pPr>
              <w:pStyle w:val="a3"/>
              <w:spacing w:before="0" w:beforeAutospacing="0" w:after="0" w:afterAutospacing="0"/>
              <w:rPr>
                <w:sz w:val="19"/>
                <w:szCs w:val="19"/>
              </w:rPr>
            </w:pPr>
            <w:r>
              <w:rPr>
                <w:sz w:val="19"/>
                <w:szCs w:val="19"/>
              </w:rPr>
              <w:t> </w:t>
            </w:r>
          </w:p>
        </w:tc>
      </w:tr>
      <w:tr w:rsidR="00000000" w14:paraId="09CA478A" w14:textId="77777777">
        <w:trPr>
          <w:trHeight w:val="180"/>
          <w:tblCellSpacing w:w="15" w:type="dxa"/>
        </w:trPr>
        <w:tc>
          <w:tcPr>
            <w:tcW w:w="0" w:type="auto"/>
            <w:vAlign w:val="bottom"/>
            <w:hideMark/>
          </w:tcPr>
          <w:p w14:paraId="429B85F7" w14:textId="77777777" w:rsidR="00000000" w:rsidRDefault="003C49E9">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14:paraId="636F23A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9B6BB9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247837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C8B76D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D5B3E0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06721E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F8C7DD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BC3D88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3558E5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4422B2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97E033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24ED1A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4CD46F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2272E2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422FE5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D8322F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AE1711E" w14:textId="77777777" w:rsidR="00000000" w:rsidRDefault="003C49E9">
            <w:pPr>
              <w:pStyle w:val="a3"/>
              <w:spacing w:before="0" w:beforeAutospacing="0" w:after="0" w:afterAutospacing="0"/>
              <w:jc w:val="right"/>
              <w:rPr>
                <w:sz w:val="20"/>
                <w:szCs w:val="20"/>
              </w:rPr>
            </w:pPr>
            <w:r>
              <w:rPr>
                <w:sz w:val="19"/>
                <w:szCs w:val="19"/>
              </w:rPr>
              <w:t>44,65</w:t>
            </w:r>
            <w:r>
              <w:rPr>
                <w:sz w:val="19"/>
                <w:szCs w:val="19"/>
              </w:rPr>
              <w:t>9</w:t>
            </w:r>
          </w:p>
        </w:tc>
        <w:tc>
          <w:tcPr>
            <w:tcW w:w="0" w:type="auto"/>
            <w:noWrap/>
            <w:vAlign w:val="bottom"/>
            <w:hideMark/>
          </w:tcPr>
          <w:p w14:paraId="05BD4A6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9DBA48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A43FD2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548648"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EB0575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E128C4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89C4F1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921FC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3D9347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EBF5F2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EB30AE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5B70E2D" w14:textId="77777777" w:rsidR="00000000" w:rsidRDefault="003C49E9">
            <w:pPr>
              <w:pStyle w:val="a3"/>
              <w:spacing w:before="0" w:beforeAutospacing="0" w:after="0" w:afterAutospacing="0"/>
              <w:jc w:val="right"/>
              <w:rPr>
                <w:sz w:val="20"/>
                <w:szCs w:val="20"/>
              </w:rPr>
            </w:pPr>
            <w:r>
              <w:rPr>
                <w:sz w:val="19"/>
                <w:szCs w:val="19"/>
              </w:rPr>
              <w:t>44,65</w:t>
            </w:r>
            <w:r>
              <w:rPr>
                <w:sz w:val="19"/>
                <w:szCs w:val="19"/>
              </w:rPr>
              <w:t>9</w:t>
            </w:r>
          </w:p>
        </w:tc>
        <w:tc>
          <w:tcPr>
            <w:tcW w:w="0" w:type="auto"/>
            <w:noWrap/>
            <w:vAlign w:val="bottom"/>
            <w:hideMark/>
          </w:tcPr>
          <w:p w14:paraId="7AA79349" w14:textId="77777777" w:rsidR="00000000" w:rsidRDefault="003C49E9">
            <w:pPr>
              <w:pStyle w:val="a3"/>
              <w:spacing w:before="0" w:beforeAutospacing="0" w:after="0" w:afterAutospacing="0"/>
              <w:rPr>
                <w:sz w:val="19"/>
                <w:szCs w:val="19"/>
              </w:rPr>
            </w:pPr>
            <w:r>
              <w:rPr>
                <w:sz w:val="19"/>
                <w:szCs w:val="19"/>
              </w:rPr>
              <w:t> </w:t>
            </w:r>
          </w:p>
        </w:tc>
      </w:tr>
      <w:tr w:rsidR="00000000" w14:paraId="5EB67D04" w14:textId="77777777">
        <w:trPr>
          <w:trHeight w:val="180"/>
          <w:tblCellSpacing w:w="15" w:type="dxa"/>
        </w:trPr>
        <w:tc>
          <w:tcPr>
            <w:tcW w:w="0" w:type="auto"/>
            <w:vAlign w:val="bottom"/>
            <w:hideMark/>
          </w:tcPr>
          <w:p w14:paraId="302741E4" w14:textId="77777777" w:rsidR="00000000" w:rsidRDefault="003C49E9">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14:paraId="6D1789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B07384F"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F07F44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F344AB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42374B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429F8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9EFA7B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A02A40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25B540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B3159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54F15A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FF3197"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A1E39F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A3410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6018FA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4F05CF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42B807D"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3ED38E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EAD4C5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957603C"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813862E" w14:textId="77777777" w:rsidR="00000000" w:rsidRDefault="003C49E9">
            <w:pPr>
              <w:pStyle w:val="a3"/>
              <w:spacing w:before="0" w:beforeAutospacing="0" w:after="0" w:afterAutospacing="0"/>
              <w:jc w:val="right"/>
              <w:rPr>
                <w:sz w:val="20"/>
                <w:szCs w:val="20"/>
              </w:rPr>
            </w:pPr>
            <w:r>
              <w:rPr>
                <w:sz w:val="19"/>
                <w:szCs w:val="19"/>
              </w:rPr>
              <w:t>53</w:t>
            </w:r>
            <w:r>
              <w:rPr>
                <w:sz w:val="19"/>
                <w:szCs w:val="19"/>
              </w:rPr>
              <w:t>4</w:t>
            </w:r>
          </w:p>
        </w:tc>
        <w:tc>
          <w:tcPr>
            <w:tcW w:w="0" w:type="auto"/>
            <w:noWrap/>
            <w:vAlign w:val="bottom"/>
            <w:hideMark/>
          </w:tcPr>
          <w:p w14:paraId="200F8F3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FF7132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4A723B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B11640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536CD1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65AFF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21C3F5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0B6D7D4" w14:textId="77777777" w:rsidR="00000000" w:rsidRDefault="003C49E9">
            <w:pPr>
              <w:pStyle w:val="a3"/>
              <w:spacing w:before="0" w:beforeAutospacing="0" w:after="0" w:afterAutospacing="0"/>
              <w:jc w:val="right"/>
              <w:rPr>
                <w:sz w:val="20"/>
                <w:szCs w:val="20"/>
              </w:rPr>
            </w:pPr>
            <w:r>
              <w:rPr>
                <w:sz w:val="19"/>
                <w:szCs w:val="19"/>
              </w:rPr>
              <w:t>53</w:t>
            </w:r>
            <w:r>
              <w:rPr>
                <w:sz w:val="19"/>
                <w:szCs w:val="19"/>
              </w:rPr>
              <w:t>4</w:t>
            </w:r>
          </w:p>
        </w:tc>
        <w:tc>
          <w:tcPr>
            <w:tcW w:w="0" w:type="auto"/>
            <w:noWrap/>
            <w:vAlign w:val="bottom"/>
            <w:hideMark/>
          </w:tcPr>
          <w:p w14:paraId="1182B716" w14:textId="77777777" w:rsidR="00000000" w:rsidRDefault="003C49E9">
            <w:pPr>
              <w:pStyle w:val="a3"/>
              <w:spacing w:before="0" w:beforeAutospacing="0" w:after="0" w:afterAutospacing="0"/>
              <w:rPr>
                <w:sz w:val="19"/>
                <w:szCs w:val="19"/>
              </w:rPr>
            </w:pPr>
            <w:r>
              <w:rPr>
                <w:sz w:val="19"/>
                <w:szCs w:val="19"/>
              </w:rPr>
              <w:t> </w:t>
            </w:r>
          </w:p>
        </w:tc>
      </w:tr>
      <w:tr w:rsidR="00000000" w14:paraId="243BA4C8" w14:textId="77777777">
        <w:trPr>
          <w:trHeight w:val="180"/>
          <w:tblCellSpacing w:w="15" w:type="dxa"/>
        </w:trPr>
        <w:tc>
          <w:tcPr>
            <w:tcW w:w="0" w:type="auto"/>
            <w:vAlign w:val="bottom"/>
            <w:hideMark/>
          </w:tcPr>
          <w:p w14:paraId="19E6DADF" w14:textId="77777777" w:rsidR="00000000" w:rsidRDefault="003C49E9">
            <w:pPr>
              <w:pStyle w:val="a3"/>
              <w:spacing w:before="0" w:beforeAutospacing="0" w:after="0" w:afterAutospacing="0"/>
              <w:rPr>
                <w:sz w:val="20"/>
                <w:szCs w:val="20"/>
              </w:rPr>
            </w:pPr>
            <w:r>
              <w:rPr>
                <w:sz w:val="19"/>
                <w:szCs w:val="19"/>
              </w:rPr>
              <w:t>Unrealized loss on investments, net of</w:t>
            </w:r>
            <w:r>
              <w:rPr>
                <w:sz w:val="19"/>
                <w:szCs w:val="19"/>
              </w:rPr>
              <w:br/>
              <w:t>  income taxes of (</w:t>
            </w:r>
            <w:r>
              <w:rPr>
                <w:sz w:val="19"/>
                <w:szCs w:val="19"/>
              </w:rPr>
              <w:t>$</w:t>
            </w:r>
            <w:r>
              <w:rPr>
                <w:sz w:val="19"/>
                <w:szCs w:val="19"/>
              </w:rPr>
              <w:t>7</w:t>
            </w:r>
            <w:r>
              <w:rPr>
                <w:sz w:val="19"/>
                <w:szCs w:val="19"/>
              </w:rPr>
              <w:t>)</w:t>
            </w:r>
          </w:p>
        </w:tc>
        <w:tc>
          <w:tcPr>
            <w:tcW w:w="0" w:type="auto"/>
            <w:noWrap/>
            <w:vAlign w:val="bottom"/>
            <w:hideMark/>
          </w:tcPr>
          <w:p w14:paraId="48675D6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7606D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AF12D3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16058E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840033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AC838A2"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4E318F05"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E48896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FCD404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0273B7C"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C21C22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228EF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6D44F9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FCFE0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9A9837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72660C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65B6A4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C08807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D35B6F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0B9ECB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7BA018A" w14:textId="77777777" w:rsidR="00000000" w:rsidRDefault="003C49E9">
            <w:pPr>
              <w:pStyle w:val="a3"/>
              <w:spacing w:before="0" w:beforeAutospacing="0" w:after="0" w:afterAutospacing="0"/>
              <w:jc w:val="right"/>
              <w:rPr>
                <w:sz w:val="20"/>
                <w:szCs w:val="20"/>
              </w:rPr>
            </w:pPr>
            <w:r>
              <w:rPr>
                <w:sz w:val="19"/>
                <w:szCs w:val="19"/>
              </w:rPr>
              <w:t>(</w:t>
            </w:r>
            <w:r>
              <w:rPr>
                <w:sz w:val="19"/>
                <w:szCs w:val="19"/>
              </w:rPr>
              <w:t>18</w:t>
            </w:r>
            <w:r>
              <w:rPr>
                <w:sz w:val="19"/>
                <w:szCs w:val="19"/>
              </w:rPr>
              <w:t>0</w:t>
            </w:r>
          </w:p>
        </w:tc>
        <w:tc>
          <w:tcPr>
            <w:tcW w:w="0" w:type="auto"/>
            <w:noWrap/>
            <w:vAlign w:val="bottom"/>
            <w:hideMark/>
          </w:tcPr>
          <w:p w14:paraId="65D9F0A9"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4F261F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1A4B05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60D1C2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FFE8A6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310FAD3"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D731CF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429E414" w14:textId="77777777" w:rsidR="00000000" w:rsidRDefault="003C49E9">
            <w:pPr>
              <w:pStyle w:val="a3"/>
              <w:spacing w:before="0" w:beforeAutospacing="0" w:after="0" w:afterAutospacing="0"/>
              <w:jc w:val="right"/>
              <w:rPr>
                <w:sz w:val="20"/>
                <w:szCs w:val="20"/>
              </w:rPr>
            </w:pPr>
            <w:r>
              <w:rPr>
                <w:sz w:val="19"/>
                <w:szCs w:val="19"/>
              </w:rPr>
              <w:t>(</w:t>
            </w:r>
            <w:r>
              <w:rPr>
                <w:sz w:val="19"/>
                <w:szCs w:val="19"/>
              </w:rPr>
              <w:t>18</w:t>
            </w:r>
            <w:r>
              <w:rPr>
                <w:sz w:val="19"/>
                <w:szCs w:val="19"/>
              </w:rPr>
              <w:t>0</w:t>
            </w:r>
          </w:p>
        </w:tc>
        <w:tc>
          <w:tcPr>
            <w:tcW w:w="0" w:type="auto"/>
            <w:noWrap/>
            <w:vAlign w:val="bottom"/>
            <w:hideMark/>
          </w:tcPr>
          <w:p w14:paraId="261F9248" w14:textId="77777777" w:rsidR="00000000" w:rsidRDefault="003C49E9">
            <w:pPr>
              <w:pStyle w:val="a3"/>
              <w:spacing w:before="0" w:beforeAutospacing="0" w:after="0" w:afterAutospacing="0"/>
              <w:rPr>
                <w:sz w:val="19"/>
                <w:szCs w:val="19"/>
              </w:rPr>
            </w:pPr>
            <w:r>
              <w:rPr>
                <w:sz w:val="19"/>
                <w:szCs w:val="19"/>
              </w:rPr>
              <w:t>)</w:t>
            </w:r>
          </w:p>
        </w:tc>
      </w:tr>
      <w:tr w:rsidR="00000000" w14:paraId="460AD3C4" w14:textId="77777777">
        <w:trPr>
          <w:trHeight w:val="180"/>
          <w:tblCellSpacing w:w="15" w:type="dxa"/>
        </w:trPr>
        <w:tc>
          <w:tcPr>
            <w:tcW w:w="0" w:type="auto"/>
            <w:vAlign w:val="bottom"/>
            <w:hideMark/>
          </w:tcPr>
          <w:p w14:paraId="1F2D5138" w14:textId="77777777" w:rsidR="00000000" w:rsidRDefault="003C49E9">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14:paraId="28918C8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2C950A3"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0277A7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93289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988E32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37F0EF0"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C6CB06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0B8477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89B9214"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33FD2EB"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728B706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6473D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ABCD72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9690B1"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10399F8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DA9037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7F6996A"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A683F4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C50D42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3E8711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747D979"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3A6EC76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6E5A3F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2CF64B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957863E"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24,57</w:t>
            </w:r>
            <w:r>
              <w:rPr>
                <w:sz w:val="19"/>
                <w:szCs w:val="19"/>
              </w:rPr>
              <w:t>2</w:t>
            </w:r>
          </w:p>
        </w:tc>
        <w:tc>
          <w:tcPr>
            <w:tcW w:w="0" w:type="auto"/>
            <w:noWrap/>
            <w:vAlign w:val="bottom"/>
            <w:hideMark/>
          </w:tcPr>
          <w:p w14:paraId="4DC5B03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405466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96BC2C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61B22F4" w14:textId="77777777" w:rsidR="00000000" w:rsidRDefault="003C49E9">
            <w:pPr>
              <w:pStyle w:val="a3"/>
              <w:spacing w:before="0" w:beforeAutospacing="0" w:after="0" w:afterAutospacing="0"/>
              <w:jc w:val="right"/>
              <w:rPr>
                <w:sz w:val="20"/>
                <w:szCs w:val="20"/>
              </w:rPr>
            </w:pPr>
            <w:r>
              <w:rPr>
                <w:sz w:val="19"/>
                <w:szCs w:val="19"/>
              </w:rPr>
              <w:t>(</w:t>
            </w:r>
            <w:r>
              <w:rPr>
                <w:sz w:val="19"/>
                <w:szCs w:val="19"/>
              </w:rPr>
              <w:t>24,57</w:t>
            </w:r>
            <w:r>
              <w:rPr>
                <w:sz w:val="19"/>
                <w:szCs w:val="19"/>
              </w:rPr>
              <w:t>2</w:t>
            </w:r>
          </w:p>
        </w:tc>
        <w:tc>
          <w:tcPr>
            <w:tcW w:w="0" w:type="auto"/>
            <w:noWrap/>
            <w:vAlign w:val="bottom"/>
            <w:hideMark/>
          </w:tcPr>
          <w:p w14:paraId="1A18D75D" w14:textId="77777777" w:rsidR="00000000" w:rsidRDefault="003C49E9">
            <w:pPr>
              <w:pStyle w:val="a3"/>
              <w:spacing w:before="0" w:beforeAutospacing="0" w:after="0" w:afterAutospacing="0"/>
              <w:rPr>
                <w:sz w:val="19"/>
                <w:szCs w:val="19"/>
              </w:rPr>
            </w:pPr>
            <w:r>
              <w:rPr>
                <w:sz w:val="19"/>
                <w:szCs w:val="19"/>
              </w:rPr>
              <w:t>)</w:t>
            </w:r>
          </w:p>
        </w:tc>
      </w:tr>
      <w:tr w:rsidR="00000000" w14:paraId="127CFE21" w14:textId="77777777">
        <w:trPr>
          <w:trHeight w:val="180"/>
          <w:tblCellSpacing w:w="15" w:type="dxa"/>
        </w:trPr>
        <w:tc>
          <w:tcPr>
            <w:tcW w:w="0" w:type="auto"/>
            <w:vAlign w:val="bottom"/>
            <w:hideMark/>
          </w:tcPr>
          <w:p w14:paraId="286ADCE6" w14:textId="77777777" w:rsidR="00000000" w:rsidRDefault="003C49E9">
            <w:pPr>
              <w:pStyle w:val="a3"/>
              <w:spacing w:before="0" w:beforeAutospacing="0" w:after="0" w:afterAutospacing="0"/>
              <w:rPr>
                <w:sz w:val="19"/>
                <w:szCs w:val="19"/>
              </w:rPr>
            </w:pPr>
            <w:r>
              <w:rPr>
                <w:sz w:val="19"/>
                <w:szCs w:val="19"/>
              </w:rPr>
              <w:t>Balances at June 30, 202</w:t>
            </w:r>
            <w:r>
              <w:rPr>
                <w:sz w:val="19"/>
                <w:szCs w:val="19"/>
              </w:rPr>
              <w:t>1</w:t>
            </w:r>
          </w:p>
        </w:tc>
        <w:tc>
          <w:tcPr>
            <w:tcW w:w="0" w:type="auto"/>
            <w:noWrap/>
            <w:vAlign w:val="bottom"/>
            <w:hideMark/>
          </w:tcPr>
          <w:p w14:paraId="26A91D1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CE351A" w14:textId="77777777" w:rsidR="00000000" w:rsidRDefault="003C49E9">
            <w:pPr>
              <w:pStyle w:val="a3"/>
              <w:spacing w:before="0" w:beforeAutospacing="0" w:after="0" w:afterAutospacing="0"/>
              <w:jc w:val="right"/>
              <w:rPr>
                <w:sz w:val="20"/>
                <w:szCs w:val="20"/>
              </w:rPr>
            </w:pPr>
            <w:r>
              <w:rPr>
                <w:sz w:val="19"/>
                <w:szCs w:val="19"/>
              </w:rPr>
              <w:t>46,85</w:t>
            </w:r>
            <w:r>
              <w:rPr>
                <w:sz w:val="19"/>
                <w:szCs w:val="19"/>
              </w:rPr>
              <w:t>9</w:t>
            </w:r>
          </w:p>
        </w:tc>
        <w:tc>
          <w:tcPr>
            <w:tcW w:w="0" w:type="auto"/>
            <w:noWrap/>
            <w:vAlign w:val="bottom"/>
            <w:hideMark/>
          </w:tcPr>
          <w:p w14:paraId="41D80B4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8364F2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688791D"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C9B52D5" w14:textId="77777777" w:rsidR="00000000" w:rsidRDefault="003C49E9">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14:paraId="1DC594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FE31FC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746FFD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9D1C02F" w14:textId="77777777" w:rsidR="00000000" w:rsidRDefault="003C49E9">
            <w:pPr>
              <w:pStyle w:val="a3"/>
              <w:spacing w:before="0" w:beforeAutospacing="0" w:after="0" w:afterAutospacing="0"/>
              <w:jc w:val="right"/>
              <w:rPr>
                <w:sz w:val="20"/>
                <w:szCs w:val="20"/>
              </w:rPr>
            </w:pPr>
            <w:r>
              <w:rPr>
                <w:sz w:val="19"/>
                <w:szCs w:val="19"/>
              </w:rPr>
              <w:t>48</w:t>
            </w:r>
            <w:r>
              <w:rPr>
                <w:sz w:val="19"/>
                <w:szCs w:val="19"/>
              </w:rPr>
              <w:t>5</w:t>
            </w:r>
          </w:p>
        </w:tc>
        <w:tc>
          <w:tcPr>
            <w:tcW w:w="0" w:type="auto"/>
            <w:noWrap/>
            <w:vAlign w:val="bottom"/>
            <w:hideMark/>
          </w:tcPr>
          <w:p w14:paraId="0EC6A63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5E2547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6CFD2B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DD497C4"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0FCF24C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8C1BEF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BC865DE" w14:textId="77777777" w:rsidR="00000000" w:rsidRDefault="003C49E9">
            <w:pPr>
              <w:pStyle w:val="a3"/>
              <w:spacing w:before="0" w:beforeAutospacing="0" w:after="0" w:afterAutospacing="0"/>
              <w:jc w:val="right"/>
              <w:rPr>
                <w:sz w:val="20"/>
                <w:szCs w:val="20"/>
              </w:rPr>
            </w:pPr>
            <w:r>
              <w:rPr>
                <w:sz w:val="19"/>
                <w:szCs w:val="19"/>
              </w:rPr>
              <w:t>1,334,30</w:t>
            </w:r>
            <w:r>
              <w:rPr>
                <w:sz w:val="19"/>
                <w:szCs w:val="19"/>
              </w:rPr>
              <w:t>1</w:t>
            </w:r>
          </w:p>
        </w:tc>
        <w:tc>
          <w:tcPr>
            <w:tcW w:w="0" w:type="auto"/>
            <w:noWrap/>
            <w:vAlign w:val="bottom"/>
            <w:hideMark/>
          </w:tcPr>
          <w:p w14:paraId="31F8E8D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508545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B998E1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CEBD593" w14:textId="77777777" w:rsidR="00000000" w:rsidRDefault="003C49E9">
            <w:pPr>
              <w:pStyle w:val="a3"/>
              <w:spacing w:before="0" w:beforeAutospacing="0" w:after="0" w:afterAutospacing="0"/>
              <w:jc w:val="right"/>
              <w:rPr>
                <w:sz w:val="20"/>
                <w:szCs w:val="20"/>
              </w:rPr>
            </w:pPr>
            <w:r>
              <w:rPr>
                <w:sz w:val="19"/>
                <w:szCs w:val="19"/>
              </w:rPr>
              <w:t>2,22</w:t>
            </w:r>
            <w:r>
              <w:rPr>
                <w:sz w:val="19"/>
                <w:szCs w:val="19"/>
              </w:rPr>
              <w:t>8</w:t>
            </w:r>
          </w:p>
        </w:tc>
        <w:tc>
          <w:tcPr>
            <w:tcW w:w="0" w:type="auto"/>
            <w:noWrap/>
            <w:vAlign w:val="bottom"/>
            <w:hideMark/>
          </w:tcPr>
          <w:p w14:paraId="2E6D597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40E2E2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F0E6F88"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7D97F90" w14:textId="77777777" w:rsidR="00000000" w:rsidRDefault="003C49E9">
            <w:pPr>
              <w:pStyle w:val="a3"/>
              <w:spacing w:before="0" w:beforeAutospacing="0" w:after="0" w:afterAutospacing="0"/>
              <w:jc w:val="right"/>
              <w:rPr>
                <w:sz w:val="20"/>
                <w:szCs w:val="20"/>
              </w:rPr>
            </w:pPr>
            <w:r>
              <w:rPr>
                <w:sz w:val="19"/>
                <w:szCs w:val="19"/>
              </w:rPr>
              <w:t>(</w:t>
            </w:r>
            <w:r>
              <w:rPr>
                <w:sz w:val="19"/>
                <w:szCs w:val="19"/>
              </w:rPr>
              <w:t>530,89</w:t>
            </w:r>
            <w:r>
              <w:rPr>
                <w:sz w:val="19"/>
                <w:szCs w:val="19"/>
              </w:rPr>
              <w:t>2</w:t>
            </w:r>
          </w:p>
        </w:tc>
        <w:tc>
          <w:tcPr>
            <w:tcW w:w="0" w:type="auto"/>
            <w:noWrap/>
            <w:vAlign w:val="bottom"/>
            <w:hideMark/>
          </w:tcPr>
          <w:p w14:paraId="3DFF71E8"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BC1ACC6"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00DD31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D67E4CF" w14:textId="77777777" w:rsidR="00000000" w:rsidRDefault="003C49E9">
            <w:pPr>
              <w:pStyle w:val="a3"/>
              <w:spacing w:before="0" w:beforeAutospacing="0" w:after="0" w:afterAutospacing="0"/>
              <w:jc w:val="right"/>
              <w:rPr>
                <w:sz w:val="20"/>
                <w:szCs w:val="20"/>
              </w:rPr>
            </w:pPr>
            <w:r>
              <w:rPr>
                <w:sz w:val="19"/>
                <w:szCs w:val="19"/>
              </w:rPr>
              <w:t>805,68</w:t>
            </w:r>
            <w:r>
              <w:rPr>
                <w:sz w:val="19"/>
                <w:szCs w:val="19"/>
              </w:rPr>
              <w:t>4</w:t>
            </w:r>
          </w:p>
        </w:tc>
        <w:tc>
          <w:tcPr>
            <w:tcW w:w="0" w:type="auto"/>
            <w:noWrap/>
            <w:vAlign w:val="bottom"/>
            <w:hideMark/>
          </w:tcPr>
          <w:p w14:paraId="25C1AFAB" w14:textId="77777777" w:rsidR="00000000" w:rsidRDefault="003C49E9">
            <w:pPr>
              <w:pStyle w:val="a3"/>
              <w:spacing w:before="0" w:beforeAutospacing="0" w:after="0" w:afterAutospacing="0"/>
              <w:rPr>
                <w:sz w:val="19"/>
                <w:szCs w:val="19"/>
              </w:rPr>
            </w:pPr>
            <w:r>
              <w:rPr>
                <w:sz w:val="19"/>
                <w:szCs w:val="19"/>
              </w:rPr>
              <w:t> </w:t>
            </w:r>
          </w:p>
        </w:tc>
      </w:tr>
    </w:tbl>
    <w:p w14:paraId="602DE4A5" w14:textId="77777777" w:rsidR="00000000" w:rsidRDefault="003C49E9">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14:paraId="5BA971AB" w14:textId="77777777" w:rsidR="00000000" w:rsidRDefault="003C49E9">
      <w:pPr>
        <w:pStyle w:val="a3"/>
        <w:spacing w:before="40" w:beforeAutospacing="0" w:after="0" w:afterAutospacing="0"/>
        <w:rPr>
          <w:sz w:val="20"/>
          <w:szCs w:val="20"/>
        </w:rPr>
      </w:pPr>
      <w:r>
        <w:rPr>
          <w:sz w:val="20"/>
          <w:szCs w:val="20"/>
        </w:rPr>
        <w:t> </w:t>
      </w:r>
    </w:p>
    <w:p w14:paraId="0E7AA443" w14:textId="77777777" w:rsidR="00000000" w:rsidRDefault="003C49E9">
      <w:pPr>
        <w:pStyle w:val="a3"/>
        <w:spacing w:before="240" w:beforeAutospacing="0" w:after="0" w:afterAutospacing="0"/>
        <w:jc w:val="center"/>
        <w:rPr>
          <w:sz w:val="20"/>
          <w:szCs w:val="20"/>
        </w:rPr>
      </w:pPr>
      <w:r>
        <w:rPr>
          <w:sz w:val="20"/>
          <w:szCs w:val="20"/>
        </w:rPr>
        <w:t>9</w:t>
      </w:r>
    </w:p>
    <w:p w14:paraId="11FC4A7A" w14:textId="77777777" w:rsidR="00000000" w:rsidRDefault="003C49E9">
      <w:pPr>
        <w:rPr>
          <w:rFonts w:eastAsia="Times New Roman"/>
        </w:rPr>
      </w:pPr>
      <w:r>
        <w:rPr>
          <w:rFonts w:eastAsia="Times New Roman"/>
        </w:rPr>
        <w:pict w14:anchorId="26B3165F">
          <v:rect id="_x0000_i1033" style="width:0;height:1.5pt" o:hralign="center" o:hrstd="t" o:hr="t" fillcolor="#a0a0a0" stroked="f"/>
        </w:pict>
      </w:r>
    </w:p>
    <w:p w14:paraId="16C1DD46" w14:textId="77777777" w:rsidR="00000000" w:rsidRDefault="003C49E9">
      <w:pPr>
        <w:pStyle w:val="a3"/>
        <w:spacing w:before="0" w:beforeAutospacing="0" w:after="0" w:afterAutospacing="0"/>
        <w:rPr>
          <w:sz w:val="20"/>
          <w:szCs w:val="20"/>
        </w:rPr>
      </w:pPr>
      <w:r>
        <w:rPr>
          <w:sz w:val="20"/>
          <w:szCs w:val="20"/>
        </w:rPr>
        <w:t> </w:t>
      </w:r>
    </w:p>
    <w:p w14:paraId="26528DB0"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481268D0" w14:textId="77777777" w:rsidR="00000000" w:rsidRDefault="003C49E9">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Cash Flow</w:t>
      </w:r>
      <w:r>
        <w:rPr>
          <w:b/>
          <w:bCs/>
          <w:sz w:val="20"/>
          <w:szCs w:val="20"/>
        </w:rPr>
        <w:t>s</w:t>
      </w:r>
    </w:p>
    <w:p w14:paraId="054BBF2B" w14:textId="77777777" w:rsidR="00000000" w:rsidRDefault="003C49E9">
      <w:pPr>
        <w:pStyle w:val="a3"/>
        <w:spacing w:before="4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45"/>
        <w:gridCol w:w="130"/>
        <w:gridCol w:w="140"/>
        <w:gridCol w:w="924"/>
        <w:gridCol w:w="114"/>
        <w:gridCol w:w="130"/>
        <w:gridCol w:w="140"/>
        <w:gridCol w:w="954"/>
        <w:gridCol w:w="129"/>
      </w:tblGrid>
      <w:tr w:rsidR="00000000" w14:paraId="7E0B901D" w14:textId="77777777">
        <w:trPr>
          <w:tblCellSpacing w:w="15" w:type="dxa"/>
        </w:trPr>
        <w:tc>
          <w:tcPr>
            <w:tcW w:w="3505" w:type="pct"/>
            <w:vAlign w:val="center"/>
            <w:hideMark/>
          </w:tcPr>
          <w:p w14:paraId="45F192A9" w14:textId="77777777" w:rsidR="00000000" w:rsidRDefault="003C49E9">
            <w:pPr>
              <w:rPr>
                <w:sz w:val="20"/>
                <w:szCs w:val="20"/>
              </w:rPr>
            </w:pPr>
          </w:p>
        </w:tc>
        <w:tc>
          <w:tcPr>
            <w:tcW w:w="71" w:type="pct"/>
            <w:vAlign w:val="center"/>
            <w:hideMark/>
          </w:tcPr>
          <w:p w14:paraId="5F944684" w14:textId="77777777" w:rsidR="00000000" w:rsidRDefault="003C49E9">
            <w:pPr>
              <w:rPr>
                <w:rFonts w:eastAsia="Times New Roman"/>
                <w:sz w:val="20"/>
                <w:szCs w:val="20"/>
              </w:rPr>
            </w:pPr>
          </w:p>
        </w:tc>
        <w:tc>
          <w:tcPr>
            <w:tcW w:w="50" w:type="pct"/>
            <w:vAlign w:val="center"/>
            <w:hideMark/>
          </w:tcPr>
          <w:p w14:paraId="56623016" w14:textId="77777777" w:rsidR="00000000" w:rsidRDefault="003C49E9">
            <w:pPr>
              <w:rPr>
                <w:rFonts w:eastAsia="Times New Roman"/>
                <w:sz w:val="20"/>
                <w:szCs w:val="20"/>
              </w:rPr>
            </w:pPr>
          </w:p>
        </w:tc>
        <w:tc>
          <w:tcPr>
            <w:tcW w:w="567" w:type="pct"/>
            <w:vAlign w:val="center"/>
            <w:hideMark/>
          </w:tcPr>
          <w:p w14:paraId="0FDB98AF" w14:textId="77777777" w:rsidR="00000000" w:rsidRDefault="003C49E9">
            <w:pPr>
              <w:rPr>
                <w:rFonts w:eastAsia="Times New Roman"/>
                <w:sz w:val="20"/>
                <w:szCs w:val="20"/>
              </w:rPr>
            </w:pPr>
          </w:p>
        </w:tc>
        <w:tc>
          <w:tcPr>
            <w:tcW w:w="50" w:type="pct"/>
            <w:vAlign w:val="center"/>
            <w:hideMark/>
          </w:tcPr>
          <w:p w14:paraId="767D1922" w14:textId="77777777" w:rsidR="00000000" w:rsidRDefault="003C49E9">
            <w:pPr>
              <w:rPr>
                <w:rFonts w:eastAsia="Times New Roman"/>
                <w:sz w:val="20"/>
                <w:szCs w:val="20"/>
              </w:rPr>
            </w:pPr>
          </w:p>
        </w:tc>
        <w:tc>
          <w:tcPr>
            <w:tcW w:w="71" w:type="pct"/>
            <w:vAlign w:val="center"/>
            <w:hideMark/>
          </w:tcPr>
          <w:p w14:paraId="383A29F5" w14:textId="77777777" w:rsidR="00000000" w:rsidRDefault="003C49E9">
            <w:pPr>
              <w:rPr>
                <w:rFonts w:eastAsia="Times New Roman"/>
                <w:sz w:val="20"/>
                <w:szCs w:val="20"/>
              </w:rPr>
            </w:pPr>
          </w:p>
        </w:tc>
        <w:tc>
          <w:tcPr>
            <w:tcW w:w="50" w:type="pct"/>
            <w:vAlign w:val="center"/>
            <w:hideMark/>
          </w:tcPr>
          <w:p w14:paraId="2A68788B" w14:textId="77777777" w:rsidR="00000000" w:rsidRDefault="003C49E9">
            <w:pPr>
              <w:rPr>
                <w:rFonts w:eastAsia="Times New Roman"/>
                <w:sz w:val="20"/>
                <w:szCs w:val="20"/>
              </w:rPr>
            </w:pPr>
          </w:p>
        </w:tc>
        <w:tc>
          <w:tcPr>
            <w:tcW w:w="585" w:type="pct"/>
            <w:vAlign w:val="center"/>
            <w:hideMark/>
          </w:tcPr>
          <w:p w14:paraId="04E52C7D" w14:textId="77777777" w:rsidR="00000000" w:rsidRDefault="003C49E9">
            <w:pPr>
              <w:rPr>
                <w:rFonts w:eastAsia="Times New Roman"/>
                <w:sz w:val="20"/>
                <w:szCs w:val="20"/>
              </w:rPr>
            </w:pPr>
          </w:p>
        </w:tc>
        <w:tc>
          <w:tcPr>
            <w:tcW w:w="50" w:type="pct"/>
            <w:vAlign w:val="center"/>
            <w:hideMark/>
          </w:tcPr>
          <w:p w14:paraId="66E86F88" w14:textId="77777777" w:rsidR="00000000" w:rsidRDefault="003C49E9">
            <w:pPr>
              <w:rPr>
                <w:rFonts w:eastAsia="Times New Roman"/>
                <w:sz w:val="20"/>
                <w:szCs w:val="20"/>
              </w:rPr>
            </w:pPr>
          </w:p>
        </w:tc>
      </w:tr>
      <w:tr w:rsidR="00000000" w14:paraId="4DA581EF" w14:textId="77777777">
        <w:trPr>
          <w:trHeight w:val="160"/>
          <w:tblCellSpacing w:w="15" w:type="dxa"/>
        </w:trPr>
        <w:tc>
          <w:tcPr>
            <w:tcW w:w="0" w:type="auto"/>
            <w:vAlign w:val="bottom"/>
            <w:hideMark/>
          </w:tcPr>
          <w:p w14:paraId="1CA4B55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5CD16AD"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7EBEFC5" w14:textId="77777777" w:rsidR="00000000" w:rsidRDefault="003C49E9">
            <w:pPr>
              <w:pStyle w:val="a3"/>
              <w:spacing w:before="0" w:beforeAutospacing="0" w:after="0" w:afterAutospacing="0"/>
              <w:jc w:val="center"/>
              <w:rPr>
                <w:sz w:val="16"/>
                <w:szCs w:val="16"/>
              </w:rPr>
            </w:pPr>
            <w:r>
              <w:rPr>
                <w:b/>
                <w:bCs/>
                <w:sz w:val="16"/>
                <w:szCs w:val="16"/>
              </w:rPr>
              <w:t>For the Six Months Ended June 30</w:t>
            </w:r>
            <w:r>
              <w:rPr>
                <w:b/>
                <w:bCs/>
                <w:sz w:val="16"/>
                <w:szCs w:val="16"/>
              </w:rPr>
              <w:t>,</w:t>
            </w:r>
          </w:p>
        </w:tc>
        <w:tc>
          <w:tcPr>
            <w:tcW w:w="0" w:type="auto"/>
            <w:vAlign w:val="bottom"/>
            <w:hideMark/>
          </w:tcPr>
          <w:p w14:paraId="115A3B6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B2F2AEA" w14:textId="77777777">
        <w:trPr>
          <w:trHeight w:val="160"/>
          <w:tblCellSpacing w:w="15" w:type="dxa"/>
        </w:trPr>
        <w:tc>
          <w:tcPr>
            <w:tcW w:w="0" w:type="auto"/>
            <w:vAlign w:val="bottom"/>
            <w:hideMark/>
          </w:tcPr>
          <w:p w14:paraId="61768B6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BCF0FF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1A441E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5805C0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8588716"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7433674"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88CC35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C0F94A8" w14:textId="77777777">
        <w:trPr>
          <w:trHeight w:val="160"/>
          <w:tblCellSpacing w:w="15" w:type="dxa"/>
        </w:trPr>
        <w:tc>
          <w:tcPr>
            <w:tcW w:w="0" w:type="auto"/>
            <w:vAlign w:val="bottom"/>
            <w:hideMark/>
          </w:tcPr>
          <w:p w14:paraId="4B8E16F8" w14:textId="77777777" w:rsidR="00000000" w:rsidRDefault="003C49E9">
            <w:pPr>
              <w:pStyle w:val="a3"/>
              <w:spacing w:before="0" w:beforeAutospacing="0" w:after="0" w:afterAutospacing="0"/>
              <w:rPr>
                <w:sz w:val="16"/>
                <w:szCs w:val="16"/>
              </w:rPr>
            </w:pPr>
            <w:r>
              <w:rPr>
                <w:b/>
                <w:bCs/>
                <w:sz w:val="16"/>
                <w:szCs w:val="16"/>
              </w:rPr>
              <w:t>Operating Activities</w:t>
            </w:r>
            <w:r>
              <w:rPr>
                <w:b/>
                <w:bCs/>
                <w:sz w:val="16"/>
                <w:szCs w:val="16"/>
              </w:rPr>
              <w:t>:</w:t>
            </w:r>
          </w:p>
        </w:tc>
        <w:tc>
          <w:tcPr>
            <w:tcW w:w="0" w:type="auto"/>
            <w:vAlign w:val="bottom"/>
            <w:hideMark/>
          </w:tcPr>
          <w:p w14:paraId="2513F84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A28302F"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42CD28A1"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539C931C"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8C48538"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6378C55" w14:textId="77777777" w:rsidR="00000000" w:rsidRDefault="003C49E9">
            <w:pPr>
              <w:pStyle w:val="a3"/>
              <w:spacing w:before="0" w:beforeAutospacing="0" w:after="0" w:afterAutospacing="0"/>
              <w:jc w:val="right"/>
              <w:rPr>
                <w:sz w:val="16"/>
                <w:szCs w:val="16"/>
              </w:rPr>
            </w:pPr>
            <w:r>
              <w:rPr>
                <w:sz w:val="16"/>
                <w:szCs w:val="16"/>
              </w:rPr>
              <w:t> </w:t>
            </w:r>
          </w:p>
        </w:tc>
      </w:tr>
      <w:tr w:rsidR="00000000" w14:paraId="4A7BD2F6" w14:textId="77777777">
        <w:trPr>
          <w:trHeight w:val="160"/>
          <w:tblCellSpacing w:w="15" w:type="dxa"/>
        </w:trPr>
        <w:tc>
          <w:tcPr>
            <w:tcW w:w="0" w:type="auto"/>
            <w:vAlign w:val="bottom"/>
            <w:hideMark/>
          </w:tcPr>
          <w:p w14:paraId="7CC6F3ED" w14:textId="77777777" w:rsidR="00000000" w:rsidRDefault="003C49E9">
            <w:pPr>
              <w:pStyle w:val="a3"/>
              <w:spacing w:before="0" w:beforeAutospacing="0" w:after="0" w:afterAutospacing="0"/>
              <w:ind w:left="200"/>
              <w:rPr>
                <w:sz w:val="16"/>
                <w:szCs w:val="16"/>
              </w:rPr>
            </w:pPr>
            <w:r>
              <w:rPr>
                <w:sz w:val="16"/>
                <w:szCs w:val="16"/>
              </w:rPr>
              <w:t>Net los</w:t>
            </w:r>
            <w:r>
              <w:rPr>
                <w:sz w:val="16"/>
                <w:szCs w:val="16"/>
              </w:rPr>
              <w:t>s</w:t>
            </w:r>
          </w:p>
        </w:tc>
        <w:tc>
          <w:tcPr>
            <w:tcW w:w="0" w:type="auto"/>
            <w:vAlign w:val="bottom"/>
            <w:hideMark/>
          </w:tcPr>
          <w:p w14:paraId="7788D7E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7CF04F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BFF62E9" w14:textId="77777777" w:rsidR="00000000" w:rsidRDefault="003C49E9">
            <w:pPr>
              <w:pStyle w:val="a3"/>
              <w:spacing w:before="0" w:beforeAutospacing="0" w:after="0" w:afterAutospacing="0"/>
              <w:jc w:val="right"/>
              <w:rPr>
                <w:sz w:val="20"/>
                <w:szCs w:val="20"/>
              </w:rPr>
            </w:pPr>
            <w:r>
              <w:rPr>
                <w:sz w:val="16"/>
                <w:szCs w:val="16"/>
              </w:rPr>
              <w:t>(</w:t>
            </w:r>
            <w:r>
              <w:rPr>
                <w:sz w:val="16"/>
                <w:szCs w:val="16"/>
              </w:rPr>
              <w:t>65,70</w:t>
            </w:r>
            <w:r>
              <w:rPr>
                <w:sz w:val="16"/>
                <w:szCs w:val="16"/>
              </w:rPr>
              <w:t>2</w:t>
            </w:r>
          </w:p>
        </w:tc>
        <w:tc>
          <w:tcPr>
            <w:tcW w:w="0" w:type="auto"/>
            <w:noWrap/>
            <w:vAlign w:val="bottom"/>
            <w:hideMark/>
          </w:tcPr>
          <w:p w14:paraId="4F8247EE"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540E53A5"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4ABC725"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0D03A6FE" w14:textId="77777777" w:rsidR="00000000" w:rsidRDefault="003C49E9">
            <w:pPr>
              <w:pStyle w:val="a3"/>
              <w:spacing w:before="0" w:beforeAutospacing="0" w:after="0" w:afterAutospacing="0"/>
              <w:jc w:val="right"/>
              <w:rPr>
                <w:sz w:val="20"/>
                <w:szCs w:val="20"/>
              </w:rPr>
            </w:pPr>
            <w:r>
              <w:rPr>
                <w:sz w:val="16"/>
                <w:szCs w:val="16"/>
              </w:rPr>
              <w:t>(</w:t>
            </w:r>
            <w:r>
              <w:rPr>
                <w:sz w:val="16"/>
                <w:szCs w:val="16"/>
              </w:rPr>
              <w:t>47,73</w:t>
            </w:r>
            <w:r>
              <w:rPr>
                <w:sz w:val="16"/>
                <w:szCs w:val="16"/>
              </w:rPr>
              <w:t>1</w:t>
            </w:r>
          </w:p>
        </w:tc>
        <w:tc>
          <w:tcPr>
            <w:tcW w:w="0" w:type="auto"/>
            <w:noWrap/>
            <w:vAlign w:val="bottom"/>
            <w:hideMark/>
          </w:tcPr>
          <w:p w14:paraId="602A1BDD" w14:textId="77777777" w:rsidR="00000000" w:rsidRDefault="003C49E9">
            <w:pPr>
              <w:pStyle w:val="a3"/>
              <w:spacing w:before="0" w:beforeAutospacing="0" w:after="0" w:afterAutospacing="0"/>
              <w:rPr>
                <w:sz w:val="16"/>
                <w:szCs w:val="16"/>
              </w:rPr>
            </w:pPr>
            <w:r>
              <w:rPr>
                <w:sz w:val="16"/>
                <w:szCs w:val="16"/>
              </w:rPr>
              <w:t>)</w:t>
            </w:r>
          </w:p>
        </w:tc>
      </w:tr>
      <w:tr w:rsidR="00000000" w14:paraId="669D8258" w14:textId="77777777">
        <w:trPr>
          <w:trHeight w:val="160"/>
          <w:tblCellSpacing w:w="15" w:type="dxa"/>
        </w:trPr>
        <w:tc>
          <w:tcPr>
            <w:tcW w:w="0" w:type="auto"/>
            <w:vAlign w:val="bottom"/>
            <w:hideMark/>
          </w:tcPr>
          <w:p w14:paraId="0B5913DE" w14:textId="77777777" w:rsidR="00000000" w:rsidRDefault="003C49E9">
            <w:pPr>
              <w:pStyle w:val="a3"/>
              <w:spacing w:before="0" w:beforeAutospacing="0" w:after="0" w:afterAutospacing="0"/>
              <w:ind w:left="200"/>
              <w:rPr>
                <w:sz w:val="16"/>
                <w:szCs w:val="16"/>
              </w:rPr>
            </w:pPr>
            <w:r>
              <w:rPr>
                <w:sz w:val="16"/>
                <w:szCs w:val="16"/>
              </w:rPr>
              <w:t>Adjustments to reconcile net loss to net cash and cash equivalents provided</w:t>
            </w:r>
            <w:r>
              <w:rPr>
                <w:sz w:val="16"/>
                <w:szCs w:val="16"/>
              </w:rPr>
              <w:br/>
              <w:t>   by operating activities, net of acquisition</w:t>
            </w:r>
            <w:r>
              <w:rPr>
                <w:sz w:val="16"/>
                <w:szCs w:val="16"/>
              </w:rPr>
              <w:t>s</w:t>
            </w:r>
          </w:p>
        </w:tc>
        <w:tc>
          <w:tcPr>
            <w:tcW w:w="0" w:type="auto"/>
            <w:vAlign w:val="bottom"/>
            <w:hideMark/>
          </w:tcPr>
          <w:p w14:paraId="735BDFB9"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6A29F44"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47C4AC46"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5F11D896"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AAEE68E"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32CFBD4A" w14:textId="77777777" w:rsidR="00000000" w:rsidRDefault="003C49E9">
            <w:pPr>
              <w:pStyle w:val="a3"/>
              <w:spacing w:before="0" w:beforeAutospacing="0" w:after="0" w:afterAutospacing="0"/>
              <w:jc w:val="right"/>
              <w:rPr>
                <w:sz w:val="16"/>
                <w:szCs w:val="16"/>
              </w:rPr>
            </w:pPr>
            <w:r>
              <w:rPr>
                <w:sz w:val="16"/>
                <w:szCs w:val="16"/>
              </w:rPr>
              <w:t> </w:t>
            </w:r>
          </w:p>
        </w:tc>
      </w:tr>
      <w:tr w:rsidR="00000000" w14:paraId="4A7578CD" w14:textId="77777777">
        <w:trPr>
          <w:trHeight w:val="160"/>
          <w:tblCellSpacing w:w="15" w:type="dxa"/>
        </w:trPr>
        <w:tc>
          <w:tcPr>
            <w:tcW w:w="0" w:type="auto"/>
            <w:vAlign w:val="bottom"/>
            <w:hideMark/>
          </w:tcPr>
          <w:p w14:paraId="439E483B" w14:textId="77777777" w:rsidR="00000000" w:rsidRDefault="003C49E9">
            <w:pPr>
              <w:pStyle w:val="a3"/>
              <w:spacing w:before="0" w:beforeAutospacing="0" w:after="0" w:afterAutospacing="0"/>
              <w:ind w:left="400"/>
              <w:rPr>
                <w:sz w:val="16"/>
                <w:szCs w:val="16"/>
              </w:rPr>
            </w:pPr>
            <w:r>
              <w:rPr>
                <w:sz w:val="16"/>
                <w:szCs w:val="16"/>
              </w:rPr>
              <w:t>Depreciation and amortizatio</w:t>
            </w:r>
            <w:r>
              <w:rPr>
                <w:sz w:val="16"/>
                <w:szCs w:val="16"/>
              </w:rPr>
              <w:t>n</w:t>
            </w:r>
          </w:p>
        </w:tc>
        <w:tc>
          <w:tcPr>
            <w:tcW w:w="0" w:type="auto"/>
            <w:vAlign w:val="bottom"/>
            <w:hideMark/>
          </w:tcPr>
          <w:p w14:paraId="2A45C63E"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1D304F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771C29C" w14:textId="77777777" w:rsidR="00000000" w:rsidRDefault="003C49E9">
            <w:pPr>
              <w:pStyle w:val="a3"/>
              <w:spacing w:before="0" w:beforeAutospacing="0" w:after="0" w:afterAutospacing="0"/>
              <w:jc w:val="right"/>
              <w:rPr>
                <w:sz w:val="20"/>
                <w:szCs w:val="20"/>
              </w:rPr>
            </w:pPr>
            <w:r>
              <w:rPr>
                <w:sz w:val="16"/>
                <w:szCs w:val="16"/>
              </w:rPr>
              <w:t>27,06</w:t>
            </w:r>
            <w:r>
              <w:rPr>
                <w:sz w:val="16"/>
                <w:szCs w:val="16"/>
              </w:rPr>
              <w:t>3</w:t>
            </w:r>
          </w:p>
        </w:tc>
        <w:tc>
          <w:tcPr>
            <w:tcW w:w="0" w:type="auto"/>
            <w:noWrap/>
            <w:vAlign w:val="bottom"/>
            <w:hideMark/>
          </w:tcPr>
          <w:p w14:paraId="5243967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5F02B2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9B3209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7F578DA" w14:textId="77777777" w:rsidR="00000000" w:rsidRDefault="003C49E9">
            <w:pPr>
              <w:pStyle w:val="a3"/>
              <w:spacing w:before="0" w:beforeAutospacing="0" w:after="0" w:afterAutospacing="0"/>
              <w:jc w:val="right"/>
              <w:rPr>
                <w:sz w:val="20"/>
                <w:szCs w:val="20"/>
              </w:rPr>
            </w:pPr>
            <w:r>
              <w:rPr>
                <w:sz w:val="16"/>
                <w:szCs w:val="16"/>
              </w:rPr>
              <w:t>21,73</w:t>
            </w:r>
            <w:r>
              <w:rPr>
                <w:sz w:val="16"/>
                <w:szCs w:val="16"/>
              </w:rPr>
              <w:t>6</w:t>
            </w:r>
          </w:p>
        </w:tc>
        <w:tc>
          <w:tcPr>
            <w:tcW w:w="0" w:type="auto"/>
            <w:noWrap/>
            <w:vAlign w:val="bottom"/>
            <w:hideMark/>
          </w:tcPr>
          <w:p w14:paraId="3F2A07AE" w14:textId="77777777" w:rsidR="00000000" w:rsidRDefault="003C49E9">
            <w:pPr>
              <w:pStyle w:val="a3"/>
              <w:spacing w:before="0" w:beforeAutospacing="0" w:after="0" w:afterAutospacing="0"/>
              <w:rPr>
                <w:sz w:val="16"/>
                <w:szCs w:val="16"/>
              </w:rPr>
            </w:pPr>
            <w:r>
              <w:rPr>
                <w:sz w:val="16"/>
                <w:szCs w:val="16"/>
              </w:rPr>
              <w:t> </w:t>
            </w:r>
          </w:p>
        </w:tc>
      </w:tr>
      <w:tr w:rsidR="00000000" w14:paraId="5F0C2D02" w14:textId="77777777">
        <w:trPr>
          <w:trHeight w:val="160"/>
          <w:tblCellSpacing w:w="15" w:type="dxa"/>
        </w:trPr>
        <w:tc>
          <w:tcPr>
            <w:tcW w:w="0" w:type="auto"/>
            <w:vAlign w:val="bottom"/>
            <w:hideMark/>
          </w:tcPr>
          <w:p w14:paraId="17A81B1B" w14:textId="77777777" w:rsidR="00000000" w:rsidRDefault="003C49E9">
            <w:pPr>
              <w:pStyle w:val="a3"/>
              <w:spacing w:before="0" w:beforeAutospacing="0" w:after="0" w:afterAutospacing="0"/>
              <w:ind w:left="400"/>
              <w:rPr>
                <w:sz w:val="16"/>
                <w:szCs w:val="16"/>
              </w:rPr>
            </w:pPr>
            <w:r>
              <w:rPr>
                <w:sz w:val="16"/>
                <w:szCs w:val="16"/>
              </w:rPr>
              <w:t>Stock-based compensatio</w:t>
            </w:r>
            <w:r>
              <w:rPr>
                <w:sz w:val="16"/>
                <w:szCs w:val="16"/>
              </w:rPr>
              <w:t>n</w:t>
            </w:r>
          </w:p>
        </w:tc>
        <w:tc>
          <w:tcPr>
            <w:tcW w:w="0" w:type="auto"/>
            <w:vAlign w:val="bottom"/>
            <w:hideMark/>
          </w:tcPr>
          <w:p w14:paraId="27248AF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FF4DDE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FF0F601" w14:textId="77777777" w:rsidR="00000000" w:rsidRDefault="003C49E9">
            <w:pPr>
              <w:pStyle w:val="a3"/>
              <w:spacing w:before="0" w:beforeAutospacing="0" w:after="0" w:afterAutospacing="0"/>
              <w:jc w:val="right"/>
              <w:rPr>
                <w:sz w:val="20"/>
                <w:szCs w:val="20"/>
              </w:rPr>
            </w:pPr>
            <w:r>
              <w:rPr>
                <w:sz w:val="16"/>
                <w:szCs w:val="16"/>
              </w:rPr>
              <w:t>126,86</w:t>
            </w:r>
            <w:r>
              <w:rPr>
                <w:sz w:val="16"/>
                <w:szCs w:val="16"/>
              </w:rPr>
              <w:t>8</w:t>
            </w:r>
          </w:p>
        </w:tc>
        <w:tc>
          <w:tcPr>
            <w:tcW w:w="0" w:type="auto"/>
            <w:noWrap/>
            <w:vAlign w:val="bottom"/>
            <w:hideMark/>
          </w:tcPr>
          <w:p w14:paraId="4A1A421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C66D30F"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FBBCAB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25C36BB" w14:textId="77777777" w:rsidR="00000000" w:rsidRDefault="003C49E9">
            <w:pPr>
              <w:pStyle w:val="a3"/>
              <w:spacing w:before="0" w:beforeAutospacing="0" w:after="0" w:afterAutospacing="0"/>
              <w:jc w:val="right"/>
              <w:rPr>
                <w:sz w:val="20"/>
                <w:szCs w:val="20"/>
              </w:rPr>
            </w:pPr>
            <w:r>
              <w:rPr>
                <w:sz w:val="16"/>
                <w:szCs w:val="16"/>
              </w:rPr>
              <w:t>75,85</w:t>
            </w:r>
            <w:r>
              <w:rPr>
                <w:sz w:val="16"/>
                <w:szCs w:val="16"/>
              </w:rPr>
              <w:t>6</w:t>
            </w:r>
          </w:p>
        </w:tc>
        <w:tc>
          <w:tcPr>
            <w:tcW w:w="0" w:type="auto"/>
            <w:noWrap/>
            <w:vAlign w:val="bottom"/>
            <w:hideMark/>
          </w:tcPr>
          <w:p w14:paraId="46AC6785" w14:textId="77777777" w:rsidR="00000000" w:rsidRDefault="003C49E9">
            <w:pPr>
              <w:pStyle w:val="a3"/>
              <w:spacing w:before="0" w:beforeAutospacing="0" w:after="0" w:afterAutospacing="0"/>
              <w:rPr>
                <w:sz w:val="16"/>
                <w:szCs w:val="16"/>
              </w:rPr>
            </w:pPr>
            <w:r>
              <w:rPr>
                <w:sz w:val="16"/>
                <w:szCs w:val="16"/>
              </w:rPr>
              <w:t> </w:t>
            </w:r>
          </w:p>
        </w:tc>
      </w:tr>
      <w:tr w:rsidR="00000000" w14:paraId="219068AA" w14:textId="77777777">
        <w:trPr>
          <w:trHeight w:val="160"/>
          <w:tblCellSpacing w:w="15" w:type="dxa"/>
        </w:trPr>
        <w:tc>
          <w:tcPr>
            <w:tcW w:w="0" w:type="auto"/>
            <w:vAlign w:val="bottom"/>
            <w:hideMark/>
          </w:tcPr>
          <w:p w14:paraId="7127A1CE" w14:textId="77777777" w:rsidR="00000000" w:rsidRDefault="003C49E9">
            <w:pPr>
              <w:pStyle w:val="a3"/>
              <w:spacing w:before="0" w:beforeAutospacing="0" w:after="0" w:afterAutospacing="0"/>
              <w:ind w:left="400"/>
              <w:rPr>
                <w:sz w:val="16"/>
                <w:szCs w:val="16"/>
              </w:rPr>
            </w:pPr>
            <w:r>
              <w:rPr>
                <w:sz w:val="16"/>
                <w:szCs w:val="16"/>
              </w:rPr>
              <w:t>Loss on early extinguishment of 2022 Convertible Note</w:t>
            </w:r>
            <w:r>
              <w:rPr>
                <w:sz w:val="16"/>
                <w:szCs w:val="16"/>
              </w:rPr>
              <w:t>s</w:t>
            </w:r>
          </w:p>
        </w:tc>
        <w:tc>
          <w:tcPr>
            <w:tcW w:w="0" w:type="auto"/>
            <w:vAlign w:val="bottom"/>
            <w:hideMark/>
          </w:tcPr>
          <w:p w14:paraId="1877544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4E7CAD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B5D0DF8"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7BEDAC9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8034AB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1552B5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B6D5811" w14:textId="77777777" w:rsidR="00000000" w:rsidRDefault="003C49E9">
            <w:pPr>
              <w:pStyle w:val="a3"/>
              <w:spacing w:before="0" w:beforeAutospacing="0" w:after="0" w:afterAutospacing="0"/>
              <w:jc w:val="right"/>
              <w:rPr>
                <w:sz w:val="20"/>
                <w:szCs w:val="20"/>
              </w:rPr>
            </w:pPr>
            <w:r>
              <w:rPr>
                <w:sz w:val="16"/>
                <w:szCs w:val="16"/>
              </w:rPr>
              <w:t>3,08</w:t>
            </w:r>
            <w:r>
              <w:rPr>
                <w:sz w:val="16"/>
                <w:szCs w:val="16"/>
              </w:rPr>
              <w:t>8</w:t>
            </w:r>
          </w:p>
        </w:tc>
        <w:tc>
          <w:tcPr>
            <w:tcW w:w="0" w:type="auto"/>
            <w:noWrap/>
            <w:vAlign w:val="bottom"/>
            <w:hideMark/>
          </w:tcPr>
          <w:p w14:paraId="4CD85061" w14:textId="77777777" w:rsidR="00000000" w:rsidRDefault="003C49E9">
            <w:pPr>
              <w:pStyle w:val="a3"/>
              <w:spacing w:before="0" w:beforeAutospacing="0" w:after="0" w:afterAutospacing="0"/>
              <w:rPr>
                <w:sz w:val="16"/>
                <w:szCs w:val="16"/>
              </w:rPr>
            </w:pPr>
            <w:r>
              <w:rPr>
                <w:sz w:val="16"/>
                <w:szCs w:val="16"/>
              </w:rPr>
              <w:t> </w:t>
            </w:r>
          </w:p>
        </w:tc>
      </w:tr>
      <w:tr w:rsidR="00000000" w14:paraId="7D326F74" w14:textId="77777777">
        <w:trPr>
          <w:trHeight w:val="160"/>
          <w:tblCellSpacing w:w="15" w:type="dxa"/>
        </w:trPr>
        <w:tc>
          <w:tcPr>
            <w:tcW w:w="0" w:type="auto"/>
            <w:vAlign w:val="bottom"/>
            <w:hideMark/>
          </w:tcPr>
          <w:p w14:paraId="3C0C09EA" w14:textId="77777777" w:rsidR="00000000" w:rsidRDefault="003C49E9">
            <w:pPr>
              <w:pStyle w:val="a3"/>
              <w:spacing w:before="0" w:beforeAutospacing="0" w:after="0" w:afterAutospacing="0"/>
              <w:ind w:left="400"/>
              <w:rPr>
                <w:sz w:val="16"/>
                <w:szCs w:val="16"/>
              </w:rPr>
            </w:pPr>
            <w:r>
              <w:rPr>
                <w:sz w:val="16"/>
                <w:szCs w:val="16"/>
              </w:rPr>
              <w:t>Repayment of 2022 Convertible Notes attributable to the debt discoun</w:t>
            </w:r>
            <w:r>
              <w:rPr>
                <w:sz w:val="16"/>
                <w:szCs w:val="16"/>
              </w:rPr>
              <w:t>t</w:t>
            </w:r>
          </w:p>
        </w:tc>
        <w:tc>
          <w:tcPr>
            <w:tcW w:w="0" w:type="auto"/>
            <w:vAlign w:val="bottom"/>
            <w:hideMark/>
          </w:tcPr>
          <w:p w14:paraId="34E52CC7"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6F38EC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8BA5DBC"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00AADA8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58E2FBB"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AC9E5B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E7F4992" w14:textId="77777777" w:rsidR="00000000" w:rsidRDefault="003C49E9">
            <w:pPr>
              <w:pStyle w:val="a3"/>
              <w:spacing w:before="0" w:beforeAutospacing="0" w:after="0" w:afterAutospacing="0"/>
              <w:jc w:val="right"/>
              <w:rPr>
                <w:sz w:val="20"/>
                <w:szCs w:val="20"/>
              </w:rPr>
            </w:pPr>
            <w:r>
              <w:rPr>
                <w:sz w:val="16"/>
                <w:szCs w:val="16"/>
              </w:rPr>
              <w:t>(</w:t>
            </w:r>
            <w:r>
              <w:rPr>
                <w:sz w:val="16"/>
                <w:szCs w:val="16"/>
              </w:rPr>
              <w:t>13,02</w:t>
            </w:r>
            <w:r>
              <w:rPr>
                <w:sz w:val="16"/>
                <w:szCs w:val="16"/>
              </w:rPr>
              <w:t>8</w:t>
            </w:r>
          </w:p>
        </w:tc>
        <w:tc>
          <w:tcPr>
            <w:tcW w:w="0" w:type="auto"/>
            <w:noWrap/>
            <w:vAlign w:val="bottom"/>
            <w:hideMark/>
          </w:tcPr>
          <w:p w14:paraId="14362B93" w14:textId="77777777" w:rsidR="00000000" w:rsidRDefault="003C49E9">
            <w:pPr>
              <w:pStyle w:val="a3"/>
              <w:spacing w:before="0" w:beforeAutospacing="0" w:after="0" w:afterAutospacing="0"/>
              <w:rPr>
                <w:sz w:val="16"/>
                <w:szCs w:val="16"/>
              </w:rPr>
            </w:pPr>
            <w:r>
              <w:rPr>
                <w:sz w:val="16"/>
                <w:szCs w:val="16"/>
              </w:rPr>
              <w:t>)</w:t>
            </w:r>
          </w:p>
        </w:tc>
      </w:tr>
      <w:tr w:rsidR="00000000" w14:paraId="4916EB64" w14:textId="77777777">
        <w:trPr>
          <w:trHeight w:val="160"/>
          <w:tblCellSpacing w:w="15" w:type="dxa"/>
        </w:trPr>
        <w:tc>
          <w:tcPr>
            <w:tcW w:w="0" w:type="auto"/>
            <w:vAlign w:val="bottom"/>
            <w:hideMark/>
          </w:tcPr>
          <w:p w14:paraId="12EAB92B" w14:textId="77777777" w:rsidR="00000000" w:rsidRDefault="003C49E9">
            <w:pPr>
              <w:pStyle w:val="a3"/>
              <w:spacing w:before="0" w:beforeAutospacing="0" w:after="0" w:afterAutospacing="0"/>
              <w:ind w:left="400"/>
              <w:rPr>
                <w:sz w:val="16"/>
                <w:szCs w:val="16"/>
              </w:rPr>
            </w:pPr>
            <w:r>
              <w:rPr>
                <w:sz w:val="16"/>
                <w:szCs w:val="16"/>
              </w:rPr>
              <w:t>Gain on strategic investment</w:t>
            </w:r>
            <w:r>
              <w:rPr>
                <w:sz w:val="16"/>
                <w:szCs w:val="16"/>
              </w:rPr>
              <w:t>s</w:t>
            </w:r>
          </w:p>
        </w:tc>
        <w:tc>
          <w:tcPr>
            <w:tcW w:w="0" w:type="auto"/>
            <w:vAlign w:val="bottom"/>
            <w:hideMark/>
          </w:tcPr>
          <w:p w14:paraId="51CE5C3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4B3BF2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EB85471" w14:textId="77777777" w:rsidR="00000000" w:rsidRDefault="003C49E9">
            <w:pPr>
              <w:pStyle w:val="a3"/>
              <w:spacing w:before="0" w:beforeAutospacing="0" w:after="0" w:afterAutospacing="0"/>
              <w:jc w:val="right"/>
              <w:rPr>
                <w:sz w:val="20"/>
                <w:szCs w:val="20"/>
              </w:rPr>
            </w:pPr>
            <w:r>
              <w:rPr>
                <w:sz w:val="16"/>
                <w:szCs w:val="16"/>
              </w:rPr>
              <w:t>(</w:t>
            </w:r>
            <w:r>
              <w:rPr>
                <w:sz w:val="16"/>
                <w:szCs w:val="16"/>
              </w:rPr>
              <w:t>4,20</w:t>
            </w:r>
            <w:r>
              <w:rPr>
                <w:sz w:val="16"/>
                <w:szCs w:val="16"/>
              </w:rPr>
              <w:t>0</w:t>
            </w:r>
          </w:p>
        </w:tc>
        <w:tc>
          <w:tcPr>
            <w:tcW w:w="0" w:type="auto"/>
            <w:noWrap/>
            <w:vAlign w:val="bottom"/>
            <w:hideMark/>
          </w:tcPr>
          <w:p w14:paraId="708C4BD7"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51465A4F"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303756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6BC7938" w14:textId="77777777" w:rsidR="00000000" w:rsidRDefault="003C49E9">
            <w:pPr>
              <w:pStyle w:val="a3"/>
              <w:spacing w:before="0" w:beforeAutospacing="0" w:after="0" w:afterAutospacing="0"/>
              <w:jc w:val="right"/>
              <w:rPr>
                <w:sz w:val="20"/>
                <w:szCs w:val="20"/>
              </w:rPr>
            </w:pPr>
            <w:r>
              <w:rPr>
                <w:sz w:val="16"/>
                <w:szCs w:val="16"/>
              </w:rPr>
              <w:t>(</w:t>
            </w:r>
            <w:r>
              <w:rPr>
                <w:sz w:val="16"/>
                <w:szCs w:val="16"/>
              </w:rPr>
              <w:t>1,02</w:t>
            </w:r>
            <w:r>
              <w:rPr>
                <w:sz w:val="16"/>
                <w:szCs w:val="16"/>
              </w:rPr>
              <w:t>2</w:t>
            </w:r>
          </w:p>
        </w:tc>
        <w:tc>
          <w:tcPr>
            <w:tcW w:w="0" w:type="auto"/>
            <w:noWrap/>
            <w:vAlign w:val="bottom"/>
            <w:hideMark/>
          </w:tcPr>
          <w:p w14:paraId="078309AD" w14:textId="77777777" w:rsidR="00000000" w:rsidRDefault="003C49E9">
            <w:pPr>
              <w:pStyle w:val="a3"/>
              <w:spacing w:before="0" w:beforeAutospacing="0" w:after="0" w:afterAutospacing="0"/>
              <w:rPr>
                <w:sz w:val="16"/>
                <w:szCs w:val="16"/>
              </w:rPr>
            </w:pPr>
            <w:r>
              <w:rPr>
                <w:sz w:val="16"/>
                <w:szCs w:val="16"/>
              </w:rPr>
              <w:t>)</w:t>
            </w:r>
          </w:p>
        </w:tc>
      </w:tr>
      <w:tr w:rsidR="00000000" w14:paraId="783C4C60" w14:textId="77777777">
        <w:trPr>
          <w:trHeight w:val="160"/>
          <w:tblCellSpacing w:w="15" w:type="dxa"/>
        </w:trPr>
        <w:tc>
          <w:tcPr>
            <w:tcW w:w="0" w:type="auto"/>
            <w:vAlign w:val="bottom"/>
            <w:hideMark/>
          </w:tcPr>
          <w:p w14:paraId="0F51485A" w14:textId="77777777" w:rsidR="00000000" w:rsidRDefault="003C49E9">
            <w:pPr>
              <w:pStyle w:val="a3"/>
              <w:spacing w:before="0" w:beforeAutospacing="0" w:after="0" w:afterAutospacing="0"/>
              <w:ind w:left="400"/>
              <w:rPr>
                <w:sz w:val="16"/>
                <w:szCs w:val="16"/>
              </w:rPr>
            </w:pPr>
            <w:r>
              <w:rPr>
                <w:sz w:val="16"/>
                <w:szCs w:val="16"/>
              </w:rPr>
              <w:t>Benefit from deferred income taxe</w:t>
            </w:r>
            <w:r>
              <w:rPr>
                <w:sz w:val="16"/>
                <w:szCs w:val="16"/>
              </w:rPr>
              <w:t>s</w:t>
            </w:r>
          </w:p>
        </w:tc>
        <w:tc>
          <w:tcPr>
            <w:tcW w:w="0" w:type="auto"/>
            <w:vAlign w:val="bottom"/>
            <w:hideMark/>
          </w:tcPr>
          <w:p w14:paraId="3C51633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956EEA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70E1159" w14:textId="77777777" w:rsidR="00000000" w:rsidRDefault="003C49E9">
            <w:pPr>
              <w:pStyle w:val="a3"/>
              <w:spacing w:before="0" w:beforeAutospacing="0" w:after="0" w:afterAutospacing="0"/>
              <w:jc w:val="right"/>
              <w:rPr>
                <w:sz w:val="20"/>
                <w:szCs w:val="20"/>
              </w:rPr>
            </w:pPr>
            <w:r>
              <w:rPr>
                <w:sz w:val="16"/>
                <w:szCs w:val="16"/>
              </w:rPr>
              <w:t>(</w:t>
            </w:r>
            <w:r>
              <w:rPr>
                <w:sz w:val="16"/>
                <w:szCs w:val="16"/>
              </w:rPr>
              <w:t>39</w:t>
            </w:r>
            <w:r>
              <w:rPr>
                <w:sz w:val="16"/>
                <w:szCs w:val="16"/>
              </w:rPr>
              <w:t>8</w:t>
            </w:r>
          </w:p>
        </w:tc>
        <w:tc>
          <w:tcPr>
            <w:tcW w:w="0" w:type="auto"/>
            <w:noWrap/>
            <w:vAlign w:val="bottom"/>
            <w:hideMark/>
          </w:tcPr>
          <w:p w14:paraId="31BC6244"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312A9D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E0B50F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32EBB40" w14:textId="77777777" w:rsidR="00000000" w:rsidRDefault="003C49E9">
            <w:pPr>
              <w:pStyle w:val="a3"/>
              <w:spacing w:before="0" w:beforeAutospacing="0" w:after="0" w:afterAutospacing="0"/>
              <w:jc w:val="right"/>
              <w:rPr>
                <w:sz w:val="20"/>
                <w:szCs w:val="20"/>
              </w:rPr>
            </w:pPr>
            <w:r>
              <w:rPr>
                <w:sz w:val="16"/>
                <w:szCs w:val="16"/>
              </w:rPr>
              <w:t>(</w:t>
            </w:r>
            <w:r>
              <w:rPr>
                <w:sz w:val="16"/>
                <w:szCs w:val="16"/>
              </w:rPr>
              <w:t>1,12</w:t>
            </w:r>
            <w:r>
              <w:rPr>
                <w:sz w:val="16"/>
                <w:szCs w:val="16"/>
              </w:rPr>
              <w:t>0</w:t>
            </w:r>
          </w:p>
        </w:tc>
        <w:tc>
          <w:tcPr>
            <w:tcW w:w="0" w:type="auto"/>
            <w:noWrap/>
            <w:vAlign w:val="bottom"/>
            <w:hideMark/>
          </w:tcPr>
          <w:p w14:paraId="22D248B7" w14:textId="77777777" w:rsidR="00000000" w:rsidRDefault="003C49E9">
            <w:pPr>
              <w:pStyle w:val="a3"/>
              <w:spacing w:before="0" w:beforeAutospacing="0" w:after="0" w:afterAutospacing="0"/>
              <w:rPr>
                <w:sz w:val="16"/>
                <w:szCs w:val="16"/>
              </w:rPr>
            </w:pPr>
            <w:r>
              <w:rPr>
                <w:sz w:val="16"/>
                <w:szCs w:val="16"/>
              </w:rPr>
              <w:t>)</w:t>
            </w:r>
          </w:p>
        </w:tc>
      </w:tr>
      <w:tr w:rsidR="00000000" w14:paraId="70967538" w14:textId="77777777">
        <w:trPr>
          <w:trHeight w:val="160"/>
          <w:tblCellSpacing w:w="15" w:type="dxa"/>
        </w:trPr>
        <w:tc>
          <w:tcPr>
            <w:tcW w:w="0" w:type="auto"/>
            <w:vAlign w:val="bottom"/>
            <w:hideMark/>
          </w:tcPr>
          <w:p w14:paraId="3C4AEC0C" w14:textId="77777777" w:rsidR="00000000" w:rsidRDefault="003C49E9">
            <w:pPr>
              <w:pStyle w:val="a3"/>
              <w:spacing w:before="0" w:beforeAutospacing="0" w:after="0" w:afterAutospacing="0"/>
              <w:ind w:left="400"/>
              <w:rPr>
                <w:sz w:val="16"/>
                <w:szCs w:val="16"/>
              </w:rPr>
            </w:pPr>
            <w:r>
              <w:rPr>
                <w:sz w:val="16"/>
                <w:szCs w:val="16"/>
              </w:rPr>
              <w:t>Amortization of debt discount and issuance cost</w:t>
            </w:r>
            <w:r>
              <w:rPr>
                <w:sz w:val="16"/>
                <w:szCs w:val="16"/>
              </w:rPr>
              <w:t>s</w:t>
            </w:r>
          </w:p>
        </w:tc>
        <w:tc>
          <w:tcPr>
            <w:tcW w:w="0" w:type="auto"/>
            <w:vAlign w:val="bottom"/>
            <w:hideMark/>
          </w:tcPr>
          <w:p w14:paraId="214E54D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51A673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0F6AD60" w14:textId="77777777" w:rsidR="00000000" w:rsidRDefault="003C49E9">
            <w:pPr>
              <w:pStyle w:val="a3"/>
              <w:spacing w:before="0" w:beforeAutospacing="0" w:after="0" w:afterAutospacing="0"/>
              <w:jc w:val="right"/>
              <w:rPr>
                <w:sz w:val="20"/>
                <w:szCs w:val="20"/>
              </w:rPr>
            </w:pPr>
            <w:r>
              <w:rPr>
                <w:sz w:val="16"/>
                <w:szCs w:val="16"/>
              </w:rPr>
              <w:t>1,01</w:t>
            </w:r>
            <w:r>
              <w:rPr>
                <w:sz w:val="16"/>
                <w:szCs w:val="16"/>
              </w:rPr>
              <w:t>7</w:t>
            </w:r>
          </w:p>
        </w:tc>
        <w:tc>
          <w:tcPr>
            <w:tcW w:w="0" w:type="auto"/>
            <w:noWrap/>
            <w:vAlign w:val="bottom"/>
            <w:hideMark/>
          </w:tcPr>
          <w:p w14:paraId="42663A8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6DF3FC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D9F8C9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CE24784" w14:textId="77777777" w:rsidR="00000000" w:rsidRDefault="003C49E9">
            <w:pPr>
              <w:pStyle w:val="a3"/>
              <w:spacing w:before="0" w:beforeAutospacing="0" w:after="0" w:afterAutospacing="0"/>
              <w:jc w:val="right"/>
              <w:rPr>
                <w:sz w:val="20"/>
                <w:szCs w:val="20"/>
              </w:rPr>
            </w:pPr>
            <w:r>
              <w:rPr>
                <w:sz w:val="16"/>
                <w:szCs w:val="16"/>
              </w:rPr>
              <w:t>12,51</w:t>
            </w:r>
            <w:r>
              <w:rPr>
                <w:sz w:val="16"/>
                <w:szCs w:val="16"/>
              </w:rPr>
              <w:t>2</w:t>
            </w:r>
          </w:p>
        </w:tc>
        <w:tc>
          <w:tcPr>
            <w:tcW w:w="0" w:type="auto"/>
            <w:noWrap/>
            <w:vAlign w:val="bottom"/>
            <w:hideMark/>
          </w:tcPr>
          <w:p w14:paraId="5FDE5CAE" w14:textId="77777777" w:rsidR="00000000" w:rsidRDefault="003C49E9">
            <w:pPr>
              <w:pStyle w:val="a3"/>
              <w:spacing w:before="0" w:beforeAutospacing="0" w:after="0" w:afterAutospacing="0"/>
              <w:rPr>
                <w:sz w:val="16"/>
                <w:szCs w:val="16"/>
              </w:rPr>
            </w:pPr>
            <w:r>
              <w:rPr>
                <w:sz w:val="16"/>
                <w:szCs w:val="16"/>
              </w:rPr>
              <w:t> </w:t>
            </w:r>
          </w:p>
        </w:tc>
      </w:tr>
      <w:tr w:rsidR="00000000" w14:paraId="2435DC53" w14:textId="77777777">
        <w:trPr>
          <w:trHeight w:val="160"/>
          <w:tblCellSpacing w:w="15" w:type="dxa"/>
        </w:trPr>
        <w:tc>
          <w:tcPr>
            <w:tcW w:w="0" w:type="auto"/>
            <w:vAlign w:val="bottom"/>
            <w:hideMark/>
          </w:tcPr>
          <w:p w14:paraId="571BE8C4" w14:textId="77777777" w:rsidR="00000000" w:rsidRDefault="003C49E9">
            <w:pPr>
              <w:pStyle w:val="a3"/>
              <w:spacing w:before="0" w:beforeAutospacing="0" w:after="0" w:afterAutospacing="0"/>
              <w:ind w:left="400"/>
              <w:rPr>
                <w:sz w:val="16"/>
                <w:szCs w:val="16"/>
              </w:rPr>
            </w:pPr>
            <w:r>
              <w:rPr>
                <w:sz w:val="16"/>
                <w:szCs w:val="16"/>
              </w:rPr>
              <w:t>(Accretion) amortization of bond discoun</w:t>
            </w:r>
            <w:r>
              <w:rPr>
                <w:sz w:val="16"/>
                <w:szCs w:val="16"/>
              </w:rPr>
              <w:t>t</w:t>
            </w:r>
          </w:p>
        </w:tc>
        <w:tc>
          <w:tcPr>
            <w:tcW w:w="0" w:type="auto"/>
            <w:vAlign w:val="bottom"/>
            <w:hideMark/>
          </w:tcPr>
          <w:p w14:paraId="64BD981E"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881ACD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1D063D7" w14:textId="77777777" w:rsidR="00000000" w:rsidRDefault="003C49E9">
            <w:pPr>
              <w:pStyle w:val="a3"/>
              <w:spacing w:before="0" w:beforeAutospacing="0" w:after="0" w:afterAutospacing="0"/>
              <w:jc w:val="right"/>
              <w:rPr>
                <w:sz w:val="20"/>
                <w:szCs w:val="20"/>
              </w:rPr>
            </w:pPr>
            <w:r>
              <w:rPr>
                <w:sz w:val="16"/>
                <w:szCs w:val="16"/>
              </w:rPr>
              <w:t>(</w:t>
            </w:r>
            <w:r>
              <w:rPr>
                <w:sz w:val="16"/>
                <w:szCs w:val="16"/>
              </w:rPr>
              <w:t>15</w:t>
            </w:r>
            <w:r>
              <w:rPr>
                <w:sz w:val="16"/>
                <w:szCs w:val="16"/>
              </w:rPr>
              <w:t>0</w:t>
            </w:r>
          </w:p>
        </w:tc>
        <w:tc>
          <w:tcPr>
            <w:tcW w:w="0" w:type="auto"/>
            <w:noWrap/>
            <w:vAlign w:val="bottom"/>
            <w:hideMark/>
          </w:tcPr>
          <w:p w14:paraId="3292D745"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46593355"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713165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24E3A30" w14:textId="77777777" w:rsidR="00000000" w:rsidRDefault="003C49E9">
            <w:pPr>
              <w:pStyle w:val="a3"/>
              <w:spacing w:before="0" w:beforeAutospacing="0" w:after="0" w:afterAutospacing="0"/>
              <w:jc w:val="right"/>
              <w:rPr>
                <w:sz w:val="20"/>
                <w:szCs w:val="20"/>
              </w:rPr>
            </w:pPr>
            <w:r>
              <w:rPr>
                <w:sz w:val="16"/>
                <w:szCs w:val="16"/>
              </w:rPr>
              <w:t>1,67</w:t>
            </w:r>
            <w:r>
              <w:rPr>
                <w:sz w:val="16"/>
                <w:szCs w:val="16"/>
              </w:rPr>
              <w:t>0</w:t>
            </w:r>
          </w:p>
        </w:tc>
        <w:tc>
          <w:tcPr>
            <w:tcW w:w="0" w:type="auto"/>
            <w:noWrap/>
            <w:vAlign w:val="bottom"/>
            <w:hideMark/>
          </w:tcPr>
          <w:p w14:paraId="6E1B310E" w14:textId="77777777" w:rsidR="00000000" w:rsidRDefault="003C49E9">
            <w:pPr>
              <w:pStyle w:val="a3"/>
              <w:spacing w:before="0" w:beforeAutospacing="0" w:after="0" w:afterAutospacing="0"/>
              <w:rPr>
                <w:sz w:val="16"/>
                <w:szCs w:val="16"/>
              </w:rPr>
            </w:pPr>
            <w:r>
              <w:rPr>
                <w:sz w:val="16"/>
                <w:szCs w:val="16"/>
              </w:rPr>
              <w:t> </w:t>
            </w:r>
          </w:p>
        </w:tc>
      </w:tr>
      <w:tr w:rsidR="00000000" w14:paraId="6C515852" w14:textId="77777777">
        <w:trPr>
          <w:trHeight w:val="160"/>
          <w:tblCellSpacing w:w="15" w:type="dxa"/>
        </w:trPr>
        <w:tc>
          <w:tcPr>
            <w:tcW w:w="0" w:type="auto"/>
            <w:vAlign w:val="bottom"/>
            <w:hideMark/>
          </w:tcPr>
          <w:p w14:paraId="415227E8" w14:textId="77777777" w:rsidR="00000000" w:rsidRDefault="003C49E9">
            <w:pPr>
              <w:pStyle w:val="a3"/>
              <w:spacing w:before="0" w:beforeAutospacing="0" w:after="0" w:afterAutospacing="0"/>
              <w:ind w:left="400"/>
              <w:rPr>
                <w:sz w:val="16"/>
                <w:szCs w:val="16"/>
              </w:rPr>
            </w:pPr>
            <w:r>
              <w:rPr>
                <w:sz w:val="16"/>
                <w:szCs w:val="16"/>
              </w:rPr>
              <w:t>Unrealized currency translatio</w:t>
            </w:r>
            <w:r>
              <w:rPr>
                <w:sz w:val="16"/>
                <w:szCs w:val="16"/>
              </w:rPr>
              <w:t>n</w:t>
            </w:r>
          </w:p>
        </w:tc>
        <w:tc>
          <w:tcPr>
            <w:tcW w:w="0" w:type="auto"/>
            <w:vAlign w:val="bottom"/>
            <w:hideMark/>
          </w:tcPr>
          <w:p w14:paraId="07D1BB4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409B3D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345D371" w14:textId="77777777" w:rsidR="00000000" w:rsidRDefault="003C49E9">
            <w:pPr>
              <w:pStyle w:val="a3"/>
              <w:spacing w:before="0" w:beforeAutospacing="0" w:after="0" w:afterAutospacing="0"/>
              <w:jc w:val="right"/>
              <w:rPr>
                <w:sz w:val="20"/>
                <w:szCs w:val="20"/>
              </w:rPr>
            </w:pPr>
            <w:r>
              <w:rPr>
                <w:sz w:val="16"/>
                <w:szCs w:val="16"/>
              </w:rPr>
              <w:t>1,98</w:t>
            </w:r>
            <w:r>
              <w:rPr>
                <w:sz w:val="16"/>
                <w:szCs w:val="16"/>
              </w:rPr>
              <w:t>0</w:t>
            </w:r>
          </w:p>
        </w:tc>
        <w:tc>
          <w:tcPr>
            <w:tcW w:w="0" w:type="auto"/>
            <w:noWrap/>
            <w:vAlign w:val="bottom"/>
            <w:hideMark/>
          </w:tcPr>
          <w:p w14:paraId="38CD6BB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BA956BE"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A71910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1D4FFB3" w14:textId="77777777" w:rsidR="00000000" w:rsidRDefault="003C49E9">
            <w:pPr>
              <w:pStyle w:val="a3"/>
              <w:spacing w:before="0" w:beforeAutospacing="0" w:after="0" w:afterAutospacing="0"/>
              <w:jc w:val="right"/>
              <w:rPr>
                <w:sz w:val="20"/>
                <w:szCs w:val="20"/>
              </w:rPr>
            </w:pPr>
            <w:r>
              <w:rPr>
                <w:sz w:val="16"/>
                <w:szCs w:val="16"/>
              </w:rPr>
              <w:t>28</w:t>
            </w:r>
            <w:r>
              <w:rPr>
                <w:sz w:val="16"/>
                <w:szCs w:val="16"/>
              </w:rPr>
              <w:t>0</w:t>
            </w:r>
          </w:p>
        </w:tc>
        <w:tc>
          <w:tcPr>
            <w:tcW w:w="0" w:type="auto"/>
            <w:noWrap/>
            <w:vAlign w:val="bottom"/>
            <w:hideMark/>
          </w:tcPr>
          <w:p w14:paraId="0362472E" w14:textId="77777777" w:rsidR="00000000" w:rsidRDefault="003C49E9">
            <w:pPr>
              <w:pStyle w:val="a3"/>
              <w:spacing w:before="0" w:beforeAutospacing="0" w:after="0" w:afterAutospacing="0"/>
              <w:rPr>
                <w:sz w:val="16"/>
                <w:szCs w:val="16"/>
              </w:rPr>
            </w:pPr>
            <w:r>
              <w:rPr>
                <w:sz w:val="16"/>
                <w:szCs w:val="16"/>
              </w:rPr>
              <w:t> </w:t>
            </w:r>
          </w:p>
        </w:tc>
      </w:tr>
      <w:tr w:rsidR="00000000" w14:paraId="0F9E1104" w14:textId="77777777">
        <w:trPr>
          <w:trHeight w:val="160"/>
          <w:tblCellSpacing w:w="15" w:type="dxa"/>
        </w:trPr>
        <w:tc>
          <w:tcPr>
            <w:tcW w:w="0" w:type="auto"/>
            <w:vAlign w:val="bottom"/>
            <w:hideMark/>
          </w:tcPr>
          <w:p w14:paraId="07B62CDE" w14:textId="77777777" w:rsidR="00000000" w:rsidRDefault="003C49E9">
            <w:pPr>
              <w:pStyle w:val="a3"/>
              <w:spacing w:before="0" w:beforeAutospacing="0" w:after="0" w:afterAutospacing="0"/>
              <w:ind w:left="400"/>
              <w:rPr>
                <w:sz w:val="16"/>
                <w:szCs w:val="16"/>
              </w:rPr>
            </w:pPr>
            <w:r>
              <w:rPr>
                <w:sz w:val="16"/>
                <w:szCs w:val="16"/>
              </w:rPr>
              <w:t>Changes in assets and liabilitie</w:t>
            </w:r>
            <w:r>
              <w:rPr>
                <w:sz w:val="16"/>
                <w:szCs w:val="16"/>
              </w:rPr>
              <w:t>s</w:t>
            </w:r>
          </w:p>
        </w:tc>
        <w:tc>
          <w:tcPr>
            <w:tcW w:w="0" w:type="auto"/>
            <w:vAlign w:val="bottom"/>
            <w:hideMark/>
          </w:tcPr>
          <w:p w14:paraId="72E3E37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B9B1E02"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78DB0645"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058C733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82CB90D"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6C43124" w14:textId="77777777" w:rsidR="00000000" w:rsidRDefault="003C49E9">
            <w:pPr>
              <w:pStyle w:val="a3"/>
              <w:spacing w:before="0" w:beforeAutospacing="0" w:after="0" w:afterAutospacing="0"/>
              <w:jc w:val="right"/>
              <w:rPr>
                <w:sz w:val="16"/>
                <w:szCs w:val="16"/>
              </w:rPr>
            </w:pPr>
            <w:r>
              <w:rPr>
                <w:sz w:val="16"/>
                <w:szCs w:val="16"/>
              </w:rPr>
              <w:t> </w:t>
            </w:r>
          </w:p>
        </w:tc>
      </w:tr>
      <w:tr w:rsidR="00000000" w14:paraId="43F4C383" w14:textId="77777777">
        <w:trPr>
          <w:trHeight w:val="160"/>
          <w:tblCellSpacing w:w="15" w:type="dxa"/>
        </w:trPr>
        <w:tc>
          <w:tcPr>
            <w:tcW w:w="0" w:type="auto"/>
            <w:vAlign w:val="bottom"/>
            <w:hideMark/>
          </w:tcPr>
          <w:p w14:paraId="3DFF7F40" w14:textId="77777777" w:rsidR="00000000" w:rsidRDefault="003C49E9">
            <w:pPr>
              <w:pStyle w:val="a3"/>
              <w:spacing w:before="0" w:beforeAutospacing="0" w:after="0" w:afterAutospacing="0"/>
              <w:ind w:left="600"/>
              <w:rPr>
                <w:sz w:val="16"/>
                <w:szCs w:val="16"/>
              </w:rPr>
            </w:pPr>
            <w:r>
              <w:rPr>
                <w:sz w:val="16"/>
                <w:szCs w:val="16"/>
              </w:rPr>
              <w:t>Accounts receivabl</w:t>
            </w:r>
            <w:r>
              <w:rPr>
                <w:sz w:val="16"/>
                <w:szCs w:val="16"/>
              </w:rPr>
              <w:t>e</w:t>
            </w:r>
          </w:p>
        </w:tc>
        <w:tc>
          <w:tcPr>
            <w:tcW w:w="0" w:type="auto"/>
            <w:vAlign w:val="bottom"/>
            <w:hideMark/>
          </w:tcPr>
          <w:p w14:paraId="0DC187F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4895CF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4C0CBA5" w14:textId="77777777" w:rsidR="00000000" w:rsidRDefault="003C49E9">
            <w:pPr>
              <w:pStyle w:val="a3"/>
              <w:spacing w:before="0" w:beforeAutospacing="0" w:after="0" w:afterAutospacing="0"/>
              <w:jc w:val="right"/>
              <w:rPr>
                <w:sz w:val="20"/>
                <w:szCs w:val="20"/>
              </w:rPr>
            </w:pPr>
            <w:r>
              <w:rPr>
                <w:sz w:val="16"/>
                <w:szCs w:val="16"/>
              </w:rPr>
              <w:t>(</w:t>
            </w:r>
            <w:r>
              <w:rPr>
                <w:sz w:val="16"/>
                <w:szCs w:val="16"/>
              </w:rPr>
              <w:t>14,34</w:t>
            </w:r>
            <w:r>
              <w:rPr>
                <w:sz w:val="16"/>
                <w:szCs w:val="16"/>
              </w:rPr>
              <w:t>9</w:t>
            </w:r>
          </w:p>
        </w:tc>
        <w:tc>
          <w:tcPr>
            <w:tcW w:w="0" w:type="auto"/>
            <w:noWrap/>
            <w:vAlign w:val="bottom"/>
            <w:hideMark/>
          </w:tcPr>
          <w:p w14:paraId="63515733"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428B2CB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03E9B7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CDE9579" w14:textId="77777777" w:rsidR="00000000" w:rsidRDefault="003C49E9">
            <w:pPr>
              <w:pStyle w:val="a3"/>
              <w:spacing w:before="0" w:beforeAutospacing="0" w:after="0" w:afterAutospacing="0"/>
              <w:jc w:val="right"/>
              <w:rPr>
                <w:sz w:val="20"/>
                <w:szCs w:val="20"/>
              </w:rPr>
            </w:pPr>
            <w:r>
              <w:rPr>
                <w:sz w:val="16"/>
                <w:szCs w:val="16"/>
              </w:rPr>
              <w:t>8,94</w:t>
            </w:r>
            <w:r>
              <w:rPr>
                <w:sz w:val="16"/>
                <w:szCs w:val="16"/>
              </w:rPr>
              <w:t>4</w:t>
            </w:r>
          </w:p>
        </w:tc>
        <w:tc>
          <w:tcPr>
            <w:tcW w:w="0" w:type="auto"/>
            <w:noWrap/>
            <w:vAlign w:val="bottom"/>
            <w:hideMark/>
          </w:tcPr>
          <w:p w14:paraId="7218FED2" w14:textId="77777777" w:rsidR="00000000" w:rsidRDefault="003C49E9">
            <w:pPr>
              <w:pStyle w:val="a3"/>
              <w:spacing w:before="0" w:beforeAutospacing="0" w:after="0" w:afterAutospacing="0"/>
              <w:rPr>
                <w:sz w:val="16"/>
                <w:szCs w:val="16"/>
              </w:rPr>
            </w:pPr>
            <w:r>
              <w:rPr>
                <w:sz w:val="16"/>
                <w:szCs w:val="16"/>
              </w:rPr>
              <w:t> </w:t>
            </w:r>
          </w:p>
        </w:tc>
      </w:tr>
      <w:tr w:rsidR="00000000" w14:paraId="39FD815D" w14:textId="77777777">
        <w:trPr>
          <w:trHeight w:val="160"/>
          <w:tblCellSpacing w:w="15" w:type="dxa"/>
        </w:trPr>
        <w:tc>
          <w:tcPr>
            <w:tcW w:w="0" w:type="auto"/>
            <w:vAlign w:val="bottom"/>
            <w:hideMark/>
          </w:tcPr>
          <w:p w14:paraId="1FFD50EF" w14:textId="77777777" w:rsidR="00000000" w:rsidRDefault="003C49E9">
            <w:pPr>
              <w:pStyle w:val="a3"/>
              <w:spacing w:before="0" w:beforeAutospacing="0" w:after="0" w:afterAutospacing="0"/>
              <w:ind w:left="600"/>
              <w:rPr>
                <w:sz w:val="16"/>
                <w:szCs w:val="16"/>
              </w:rPr>
            </w:pPr>
            <w:r>
              <w:rPr>
                <w:sz w:val="16"/>
                <w:szCs w:val="16"/>
              </w:rPr>
              <w:t>Prepaid expenses and other asset</w:t>
            </w:r>
            <w:r>
              <w:rPr>
                <w:sz w:val="16"/>
                <w:szCs w:val="16"/>
              </w:rPr>
              <w:t>s</w:t>
            </w:r>
          </w:p>
        </w:tc>
        <w:tc>
          <w:tcPr>
            <w:tcW w:w="0" w:type="auto"/>
            <w:vAlign w:val="bottom"/>
            <w:hideMark/>
          </w:tcPr>
          <w:p w14:paraId="54169A38"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227356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53983B2" w14:textId="77777777" w:rsidR="00000000" w:rsidRDefault="003C49E9">
            <w:pPr>
              <w:pStyle w:val="a3"/>
              <w:spacing w:before="0" w:beforeAutospacing="0" w:after="0" w:afterAutospacing="0"/>
              <w:jc w:val="right"/>
              <w:rPr>
                <w:sz w:val="20"/>
                <w:szCs w:val="20"/>
              </w:rPr>
            </w:pPr>
            <w:r>
              <w:rPr>
                <w:sz w:val="16"/>
                <w:szCs w:val="16"/>
              </w:rPr>
              <w:t>(</w:t>
            </w:r>
            <w:r>
              <w:rPr>
                <w:sz w:val="16"/>
                <w:szCs w:val="16"/>
              </w:rPr>
              <w:t>21,91</w:t>
            </w:r>
            <w:r>
              <w:rPr>
                <w:sz w:val="16"/>
                <w:szCs w:val="16"/>
              </w:rPr>
              <w:t>1</w:t>
            </w:r>
          </w:p>
        </w:tc>
        <w:tc>
          <w:tcPr>
            <w:tcW w:w="0" w:type="auto"/>
            <w:noWrap/>
            <w:vAlign w:val="bottom"/>
            <w:hideMark/>
          </w:tcPr>
          <w:p w14:paraId="7A7E091F"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5030E9B7"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F82EA4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C623C45" w14:textId="77777777" w:rsidR="00000000" w:rsidRDefault="003C49E9">
            <w:pPr>
              <w:pStyle w:val="a3"/>
              <w:spacing w:before="0" w:beforeAutospacing="0" w:after="0" w:afterAutospacing="0"/>
              <w:jc w:val="right"/>
              <w:rPr>
                <w:sz w:val="20"/>
                <w:szCs w:val="20"/>
              </w:rPr>
            </w:pPr>
            <w:r>
              <w:rPr>
                <w:sz w:val="16"/>
                <w:szCs w:val="16"/>
              </w:rPr>
              <w:t>(</w:t>
            </w:r>
            <w:r>
              <w:rPr>
                <w:sz w:val="16"/>
                <w:szCs w:val="16"/>
              </w:rPr>
              <w:t>7,69</w:t>
            </w:r>
            <w:r>
              <w:rPr>
                <w:sz w:val="16"/>
                <w:szCs w:val="16"/>
              </w:rPr>
              <w:t>4</w:t>
            </w:r>
          </w:p>
        </w:tc>
        <w:tc>
          <w:tcPr>
            <w:tcW w:w="0" w:type="auto"/>
            <w:noWrap/>
            <w:vAlign w:val="bottom"/>
            <w:hideMark/>
          </w:tcPr>
          <w:p w14:paraId="3FAF0FCA" w14:textId="77777777" w:rsidR="00000000" w:rsidRDefault="003C49E9">
            <w:pPr>
              <w:pStyle w:val="a3"/>
              <w:spacing w:before="0" w:beforeAutospacing="0" w:after="0" w:afterAutospacing="0"/>
              <w:rPr>
                <w:sz w:val="16"/>
                <w:szCs w:val="16"/>
              </w:rPr>
            </w:pPr>
            <w:r>
              <w:rPr>
                <w:sz w:val="16"/>
                <w:szCs w:val="16"/>
              </w:rPr>
              <w:t>)</w:t>
            </w:r>
          </w:p>
        </w:tc>
      </w:tr>
      <w:tr w:rsidR="00000000" w14:paraId="742724D5" w14:textId="77777777">
        <w:trPr>
          <w:trHeight w:val="160"/>
          <w:tblCellSpacing w:w="15" w:type="dxa"/>
        </w:trPr>
        <w:tc>
          <w:tcPr>
            <w:tcW w:w="0" w:type="auto"/>
            <w:vAlign w:val="bottom"/>
            <w:hideMark/>
          </w:tcPr>
          <w:p w14:paraId="4D58A37A" w14:textId="77777777" w:rsidR="00000000" w:rsidRDefault="003C49E9">
            <w:pPr>
              <w:pStyle w:val="a3"/>
              <w:spacing w:before="0" w:beforeAutospacing="0" w:after="0" w:afterAutospacing="0"/>
              <w:ind w:left="600"/>
              <w:rPr>
                <w:sz w:val="16"/>
                <w:szCs w:val="16"/>
              </w:rPr>
            </w:pPr>
            <w:r>
              <w:rPr>
                <w:sz w:val="16"/>
                <w:szCs w:val="16"/>
              </w:rPr>
              <w:t>Deferred commission expens</w:t>
            </w:r>
            <w:r>
              <w:rPr>
                <w:sz w:val="16"/>
                <w:szCs w:val="16"/>
              </w:rPr>
              <w:t>e</w:t>
            </w:r>
          </w:p>
        </w:tc>
        <w:tc>
          <w:tcPr>
            <w:tcW w:w="0" w:type="auto"/>
            <w:vAlign w:val="bottom"/>
            <w:hideMark/>
          </w:tcPr>
          <w:p w14:paraId="5C845F3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D46211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6705435" w14:textId="77777777" w:rsidR="00000000" w:rsidRDefault="003C49E9">
            <w:pPr>
              <w:pStyle w:val="a3"/>
              <w:spacing w:before="0" w:beforeAutospacing="0" w:after="0" w:afterAutospacing="0"/>
              <w:jc w:val="right"/>
              <w:rPr>
                <w:sz w:val="20"/>
                <w:szCs w:val="20"/>
              </w:rPr>
            </w:pPr>
            <w:r>
              <w:rPr>
                <w:sz w:val="16"/>
                <w:szCs w:val="16"/>
              </w:rPr>
              <w:t>(</w:t>
            </w:r>
            <w:r>
              <w:rPr>
                <w:sz w:val="16"/>
                <w:szCs w:val="16"/>
              </w:rPr>
              <w:t>13,74</w:t>
            </w:r>
            <w:r>
              <w:rPr>
                <w:sz w:val="16"/>
                <w:szCs w:val="16"/>
              </w:rPr>
              <w:t>4</w:t>
            </w:r>
          </w:p>
        </w:tc>
        <w:tc>
          <w:tcPr>
            <w:tcW w:w="0" w:type="auto"/>
            <w:noWrap/>
            <w:vAlign w:val="bottom"/>
            <w:hideMark/>
          </w:tcPr>
          <w:p w14:paraId="7E5B61D2"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2C4BD1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095C76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D0ED9C3" w14:textId="77777777" w:rsidR="00000000" w:rsidRDefault="003C49E9">
            <w:pPr>
              <w:pStyle w:val="a3"/>
              <w:spacing w:before="0" w:beforeAutospacing="0" w:after="0" w:afterAutospacing="0"/>
              <w:jc w:val="right"/>
              <w:rPr>
                <w:sz w:val="20"/>
                <w:szCs w:val="20"/>
              </w:rPr>
            </w:pPr>
            <w:r>
              <w:rPr>
                <w:sz w:val="16"/>
                <w:szCs w:val="16"/>
              </w:rPr>
              <w:t>(</w:t>
            </w:r>
            <w:r>
              <w:rPr>
                <w:sz w:val="16"/>
                <w:szCs w:val="16"/>
              </w:rPr>
              <w:t>16,40</w:t>
            </w:r>
            <w:r>
              <w:rPr>
                <w:sz w:val="16"/>
                <w:szCs w:val="16"/>
              </w:rPr>
              <w:t>2</w:t>
            </w:r>
          </w:p>
        </w:tc>
        <w:tc>
          <w:tcPr>
            <w:tcW w:w="0" w:type="auto"/>
            <w:noWrap/>
            <w:vAlign w:val="bottom"/>
            <w:hideMark/>
          </w:tcPr>
          <w:p w14:paraId="2DC4DB8B" w14:textId="77777777" w:rsidR="00000000" w:rsidRDefault="003C49E9">
            <w:pPr>
              <w:pStyle w:val="a3"/>
              <w:spacing w:before="0" w:beforeAutospacing="0" w:after="0" w:afterAutospacing="0"/>
              <w:rPr>
                <w:sz w:val="16"/>
                <w:szCs w:val="16"/>
              </w:rPr>
            </w:pPr>
            <w:r>
              <w:rPr>
                <w:sz w:val="16"/>
                <w:szCs w:val="16"/>
              </w:rPr>
              <w:t>)</w:t>
            </w:r>
          </w:p>
        </w:tc>
      </w:tr>
      <w:tr w:rsidR="00000000" w14:paraId="2ACA49E7" w14:textId="77777777">
        <w:trPr>
          <w:trHeight w:val="160"/>
          <w:tblCellSpacing w:w="15" w:type="dxa"/>
        </w:trPr>
        <w:tc>
          <w:tcPr>
            <w:tcW w:w="0" w:type="auto"/>
            <w:vAlign w:val="bottom"/>
            <w:hideMark/>
          </w:tcPr>
          <w:p w14:paraId="1CBCE835" w14:textId="77777777" w:rsidR="00000000" w:rsidRDefault="003C49E9">
            <w:pPr>
              <w:pStyle w:val="a3"/>
              <w:spacing w:before="0" w:beforeAutospacing="0" w:after="0" w:afterAutospacing="0"/>
              <w:ind w:left="600"/>
              <w:rPr>
                <w:sz w:val="16"/>
                <w:szCs w:val="16"/>
              </w:rPr>
            </w:pPr>
            <w:r>
              <w:rPr>
                <w:sz w:val="16"/>
                <w:szCs w:val="16"/>
              </w:rPr>
              <w:t>Right-of-use asset</w:t>
            </w:r>
            <w:r>
              <w:rPr>
                <w:sz w:val="16"/>
                <w:szCs w:val="16"/>
              </w:rPr>
              <w:t>s</w:t>
            </w:r>
          </w:p>
        </w:tc>
        <w:tc>
          <w:tcPr>
            <w:tcW w:w="0" w:type="auto"/>
            <w:vAlign w:val="bottom"/>
            <w:hideMark/>
          </w:tcPr>
          <w:p w14:paraId="1624F13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2470BD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A9E4C24" w14:textId="77777777" w:rsidR="00000000" w:rsidRDefault="003C49E9">
            <w:pPr>
              <w:pStyle w:val="a3"/>
              <w:spacing w:before="0" w:beforeAutospacing="0" w:after="0" w:afterAutospacing="0"/>
              <w:jc w:val="right"/>
              <w:rPr>
                <w:sz w:val="20"/>
                <w:szCs w:val="20"/>
              </w:rPr>
            </w:pPr>
            <w:r>
              <w:rPr>
                <w:sz w:val="16"/>
                <w:szCs w:val="16"/>
              </w:rPr>
              <w:t>13,44</w:t>
            </w:r>
            <w:r>
              <w:rPr>
                <w:sz w:val="16"/>
                <w:szCs w:val="16"/>
              </w:rPr>
              <w:t>7</w:t>
            </w:r>
          </w:p>
        </w:tc>
        <w:tc>
          <w:tcPr>
            <w:tcW w:w="0" w:type="auto"/>
            <w:noWrap/>
            <w:vAlign w:val="bottom"/>
            <w:hideMark/>
          </w:tcPr>
          <w:p w14:paraId="45DBBF6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A4B4A8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576208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FCA1FC7" w14:textId="77777777" w:rsidR="00000000" w:rsidRDefault="003C49E9">
            <w:pPr>
              <w:pStyle w:val="a3"/>
              <w:spacing w:before="0" w:beforeAutospacing="0" w:after="0" w:afterAutospacing="0"/>
              <w:jc w:val="right"/>
              <w:rPr>
                <w:sz w:val="20"/>
                <w:szCs w:val="20"/>
              </w:rPr>
            </w:pPr>
            <w:r>
              <w:rPr>
                <w:sz w:val="16"/>
                <w:szCs w:val="16"/>
              </w:rPr>
              <w:t>18,54</w:t>
            </w:r>
            <w:r>
              <w:rPr>
                <w:sz w:val="16"/>
                <w:szCs w:val="16"/>
              </w:rPr>
              <w:t>7</w:t>
            </w:r>
          </w:p>
        </w:tc>
        <w:tc>
          <w:tcPr>
            <w:tcW w:w="0" w:type="auto"/>
            <w:noWrap/>
            <w:vAlign w:val="bottom"/>
            <w:hideMark/>
          </w:tcPr>
          <w:p w14:paraId="7831D521" w14:textId="77777777" w:rsidR="00000000" w:rsidRDefault="003C49E9">
            <w:pPr>
              <w:pStyle w:val="a3"/>
              <w:spacing w:before="0" w:beforeAutospacing="0" w:after="0" w:afterAutospacing="0"/>
              <w:rPr>
                <w:sz w:val="16"/>
                <w:szCs w:val="16"/>
              </w:rPr>
            </w:pPr>
            <w:r>
              <w:rPr>
                <w:sz w:val="16"/>
                <w:szCs w:val="16"/>
              </w:rPr>
              <w:t> </w:t>
            </w:r>
          </w:p>
        </w:tc>
      </w:tr>
      <w:tr w:rsidR="00000000" w14:paraId="28E2AAEE" w14:textId="77777777">
        <w:trPr>
          <w:trHeight w:val="160"/>
          <w:tblCellSpacing w:w="15" w:type="dxa"/>
        </w:trPr>
        <w:tc>
          <w:tcPr>
            <w:tcW w:w="0" w:type="auto"/>
            <w:vAlign w:val="bottom"/>
            <w:hideMark/>
          </w:tcPr>
          <w:p w14:paraId="2D81E096" w14:textId="77777777" w:rsidR="00000000" w:rsidRDefault="003C49E9">
            <w:pPr>
              <w:pStyle w:val="a3"/>
              <w:spacing w:before="0" w:beforeAutospacing="0" w:after="0" w:afterAutospacing="0"/>
              <w:ind w:left="600"/>
              <w:rPr>
                <w:sz w:val="16"/>
                <w:szCs w:val="16"/>
              </w:rPr>
            </w:pPr>
            <w:r>
              <w:rPr>
                <w:sz w:val="16"/>
                <w:szCs w:val="16"/>
              </w:rPr>
              <w:t>Accounts payabl</w:t>
            </w:r>
            <w:r>
              <w:rPr>
                <w:sz w:val="16"/>
                <w:szCs w:val="16"/>
              </w:rPr>
              <w:t>e</w:t>
            </w:r>
          </w:p>
        </w:tc>
        <w:tc>
          <w:tcPr>
            <w:tcW w:w="0" w:type="auto"/>
            <w:vAlign w:val="bottom"/>
            <w:hideMark/>
          </w:tcPr>
          <w:p w14:paraId="6A91A0C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FD1B44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AFEEF26" w14:textId="77777777" w:rsidR="00000000" w:rsidRDefault="003C49E9">
            <w:pPr>
              <w:pStyle w:val="a3"/>
              <w:spacing w:before="0" w:beforeAutospacing="0" w:after="0" w:afterAutospacing="0"/>
              <w:jc w:val="right"/>
              <w:rPr>
                <w:sz w:val="20"/>
                <w:szCs w:val="20"/>
              </w:rPr>
            </w:pPr>
            <w:r>
              <w:rPr>
                <w:sz w:val="16"/>
                <w:szCs w:val="16"/>
              </w:rPr>
              <w:t>8,96</w:t>
            </w:r>
            <w:r>
              <w:rPr>
                <w:sz w:val="16"/>
                <w:szCs w:val="16"/>
              </w:rPr>
              <w:t>0</w:t>
            </w:r>
          </w:p>
        </w:tc>
        <w:tc>
          <w:tcPr>
            <w:tcW w:w="0" w:type="auto"/>
            <w:noWrap/>
            <w:vAlign w:val="bottom"/>
            <w:hideMark/>
          </w:tcPr>
          <w:p w14:paraId="0129645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BFB27C9"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D321D1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693D7BC" w14:textId="77777777" w:rsidR="00000000" w:rsidRDefault="003C49E9">
            <w:pPr>
              <w:pStyle w:val="a3"/>
              <w:spacing w:before="0" w:beforeAutospacing="0" w:after="0" w:afterAutospacing="0"/>
              <w:jc w:val="right"/>
              <w:rPr>
                <w:sz w:val="20"/>
                <w:szCs w:val="20"/>
              </w:rPr>
            </w:pPr>
            <w:r>
              <w:rPr>
                <w:sz w:val="16"/>
                <w:szCs w:val="16"/>
              </w:rPr>
              <w:t>(</w:t>
            </w:r>
            <w:r>
              <w:rPr>
                <w:sz w:val="16"/>
                <w:szCs w:val="16"/>
              </w:rPr>
              <w:t>1,26</w:t>
            </w:r>
            <w:r>
              <w:rPr>
                <w:sz w:val="16"/>
                <w:szCs w:val="16"/>
              </w:rPr>
              <w:t>9</w:t>
            </w:r>
          </w:p>
        </w:tc>
        <w:tc>
          <w:tcPr>
            <w:tcW w:w="0" w:type="auto"/>
            <w:noWrap/>
            <w:vAlign w:val="bottom"/>
            <w:hideMark/>
          </w:tcPr>
          <w:p w14:paraId="50C8228F" w14:textId="77777777" w:rsidR="00000000" w:rsidRDefault="003C49E9">
            <w:pPr>
              <w:pStyle w:val="a3"/>
              <w:spacing w:before="0" w:beforeAutospacing="0" w:after="0" w:afterAutospacing="0"/>
              <w:rPr>
                <w:sz w:val="16"/>
                <w:szCs w:val="16"/>
              </w:rPr>
            </w:pPr>
            <w:r>
              <w:rPr>
                <w:sz w:val="16"/>
                <w:szCs w:val="16"/>
              </w:rPr>
              <w:t>)</w:t>
            </w:r>
          </w:p>
        </w:tc>
      </w:tr>
      <w:tr w:rsidR="00000000" w14:paraId="5BBC4FBF" w14:textId="77777777">
        <w:trPr>
          <w:trHeight w:val="160"/>
          <w:tblCellSpacing w:w="15" w:type="dxa"/>
        </w:trPr>
        <w:tc>
          <w:tcPr>
            <w:tcW w:w="0" w:type="auto"/>
            <w:vAlign w:val="bottom"/>
            <w:hideMark/>
          </w:tcPr>
          <w:p w14:paraId="1AC44448" w14:textId="77777777" w:rsidR="00000000" w:rsidRDefault="003C49E9">
            <w:pPr>
              <w:pStyle w:val="a3"/>
              <w:spacing w:before="0" w:beforeAutospacing="0" w:after="0" w:afterAutospacing="0"/>
              <w:ind w:left="600"/>
              <w:rPr>
                <w:sz w:val="16"/>
                <w:szCs w:val="16"/>
              </w:rPr>
            </w:pPr>
            <w:r>
              <w:rPr>
                <w:sz w:val="16"/>
                <w:szCs w:val="16"/>
              </w:rPr>
              <w:t>Accrued expenses and other liabilitie</w:t>
            </w:r>
            <w:r>
              <w:rPr>
                <w:sz w:val="16"/>
                <w:szCs w:val="16"/>
              </w:rPr>
              <w:t>s</w:t>
            </w:r>
          </w:p>
        </w:tc>
        <w:tc>
          <w:tcPr>
            <w:tcW w:w="0" w:type="auto"/>
            <w:vAlign w:val="bottom"/>
            <w:hideMark/>
          </w:tcPr>
          <w:p w14:paraId="767C2D2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4DC6D4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7594DC7" w14:textId="77777777" w:rsidR="00000000" w:rsidRDefault="003C49E9">
            <w:pPr>
              <w:pStyle w:val="a3"/>
              <w:spacing w:before="0" w:beforeAutospacing="0" w:after="0" w:afterAutospacing="0"/>
              <w:jc w:val="right"/>
              <w:rPr>
                <w:sz w:val="20"/>
                <w:szCs w:val="20"/>
              </w:rPr>
            </w:pPr>
            <w:r>
              <w:rPr>
                <w:sz w:val="16"/>
                <w:szCs w:val="16"/>
              </w:rPr>
              <w:t>23,08</w:t>
            </w:r>
            <w:r>
              <w:rPr>
                <w:sz w:val="16"/>
                <w:szCs w:val="16"/>
              </w:rPr>
              <w:t>9</w:t>
            </w:r>
          </w:p>
        </w:tc>
        <w:tc>
          <w:tcPr>
            <w:tcW w:w="0" w:type="auto"/>
            <w:noWrap/>
            <w:vAlign w:val="bottom"/>
            <w:hideMark/>
          </w:tcPr>
          <w:p w14:paraId="6809B75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7CB5B99"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F85D20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BD62689" w14:textId="77777777" w:rsidR="00000000" w:rsidRDefault="003C49E9">
            <w:pPr>
              <w:pStyle w:val="a3"/>
              <w:spacing w:before="0" w:beforeAutospacing="0" w:after="0" w:afterAutospacing="0"/>
              <w:jc w:val="right"/>
              <w:rPr>
                <w:sz w:val="20"/>
                <w:szCs w:val="20"/>
              </w:rPr>
            </w:pPr>
            <w:r>
              <w:rPr>
                <w:sz w:val="16"/>
                <w:szCs w:val="16"/>
              </w:rPr>
              <w:t>15,53</w:t>
            </w:r>
            <w:r>
              <w:rPr>
                <w:sz w:val="16"/>
                <w:szCs w:val="16"/>
              </w:rPr>
              <w:t>3</w:t>
            </w:r>
          </w:p>
        </w:tc>
        <w:tc>
          <w:tcPr>
            <w:tcW w:w="0" w:type="auto"/>
            <w:noWrap/>
            <w:vAlign w:val="bottom"/>
            <w:hideMark/>
          </w:tcPr>
          <w:p w14:paraId="21913C20" w14:textId="77777777" w:rsidR="00000000" w:rsidRDefault="003C49E9">
            <w:pPr>
              <w:pStyle w:val="a3"/>
              <w:spacing w:before="0" w:beforeAutospacing="0" w:after="0" w:afterAutospacing="0"/>
              <w:rPr>
                <w:sz w:val="16"/>
                <w:szCs w:val="16"/>
              </w:rPr>
            </w:pPr>
            <w:r>
              <w:rPr>
                <w:sz w:val="16"/>
                <w:szCs w:val="16"/>
              </w:rPr>
              <w:t> </w:t>
            </w:r>
          </w:p>
        </w:tc>
      </w:tr>
      <w:tr w:rsidR="00000000" w14:paraId="640754E1" w14:textId="77777777">
        <w:trPr>
          <w:trHeight w:val="160"/>
          <w:tblCellSpacing w:w="15" w:type="dxa"/>
        </w:trPr>
        <w:tc>
          <w:tcPr>
            <w:tcW w:w="0" w:type="auto"/>
            <w:vAlign w:val="bottom"/>
            <w:hideMark/>
          </w:tcPr>
          <w:p w14:paraId="624C2E19" w14:textId="77777777" w:rsidR="00000000" w:rsidRDefault="003C49E9">
            <w:pPr>
              <w:pStyle w:val="a3"/>
              <w:spacing w:before="0" w:beforeAutospacing="0" w:after="0" w:afterAutospacing="0"/>
              <w:ind w:left="600"/>
              <w:rPr>
                <w:sz w:val="16"/>
                <w:szCs w:val="16"/>
              </w:rPr>
            </w:pPr>
            <w:r>
              <w:rPr>
                <w:sz w:val="16"/>
                <w:szCs w:val="16"/>
              </w:rPr>
              <w:t>Operating lease liabilitie</w:t>
            </w:r>
            <w:r>
              <w:rPr>
                <w:sz w:val="16"/>
                <w:szCs w:val="16"/>
              </w:rPr>
              <w:t>s</w:t>
            </w:r>
          </w:p>
        </w:tc>
        <w:tc>
          <w:tcPr>
            <w:tcW w:w="0" w:type="auto"/>
            <w:vAlign w:val="bottom"/>
            <w:hideMark/>
          </w:tcPr>
          <w:p w14:paraId="1F915B8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6706FA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2793DCD" w14:textId="77777777" w:rsidR="00000000" w:rsidRDefault="003C49E9">
            <w:pPr>
              <w:pStyle w:val="a3"/>
              <w:spacing w:before="0" w:beforeAutospacing="0" w:after="0" w:afterAutospacing="0"/>
              <w:jc w:val="right"/>
              <w:rPr>
                <w:sz w:val="20"/>
                <w:szCs w:val="20"/>
              </w:rPr>
            </w:pPr>
            <w:r>
              <w:rPr>
                <w:sz w:val="16"/>
                <w:szCs w:val="16"/>
              </w:rPr>
              <w:t>(</w:t>
            </w:r>
            <w:r>
              <w:rPr>
                <w:sz w:val="16"/>
                <w:szCs w:val="16"/>
              </w:rPr>
              <w:t>11,33</w:t>
            </w:r>
            <w:r>
              <w:rPr>
                <w:sz w:val="16"/>
                <w:szCs w:val="16"/>
              </w:rPr>
              <w:t>0</w:t>
            </w:r>
          </w:p>
        </w:tc>
        <w:tc>
          <w:tcPr>
            <w:tcW w:w="0" w:type="auto"/>
            <w:noWrap/>
            <w:vAlign w:val="bottom"/>
            <w:hideMark/>
          </w:tcPr>
          <w:p w14:paraId="4044C846"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9C4075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05B3DC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75D973E" w14:textId="77777777" w:rsidR="00000000" w:rsidRDefault="003C49E9">
            <w:pPr>
              <w:pStyle w:val="a3"/>
              <w:spacing w:before="0" w:beforeAutospacing="0" w:after="0" w:afterAutospacing="0"/>
              <w:jc w:val="right"/>
              <w:rPr>
                <w:sz w:val="20"/>
                <w:szCs w:val="20"/>
              </w:rPr>
            </w:pPr>
            <w:r>
              <w:rPr>
                <w:sz w:val="16"/>
                <w:szCs w:val="16"/>
              </w:rPr>
              <w:t>(</w:t>
            </w:r>
            <w:r>
              <w:rPr>
                <w:sz w:val="16"/>
                <w:szCs w:val="16"/>
              </w:rPr>
              <w:t>18,37</w:t>
            </w:r>
            <w:r>
              <w:rPr>
                <w:sz w:val="16"/>
                <w:szCs w:val="16"/>
              </w:rPr>
              <w:t>4</w:t>
            </w:r>
          </w:p>
        </w:tc>
        <w:tc>
          <w:tcPr>
            <w:tcW w:w="0" w:type="auto"/>
            <w:noWrap/>
            <w:vAlign w:val="bottom"/>
            <w:hideMark/>
          </w:tcPr>
          <w:p w14:paraId="4C7FF5D9" w14:textId="77777777" w:rsidR="00000000" w:rsidRDefault="003C49E9">
            <w:pPr>
              <w:pStyle w:val="a3"/>
              <w:spacing w:before="0" w:beforeAutospacing="0" w:after="0" w:afterAutospacing="0"/>
              <w:rPr>
                <w:sz w:val="16"/>
                <w:szCs w:val="16"/>
              </w:rPr>
            </w:pPr>
            <w:r>
              <w:rPr>
                <w:sz w:val="16"/>
                <w:szCs w:val="16"/>
              </w:rPr>
              <w:t>)</w:t>
            </w:r>
          </w:p>
        </w:tc>
      </w:tr>
      <w:tr w:rsidR="00000000" w14:paraId="02891DE5" w14:textId="77777777">
        <w:trPr>
          <w:trHeight w:val="160"/>
          <w:tblCellSpacing w:w="15" w:type="dxa"/>
        </w:trPr>
        <w:tc>
          <w:tcPr>
            <w:tcW w:w="0" w:type="auto"/>
            <w:vAlign w:val="bottom"/>
            <w:hideMark/>
          </w:tcPr>
          <w:p w14:paraId="08502DC8" w14:textId="77777777" w:rsidR="00000000" w:rsidRDefault="003C49E9">
            <w:pPr>
              <w:pStyle w:val="a3"/>
              <w:spacing w:before="0" w:beforeAutospacing="0" w:after="0" w:afterAutospacing="0"/>
              <w:ind w:left="600"/>
              <w:rPr>
                <w:sz w:val="16"/>
                <w:szCs w:val="16"/>
              </w:rPr>
            </w:pPr>
            <w:r>
              <w:rPr>
                <w:sz w:val="16"/>
                <w:szCs w:val="16"/>
              </w:rPr>
              <w:t>Deferred revenu</w:t>
            </w:r>
            <w:r>
              <w:rPr>
                <w:sz w:val="16"/>
                <w:szCs w:val="16"/>
              </w:rPr>
              <w:t>e</w:t>
            </w:r>
          </w:p>
        </w:tc>
        <w:tc>
          <w:tcPr>
            <w:tcW w:w="0" w:type="auto"/>
            <w:vAlign w:val="bottom"/>
            <w:hideMark/>
          </w:tcPr>
          <w:p w14:paraId="06F916AB"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CE75CC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2DE78FB" w14:textId="77777777" w:rsidR="00000000" w:rsidRDefault="003C49E9">
            <w:pPr>
              <w:pStyle w:val="a3"/>
              <w:spacing w:before="0" w:beforeAutospacing="0" w:after="0" w:afterAutospacing="0"/>
              <w:jc w:val="right"/>
              <w:rPr>
                <w:sz w:val="20"/>
                <w:szCs w:val="20"/>
              </w:rPr>
            </w:pPr>
            <w:r>
              <w:rPr>
                <w:sz w:val="16"/>
                <w:szCs w:val="16"/>
              </w:rPr>
              <w:t>52,50</w:t>
            </w:r>
            <w:r>
              <w:rPr>
                <w:sz w:val="16"/>
                <w:szCs w:val="16"/>
              </w:rPr>
              <w:t>6</w:t>
            </w:r>
          </w:p>
        </w:tc>
        <w:tc>
          <w:tcPr>
            <w:tcW w:w="0" w:type="auto"/>
            <w:noWrap/>
            <w:vAlign w:val="bottom"/>
            <w:hideMark/>
          </w:tcPr>
          <w:p w14:paraId="5BD434B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6F709F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E45955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E7EA0A4" w14:textId="77777777" w:rsidR="00000000" w:rsidRDefault="003C49E9">
            <w:pPr>
              <w:pStyle w:val="a3"/>
              <w:spacing w:before="0" w:beforeAutospacing="0" w:after="0" w:afterAutospacing="0"/>
              <w:jc w:val="right"/>
              <w:rPr>
                <w:sz w:val="20"/>
                <w:szCs w:val="20"/>
              </w:rPr>
            </w:pPr>
            <w:r>
              <w:rPr>
                <w:sz w:val="16"/>
                <w:szCs w:val="16"/>
              </w:rPr>
              <w:t>49,36</w:t>
            </w:r>
            <w:r>
              <w:rPr>
                <w:sz w:val="16"/>
                <w:szCs w:val="16"/>
              </w:rPr>
              <w:t>5</w:t>
            </w:r>
          </w:p>
        </w:tc>
        <w:tc>
          <w:tcPr>
            <w:tcW w:w="0" w:type="auto"/>
            <w:noWrap/>
            <w:vAlign w:val="bottom"/>
            <w:hideMark/>
          </w:tcPr>
          <w:p w14:paraId="6AE5876C" w14:textId="77777777" w:rsidR="00000000" w:rsidRDefault="003C49E9">
            <w:pPr>
              <w:pStyle w:val="a3"/>
              <w:spacing w:before="0" w:beforeAutospacing="0" w:after="0" w:afterAutospacing="0"/>
              <w:rPr>
                <w:sz w:val="16"/>
                <w:szCs w:val="16"/>
              </w:rPr>
            </w:pPr>
            <w:r>
              <w:rPr>
                <w:sz w:val="16"/>
                <w:szCs w:val="16"/>
              </w:rPr>
              <w:t> </w:t>
            </w:r>
          </w:p>
        </w:tc>
      </w:tr>
      <w:tr w:rsidR="00000000" w14:paraId="286356B0" w14:textId="77777777">
        <w:trPr>
          <w:trHeight w:val="160"/>
          <w:tblCellSpacing w:w="15" w:type="dxa"/>
        </w:trPr>
        <w:tc>
          <w:tcPr>
            <w:tcW w:w="0" w:type="auto"/>
            <w:vAlign w:val="bottom"/>
            <w:hideMark/>
          </w:tcPr>
          <w:p w14:paraId="614C7DC8" w14:textId="77777777" w:rsidR="00000000" w:rsidRDefault="003C49E9">
            <w:pPr>
              <w:pStyle w:val="a3"/>
              <w:spacing w:before="0" w:beforeAutospacing="0" w:after="0" w:afterAutospacing="0"/>
              <w:ind w:left="800"/>
              <w:rPr>
                <w:sz w:val="16"/>
                <w:szCs w:val="16"/>
              </w:rPr>
            </w:pPr>
            <w:r>
              <w:rPr>
                <w:sz w:val="16"/>
                <w:szCs w:val="16"/>
              </w:rPr>
              <w:t>Net cash and cash equivalents provided by operating activitie</w:t>
            </w:r>
            <w:r>
              <w:rPr>
                <w:sz w:val="16"/>
                <w:szCs w:val="16"/>
              </w:rPr>
              <w:t>s</w:t>
            </w:r>
          </w:p>
        </w:tc>
        <w:tc>
          <w:tcPr>
            <w:tcW w:w="0" w:type="auto"/>
            <w:vAlign w:val="bottom"/>
            <w:hideMark/>
          </w:tcPr>
          <w:p w14:paraId="4E82463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6CC6D5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B8AA541" w14:textId="77777777" w:rsidR="00000000" w:rsidRDefault="003C49E9">
            <w:pPr>
              <w:pStyle w:val="a3"/>
              <w:spacing w:before="0" w:beforeAutospacing="0" w:after="0" w:afterAutospacing="0"/>
              <w:jc w:val="right"/>
              <w:rPr>
                <w:sz w:val="20"/>
                <w:szCs w:val="20"/>
              </w:rPr>
            </w:pPr>
            <w:r>
              <w:rPr>
                <w:sz w:val="16"/>
                <w:szCs w:val="16"/>
              </w:rPr>
              <w:t>123,14</w:t>
            </w:r>
            <w:r>
              <w:rPr>
                <w:sz w:val="16"/>
                <w:szCs w:val="16"/>
              </w:rPr>
              <w:t>6</w:t>
            </w:r>
          </w:p>
        </w:tc>
        <w:tc>
          <w:tcPr>
            <w:tcW w:w="0" w:type="auto"/>
            <w:noWrap/>
            <w:vAlign w:val="bottom"/>
            <w:hideMark/>
          </w:tcPr>
          <w:p w14:paraId="30F2669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E56564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1385D6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A62EA37" w14:textId="77777777" w:rsidR="00000000" w:rsidRDefault="003C49E9">
            <w:pPr>
              <w:pStyle w:val="a3"/>
              <w:spacing w:before="0" w:beforeAutospacing="0" w:after="0" w:afterAutospacing="0"/>
              <w:jc w:val="right"/>
              <w:rPr>
                <w:sz w:val="20"/>
                <w:szCs w:val="20"/>
              </w:rPr>
            </w:pPr>
            <w:r>
              <w:rPr>
                <w:sz w:val="16"/>
                <w:szCs w:val="16"/>
              </w:rPr>
              <w:t>100,89</w:t>
            </w:r>
            <w:r>
              <w:rPr>
                <w:sz w:val="16"/>
                <w:szCs w:val="16"/>
              </w:rPr>
              <w:t>1</w:t>
            </w:r>
          </w:p>
        </w:tc>
        <w:tc>
          <w:tcPr>
            <w:tcW w:w="0" w:type="auto"/>
            <w:noWrap/>
            <w:vAlign w:val="bottom"/>
            <w:hideMark/>
          </w:tcPr>
          <w:p w14:paraId="1FC01E9E" w14:textId="77777777" w:rsidR="00000000" w:rsidRDefault="003C49E9">
            <w:pPr>
              <w:pStyle w:val="a3"/>
              <w:spacing w:before="0" w:beforeAutospacing="0" w:after="0" w:afterAutospacing="0"/>
              <w:rPr>
                <w:sz w:val="16"/>
                <w:szCs w:val="16"/>
              </w:rPr>
            </w:pPr>
            <w:r>
              <w:rPr>
                <w:sz w:val="16"/>
                <w:szCs w:val="16"/>
              </w:rPr>
              <w:t> </w:t>
            </w:r>
          </w:p>
        </w:tc>
      </w:tr>
      <w:tr w:rsidR="00000000" w14:paraId="77599602" w14:textId="77777777">
        <w:trPr>
          <w:trHeight w:val="160"/>
          <w:tblCellSpacing w:w="15" w:type="dxa"/>
        </w:trPr>
        <w:tc>
          <w:tcPr>
            <w:tcW w:w="0" w:type="auto"/>
            <w:vAlign w:val="bottom"/>
            <w:hideMark/>
          </w:tcPr>
          <w:p w14:paraId="060155C3" w14:textId="77777777" w:rsidR="00000000" w:rsidRDefault="003C49E9">
            <w:pPr>
              <w:pStyle w:val="a3"/>
              <w:spacing w:before="0" w:beforeAutospacing="0" w:after="0" w:afterAutospacing="0"/>
              <w:rPr>
                <w:sz w:val="16"/>
                <w:szCs w:val="16"/>
              </w:rPr>
            </w:pPr>
            <w:r>
              <w:rPr>
                <w:b/>
                <w:bCs/>
                <w:sz w:val="16"/>
                <w:szCs w:val="16"/>
              </w:rPr>
              <w:t>Investing Activities</w:t>
            </w:r>
            <w:r>
              <w:rPr>
                <w:b/>
                <w:bCs/>
                <w:sz w:val="16"/>
                <w:szCs w:val="16"/>
              </w:rPr>
              <w:t>:</w:t>
            </w:r>
          </w:p>
        </w:tc>
        <w:tc>
          <w:tcPr>
            <w:tcW w:w="0" w:type="auto"/>
            <w:vAlign w:val="bottom"/>
            <w:hideMark/>
          </w:tcPr>
          <w:p w14:paraId="7C43D9A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202B8C2"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4D76CE81"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1DD178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9DBBE99"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7E2BF4C1" w14:textId="77777777" w:rsidR="00000000" w:rsidRDefault="003C49E9">
            <w:pPr>
              <w:pStyle w:val="a3"/>
              <w:spacing w:before="0" w:beforeAutospacing="0" w:after="0" w:afterAutospacing="0"/>
              <w:jc w:val="right"/>
              <w:rPr>
                <w:sz w:val="16"/>
                <w:szCs w:val="16"/>
              </w:rPr>
            </w:pPr>
            <w:r>
              <w:rPr>
                <w:sz w:val="16"/>
                <w:szCs w:val="16"/>
              </w:rPr>
              <w:t> </w:t>
            </w:r>
          </w:p>
        </w:tc>
      </w:tr>
      <w:tr w:rsidR="00000000" w14:paraId="277B3174" w14:textId="77777777">
        <w:trPr>
          <w:trHeight w:val="160"/>
          <w:tblCellSpacing w:w="15" w:type="dxa"/>
        </w:trPr>
        <w:tc>
          <w:tcPr>
            <w:tcW w:w="0" w:type="auto"/>
            <w:vAlign w:val="bottom"/>
            <w:hideMark/>
          </w:tcPr>
          <w:p w14:paraId="42DCBB58" w14:textId="77777777" w:rsidR="00000000" w:rsidRDefault="003C49E9">
            <w:pPr>
              <w:pStyle w:val="a3"/>
              <w:spacing w:before="0" w:beforeAutospacing="0" w:after="0" w:afterAutospacing="0"/>
              <w:ind w:left="200"/>
              <w:rPr>
                <w:sz w:val="16"/>
                <w:szCs w:val="16"/>
              </w:rPr>
            </w:pPr>
            <w:r>
              <w:rPr>
                <w:sz w:val="16"/>
                <w:szCs w:val="16"/>
              </w:rPr>
              <w:t>Purchases of investment</w:t>
            </w:r>
            <w:r>
              <w:rPr>
                <w:sz w:val="16"/>
                <w:szCs w:val="16"/>
              </w:rPr>
              <w:t>s</w:t>
            </w:r>
          </w:p>
        </w:tc>
        <w:tc>
          <w:tcPr>
            <w:tcW w:w="0" w:type="auto"/>
            <w:vAlign w:val="bottom"/>
            <w:hideMark/>
          </w:tcPr>
          <w:p w14:paraId="290BF91C"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B606E5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D7661F7" w14:textId="77777777" w:rsidR="00000000" w:rsidRDefault="003C49E9">
            <w:pPr>
              <w:pStyle w:val="a3"/>
              <w:spacing w:before="0" w:beforeAutospacing="0" w:after="0" w:afterAutospacing="0"/>
              <w:jc w:val="right"/>
              <w:rPr>
                <w:sz w:val="20"/>
                <w:szCs w:val="20"/>
              </w:rPr>
            </w:pPr>
            <w:r>
              <w:rPr>
                <w:sz w:val="16"/>
                <w:szCs w:val="16"/>
              </w:rPr>
              <w:t>(</w:t>
            </w:r>
            <w:r>
              <w:rPr>
                <w:sz w:val="16"/>
                <w:szCs w:val="16"/>
              </w:rPr>
              <w:t>864,06</w:t>
            </w:r>
            <w:r>
              <w:rPr>
                <w:sz w:val="16"/>
                <w:szCs w:val="16"/>
              </w:rPr>
              <w:t>3</w:t>
            </w:r>
          </w:p>
        </w:tc>
        <w:tc>
          <w:tcPr>
            <w:tcW w:w="0" w:type="auto"/>
            <w:noWrap/>
            <w:vAlign w:val="bottom"/>
            <w:hideMark/>
          </w:tcPr>
          <w:p w14:paraId="51991074"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819162B"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5745C4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C04853B" w14:textId="77777777" w:rsidR="00000000" w:rsidRDefault="003C49E9">
            <w:pPr>
              <w:pStyle w:val="a3"/>
              <w:spacing w:before="0" w:beforeAutospacing="0" w:after="0" w:afterAutospacing="0"/>
              <w:jc w:val="right"/>
              <w:rPr>
                <w:sz w:val="20"/>
                <w:szCs w:val="20"/>
              </w:rPr>
            </w:pPr>
            <w:r>
              <w:rPr>
                <w:sz w:val="16"/>
                <w:szCs w:val="16"/>
              </w:rPr>
              <w:t>(</w:t>
            </w:r>
            <w:r>
              <w:rPr>
                <w:sz w:val="16"/>
                <w:szCs w:val="16"/>
              </w:rPr>
              <w:t>654,06</w:t>
            </w:r>
            <w:r>
              <w:rPr>
                <w:sz w:val="16"/>
                <w:szCs w:val="16"/>
              </w:rPr>
              <w:t>3</w:t>
            </w:r>
          </w:p>
        </w:tc>
        <w:tc>
          <w:tcPr>
            <w:tcW w:w="0" w:type="auto"/>
            <w:noWrap/>
            <w:vAlign w:val="bottom"/>
            <w:hideMark/>
          </w:tcPr>
          <w:p w14:paraId="2477EAE6" w14:textId="77777777" w:rsidR="00000000" w:rsidRDefault="003C49E9">
            <w:pPr>
              <w:pStyle w:val="a3"/>
              <w:spacing w:before="0" w:beforeAutospacing="0" w:after="0" w:afterAutospacing="0"/>
              <w:rPr>
                <w:sz w:val="16"/>
                <w:szCs w:val="16"/>
              </w:rPr>
            </w:pPr>
            <w:r>
              <w:rPr>
                <w:sz w:val="16"/>
                <w:szCs w:val="16"/>
              </w:rPr>
              <w:t>)</w:t>
            </w:r>
          </w:p>
        </w:tc>
      </w:tr>
      <w:tr w:rsidR="00000000" w14:paraId="72919EC8" w14:textId="77777777">
        <w:trPr>
          <w:trHeight w:val="160"/>
          <w:tblCellSpacing w:w="15" w:type="dxa"/>
        </w:trPr>
        <w:tc>
          <w:tcPr>
            <w:tcW w:w="0" w:type="auto"/>
            <w:vAlign w:val="bottom"/>
            <w:hideMark/>
          </w:tcPr>
          <w:p w14:paraId="3C24F5F3" w14:textId="77777777" w:rsidR="00000000" w:rsidRDefault="003C49E9">
            <w:pPr>
              <w:pStyle w:val="a3"/>
              <w:spacing w:before="0" w:beforeAutospacing="0" w:after="0" w:afterAutospacing="0"/>
              <w:ind w:left="200"/>
              <w:rPr>
                <w:sz w:val="16"/>
                <w:szCs w:val="16"/>
              </w:rPr>
            </w:pPr>
            <w:r>
              <w:rPr>
                <w:sz w:val="16"/>
                <w:szCs w:val="16"/>
              </w:rPr>
              <w:t>Maturities of investment</w:t>
            </w:r>
            <w:r>
              <w:rPr>
                <w:sz w:val="16"/>
                <w:szCs w:val="16"/>
              </w:rPr>
              <w:t>s</w:t>
            </w:r>
          </w:p>
        </w:tc>
        <w:tc>
          <w:tcPr>
            <w:tcW w:w="0" w:type="auto"/>
            <w:vAlign w:val="bottom"/>
            <w:hideMark/>
          </w:tcPr>
          <w:p w14:paraId="70FC37B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6F1D8B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713ED13" w14:textId="77777777" w:rsidR="00000000" w:rsidRDefault="003C49E9">
            <w:pPr>
              <w:pStyle w:val="a3"/>
              <w:spacing w:before="0" w:beforeAutospacing="0" w:after="0" w:afterAutospacing="0"/>
              <w:jc w:val="right"/>
              <w:rPr>
                <w:sz w:val="20"/>
                <w:szCs w:val="20"/>
              </w:rPr>
            </w:pPr>
            <w:r>
              <w:rPr>
                <w:sz w:val="16"/>
                <w:szCs w:val="16"/>
              </w:rPr>
              <w:t>625,37</w:t>
            </w:r>
            <w:r>
              <w:rPr>
                <w:sz w:val="16"/>
                <w:szCs w:val="16"/>
              </w:rPr>
              <w:t>8</w:t>
            </w:r>
          </w:p>
        </w:tc>
        <w:tc>
          <w:tcPr>
            <w:tcW w:w="0" w:type="auto"/>
            <w:noWrap/>
            <w:vAlign w:val="bottom"/>
            <w:hideMark/>
          </w:tcPr>
          <w:p w14:paraId="327AD0C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CA7A108"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5D981B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452A3E5" w14:textId="77777777" w:rsidR="00000000" w:rsidRDefault="003C49E9">
            <w:pPr>
              <w:pStyle w:val="a3"/>
              <w:spacing w:before="0" w:beforeAutospacing="0" w:after="0" w:afterAutospacing="0"/>
              <w:jc w:val="right"/>
              <w:rPr>
                <w:sz w:val="20"/>
                <w:szCs w:val="20"/>
              </w:rPr>
            </w:pPr>
            <w:r>
              <w:rPr>
                <w:sz w:val="16"/>
                <w:szCs w:val="16"/>
              </w:rPr>
              <w:t>596,60</w:t>
            </w:r>
            <w:r>
              <w:rPr>
                <w:sz w:val="16"/>
                <w:szCs w:val="16"/>
              </w:rPr>
              <w:t>2</w:t>
            </w:r>
          </w:p>
        </w:tc>
        <w:tc>
          <w:tcPr>
            <w:tcW w:w="0" w:type="auto"/>
            <w:noWrap/>
            <w:vAlign w:val="bottom"/>
            <w:hideMark/>
          </w:tcPr>
          <w:p w14:paraId="2166748A" w14:textId="77777777" w:rsidR="00000000" w:rsidRDefault="003C49E9">
            <w:pPr>
              <w:pStyle w:val="a3"/>
              <w:spacing w:before="0" w:beforeAutospacing="0" w:after="0" w:afterAutospacing="0"/>
              <w:rPr>
                <w:sz w:val="16"/>
                <w:szCs w:val="16"/>
              </w:rPr>
            </w:pPr>
            <w:r>
              <w:rPr>
                <w:sz w:val="16"/>
                <w:szCs w:val="16"/>
              </w:rPr>
              <w:t> </w:t>
            </w:r>
          </w:p>
        </w:tc>
      </w:tr>
      <w:tr w:rsidR="00000000" w14:paraId="55719D43" w14:textId="77777777">
        <w:trPr>
          <w:trHeight w:val="160"/>
          <w:tblCellSpacing w:w="15" w:type="dxa"/>
        </w:trPr>
        <w:tc>
          <w:tcPr>
            <w:tcW w:w="0" w:type="auto"/>
            <w:vAlign w:val="bottom"/>
            <w:hideMark/>
          </w:tcPr>
          <w:p w14:paraId="578557E4" w14:textId="77777777" w:rsidR="00000000" w:rsidRDefault="003C49E9">
            <w:pPr>
              <w:pStyle w:val="a3"/>
              <w:spacing w:before="0" w:beforeAutospacing="0" w:after="0" w:afterAutospacing="0"/>
              <w:ind w:left="200"/>
              <w:rPr>
                <w:sz w:val="16"/>
                <w:szCs w:val="16"/>
              </w:rPr>
            </w:pPr>
            <w:r>
              <w:rPr>
                <w:sz w:val="16"/>
                <w:szCs w:val="16"/>
              </w:rPr>
              <w:t>Sale of investment</w:t>
            </w:r>
            <w:r>
              <w:rPr>
                <w:sz w:val="16"/>
                <w:szCs w:val="16"/>
              </w:rPr>
              <w:t>s</w:t>
            </w:r>
          </w:p>
        </w:tc>
        <w:tc>
          <w:tcPr>
            <w:tcW w:w="0" w:type="auto"/>
            <w:vAlign w:val="bottom"/>
            <w:hideMark/>
          </w:tcPr>
          <w:p w14:paraId="31899BC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729BB8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70BA6D2" w14:textId="77777777" w:rsidR="00000000" w:rsidRDefault="003C49E9">
            <w:pPr>
              <w:pStyle w:val="a3"/>
              <w:spacing w:before="0" w:beforeAutospacing="0" w:after="0" w:afterAutospacing="0"/>
              <w:jc w:val="right"/>
              <w:rPr>
                <w:sz w:val="20"/>
                <w:szCs w:val="20"/>
              </w:rPr>
            </w:pPr>
            <w:r>
              <w:rPr>
                <w:sz w:val="16"/>
                <w:szCs w:val="16"/>
              </w:rPr>
              <w:t>124,99</w:t>
            </w:r>
            <w:r>
              <w:rPr>
                <w:sz w:val="16"/>
                <w:szCs w:val="16"/>
              </w:rPr>
              <w:t>8</w:t>
            </w:r>
          </w:p>
        </w:tc>
        <w:tc>
          <w:tcPr>
            <w:tcW w:w="0" w:type="auto"/>
            <w:noWrap/>
            <w:vAlign w:val="bottom"/>
            <w:hideMark/>
          </w:tcPr>
          <w:p w14:paraId="450BA76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B21B71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77AC32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B9E8811"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5BD6AB2C" w14:textId="77777777" w:rsidR="00000000" w:rsidRDefault="003C49E9">
            <w:pPr>
              <w:pStyle w:val="a3"/>
              <w:spacing w:before="0" w:beforeAutospacing="0" w:after="0" w:afterAutospacing="0"/>
              <w:rPr>
                <w:sz w:val="16"/>
                <w:szCs w:val="16"/>
              </w:rPr>
            </w:pPr>
            <w:r>
              <w:rPr>
                <w:sz w:val="16"/>
                <w:szCs w:val="16"/>
              </w:rPr>
              <w:t> </w:t>
            </w:r>
          </w:p>
        </w:tc>
      </w:tr>
      <w:tr w:rsidR="00000000" w14:paraId="073AE0FA" w14:textId="77777777">
        <w:trPr>
          <w:trHeight w:val="160"/>
          <w:tblCellSpacing w:w="15" w:type="dxa"/>
        </w:trPr>
        <w:tc>
          <w:tcPr>
            <w:tcW w:w="0" w:type="auto"/>
            <w:vAlign w:val="bottom"/>
            <w:hideMark/>
          </w:tcPr>
          <w:p w14:paraId="02AAEADC" w14:textId="77777777" w:rsidR="00000000" w:rsidRDefault="003C49E9">
            <w:pPr>
              <w:pStyle w:val="a3"/>
              <w:spacing w:before="0" w:beforeAutospacing="0" w:after="0" w:afterAutospacing="0"/>
              <w:ind w:left="200"/>
              <w:rPr>
                <w:sz w:val="16"/>
                <w:szCs w:val="16"/>
              </w:rPr>
            </w:pPr>
            <w:r>
              <w:rPr>
                <w:sz w:val="16"/>
                <w:szCs w:val="16"/>
              </w:rPr>
              <w:t>Purchases of property and equipmen</w:t>
            </w:r>
            <w:r>
              <w:rPr>
                <w:sz w:val="16"/>
                <w:szCs w:val="16"/>
              </w:rPr>
              <w:t>t</w:t>
            </w:r>
          </w:p>
        </w:tc>
        <w:tc>
          <w:tcPr>
            <w:tcW w:w="0" w:type="auto"/>
            <w:vAlign w:val="bottom"/>
            <w:hideMark/>
          </w:tcPr>
          <w:p w14:paraId="7200B36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FEEE96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B7C2E4B" w14:textId="77777777" w:rsidR="00000000" w:rsidRDefault="003C49E9">
            <w:pPr>
              <w:pStyle w:val="a3"/>
              <w:spacing w:before="0" w:beforeAutospacing="0" w:after="0" w:afterAutospacing="0"/>
              <w:jc w:val="right"/>
              <w:rPr>
                <w:sz w:val="20"/>
                <w:szCs w:val="20"/>
              </w:rPr>
            </w:pPr>
            <w:r>
              <w:rPr>
                <w:sz w:val="16"/>
                <w:szCs w:val="16"/>
              </w:rPr>
              <w:t>(</w:t>
            </w:r>
            <w:r>
              <w:rPr>
                <w:sz w:val="16"/>
                <w:szCs w:val="16"/>
              </w:rPr>
              <w:t>18,27</w:t>
            </w:r>
            <w:r>
              <w:rPr>
                <w:sz w:val="16"/>
                <w:szCs w:val="16"/>
              </w:rPr>
              <w:t>2</w:t>
            </w:r>
          </w:p>
        </w:tc>
        <w:tc>
          <w:tcPr>
            <w:tcW w:w="0" w:type="auto"/>
            <w:noWrap/>
            <w:vAlign w:val="bottom"/>
            <w:hideMark/>
          </w:tcPr>
          <w:p w14:paraId="5608B6FB"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7609CD1"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06CCB6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8C40137" w14:textId="77777777" w:rsidR="00000000" w:rsidRDefault="003C49E9">
            <w:pPr>
              <w:pStyle w:val="a3"/>
              <w:spacing w:before="0" w:beforeAutospacing="0" w:after="0" w:afterAutospacing="0"/>
              <w:jc w:val="right"/>
              <w:rPr>
                <w:sz w:val="20"/>
                <w:szCs w:val="20"/>
              </w:rPr>
            </w:pPr>
            <w:r>
              <w:rPr>
                <w:sz w:val="16"/>
                <w:szCs w:val="16"/>
              </w:rPr>
              <w:t>(</w:t>
            </w:r>
            <w:r>
              <w:rPr>
                <w:sz w:val="16"/>
                <w:szCs w:val="16"/>
              </w:rPr>
              <w:t>10,74</w:t>
            </w:r>
            <w:r>
              <w:rPr>
                <w:sz w:val="16"/>
                <w:szCs w:val="16"/>
              </w:rPr>
              <w:t>6</w:t>
            </w:r>
          </w:p>
        </w:tc>
        <w:tc>
          <w:tcPr>
            <w:tcW w:w="0" w:type="auto"/>
            <w:noWrap/>
            <w:vAlign w:val="bottom"/>
            <w:hideMark/>
          </w:tcPr>
          <w:p w14:paraId="026F69CF" w14:textId="77777777" w:rsidR="00000000" w:rsidRDefault="003C49E9">
            <w:pPr>
              <w:pStyle w:val="a3"/>
              <w:spacing w:before="0" w:beforeAutospacing="0" w:after="0" w:afterAutospacing="0"/>
              <w:rPr>
                <w:sz w:val="16"/>
                <w:szCs w:val="16"/>
              </w:rPr>
            </w:pPr>
            <w:r>
              <w:rPr>
                <w:sz w:val="16"/>
                <w:szCs w:val="16"/>
              </w:rPr>
              <w:t>)</w:t>
            </w:r>
          </w:p>
        </w:tc>
      </w:tr>
      <w:tr w:rsidR="00000000" w14:paraId="79142A45" w14:textId="77777777">
        <w:trPr>
          <w:trHeight w:val="160"/>
          <w:tblCellSpacing w:w="15" w:type="dxa"/>
        </w:trPr>
        <w:tc>
          <w:tcPr>
            <w:tcW w:w="0" w:type="auto"/>
            <w:vAlign w:val="bottom"/>
            <w:hideMark/>
          </w:tcPr>
          <w:p w14:paraId="78D581D4" w14:textId="77777777" w:rsidR="00000000" w:rsidRDefault="003C49E9">
            <w:pPr>
              <w:pStyle w:val="a3"/>
              <w:spacing w:before="0" w:beforeAutospacing="0" w:after="0" w:afterAutospacing="0"/>
              <w:ind w:left="200"/>
              <w:rPr>
                <w:sz w:val="16"/>
                <w:szCs w:val="16"/>
              </w:rPr>
            </w:pPr>
            <w:r>
              <w:rPr>
                <w:sz w:val="16"/>
                <w:szCs w:val="16"/>
              </w:rPr>
              <w:t>Purchases of intangible asset</w:t>
            </w:r>
            <w:r>
              <w:rPr>
                <w:sz w:val="16"/>
                <w:szCs w:val="16"/>
              </w:rPr>
              <w:t>s</w:t>
            </w:r>
          </w:p>
        </w:tc>
        <w:tc>
          <w:tcPr>
            <w:tcW w:w="0" w:type="auto"/>
            <w:vAlign w:val="bottom"/>
            <w:hideMark/>
          </w:tcPr>
          <w:p w14:paraId="31E29CE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DA99D5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F05C329" w14:textId="77777777" w:rsidR="00000000" w:rsidRDefault="003C49E9">
            <w:pPr>
              <w:pStyle w:val="a3"/>
              <w:spacing w:before="0" w:beforeAutospacing="0" w:after="0" w:afterAutospacing="0"/>
              <w:jc w:val="right"/>
              <w:rPr>
                <w:sz w:val="20"/>
                <w:szCs w:val="20"/>
              </w:rPr>
            </w:pPr>
            <w:r>
              <w:rPr>
                <w:sz w:val="16"/>
                <w:szCs w:val="16"/>
              </w:rPr>
              <w:t>(</w:t>
            </w:r>
            <w:r>
              <w:rPr>
                <w:sz w:val="16"/>
                <w:szCs w:val="16"/>
              </w:rPr>
              <w:t>10,00</w:t>
            </w:r>
            <w:r>
              <w:rPr>
                <w:sz w:val="16"/>
                <w:szCs w:val="16"/>
              </w:rPr>
              <w:t>0</w:t>
            </w:r>
          </w:p>
        </w:tc>
        <w:tc>
          <w:tcPr>
            <w:tcW w:w="0" w:type="auto"/>
            <w:noWrap/>
            <w:vAlign w:val="bottom"/>
            <w:hideMark/>
          </w:tcPr>
          <w:p w14:paraId="2B1CCA59"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0A8B72A1"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2B94A1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95CA974"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32DD9119" w14:textId="77777777" w:rsidR="00000000" w:rsidRDefault="003C49E9">
            <w:pPr>
              <w:pStyle w:val="a3"/>
              <w:spacing w:before="0" w:beforeAutospacing="0" w:after="0" w:afterAutospacing="0"/>
              <w:rPr>
                <w:sz w:val="16"/>
                <w:szCs w:val="16"/>
              </w:rPr>
            </w:pPr>
            <w:r>
              <w:rPr>
                <w:sz w:val="16"/>
                <w:szCs w:val="16"/>
              </w:rPr>
              <w:t> </w:t>
            </w:r>
          </w:p>
        </w:tc>
      </w:tr>
      <w:tr w:rsidR="00000000" w14:paraId="5111E484" w14:textId="77777777">
        <w:trPr>
          <w:trHeight w:val="160"/>
          <w:tblCellSpacing w:w="15" w:type="dxa"/>
        </w:trPr>
        <w:tc>
          <w:tcPr>
            <w:tcW w:w="0" w:type="auto"/>
            <w:vAlign w:val="bottom"/>
            <w:hideMark/>
          </w:tcPr>
          <w:p w14:paraId="15A69021" w14:textId="77777777" w:rsidR="00000000" w:rsidRDefault="003C49E9">
            <w:pPr>
              <w:pStyle w:val="a3"/>
              <w:spacing w:before="0" w:beforeAutospacing="0" w:after="0" w:afterAutospacing="0"/>
              <w:ind w:left="200"/>
              <w:rPr>
                <w:sz w:val="16"/>
                <w:szCs w:val="16"/>
              </w:rPr>
            </w:pPr>
            <w:r>
              <w:rPr>
                <w:sz w:val="16"/>
                <w:szCs w:val="16"/>
              </w:rPr>
              <w:t>Acquisition of a business, net of cash acquire</w:t>
            </w:r>
            <w:r>
              <w:rPr>
                <w:sz w:val="16"/>
                <w:szCs w:val="16"/>
              </w:rPr>
              <w:t>d</w:t>
            </w:r>
          </w:p>
        </w:tc>
        <w:tc>
          <w:tcPr>
            <w:tcW w:w="0" w:type="auto"/>
            <w:vAlign w:val="bottom"/>
            <w:hideMark/>
          </w:tcPr>
          <w:p w14:paraId="31F40D98"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ABA3E4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5F3531A"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72C7E04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8F45A89"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1422A1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255729E" w14:textId="77777777" w:rsidR="00000000" w:rsidRDefault="003C49E9">
            <w:pPr>
              <w:pStyle w:val="a3"/>
              <w:spacing w:before="0" w:beforeAutospacing="0" w:after="0" w:afterAutospacing="0"/>
              <w:jc w:val="right"/>
              <w:rPr>
                <w:sz w:val="20"/>
                <w:szCs w:val="20"/>
              </w:rPr>
            </w:pPr>
            <w:r>
              <w:rPr>
                <w:sz w:val="16"/>
                <w:szCs w:val="16"/>
              </w:rPr>
              <w:t>(</w:t>
            </w:r>
            <w:r>
              <w:rPr>
                <w:sz w:val="16"/>
                <w:szCs w:val="16"/>
              </w:rPr>
              <w:t>16,81</w:t>
            </w:r>
            <w:r>
              <w:rPr>
                <w:sz w:val="16"/>
                <w:szCs w:val="16"/>
              </w:rPr>
              <w:t>0</w:t>
            </w:r>
          </w:p>
        </w:tc>
        <w:tc>
          <w:tcPr>
            <w:tcW w:w="0" w:type="auto"/>
            <w:noWrap/>
            <w:vAlign w:val="bottom"/>
            <w:hideMark/>
          </w:tcPr>
          <w:p w14:paraId="531B156D" w14:textId="77777777" w:rsidR="00000000" w:rsidRDefault="003C49E9">
            <w:pPr>
              <w:pStyle w:val="a3"/>
              <w:spacing w:before="0" w:beforeAutospacing="0" w:after="0" w:afterAutospacing="0"/>
              <w:rPr>
                <w:sz w:val="16"/>
                <w:szCs w:val="16"/>
              </w:rPr>
            </w:pPr>
            <w:r>
              <w:rPr>
                <w:sz w:val="16"/>
                <w:szCs w:val="16"/>
              </w:rPr>
              <w:t>)</w:t>
            </w:r>
          </w:p>
        </w:tc>
      </w:tr>
      <w:tr w:rsidR="00000000" w14:paraId="620D4691" w14:textId="77777777">
        <w:trPr>
          <w:trHeight w:val="160"/>
          <w:tblCellSpacing w:w="15" w:type="dxa"/>
        </w:trPr>
        <w:tc>
          <w:tcPr>
            <w:tcW w:w="0" w:type="auto"/>
            <w:vAlign w:val="bottom"/>
            <w:hideMark/>
          </w:tcPr>
          <w:p w14:paraId="367887B3" w14:textId="77777777" w:rsidR="00000000" w:rsidRDefault="003C49E9">
            <w:pPr>
              <w:pStyle w:val="a3"/>
              <w:spacing w:before="0" w:beforeAutospacing="0" w:after="0" w:afterAutospacing="0"/>
              <w:ind w:left="200"/>
              <w:rPr>
                <w:sz w:val="16"/>
                <w:szCs w:val="16"/>
              </w:rPr>
            </w:pPr>
            <w:r>
              <w:rPr>
                <w:sz w:val="16"/>
                <w:szCs w:val="16"/>
              </w:rPr>
              <w:t>Purchases of strategic investment</w:t>
            </w:r>
            <w:r>
              <w:rPr>
                <w:sz w:val="16"/>
                <w:szCs w:val="16"/>
              </w:rPr>
              <w:t>s</w:t>
            </w:r>
          </w:p>
        </w:tc>
        <w:tc>
          <w:tcPr>
            <w:tcW w:w="0" w:type="auto"/>
            <w:vAlign w:val="bottom"/>
            <w:hideMark/>
          </w:tcPr>
          <w:p w14:paraId="48FABF8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691C42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11E0107" w14:textId="77777777" w:rsidR="00000000" w:rsidRDefault="003C49E9">
            <w:pPr>
              <w:pStyle w:val="a3"/>
              <w:spacing w:before="0" w:beforeAutospacing="0" w:after="0" w:afterAutospacing="0"/>
              <w:jc w:val="right"/>
              <w:rPr>
                <w:sz w:val="20"/>
                <w:szCs w:val="20"/>
              </w:rPr>
            </w:pPr>
            <w:r>
              <w:rPr>
                <w:sz w:val="16"/>
                <w:szCs w:val="16"/>
              </w:rPr>
              <w:t>(</w:t>
            </w:r>
            <w:r>
              <w:rPr>
                <w:sz w:val="16"/>
                <w:szCs w:val="16"/>
              </w:rPr>
              <w:t>13,87</w:t>
            </w:r>
            <w:r>
              <w:rPr>
                <w:sz w:val="16"/>
                <w:szCs w:val="16"/>
              </w:rPr>
              <w:t>3</w:t>
            </w:r>
          </w:p>
        </w:tc>
        <w:tc>
          <w:tcPr>
            <w:tcW w:w="0" w:type="auto"/>
            <w:noWrap/>
            <w:vAlign w:val="bottom"/>
            <w:hideMark/>
          </w:tcPr>
          <w:p w14:paraId="671A379E"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3D48C9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C21DDF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A4DECAD" w14:textId="77777777" w:rsidR="00000000" w:rsidRDefault="003C49E9">
            <w:pPr>
              <w:pStyle w:val="a3"/>
              <w:spacing w:before="0" w:beforeAutospacing="0" w:after="0" w:afterAutospacing="0"/>
              <w:jc w:val="right"/>
              <w:rPr>
                <w:sz w:val="20"/>
                <w:szCs w:val="20"/>
              </w:rPr>
            </w:pPr>
            <w:r>
              <w:rPr>
                <w:sz w:val="16"/>
                <w:szCs w:val="16"/>
              </w:rPr>
              <w:t>(</w:t>
            </w:r>
            <w:r>
              <w:rPr>
                <w:sz w:val="16"/>
                <w:szCs w:val="16"/>
              </w:rPr>
              <w:t>6,20</w:t>
            </w:r>
            <w:r>
              <w:rPr>
                <w:sz w:val="16"/>
                <w:szCs w:val="16"/>
              </w:rPr>
              <w:t>2</w:t>
            </w:r>
          </w:p>
        </w:tc>
        <w:tc>
          <w:tcPr>
            <w:tcW w:w="0" w:type="auto"/>
            <w:noWrap/>
            <w:vAlign w:val="bottom"/>
            <w:hideMark/>
          </w:tcPr>
          <w:p w14:paraId="1A7DAAC7" w14:textId="77777777" w:rsidR="00000000" w:rsidRDefault="003C49E9">
            <w:pPr>
              <w:pStyle w:val="a3"/>
              <w:spacing w:before="0" w:beforeAutospacing="0" w:after="0" w:afterAutospacing="0"/>
              <w:rPr>
                <w:sz w:val="16"/>
                <w:szCs w:val="16"/>
              </w:rPr>
            </w:pPr>
            <w:r>
              <w:rPr>
                <w:sz w:val="16"/>
                <w:szCs w:val="16"/>
              </w:rPr>
              <w:t>)</w:t>
            </w:r>
          </w:p>
        </w:tc>
      </w:tr>
      <w:tr w:rsidR="00000000" w14:paraId="3939D847" w14:textId="77777777">
        <w:trPr>
          <w:trHeight w:val="160"/>
          <w:tblCellSpacing w:w="15" w:type="dxa"/>
        </w:trPr>
        <w:tc>
          <w:tcPr>
            <w:tcW w:w="0" w:type="auto"/>
            <w:vAlign w:val="bottom"/>
            <w:hideMark/>
          </w:tcPr>
          <w:p w14:paraId="3259244F" w14:textId="77777777" w:rsidR="00000000" w:rsidRDefault="003C49E9">
            <w:pPr>
              <w:pStyle w:val="a3"/>
              <w:spacing w:before="0" w:beforeAutospacing="0" w:after="0" w:afterAutospacing="0"/>
              <w:ind w:left="200"/>
              <w:rPr>
                <w:sz w:val="16"/>
                <w:szCs w:val="16"/>
              </w:rPr>
            </w:pPr>
            <w:r>
              <w:rPr>
                <w:sz w:val="16"/>
                <w:szCs w:val="16"/>
              </w:rPr>
              <w:t>Equity method investmen</w:t>
            </w:r>
            <w:r>
              <w:rPr>
                <w:sz w:val="16"/>
                <w:szCs w:val="16"/>
              </w:rPr>
              <w:t>t</w:t>
            </w:r>
          </w:p>
        </w:tc>
        <w:tc>
          <w:tcPr>
            <w:tcW w:w="0" w:type="auto"/>
            <w:vAlign w:val="bottom"/>
            <w:hideMark/>
          </w:tcPr>
          <w:p w14:paraId="20D2B94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F1B873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E1EB3A0" w14:textId="77777777" w:rsidR="00000000" w:rsidRDefault="003C49E9">
            <w:pPr>
              <w:pStyle w:val="a3"/>
              <w:spacing w:before="0" w:beforeAutospacing="0" w:after="0" w:afterAutospacing="0"/>
              <w:jc w:val="right"/>
              <w:rPr>
                <w:sz w:val="20"/>
                <w:szCs w:val="20"/>
              </w:rPr>
            </w:pPr>
            <w:r>
              <w:rPr>
                <w:sz w:val="16"/>
                <w:szCs w:val="16"/>
              </w:rPr>
              <w:t>(</w:t>
            </w:r>
            <w:r>
              <w:rPr>
                <w:sz w:val="16"/>
                <w:szCs w:val="16"/>
              </w:rPr>
              <w:t>25</w:t>
            </w:r>
            <w:r>
              <w:rPr>
                <w:sz w:val="16"/>
                <w:szCs w:val="16"/>
              </w:rPr>
              <w:t>0</w:t>
            </w:r>
          </w:p>
        </w:tc>
        <w:tc>
          <w:tcPr>
            <w:tcW w:w="0" w:type="auto"/>
            <w:noWrap/>
            <w:vAlign w:val="bottom"/>
            <w:hideMark/>
          </w:tcPr>
          <w:p w14:paraId="2ADDE3E2"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D7C182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CB7CC8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22E9655" w14:textId="77777777" w:rsidR="00000000" w:rsidRDefault="003C49E9">
            <w:pPr>
              <w:pStyle w:val="a3"/>
              <w:spacing w:before="0" w:beforeAutospacing="0" w:after="0" w:afterAutospacing="0"/>
              <w:jc w:val="right"/>
              <w:rPr>
                <w:sz w:val="20"/>
                <w:szCs w:val="20"/>
              </w:rPr>
            </w:pPr>
            <w:r>
              <w:rPr>
                <w:sz w:val="16"/>
                <w:szCs w:val="16"/>
              </w:rPr>
              <w:t>(</w:t>
            </w:r>
            <w:r>
              <w:rPr>
                <w:sz w:val="16"/>
                <w:szCs w:val="16"/>
              </w:rPr>
              <w:t>3,10</w:t>
            </w:r>
            <w:r>
              <w:rPr>
                <w:sz w:val="16"/>
                <w:szCs w:val="16"/>
              </w:rPr>
              <w:t>0</w:t>
            </w:r>
          </w:p>
        </w:tc>
        <w:tc>
          <w:tcPr>
            <w:tcW w:w="0" w:type="auto"/>
            <w:noWrap/>
            <w:vAlign w:val="bottom"/>
            <w:hideMark/>
          </w:tcPr>
          <w:p w14:paraId="004A30AC" w14:textId="77777777" w:rsidR="00000000" w:rsidRDefault="003C49E9">
            <w:pPr>
              <w:pStyle w:val="a3"/>
              <w:spacing w:before="0" w:beforeAutospacing="0" w:after="0" w:afterAutospacing="0"/>
              <w:rPr>
                <w:sz w:val="16"/>
                <w:szCs w:val="16"/>
              </w:rPr>
            </w:pPr>
            <w:r>
              <w:rPr>
                <w:sz w:val="16"/>
                <w:szCs w:val="16"/>
              </w:rPr>
              <w:t>)</w:t>
            </w:r>
          </w:p>
        </w:tc>
      </w:tr>
      <w:tr w:rsidR="00000000" w14:paraId="7FEEBB63" w14:textId="77777777">
        <w:trPr>
          <w:trHeight w:val="160"/>
          <w:tblCellSpacing w:w="15" w:type="dxa"/>
        </w:trPr>
        <w:tc>
          <w:tcPr>
            <w:tcW w:w="0" w:type="auto"/>
            <w:vAlign w:val="bottom"/>
            <w:hideMark/>
          </w:tcPr>
          <w:p w14:paraId="7B2AF28F" w14:textId="77777777" w:rsidR="00000000" w:rsidRDefault="003C49E9">
            <w:pPr>
              <w:pStyle w:val="a3"/>
              <w:spacing w:before="0" w:beforeAutospacing="0" w:after="0" w:afterAutospacing="0"/>
              <w:ind w:left="200"/>
              <w:rPr>
                <w:sz w:val="16"/>
                <w:szCs w:val="16"/>
              </w:rPr>
            </w:pPr>
            <w:r>
              <w:rPr>
                <w:sz w:val="16"/>
                <w:szCs w:val="16"/>
              </w:rPr>
              <w:t>Capitalization of software development cost</w:t>
            </w:r>
            <w:r>
              <w:rPr>
                <w:sz w:val="16"/>
                <w:szCs w:val="16"/>
              </w:rPr>
              <w:t>s</w:t>
            </w:r>
          </w:p>
        </w:tc>
        <w:tc>
          <w:tcPr>
            <w:tcW w:w="0" w:type="auto"/>
            <w:vAlign w:val="bottom"/>
            <w:hideMark/>
          </w:tcPr>
          <w:p w14:paraId="39A84D3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8A6F4C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80A0A55" w14:textId="77777777" w:rsidR="00000000" w:rsidRDefault="003C49E9">
            <w:pPr>
              <w:pStyle w:val="a3"/>
              <w:spacing w:before="0" w:beforeAutospacing="0" w:after="0" w:afterAutospacing="0"/>
              <w:jc w:val="right"/>
              <w:rPr>
                <w:sz w:val="20"/>
                <w:szCs w:val="20"/>
              </w:rPr>
            </w:pPr>
            <w:r>
              <w:rPr>
                <w:sz w:val="16"/>
                <w:szCs w:val="16"/>
              </w:rPr>
              <w:t>(</w:t>
            </w:r>
            <w:r>
              <w:rPr>
                <w:sz w:val="16"/>
                <w:szCs w:val="16"/>
              </w:rPr>
              <w:t>19,93</w:t>
            </w:r>
            <w:r>
              <w:rPr>
                <w:sz w:val="16"/>
                <w:szCs w:val="16"/>
              </w:rPr>
              <w:t>1</w:t>
            </w:r>
          </w:p>
        </w:tc>
        <w:tc>
          <w:tcPr>
            <w:tcW w:w="0" w:type="auto"/>
            <w:noWrap/>
            <w:vAlign w:val="bottom"/>
            <w:hideMark/>
          </w:tcPr>
          <w:p w14:paraId="043B18A7"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6A2D73D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CC2E42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BB7006A" w14:textId="77777777" w:rsidR="00000000" w:rsidRDefault="003C49E9">
            <w:pPr>
              <w:pStyle w:val="a3"/>
              <w:spacing w:before="0" w:beforeAutospacing="0" w:after="0" w:afterAutospacing="0"/>
              <w:jc w:val="right"/>
              <w:rPr>
                <w:sz w:val="20"/>
                <w:szCs w:val="20"/>
              </w:rPr>
            </w:pPr>
            <w:r>
              <w:rPr>
                <w:sz w:val="16"/>
                <w:szCs w:val="16"/>
              </w:rPr>
              <w:t>(</w:t>
            </w:r>
            <w:r>
              <w:rPr>
                <w:sz w:val="16"/>
                <w:szCs w:val="16"/>
              </w:rPr>
              <w:t>16,42</w:t>
            </w:r>
            <w:r>
              <w:rPr>
                <w:sz w:val="16"/>
                <w:szCs w:val="16"/>
              </w:rPr>
              <w:t>1</w:t>
            </w:r>
          </w:p>
        </w:tc>
        <w:tc>
          <w:tcPr>
            <w:tcW w:w="0" w:type="auto"/>
            <w:noWrap/>
            <w:vAlign w:val="bottom"/>
            <w:hideMark/>
          </w:tcPr>
          <w:p w14:paraId="069792FE" w14:textId="77777777" w:rsidR="00000000" w:rsidRDefault="003C49E9">
            <w:pPr>
              <w:pStyle w:val="a3"/>
              <w:spacing w:before="0" w:beforeAutospacing="0" w:after="0" w:afterAutospacing="0"/>
              <w:rPr>
                <w:sz w:val="16"/>
                <w:szCs w:val="16"/>
              </w:rPr>
            </w:pPr>
            <w:r>
              <w:rPr>
                <w:sz w:val="16"/>
                <w:szCs w:val="16"/>
              </w:rPr>
              <w:t>)</w:t>
            </w:r>
          </w:p>
        </w:tc>
      </w:tr>
      <w:tr w:rsidR="00000000" w14:paraId="0467F616" w14:textId="77777777">
        <w:trPr>
          <w:trHeight w:val="160"/>
          <w:tblCellSpacing w:w="15" w:type="dxa"/>
        </w:trPr>
        <w:tc>
          <w:tcPr>
            <w:tcW w:w="0" w:type="auto"/>
            <w:vAlign w:val="bottom"/>
            <w:hideMark/>
          </w:tcPr>
          <w:p w14:paraId="0497D01C" w14:textId="77777777" w:rsidR="00000000" w:rsidRDefault="003C49E9">
            <w:pPr>
              <w:pStyle w:val="a3"/>
              <w:spacing w:before="0" w:beforeAutospacing="0" w:after="0" w:afterAutospacing="0"/>
              <w:ind w:left="800"/>
              <w:rPr>
                <w:sz w:val="16"/>
                <w:szCs w:val="16"/>
              </w:rPr>
            </w:pPr>
            <w:r>
              <w:rPr>
                <w:sz w:val="16"/>
                <w:szCs w:val="16"/>
              </w:rPr>
              <w:t>Net cash and cash equivalents used in investing activitie</w:t>
            </w:r>
            <w:r>
              <w:rPr>
                <w:sz w:val="16"/>
                <w:szCs w:val="16"/>
              </w:rPr>
              <w:t>s</w:t>
            </w:r>
          </w:p>
        </w:tc>
        <w:tc>
          <w:tcPr>
            <w:tcW w:w="0" w:type="auto"/>
            <w:vAlign w:val="bottom"/>
            <w:hideMark/>
          </w:tcPr>
          <w:p w14:paraId="4F17817C"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3CF5E8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56AD4EF" w14:textId="77777777" w:rsidR="00000000" w:rsidRDefault="003C49E9">
            <w:pPr>
              <w:pStyle w:val="a3"/>
              <w:spacing w:before="0" w:beforeAutospacing="0" w:after="0" w:afterAutospacing="0"/>
              <w:jc w:val="right"/>
              <w:rPr>
                <w:sz w:val="20"/>
                <w:szCs w:val="20"/>
              </w:rPr>
            </w:pPr>
            <w:r>
              <w:rPr>
                <w:sz w:val="16"/>
                <w:szCs w:val="16"/>
              </w:rPr>
              <w:t>(</w:t>
            </w:r>
            <w:r>
              <w:rPr>
                <w:sz w:val="16"/>
                <w:szCs w:val="16"/>
              </w:rPr>
              <w:t>176,01</w:t>
            </w:r>
            <w:r>
              <w:rPr>
                <w:sz w:val="16"/>
                <w:szCs w:val="16"/>
              </w:rPr>
              <w:t>3</w:t>
            </w:r>
          </w:p>
        </w:tc>
        <w:tc>
          <w:tcPr>
            <w:tcW w:w="0" w:type="auto"/>
            <w:noWrap/>
            <w:vAlign w:val="bottom"/>
            <w:hideMark/>
          </w:tcPr>
          <w:p w14:paraId="7E77B7E0"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51D6118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C6B12F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2C3DDBB" w14:textId="77777777" w:rsidR="00000000" w:rsidRDefault="003C49E9">
            <w:pPr>
              <w:pStyle w:val="a3"/>
              <w:spacing w:before="0" w:beforeAutospacing="0" w:after="0" w:afterAutospacing="0"/>
              <w:jc w:val="right"/>
              <w:rPr>
                <w:sz w:val="20"/>
                <w:szCs w:val="20"/>
              </w:rPr>
            </w:pPr>
            <w:r>
              <w:rPr>
                <w:sz w:val="16"/>
                <w:szCs w:val="16"/>
              </w:rPr>
              <w:t>(</w:t>
            </w:r>
            <w:r>
              <w:rPr>
                <w:sz w:val="16"/>
                <w:szCs w:val="16"/>
              </w:rPr>
              <w:t>110,74</w:t>
            </w:r>
            <w:r>
              <w:rPr>
                <w:sz w:val="16"/>
                <w:szCs w:val="16"/>
              </w:rPr>
              <w:t>0</w:t>
            </w:r>
          </w:p>
        </w:tc>
        <w:tc>
          <w:tcPr>
            <w:tcW w:w="0" w:type="auto"/>
            <w:noWrap/>
            <w:vAlign w:val="bottom"/>
            <w:hideMark/>
          </w:tcPr>
          <w:p w14:paraId="3F1E31C4" w14:textId="77777777" w:rsidR="00000000" w:rsidRDefault="003C49E9">
            <w:pPr>
              <w:pStyle w:val="a3"/>
              <w:spacing w:before="0" w:beforeAutospacing="0" w:after="0" w:afterAutospacing="0"/>
              <w:rPr>
                <w:sz w:val="16"/>
                <w:szCs w:val="16"/>
              </w:rPr>
            </w:pPr>
            <w:r>
              <w:rPr>
                <w:sz w:val="16"/>
                <w:szCs w:val="16"/>
              </w:rPr>
              <w:t>)</w:t>
            </w:r>
          </w:p>
        </w:tc>
      </w:tr>
      <w:tr w:rsidR="00000000" w14:paraId="28B6068E" w14:textId="77777777">
        <w:trPr>
          <w:trHeight w:val="160"/>
          <w:tblCellSpacing w:w="15" w:type="dxa"/>
        </w:trPr>
        <w:tc>
          <w:tcPr>
            <w:tcW w:w="0" w:type="auto"/>
            <w:vAlign w:val="bottom"/>
            <w:hideMark/>
          </w:tcPr>
          <w:p w14:paraId="23586137" w14:textId="77777777" w:rsidR="00000000" w:rsidRDefault="003C49E9">
            <w:pPr>
              <w:pStyle w:val="a3"/>
              <w:spacing w:before="0" w:beforeAutospacing="0" w:after="0" w:afterAutospacing="0"/>
              <w:rPr>
                <w:sz w:val="16"/>
                <w:szCs w:val="16"/>
              </w:rPr>
            </w:pPr>
            <w:r>
              <w:rPr>
                <w:b/>
                <w:bCs/>
                <w:sz w:val="16"/>
                <w:szCs w:val="16"/>
              </w:rPr>
              <w:t>Financing Activities</w:t>
            </w:r>
            <w:r>
              <w:rPr>
                <w:b/>
                <w:bCs/>
                <w:sz w:val="16"/>
                <w:szCs w:val="16"/>
              </w:rPr>
              <w:t>:</w:t>
            </w:r>
          </w:p>
        </w:tc>
        <w:tc>
          <w:tcPr>
            <w:tcW w:w="0" w:type="auto"/>
            <w:vAlign w:val="bottom"/>
            <w:hideMark/>
          </w:tcPr>
          <w:p w14:paraId="10964FC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180369F"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5EBC7915"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7F7DF643"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E5D6E2A"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0158049F" w14:textId="77777777" w:rsidR="00000000" w:rsidRDefault="003C49E9">
            <w:pPr>
              <w:pStyle w:val="a3"/>
              <w:spacing w:before="0" w:beforeAutospacing="0" w:after="0" w:afterAutospacing="0"/>
              <w:jc w:val="right"/>
              <w:rPr>
                <w:sz w:val="16"/>
                <w:szCs w:val="16"/>
              </w:rPr>
            </w:pPr>
            <w:r>
              <w:rPr>
                <w:sz w:val="16"/>
                <w:szCs w:val="16"/>
              </w:rPr>
              <w:t> </w:t>
            </w:r>
          </w:p>
        </w:tc>
      </w:tr>
      <w:tr w:rsidR="00000000" w14:paraId="45FC8512" w14:textId="77777777">
        <w:trPr>
          <w:trHeight w:val="160"/>
          <w:tblCellSpacing w:w="15" w:type="dxa"/>
        </w:trPr>
        <w:tc>
          <w:tcPr>
            <w:tcW w:w="0" w:type="auto"/>
            <w:vAlign w:val="bottom"/>
            <w:hideMark/>
          </w:tcPr>
          <w:p w14:paraId="6A26314D" w14:textId="77777777" w:rsidR="00000000" w:rsidRDefault="003C49E9">
            <w:pPr>
              <w:pStyle w:val="a3"/>
              <w:spacing w:before="0" w:beforeAutospacing="0" w:after="0" w:afterAutospacing="0"/>
              <w:ind w:left="200"/>
              <w:rPr>
                <w:sz w:val="16"/>
                <w:szCs w:val="16"/>
              </w:rPr>
            </w:pPr>
            <w:r>
              <w:rPr>
                <w:sz w:val="16"/>
                <w:szCs w:val="16"/>
              </w:rPr>
              <w:t>Proceeds from settlement of Convertible Note Hedges related to the 2022 Convertible Note</w:t>
            </w:r>
            <w:r>
              <w:rPr>
                <w:sz w:val="16"/>
                <w:szCs w:val="16"/>
              </w:rPr>
              <w:t>s</w:t>
            </w:r>
          </w:p>
        </w:tc>
        <w:tc>
          <w:tcPr>
            <w:tcW w:w="0" w:type="auto"/>
            <w:vAlign w:val="bottom"/>
            <w:hideMark/>
          </w:tcPr>
          <w:p w14:paraId="563E59C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106568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B320D7F" w14:textId="77777777" w:rsidR="00000000" w:rsidRDefault="003C49E9">
            <w:pPr>
              <w:pStyle w:val="a3"/>
              <w:spacing w:before="0" w:beforeAutospacing="0" w:after="0" w:afterAutospacing="0"/>
              <w:jc w:val="right"/>
              <w:rPr>
                <w:sz w:val="20"/>
                <w:szCs w:val="20"/>
              </w:rPr>
            </w:pPr>
            <w:r>
              <w:rPr>
                <w:sz w:val="16"/>
                <w:szCs w:val="16"/>
              </w:rPr>
              <w:t>60,48</w:t>
            </w:r>
            <w:r>
              <w:rPr>
                <w:sz w:val="16"/>
                <w:szCs w:val="16"/>
              </w:rPr>
              <w:t>3</w:t>
            </w:r>
          </w:p>
        </w:tc>
        <w:tc>
          <w:tcPr>
            <w:tcW w:w="0" w:type="auto"/>
            <w:noWrap/>
            <w:vAlign w:val="bottom"/>
            <w:hideMark/>
          </w:tcPr>
          <w:p w14:paraId="2A3CB18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573739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9254E4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737DFAA" w14:textId="77777777" w:rsidR="00000000" w:rsidRDefault="003C49E9">
            <w:pPr>
              <w:pStyle w:val="a3"/>
              <w:spacing w:before="0" w:beforeAutospacing="0" w:after="0" w:afterAutospacing="0"/>
              <w:jc w:val="right"/>
              <w:rPr>
                <w:sz w:val="20"/>
                <w:szCs w:val="20"/>
              </w:rPr>
            </w:pPr>
            <w:r>
              <w:rPr>
                <w:sz w:val="16"/>
                <w:szCs w:val="16"/>
              </w:rPr>
              <w:t>72</w:t>
            </w:r>
            <w:r>
              <w:rPr>
                <w:sz w:val="16"/>
                <w:szCs w:val="16"/>
              </w:rPr>
              <w:t>5</w:t>
            </w:r>
          </w:p>
        </w:tc>
        <w:tc>
          <w:tcPr>
            <w:tcW w:w="0" w:type="auto"/>
            <w:noWrap/>
            <w:vAlign w:val="bottom"/>
            <w:hideMark/>
          </w:tcPr>
          <w:p w14:paraId="158C649D" w14:textId="77777777" w:rsidR="00000000" w:rsidRDefault="003C49E9">
            <w:pPr>
              <w:pStyle w:val="a3"/>
              <w:spacing w:before="0" w:beforeAutospacing="0" w:after="0" w:afterAutospacing="0"/>
              <w:rPr>
                <w:sz w:val="16"/>
                <w:szCs w:val="16"/>
              </w:rPr>
            </w:pPr>
            <w:r>
              <w:rPr>
                <w:sz w:val="16"/>
                <w:szCs w:val="16"/>
              </w:rPr>
              <w:t> </w:t>
            </w:r>
          </w:p>
        </w:tc>
      </w:tr>
      <w:tr w:rsidR="00000000" w14:paraId="13096312" w14:textId="77777777">
        <w:trPr>
          <w:trHeight w:val="160"/>
          <w:tblCellSpacing w:w="15" w:type="dxa"/>
        </w:trPr>
        <w:tc>
          <w:tcPr>
            <w:tcW w:w="0" w:type="auto"/>
            <w:vAlign w:val="bottom"/>
            <w:hideMark/>
          </w:tcPr>
          <w:p w14:paraId="0389D990" w14:textId="77777777" w:rsidR="00000000" w:rsidRDefault="003C49E9">
            <w:pPr>
              <w:pStyle w:val="a3"/>
              <w:spacing w:before="0" w:beforeAutospacing="0" w:after="0" w:afterAutospacing="0"/>
              <w:ind w:left="200"/>
              <w:rPr>
                <w:sz w:val="16"/>
                <w:szCs w:val="16"/>
              </w:rPr>
            </w:pPr>
            <w:r>
              <w:rPr>
                <w:sz w:val="16"/>
                <w:szCs w:val="16"/>
              </w:rPr>
              <w:t>Payment for settlement of 2022 Convertible Note</w:t>
            </w:r>
            <w:r>
              <w:rPr>
                <w:sz w:val="16"/>
                <w:szCs w:val="16"/>
              </w:rPr>
              <w:t>s</w:t>
            </w:r>
          </w:p>
        </w:tc>
        <w:tc>
          <w:tcPr>
            <w:tcW w:w="0" w:type="auto"/>
            <w:vAlign w:val="bottom"/>
            <w:hideMark/>
          </w:tcPr>
          <w:p w14:paraId="5A6C0A81"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DDBE29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7915C27" w14:textId="77777777" w:rsidR="00000000" w:rsidRDefault="003C49E9">
            <w:pPr>
              <w:pStyle w:val="a3"/>
              <w:spacing w:before="0" w:beforeAutospacing="0" w:after="0" w:afterAutospacing="0"/>
              <w:jc w:val="right"/>
              <w:rPr>
                <w:sz w:val="20"/>
                <w:szCs w:val="20"/>
              </w:rPr>
            </w:pPr>
            <w:r>
              <w:rPr>
                <w:sz w:val="16"/>
                <w:szCs w:val="16"/>
              </w:rPr>
              <w:t>(</w:t>
            </w:r>
            <w:r>
              <w:rPr>
                <w:sz w:val="16"/>
                <w:szCs w:val="16"/>
              </w:rPr>
              <w:t>79,80</w:t>
            </w:r>
            <w:r>
              <w:rPr>
                <w:sz w:val="16"/>
                <w:szCs w:val="16"/>
              </w:rPr>
              <w:t>7</w:t>
            </w:r>
          </w:p>
        </w:tc>
        <w:tc>
          <w:tcPr>
            <w:tcW w:w="0" w:type="auto"/>
            <w:noWrap/>
            <w:vAlign w:val="bottom"/>
            <w:hideMark/>
          </w:tcPr>
          <w:p w14:paraId="1E892A26"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0F22AF87"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0B4789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6838C60" w14:textId="77777777" w:rsidR="00000000" w:rsidRDefault="003C49E9">
            <w:pPr>
              <w:pStyle w:val="a3"/>
              <w:spacing w:before="0" w:beforeAutospacing="0" w:after="0" w:afterAutospacing="0"/>
              <w:jc w:val="right"/>
              <w:rPr>
                <w:sz w:val="20"/>
                <w:szCs w:val="20"/>
              </w:rPr>
            </w:pPr>
            <w:r>
              <w:rPr>
                <w:sz w:val="16"/>
                <w:szCs w:val="16"/>
              </w:rPr>
              <w:t>(</w:t>
            </w:r>
            <w:r>
              <w:rPr>
                <w:sz w:val="16"/>
                <w:szCs w:val="16"/>
              </w:rPr>
              <w:t>45,40</w:t>
            </w:r>
            <w:r>
              <w:rPr>
                <w:sz w:val="16"/>
                <w:szCs w:val="16"/>
              </w:rPr>
              <w:t>9</w:t>
            </w:r>
          </w:p>
        </w:tc>
        <w:tc>
          <w:tcPr>
            <w:tcW w:w="0" w:type="auto"/>
            <w:noWrap/>
            <w:vAlign w:val="bottom"/>
            <w:hideMark/>
          </w:tcPr>
          <w:p w14:paraId="5FAD364F" w14:textId="77777777" w:rsidR="00000000" w:rsidRDefault="003C49E9">
            <w:pPr>
              <w:pStyle w:val="a3"/>
              <w:spacing w:before="0" w:beforeAutospacing="0" w:after="0" w:afterAutospacing="0"/>
              <w:rPr>
                <w:sz w:val="16"/>
                <w:szCs w:val="16"/>
              </w:rPr>
            </w:pPr>
            <w:r>
              <w:rPr>
                <w:sz w:val="16"/>
                <w:szCs w:val="16"/>
              </w:rPr>
              <w:t>)</w:t>
            </w:r>
          </w:p>
        </w:tc>
      </w:tr>
      <w:tr w:rsidR="00000000" w14:paraId="3410436E" w14:textId="77777777">
        <w:trPr>
          <w:trHeight w:val="160"/>
          <w:tblCellSpacing w:w="15" w:type="dxa"/>
        </w:trPr>
        <w:tc>
          <w:tcPr>
            <w:tcW w:w="0" w:type="auto"/>
            <w:vAlign w:val="bottom"/>
            <w:hideMark/>
          </w:tcPr>
          <w:p w14:paraId="6A2A725E" w14:textId="77777777" w:rsidR="00000000" w:rsidRDefault="003C49E9">
            <w:pPr>
              <w:pStyle w:val="a3"/>
              <w:spacing w:before="0" w:beforeAutospacing="0" w:after="0" w:afterAutospacing="0"/>
              <w:ind w:left="200"/>
              <w:rPr>
                <w:sz w:val="16"/>
                <w:szCs w:val="16"/>
              </w:rPr>
            </w:pPr>
            <w:r>
              <w:rPr>
                <w:sz w:val="16"/>
                <w:szCs w:val="16"/>
              </w:rPr>
              <w:t>Repayment of 2025 Convertible Notes attributable to the principa</w:t>
            </w:r>
            <w:r>
              <w:rPr>
                <w:sz w:val="16"/>
                <w:szCs w:val="16"/>
              </w:rPr>
              <w:t>l</w:t>
            </w:r>
          </w:p>
        </w:tc>
        <w:tc>
          <w:tcPr>
            <w:tcW w:w="0" w:type="auto"/>
            <w:vAlign w:val="bottom"/>
            <w:hideMark/>
          </w:tcPr>
          <w:p w14:paraId="79726F4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6236BD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7ED769F" w14:textId="77777777" w:rsidR="00000000" w:rsidRDefault="003C49E9">
            <w:pPr>
              <w:pStyle w:val="a3"/>
              <w:spacing w:before="0" w:beforeAutospacing="0" w:after="0" w:afterAutospacing="0"/>
              <w:jc w:val="right"/>
              <w:rPr>
                <w:sz w:val="20"/>
                <w:szCs w:val="20"/>
              </w:rPr>
            </w:pPr>
            <w:r>
              <w:rPr>
                <w:sz w:val="16"/>
                <w:szCs w:val="16"/>
              </w:rPr>
              <w:t>(</w:t>
            </w:r>
            <w:r>
              <w:rPr>
                <w:sz w:val="16"/>
                <w:szCs w:val="16"/>
              </w:rPr>
              <w:t>1,61</w:t>
            </w:r>
            <w:r>
              <w:rPr>
                <w:sz w:val="16"/>
                <w:szCs w:val="16"/>
              </w:rPr>
              <w:t>9</w:t>
            </w:r>
          </w:p>
        </w:tc>
        <w:tc>
          <w:tcPr>
            <w:tcW w:w="0" w:type="auto"/>
            <w:noWrap/>
            <w:vAlign w:val="bottom"/>
            <w:hideMark/>
          </w:tcPr>
          <w:p w14:paraId="3BEC5EDE"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60051D2"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54FEA1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5D33C8E"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73C6FE22" w14:textId="77777777" w:rsidR="00000000" w:rsidRDefault="003C49E9">
            <w:pPr>
              <w:pStyle w:val="a3"/>
              <w:spacing w:before="0" w:beforeAutospacing="0" w:after="0" w:afterAutospacing="0"/>
              <w:rPr>
                <w:sz w:val="16"/>
                <w:szCs w:val="16"/>
              </w:rPr>
            </w:pPr>
            <w:r>
              <w:rPr>
                <w:sz w:val="16"/>
                <w:szCs w:val="16"/>
              </w:rPr>
              <w:t> </w:t>
            </w:r>
          </w:p>
        </w:tc>
      </w:tr>
      <w:tr w:rsidR="00000000" w14:paraId="2D775338" w14:textId="77777777">
        <w:trPr>
          <w:trHeight w:val="160"/>
          <w:tblCellSpacing w:w="15" w:type="dxa"/>
        </w:trPr>
        <w:tc>
          <w:tcPr>
            <w:tcW w:w="0" w:type="auto"/>
            <w:vAlign w:val="bottom"/>
            <w:hideMark/>
          </w:tcPr>
          <w:p w14:paraId="6EF7AE25" w14:textId="77777777" w:rsidR="00000000" w:rsidRDefault="003C49E9">
            <w:pPr>
              <w:pStyle w:val="a3"/>
              <w:spacing w:before="0" w:beforeAutospacing="0" w:after="0" w:afterAutospacing="0"/>
              <w:ind w:left="200"/>
              <w:rPr>
                <w:sz w:val="16"/>
                <w:szCs w:val="16"/>
              </w:rPr>
            </w:pPr>
            <w:r>
              <w:rPr>
                <w:sz w:val="16"/>
                <w:szCs w:val="16"/>
              </w:rPr>
              <w:t>Employee taxes paid related to the net share settlement of stock-based award</w:t>
            </w:r>
            <w:r>
              <w:rPr>
                <w:sz w:val="16"/>
                <w:szCs w:val="16"/>
              </w:rPr>
              <w:t>s</w:t>
            </w:r>
          </w:p>
        </w:tc>
        <w:tc>
          <w:tcPr>
            <w:tcW w:w="0" w:type="auto"/>
            <w:vAlign w:val="bottom"/>
            <w:hideMark/>
          </w:tcPr>
          <w:p w14:paraId="2EE0C3D1"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FC504D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4586741" w14:textId="77777777" w:rsidR="00000000" w:rsidRDefault="003C49E9">
            <w:pPr>
              <w:pStyle w:val="a3"/>
              <w:spacing w:before="0" w:beforeAutospacing="0" w:after="0" w:afterAutospacing="0"/>
              <w:jc w:val="right"/>
              <w:rPr>
                <w:sz w:val="20"/>
                <w:szCs w:val="20"/>
              </w:rPr>
            </w:pPr>
            <w:r>
              <w:rPr>
                <w:sz w:val="16"/>
                <w:szCs w:val="16"/>
              </w:rPr>
              <w:t>(</w:t>
            </w:r>
            <w:r>
              <w:rPr>
                <w:sz w:val="16"/>
                <w:szCs w:val="16"/>
              </w:rPr>
              <w:t>7,76</w:t>
            </w:r>
            <w:r>
              <w:rPr>
                <w:sz w:val="16"/>
                <w:szCs w:val="16"/>
              </w:rPr>
              <w:t>4</w:t>
            </w:r>
          </w:p>
        </w:tc>
        <w:tc>
          <w:tcPr>
            <w:tcW w:w="0" w:type="auto"/>
            <w:noWrap/>
            <w:vAlign w:val="bottom"/>
            <w:hideMark/>
          </w:tcPr>
          <w:p w14:paraId="0E7E01DB"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319EED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4ECCED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BC7663E" w14:textId="77777777" w:rsidR="00000000" w:rsidRDefault="003C49E9">
            <w:pPr>
              <w:pStyle w:val="a3"/>
              <w:spacing w:before="0" w:beforeAutospacing="0" w:after="0" w:afterAutospacing="0"/>
              <w:jc w:val="right"/>
              <w:rPr>
                <w:sz w:val="20"/>
                <w:szCs w:val="20"/>
              </w:rPr>
            </w:pPr>
            <w:r>
              <w:rPr>
                <w:sz w:val="16"/>
                <w:szCs w:val="16"/>
              </w:rPr>
              <w:t>(</w:t>
            </w:r>
            <w:r>
              <w:rPr>
                <w:sz w:val="16"/>
                <w:szCs w:val="16"/>
              </w:rPr>
              <w:t>6,91</w:t>
            </w:r>
            <w:r>
              <w:rPr>
                <w:sz w:val="16"/>
                <w:szCs w:val="16"/>
              </w:rPr>
              <w:t>3</w:t>
            </w:r>
          </w:p>
        </w:tc>
        <w:tc>
          <w:tcPr>
            <w:tcW w:w="0" w:type="auto"/>
            <w:noWrap/>
            <w:vAlign w:val="bottom"/>
            <w:hideMark/>
          </w:tcPr>
          <w:p w14:paraId="5BAA4073" w14:textId="77777777" w:rsidR="00000000" w:rsidRDefault="003C49E9">
            <w:pPr>
              <w:pStyle w:val="a3"/>
              <w:spacing w:before="0" w:beforeAutospacing="0" w:after="0" w:afterAutospacing="0"/>
              <w:rPr>
                <w:sz w:val="16"/>
                <w:szCs w:val="16"/>
              </w:rPr>
            </w:pPr>
            <w:r>
              <w:rPr>
                <w:sz w:val="16"/>
                <w:szCs w:val="16"/>
              </w:rPr>
              <w:t>)</w:t>
            </w:r>
          </w:p>
        </w:tc>
      </w:tr>
      <w:tr w:rsidR="00000000" w14:paraId="2A3F4272" w14:textId="77777777">
        <w:trPr>
          <w:trHeight w:val="160"/>
          <w:tblCellSpacing w:w="15" w:type="dxa"/>
        </w:trPr>
        <w:tc>
          <w:tcPr>
            <w:tcW w:w="0" w:type="auto"/>
            <w:vAlign w:val="bottom"/>
            <w:hideMark/>
          </w:tcPr>
          <w:p w14:paraId="55C06435" w14:textId="77777777" w:rsidR="00000000" w:rsidRDefault="003C49E9">
            <w:pPr>
              <w:pStyle w:val="a3"/>
              <w:spacing w:before="0" w:beforeAutospacing="0" w:after="0" w:afterAutospacing="0"/>
              <w:ind w:left="200"/>
              <w:rPr>
                <w:sz w:val="16"/>
                <w:szCs w:val="16"/>
              </w:rPr>
            </w:pPr>
            <w:r>
              <w:rPr>
                <w:sz w:val="16"/>
                <w:szCs w:val="16"/>
              </w:rPr>
              <w:t>Proceeds related to the issuance of common stock under stock pl</w:t>
            </w:r>
            <w:r>
              <w:rPr>
                <w:sz w:val="16"/>
                <w:szCs w:val="16"/>
              </w:rPr>
              <w:t>an</w:t>
            </w:r>
            <w:r>
              <w:rPr>
                <w:sz w:val="16"/>
                <w:szCs w:val="16"/>
              </w:rPr>
              <w:t>s</w:t>
            </w:r>
          </w:p>
        </w:tc>
        <w:tc>
          <w:tcPr>
            <w:tcW w:w="0" w:type="auto"/>
            <w:vAlign w:val="bottom"/>
            <w:hideMark/>
          </w:tcPr>
          <w:p w14:paraId="50D12F6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415513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0D8DAE2" w14:textId="77777777" w:rsidR="00000000" w:rsidRDefault="003C49E9">
            <w:pPr>
              <w:pStyle w:val="a3"/>
              <w:spacing w:before="0" w:beforeAutospacing="0" w:after="0" w:afterAutospacing="0"/>
              <w:jc w:val="right"/>
              <w:rPr>
                <w:sz w:val="20"/>
                <w:szCs w:val="20"/>
              </w:rPr>
            </w:pPr>
            <w:r>
              <w:rPr>
                <w:sz w:val="16"/>
                <w:szCs w:val="16"/>
              </w:rPr>
              <w:t>19,69</w:t>
            </w:r>
            <w:r>
              <w:rPr>
                <w:sz w:val="16"/>
                <w:szCs w:val="16"/>
              </w:rPr>
              <w:t>9</w:t>
            </w:r>
          </w:p>
        </w:tc>
        <w:tc>
          <w:tcPr>
            <w:tcW w:w="0" w:type="auto"/>
            <w:noWrap/>
            <w:vAlign w:val="bottom"/>
            <w:hideMark/>
          </w:tcPr>
          <w:p w14:paraId="5A51E34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288BFBC"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33057D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0A63344" w14:textId="77777777" w:rsidR="00000000" w:rsidRDefault="003C49E9">
            <w:pPr>
              <w:pStyle w:val="a3"/>
              <w:spacing w:before="0" w:beforeAutospacing="0" w:after="0" w:afterAutospacing="0"/>
              <w:jc w:val="right"/>
              <w:rPr>
                <w:sz w:val="20"/>
                <w:szCs w:val="20"/>
              </w:rPr>
            </w:pPr>
            <w:r>
              <w:rPr>
                <w:sz w:val="16"/>
                <w:szCs w:val="16"/>
              </w:rPr>
              <w:t>24,86</w:t>
            </w:r>
            <w:r>
              <w:rPr>
                <w:sz w:val="16"/>
                <w:szCs w:val="16"/>
              </w:rPr>
              <w:t>8</w:t>
            </w:r>
          </w:p>
        </w:tc>
        <w:tc>
          <w:tcPr>
            <w:tcW w:w="0" w:type="auto"/>
            <w:noWrap/>
            <w:vAlign w:val="bottom"/>
            <w:hideMark/>
          </w:tcPr>
          <w:p w14:paraId="5309639C" w14:textId="77777777" w:rsidR="00000000" w:rsidRDefault="003C49E9">
            <w:pPr>
              <w:pStyle w:val="a3"/>
              <w:spacing w:before="0" w:beforeAutospacing="0" w:after="0" w:afterAutospacing="0"/>
              <w:rPr>
                <w:sz w:val="16"/>
                <w:szCs w:val="16"/>
              </w:rPr>
            </w:pPr>
            <w:r>
              <w:rPr>
                <w:sz w:val="16"/>
                <w:szCs w:val="16"/>
              </w:rPr>
              <w:t> </w:t>
            </w:r>
          </w:p>
        </w:tc>
      </w:tr>
      <w:tr w:rsidR="00000000" w14:paraId="13932C20" w14:textId="77777777">
        <w:trPr>
          <w:trHeight w:val="160"/>
          <w:tblCellSpacing w:w="15" w:type="dxa"/>
        </w:trPr>
        <w:tc>
          <w:tcPr>
            <w:tcW w:w="0" w:type="auto"/>
            <w:vAlign w:val="bottom"/>
            <w:hideMark/>
          </w:tcPr>
          <w:p w14:paraId="57E4E308" w14:textId="77777777" w:rsidR="00000000" w:rsidRDefault="003C49E9">
            <w:pPr>
              <w:pStyle w:val="a3"/>
              <w:spacing w:before="0" w:beforeAutospacing="0" w:after="0" w:afterAutospacing="0"/>
              <w:ind w:left="800"/>
              <w:rPr>
                <w:sz w:val="16"/>
                <w:szCs w:val="16"/>
              </w:rPr>
            </w:pPr>
            <w:r>
              <w:rPr>
                <w:sz w:val="16"/>
                <w:szCs w:val="16"/>
              </w:rPr>
              <w:t>Net cash and cash equivalents used in financing activitie</w:t>
            </w:r>
            <w:r>
              <w:rPr>
                <w:sz w:val="16"/>
                <w:szCs w:val="16"/>
              </w:rPr>
              <w:t>s</w:t>
            </w:r>
          </w:p>
        </w:tc>
        <w:tc>
          <w:tcPr>
            <w:tcW w:w="0" w:type="auto"/>
            <w:vAlign w:val="bottom"/>
            <w:hideMark/>
          </w:tcPr>
          <w:p w14:paraId="02E69F0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46F58F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EB5910B" w14:textId="77777777" w:rsidR="00000000" w:rsidRDefault="003C49E9">
            <w:pPr>
              <w:pStyle w:val="a3"/>
              <w:spacing w:before="0" w:beforeAutospacing="0" w:after="0" w:afterAutospacing="0"/>
              <w:jc w:val="right"/>
              <w:rPr>
                <w:sz w:val="20"/>
                <w:szCs w:val="20"/>
              </w:rPr>
            </w:pPr>
            <w:r>
              <w:rPr>
                <w:sz w:val="16"/>
                <w:szCs w:val="16"/>
              </w:rPr>
              <w:t>(</w:t>
            </w:r>
            <w:r>
              <w:rPr>
                <w:sz w:val="16"/>
                <w:szCs w:val="16"/>
              </w:rPr>
              <w:t>9,00</w:t>
            </w:r>
            <w:r>
              <w:rPr>
                <w:sz w:val="16"/>
                <w:szCs w:val="16"/>
              </w:rPr>
              <w:t>8</w:t>
            </w:r>
          </w:p>
        </w:tc>
        <w:tc>
          <w:tcPr>
            <w:tcW w:w="0" w:type="auto"/>
            <w:noWrap/>
            <w:vAlign w:val="bottom"/>
            <w:hideMark/>
          </w:tcPr>
          <w:p w14:paraId="368A2724"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6D0C693E"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02E4F3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BA17C71" w14:textId="77777777" w:rsidR="00000000" w:rsidRDefault="003C49E9">
            <w:pPr>
              <w:pStyle w:val="a3"/>
              <w:spacing w:before="0" w:beforeAutospacing="0" w:after="0" w:afterAutospacing="0"/>
              <w:jc w:val="right"/>
              <w:rPr>
                <w:sz w:val="20"/>
                <w:szCs w:val="20"/>
              </w:rPr>
            </w:pPr>
            <w:r>
              <w:rPr>
                <w:sz w:val="16"/>
                <w:szCs w:val="16"/>
              </w:rPr>
              <w:t>(</w:t>
            </w:r>
            <w:r>
              <w:rPr>
                <w:sz w:val="16"/>
                <w:szCs w:val="16"/>
              </w:rPr>
              <w:t>26,72</w:t>
            </w:r>
            <w:r>
              <w:rPr>
                <w:sz w:val="16"/>
                <w:szCs w:val="16"/>
              </w:rPr>
              <w:t>9</w:t>
            </w:r>
          </w:p>
        </w:tc>
        <w:tc>
          <w:tcPr>
            <w:tcW w:w="0" w:type="auto"/>
            <w:noWrap/>
            <w:vAlign w:val="bottom"/>
            <w:hideMark/>
          </w:tcPr>
          <w:p w14:paraId="5D2FF33C" w14:textId="77777777" w:rsidR="00000000" w:rsidRDefault="003C49E9">
            <w:pPr>
              <w:pStyle w:val="a3"/>
              <w:spacing w:before="0" w:beforeAutospacing="0" w:after="0" w:afterAutospacing="0"/>
              <w:rPr>
                <w:sz w:val="16"/>
                <w:szCs w:val="16"/>
              </w:rPr>
            </w:pPr>
            <w:r>
              <w:rPr>
                <w:sz w:val="16"/>
                <w:szCs w:val="16"/>
              </w:rPr>
              <w:t>)</w:t>
            </w:r>
          </w:p>
        </w:tc>
      </w:tr>
      <w:tr w:rsidR="00000000" w14:paraId="4FF229CC" w14:textId="77777777">
        <w:trPr>
          <w:trHeight w:val="160"/>
          <w:tblCellSpacing w:w="15" w:type="dxa"/>
        </w:trPr>
        <w:tc>
          <w:tcPr>
            <w:tcW w:w="0" w:type="auto"/>
            <w:vAlign w:val="bottom"/>
            <w:hideMark/>
          </w:tcPr>
          <w:p w14:paraId="10108D9C" w14:textId="77777777" w:rsidR="00000000" w:rsidRDefault="003C49E9">
            <w:pPr>
              <w:pStyle w:val="a3"/>
              <w:spacing w:before="0" w:beforeAutospacing="0" w:after="0" w:afterAutospacing="0"/>
              <w:rPr>
                <w:sz w:val="16"/>
                <w:szCs w:val="16"/>
              </w:rPr>
            </w:pPr>
            <w:r>
              <w:rPr>
                <w:sz w:val="16"/>
                <w:szCs w:val="16"/>
              </w:rPr>
              <w:t>Effect of exchange rate changes on cash, cash equivalents, and restricted cas</w:t>
            </w:r>
            <w:r>
              <w:rPr>
                <w:sz w:val="16"/>
                <w:szCs w:val="16"/>
              </w:rPr>
              <w:t>h</w:t>
            </w:r>
          </w:p>
        </w:tc>
        <w:tc>
          <w:tcPr>
            <w:tcW w:w="0" w:type="auto"/>
            <w:vAlign w:val="bottom"/>
            <w:hideMark/>
          </w:tcPr>
          <w:p w14:paraId="6615662C"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DFD914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3BB5530" w14:textId="77777777" w:rsidR="00000000" w:rsidRDefault="003C49E9">
            <w:pPr>
              <w:pStyle w:val="a3"/>
              <w:spacing w:before="0" w:beforeAutospacing="0" w:after="0" w:afterAutospacing="0"/>
              <w:jc w:val="right"/>
              <w:rPr>
                <w:sz w:val="20"/>
                <w:szCs w:val="20"/>
              </w:rPr>
            </w:pPr>
            <w:r>
              <w:rPr>
                <w:sz w:val="16"/>
                <w:szCs w:val="16"/>
              </w:rPr>
              <w:t>(</w:t>
            </w:r>
            <w:r>
              <w:rPr>
                <w:sz w:val="16"/>
                <w:szCs w:val="16"/>
              </w:rPr>
              <w:t>9,47</w:t>
            </w:r>
            <w:r>
              <w:rPr>
                <w:sz w:val="16"/>
                <w:szCs w:val="16"/>
              </w:rPr>
              <w:t>4</w:t>
            </w:r>
          </w:p>
        </w:tc>
        <w:tc>
          <w:tcPr>
            <w:tcW w:w="0" w:type="auto"/>
            <w:noWrap/>
            <w:vAlign w:val="bottom"/>
            <w:hideMark/>
          </w:tcPr>
          <w:p w14:paraId="24C01111"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75B91F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0EFB93F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467248B" w14:textId="77777777" w:rsidR="00000000" w:rsidRDefault="003C49E9">
            <w:pPr>
              <w:pStyle w:val="a3"/>
              <w:spacing w:before="0" w:beforeAutospacing="0" w:after="0" w:afterAutospacing="0"/>
              <w:jc w:val="right"/>
              <w:rPr>
                <w:sz w:val="20"/>
                <w:szCs w:val="20"/>
              </w:rPr>
            </w:pPr>
            <w:r>
              <w:rPr>
                <w:sz w:val="16"/>
                <w:szCs w:val="16"/>
              </w:rPr>
              <w:t>(</w:t>
            </w:r>
            <w:r>
              <w:rPr>
                <w:sz w:val="16"/>
                <w:szCs w:val="16"/>
              </w:rPr>
              <w:t>3,20</w:t>
            </w:r>
            <w:r>
              <w:rPr>
                <w:sz w:val="16"/>
                <w:szCs w:val="16"/>
              </w:rPr>
              <w:t>9</w:t>
            </w:r>
          </w:p>
        </w:tc>
        <w:tc>
          <w:tcPr>
            <w:tcW w:w="0" w:type="auto"/>
            <w:noWrap/>
            <w:vAlign w:val="bottom"/>
            <w:hideMark/>
          </w:tcPr>
          <w:p w14:paraId="63F1D7D6" w14:textId="77777777" w:rsidR="00000000" w:rsidRDefault="003C49E9">
            <w:pPr>
              <w:pStyle w:val="a3"/>
              <w:spacing w:before="0" w:beforeAutospacing="0" w:after="0" w:afterAutospacing="0"/>
              <w:rPr>
                <w:sz w:val="16"/>
                <w:szCs w:val="16"/>
              </w:rPr>
            </w:pPr>
            <w:r>
              <w:rPr>
                <w:sz w:val="16"/>
                <w:szCs w:val="16"/>
              </w:rPr>
              <w:t>)</w:t>
            </w:r>
          </w:p>
        </w:tc>
      </w:tr>
      <w:tr w:rsidR="00000000" w14:paraId="0F50D890" w14:textId="77777777">
        <w:trPr>
          <w:trHeight w:val="160"/>
          <w:tblCellSpacing w:w="15" w:type="dxa"/>
        </w:trPr>
        <w:tc>
          <w:tcPr>
            <w:tcW w:w="0" w:type="auto"/>
            <w:vAlign w:val="bottom"/>
            <w:hideMark/>
          </w:tcPr>
          <w:p w14:paraId="183A5705" w14:textId="77777777" w:rsidR="00000000" w:rsidRDefault="003C49E9">
            <w:pPr>
              <w:pStyle w:val="a3"/>
              <w:spacing w:before="0" w:beforeAutospacing="0" w:after="0" w:afterAutospacing="0"/>
              <w:rPr>
                <w:sz w:val="16"/>
                <w:szCs w:val="16"/>
              </w:rPr>
            </w:pPr>
            <w:r>
              <w:rPr>
                <w:sz w:val="16"/>
                <w:szCs w:val="16"/>
              </w:rPr>
              <w:t>Net increase in cash, cash equivalents and restricted cas</w:t>
            </w:r>
            <w:r>
              <w:rPr>
                <w:sz w:val="16"/>
                <w:szCs w:val="16"/>
              </w:rPr>
              <w:t>h</w:t>
            </w:r>
          </w:p>
        </w:tc>
        <w:tc>
          <w:tcPr>
            <w:tcW w:w="0" w:type="auto"/>
            <w:vAlign w:val="bottom"/>
            <w:hideMark/>
          </w:tcPr>
          <w:p w14:paraId="1129217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1F603C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5FD08C6" w14:textId="77777777" w:rsidR="00000000" w:rsidRDefault="003C49E9">
            <w:pPr>
              <w:pStyle w:val="a3"/>
              <w:spacing w:before="0" w:beforeAutospacing="0" w:after="0" w:afterAutospacing="0"/>
              <w:jc w:val="right"/>
              <w:rPr>
                <w:sz w:val="20"/>
                <w:szCs w:val="20"/>
              </w:rPr>
            </w:pPr>
            <w:r>
              <w:rPr>
                <w:sz w:val="16"/>
                <w:szCs w:val="16"/>
              </w:rPr>
              <w:t>(</w:t>
            </w:r>
            <w:r>
              <w:rPr>
                <w:sz w:val="16"/>
                <w:szCs w:val="16"/>
              </w:rPr>
              <w:t>71,34</w:t>
            </w:r>
            <w:r>
              <w:rPr>
                <w:sz w:val="16"/>
                <w:szCs w:val="16"/>
              </w:rPr>
              <w:t>9</w:t>
            </w:r>
          </w:p>
        </w:tc>
        <w:tc>
          <w:tcPr>
            <w:tcW w:w="0" w:type="auto"/>
            <w:noWrap/>
            <w:vAlign w:val="bottom"/>
            <w:hideMark/>
          </w:tcPr>
          <w:p w14:paraId="57464F0C"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3F53654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D60966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D75D54F" w14:textId="77777777" w:rsidR="00000000" w:rsidRDefault="003C49E9">
            <w:pPr>
              <w:pStyle w:val="a3"/>
              <w:spacing w:before="0" w:beforeAutospacing="0" w:after="0" w:afterAutospacing="0"/>
              <w:jc w:val="right"/>
              <w:rPr>
                <w:sz w:val="20"/>
                <w:szCs w:val="20"/>
              </w:rPr>
            </w:pPr>
            <w:r>
              <w:rPr>
                <w:sz w:val="16"/>
                <w:szCs w:val="16"/>
              </w:rPr>
              <w:t>(</w:t>
            </w:r>
            <w:r>
              <w:rPr>
                <w:sz w:val="16"/>
                <w:szCs w:val="16"/>
              </w:rPr>
              <w:t>39,78</w:t>
            </w:r>
            <w:r>
              <w:rPr>
                <w:sz w:val="16"/>
                <w:szCs w:val="16"/>
              </w:rPr>
              <w:t>7</w:t>
            </w:r>
          </w:p>
        </w:tc>
        <w:tc>
          <w:tcPr>
            <w:tcW w:w="0" w:type="auto"/>
            <w:noWrap/>
            <w:vAlign w:val="bottom"/>
            <w:hideMark/>
          </w:tcPr>
          <w:p w14:paraId="2C854265" w14:textId="77777777" w:rsidR="00000000" w:rsidRDefault="003C49E9">
            <w:pPr>
              <w:pStyle w:val="a3"/>
              <w:spacing w:before="0" w:beforeAutospacing="0" w:after="0" w:afterAutospacing="0"/>
              <w:rPr>
                <w:sz w:val="16"/>
                <w:szCs w:val="16"/>
              </w:rPr>
            </w:pPr>
            <w:r>
              <w:rPr>
                <w:sz w:val="16"/>
                <w:szCs w:val="16"/>
              </w:rPr>
              <w:t>)</w:t>
            </w:r>
          </w:p>
        </w:tc>
      </w:tr>
      <w:tr w:rsidR="00000000" w14:paraId="5AACBE70" w14:textId="77777777">
        <w:trPr>
          <w:trHeight w:val="160"/>
          <w:tblCellSpacing w:w="15" w:type="dxa"/>
        </w:trPr>
        <w:tc>
          <w:tcPr>
            <w:tcW w:w="0" w:type="auto"/>
            <w:vAlign w:val="bottom"/>
            <w:hideMark/>
          </w:tcPr>
          <w:p w14:paraId="2B90C4CF" w14:textId="77777777" w:rsidR="00000000" w:rsidRDefault="003C49E9">
            <w:pPr>
              <w:pStyle w:val="a3"/>
              <w:spacing w:before="0" w:beforeAutospacing="0" w:after="0" w:afterAutospacing="0"/>
              <w:rPr>
                <w:sz w:val="16"/>
                <w:szCs w:val="16"/>
              </w:rPr>
            </w:pPr>
            <w:r>
              <w:rPr>
                <w:sz w:val="16"/>
                <w:szCs w:val="16"/>
              </w:rPr>
              <w:t>Cash, cash equivalents and restricted cash, beginning of perio</w:t>
            </w:r>
            <w:r>
              <w:rPr>
                <w:sz w:val="16"/>
                <w:szCs w:val="16"/>
              </w:rPr>
              <w:t>d</w:t>
            </w:r>
          </w:p>
        </w:tc>
        <w:tc>
          <w:tcPr>
            <w:tcW w:w="0" w:type="auto"/>
            <w:vAlign w:val="bottom"/>
            <w:hideMark/>
          </w:tcPr>
          <w:p w14:paraId="6BDB1163"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E36FB2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E4DC822" w14:textId="77777777" w:rsidR="00000000" w:rsidRDefault="003C49E9">
            <w:pPr>
              <w:pStyle w:val="a3"/>
              <w:spacing w:before="0" w:beforeAutospacing="0" w:after="0" w:afterAutospacing="0"/>
              <w:jc w:val="right"/>
              <w:rPr>
                <w:sz w:val="20"/>
                <w:szCs w:val="20"/>
              </w:rPr>
            </w:pPr>
            <w:r>
              <w:rPr>
                <w:sz w:val="16"/>
                <w:szCs w:val="16"/>
              </w:rPr>
              <w:t>380,04</w:t>
            </w:r>
            <w:r>
              <w:rPr>
                <w:sz w:val="16"/>
                <w:szCs w:val="16"/>
              </w:rPr>
              <w:t>2</w:t>
            </w:r>
          </w:p>
        </w:tc>
        <w:tc>
          <w:tcPr>
            <w:tcW w:w="0" w:type="auto"/>
            <w:noWrap/>
            <w:vAlign w:val="bottom"/>
            <w:hideMark/>
          </w:tcPr>
          <w:p w14:paraId="7903865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7455DBF"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B2A2D6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C1C60B1" w14:textId="77777777" w:rsidR="00000000" w:rsidRDefault="003C49E9">
            <w:pPr>
              <w:pStyle w:val="a3"/>
              <w:spacing w:before="0" w:beforeAutospacing="0" w:after="0" w:afterAutospacing="0"/>
              <w:jc w:val="right"/>
              <w:rPr>
                <w:sz w:val="20"/>
                <w:szCs w:val="20"/>
              </w:rPr>
            </w:pPr>
            <w:r>
              <w:rPr>
                <w:sz w:val="16"/>
                <w:szCs w:val="16"/>
              </w:rPr>
              <w:t>381,15</w:t>
            </w:r>
            <w:r>
              <w:rPr>
                <w:sz w:val="16"/>
                <w:szCs w:val="16"/>
              </w:rPr>
              <w:t>2</w:t>
            </w:r>
          </w:p>
        </w:tc>
        <w:tc>
          <w:tcPr>
            <w:tcW w:w="0" w:type="auto"/>
            <w:noWrap/>
            <w:vAlign w:val="bottom"/>
            <w:hideMark/>
          </w:tcPr>
          <w:p w14:paraId="67B660CE" w14:textId="77777777" w:rsidR="00000000" w:rsidRDefault="003C49E9">
            <w:pPr>
              <w:pStyle w:val="a3"/>
              <w:spacing w:before="0" w:beforeAutospacing="0" w:after="0" w:afterAutospacing="0"/>
              <w:rPr>
                <w:sz w:val="16"/>
                <w:szCs w:val="16"/>
              </w:rPr>
            </w:pPr>
            <w:r>
              <w:rPr>
                <w:sz w:val="16"/>
                <w:szCs w:val="16"/>
              </w:rPr>
              <w:t> </w:t>
            </w:r>
          </w:p>
        </w:tc>
      </w:tr>
      <w:tr w:rsidR="00000000" w14:paraId="61295BE3" w14:textId="77777777">
        <w:trPr>
          <w:trHeight w:val="160"/>
          <w:tblCellSpacing w:w="15" w:type="dxa"/>
        </w:trPr>
        <w:tc>
          <w:tcPr>
            <w:tcW w:w="0" w:type="auto"/>
            <w:vAlign w:val="bottom"/>
            <w:hideMark/>
          </w:tcPr>
          <w:p w14:paraId="3012B557" w14:textId="77777777" w:rsidR="00000000" w:rsidRDefault="003C49E9">
            <w:pPr>
              <w:pStyle w:val="a3"/>
              <w:spacing w:before="0" w:beforeAutospacing="0" w:after="0" w:afterAutospacing="0"/>
              <w:rPr>
                <w:sz w:val="16"/>
                <w:szCs w:val="16"/>
              </w:rPr>
            </w:pPr>
            <w:r>
              <w:rPr>
                <w:sz w:val="16"/>
                <w:szCs w:val="16"/>
              </w:rPr>
              <w:t>Cash, cash equivalents and restricted cash, end of perio</w:t>
            </w:r>
            <w:r>
              <w:rPr>
                <w:sz w:val="16"/>
                <w:szCs w:val="16"/>
              </w:rPr>
              <w:t>d</w:t>
            </w:r>
          </w:p>
        </w:tc>
        <w:tc>
          <w:tcPr>
            <w:tcW w:w="0" w:type="auto"/>
            <w:vAlign w:val="bottom"/>
            <w:hideMark/>
          </w:tcPr>
          <w:p w14:paraId="58C39E99"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3A8452C"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497290E9" w14:textId="77777777" w:rsidR="00000000" w:rsidRDefault="003C49E9">
            <w:pPr>
              <w:pStyle w:val="a3"/>
              <w:spacing w:before="0" w:beforeAutospacing="0" w:after="0" w:afterAutospacing="0"/>
              <w:jc w:val="right"/>
              <w:rPr>
                <w:sz w:val="20"/>
                <w:szCs w:val="20"/>
              </w:rPr>
            </w:pPr>
            <w:r>
              <w:rPr>
                <w:sz w:val="16"/>
                <w:szCs w:val="16"/>
              </w:rPr>
              <w:t>308,69</w:t>
            </w:r>
            <w:r>
              <w:rPr>
                <w:sz w:val="16"/>
                <w:szCs w:val="16"/>
              </w:rPr>
              <w:t>3</w:t>
            </w:r>
          </w:p>
        </w:tc>
        <w:tc>
          <w:tcPr>
            <w:tcW w:w="0" w:type="auto"/>
            <w:noWrap/>
            <w:vAlign w:val="bottom"/>
            <w:hideMark/>
          </w:tcPr>
          <w:p w14:paraId="4B2E120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175CEF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F9287D7"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3722B55" w14:textId="77777777" w:rsidR="00000000" w:rsidRDefault="003C49E9">
            <w:pPr>
              <w:pStyle w:val="a3"/>
              <w:spacing w:before="0" w:beforeAutospacing="0" w:after="0" w:afterAutospacing="0"/>
              <w:jc w:val="right"/>
              <w:rPr>
                <w:sz w:val="20"/>
                <w:szCs w:val="20"/>
              </w:rPr>
            </w:pPr>
            <w:r>
              <w:rPr>
                <w:sz w:val="16"/>
                <w:szCs w:val="16"/>
              </w:rPr>
              <w:t>341,36</w:t>
            </w:r>
            <w:r>
              <w:rPr>
                <w:sz w:val="16"/>
                <w:szCs w:val="16"/>
              </w:rPr>
              <w:t>5</w:t>
            </w:r>
          </w:p>
        </w:tc>
        <w:tc>
          <w:tcPr>
            <w:tcW w:w="0" w:type="auto"/>
            <w:noWrap/>
            <w:vAlign w:val="bottom"/>
            <w:hideMark/>
          </w:tcPr>
          <w:p w14:paraId="1DF528C2" w14:textId="77777777" w:rsidR="00000000" w:rsidRDefault="003C49E9">
            <w:pPr>
              <w:pStyle w:val="a3"/>
              <w:spacing w:before="0" w:beforeAutospacing="0" w:after="0" w:afterAutospacing="0"/>
              <w:rPr>
                <w:sz w:val="16"/>
                <w:szCs w:val="16"/>
              </w:rPr>
            </w:pPr>
            <w:r>
              <w:rPr>
                <w:sz w:val="16"/>
                <w:szCs w:val="16"/>
              </w:rPr>
              <w:t> </w:t>
            </w:r>
          </w:p>
        </w:tc>
      </w:tr>
      <w:tr w:rsidR="00000000" w14:paraId="3C1DA146" w14:textId="77777777">
        <w:trPr>
          <w:trHeight w:val="160"/>
          <w:tblCellSpacing w:w="15" w:type="dxa"/>
        </w:trPr>
        <w:tc>
          <w:tcPr>
            <w:tcW w:w="0" w:type="auto"/>
            <w:vAlign w:val="bottom"/>
            <w:hideMark/>
          </w:tcPr>
          <w:p w14:paraId="0AB70343" w14:textId="77777777" w:rsidR="00000000" w:rsidRDefault="003C49E9">
            <w:pPr>
              <w:pStyle w:val="a3"/>
              <w:spacing w:before="0" w:beforeAutospacing="0" w:after="0" w:afterAutospacing="0"/>
              <w:rPr>
                <w:sz w:val="16"/>
                <w:szCs w:val="16"/>
              </w:rPr>
            </w:pPr>
            <w:r>
              <w:rPr>
                <w:b/>
                <w:bCs/>
                <w:sz w:val="16"/>
                <w:szCs w:val="16"/>
              </w:rPr>
              <w:t>Supplemental cash flow disclosure</w:t>
            </w:r>
            <w:r>
              <w:rPr>
                <w:b/>
                <w:bCs/>
                <w:sz w:val="16"/>
                <w:szCs w:val="16"/>
              </w:rPr>
              <w:t>:</w:t>
            </w:r>
          </w:p>
        </w:tc>
        <w:tc>
          <w:tcPr>
            <w:tcW w:w="0" w:type="auto"/>
            <w:vAlign w:val="bottom"/>
            <w:hideMark/>
          </w:tcPr>
          <w:p w14:paraId="2A04D51E"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670A715"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7AC69988"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2FFCEC7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50981CE"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28C5821F" w14:textId="77777777" w:rsidR="00000000" w:rsidRDefault="003C49E9">
            <w:pPr>
              <w:pStyle w:val="a3"/>
              <w:spacing w:before="0" w:beforeAutospacing="0" w:after="0" w:afterAutospacing="0"/>
              <w:jc w:val="right"/>
              <w:rPr>
                <w:sz w:val="16"/>
                <w:szCs w:val="16"/>
              </w:rPr>
            </w:pPr>
            <w:r>
              <w:rPr>
                <w:sz w:val="16"/>
                <w:szCs w:val="16"/>
              </w:rPr>
              <w:t> </w:t>
            </w:r>
          </w:p>
        </w:tc>
      </w:tr>
      <w:tr w:rsidR="00000000" w14:paraId="4F959774" w14:textId="77777777">
        <w:trPr>
          <w:trHeight w:val="160"/>
          <w:tblCellSpacing w:w="15" w:type="dxa"/>
        </w:trPr>
        <w:tc>
          <w:tcPr>
            <w:tcW w:w="0" w:type="auto"/>
            <w:vAlign w:val="bottom"/>
            <w:hideMark/>
          </w:tcPr>
          <w:p w14:paraId="57C0D53E" w14:textId="77777777" w:rsidR="00000000" w:rsidRDefault="003C49E9">
            <w:pPr>
              <w:pStyle w:val="a3"/>
              <w:spacing w:before="0" w:beforeAutospacing="0" w:after="0" w:afterAutospacing="0"/>
              <w:rPr>
                <w:sz w:val="16"/>
                <w:szCs w:val="16"/>
              </w:rPr>
            </w:pPr>
            <w:r>
              <w:rPr>
                <w:sz w:val="16"/>
                <w:szCs w:val="16"/>
              </w:rPr>
              <w:t>Cash paid for interes</w:t>
            </w:r>
            <w:r>
              <w:rPr>
                <w:sz w:val="16"/>
                <w:szCs w:val="16"/>
              </w:rPr>
              <w:t>t</w:t>
            </w:r>
          </w:p>
        </w:tc>
        <w:tc>
          <w:tcPr>
            <w:tcW w:w="0" w:type="auto"/>
            <w:vAlign w:val="bottom"/>
            <w:hideMark/>
          </w:tcPr>
          <w:p w14:paraId="1BC18B0F"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6B0088A0"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0E865B96" w14:textId="77777777" w:rsidR="00000000" w:rsidRDefault="003C49E9">
            <w:pPr>
              <w:pStyle w:val="a3"/>
              <w:spacing w:before="0" w:beforeAutospacing="0" w:after="0" w:afterAutospacing="0"/>
              <w:jc w:val="right"/>
              <w:rPr>
                <w:sz w:val="20"/>
                <w:szCs w:val="20"/>
              </w:rPr>
            </w:pPr>
            <w:r>
              <w:rPr>
                <w:sz w:val="16"/>
                <w:szCs w:val="16"/>
              </w:rPr>
              <w:t>88</w:t>
            </w:r>
            <w:r>
              <w:rPr>
                <w:sz w:val="16"/>
                <w:szCs w:val="16"/>
              </w:rPr>
              <w:t>1</w:t>
            </w:r>
          </w:p>
        </w:tc>
        <w:tc>
          <w:tcPr>
            <w:tcW w:w="0" w:type="auto"/>
            <w:noWrap/>
            <w:vAlign w:val="bottom"/>
            <w:hideMark/>
          </w:tcPr>
          <w:p w14:paraId="53744DE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FDD6A8A"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C4CFEE2"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0DAFA46" w14:textId="77777777" w:rsidR="00000000" w:rsidRDefault="003C49E9">
            <w:pPr>
              <w:pStyle w:val="a3"/>
              <w:spacing w:before="0" w:beforeAutospacing="0" w:after="0" w:afterAutospacing="0"/>
              <w:jc w:val="right"/>
              <w:rPr>
                <w:sz w:val="20"/>
                <w:szCs w:val="20"/>
              </w:rPr>
            </w:pPr>
            <w:r>
              <w:rPr>
                <w:sz w:val="16"/>
                <w:szCs w:val="16"/>
              </w:rPr>
              <w:t>94</w:t>
            </w:r>
            <w:r>
              <w:rPr>
                <w:sz w:val="16"/>
                <w:szCs w:val="16"/>
              </w:rPr>
              <w:t>8</w:t>
            </w:r>
          </w:p>
        </w:tc>
        <w:tc>
          <w:tcPr>
            <w:tcW w:w="0" w:type="auto"/>
            <w:noWrap/>
            <w:vAlign w:val="bottom"/>
            <w:hideMark/>
          </w:tcPr>
          <w:p w14:paraId="3BBFFE8F" w14:textId="77777777" w:rsidR="00000000" w:rsidRDefault="003C49E9">
            <w:pPr>
              <w:pStyle w:val="a3"/>
              <w:spacing w:before="0" w:beforeAutospacing="0" w:after="0" w:afterAutospacing="0"/>
              <w:rPr>
                <w:sz w:val="16"/>
                <w:szCs w:val="16"/>
              </w:rPr>
            </w:pPr>
            <w:r>
              <w:rPr>
                <w:sz w:val="16"/>
                <w:szCs w:val="16"/>
              </w:rPr>
              <w:t> </w:t>
            </w:r>
          </w:p>
        </w:tc>
      </w:tr>
      <w:tr w:rsidR="00000000" w14:paraId="4D610A7B" w14:textId="77777777">
        <w:trPr>
          <w:trHeight w:val="160"/>
          <w:tblCellSpacing w:w="15" w:type="dxa"/>
        </w:trPr>
        <w:tc>
          <w:tcPr>
            <w:tcW w:w="0" w:type="auto"/>
            <w:vAlign w:val="bottom"/>
            <w:hideMark/>
          </w:tcPr>
          <w:p w14:paraId="38E01F5F" w14:textId="77777777" w:rsidR="00000000" w:rsidRDefault="003C49E9">
            <w:pPr>
              <w:pStyle w:val="a3"/>
              <w:spacing w:before="0" w:beforeAutospacing="0" w:after="0" w:afterAutospacing="0"/>
              <w:rPr>
                <w:sz w:val="16"/>
                <w:szCs w:val="16"/>
              </w:rPr>
            </w:pPr>
            <w:r>
              <w:rPr>
                <w:sz w:val="16"/>
                <w:szCs w:val="16"/>
              </w:rPr>
              <w:t>Cash paid for income taxe</w:t>
            </w:r>
            <w:r>
              <w:rPr>
                <w:sz w:val="16"/>
                <w:szCs w:val="16"/>
              </w:rPr>
              <w:t>s</w:t>
            </w:r>
          </w:p>
        </w:tc>
        <w:tc>
          <w:tcPr>
            <w:tcW w:w="0" w:type="auto"/>
            <w:vAlign w:val="bottom"/>
            <w:hideMark/>
          </w:tcPr>
          <w:p w14:paraId="09205E60"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9D13AB4"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AC5DD37" w14:textId="77777777" w:rsidR="00000000" w:rsidRDefault="003C49E9">
            <w:pPr>
              <w:pStyle w:val="a3"/>
              <w:spacing w:before="0" w:beforeAutospacing="0" w:after="0" w:afterAutospacing="0"/>
              <w:jc w:val="right"/>
              <w:rPr>
                <w:sz w:val="20"/>
                <w:szCs w:val="20"/>
              </w:rPr>
            </w:pPr>
            <w:r>
              <w:rPr>
                <w:sz w:val="16"/>
                <w:szCs w:val="16"/>
              </w:rPr>
              <w:t>2,82</w:t>
            </w:r>
            <w:r>
              <w:rPr>
                <w:sz w:val="16"/>
                <w:szCs w:val="16"/>
              </w:rPr>
              <w:t>4</w:t>
            </w:r>
          </w:p>
        </w:tc>
        <w:tc>
          <w:tcPr>
            <w:tcW w:w="0" w:type="auto"/>
            <w:noWrap/>
            <w:vAlign w:val="bottom"/>
            <w:hideMark/>
          </w:tcPr>
          <w:p w14:paraId="03C447F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C08D4E6"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19DC480F"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32C52C62" w14:textId="77777777" w:rsidR="00000000" w:rsidRDefault="003C49E9">
            <w:pPr>
              <w:pStyle w:val="a3"/>
              <w:spacing w:before="0" w:beforeAutospacing="0" w:after="0" w:afterAutospacing="0"/>
              <w:jc w:val="right"/>
              <w:rPr>
                <w:sz w:val="20"/>
                <w:szCs w:val="20"/>
              </w:rPr>
            </w:pPr>
            <w:r>
              <w:rPr>
                <w:sz w:val="16"/>
                <w:szCs w:val="16"/>
              </w:rPr>
              <w:t>4,19</w:t>
            </w:r>
            <w:r>
              <w:rPr>
                <w:sz w:val="16"/>
                <w:szCs w:val="16"/>
              </w:rPr>
              <w:t>8</w:t>
            </w:r>
          </w:p>
        </w:tc>
        <w:tc>
          <w:tcPr>
            <w:tcW w:w="0" w:type="auto"/>
            <w:noWrap/>
            <w:vAlign w:val="bottom"/>
            <w:hideMark/>
          </w:tcPr>
          <w:p w14:paraId="514489A3" w14:textId="77777777" w:rsidR="00000000" w:rsidRDefault="003C49E9">
            <w:pPr>
              <w:pStyle w:val="a3"/>
              <w:spacing w:before="0" w:beforeAutospacing="0" w:after="0" w:afterAutospacing="0"/>
              <w:rPr>
                <w:sz w:val="16"/>
                <w:szCs w:val="16"/>
              </w:rPr>
            </w:pPr>
            <w:r>
              <w:rPr>
                <w:sz w:val="16"/>
                <w:szCs w:val="16"/>
              </w:rPr>
              <w:t> </w:t>
            </w:r>
          </w:p>
        </w:tc>
      </w:tr>
      <w:tr w:rsidR="00000000" w14:paraId="6E773C82" w14:textId="77777777">
        <w:trPr>
          <w:trHeight w:val="160"/>
          <w:tblCellSpacing w:w="15" w:type="dxa"/>
        </w:trPr>
        <w:tc>
          <w:tcPr>
            <w:tcW w:w="0" w:type="auto"/>
            <w:vAlign w:val="bottom"/>
            <w:hideMark/>
          </w:tcPr>
          <w:p w14:paraId="1EDBE97A" w14:textId="77777777" w:rsidR="00000000" w:rsidRDefault="003C49E9">
            <w:pPr>
              <w:pStyle w:val="a3"/>
              <w:spacing w:before="0" w:beforeAutospacing="0" w:after="0" w:afterAutospacing="0"/>
              <w:rPr>
                <w:sz w:val="16"/>
                <w:szCs w:val="16"/>
              </w:rPr>
            </w:pPr>
            <w:r>
              <w:rPr>
                <w:sz w:val="16"/>
                <w:szCs w:val="16"/>
              </w:rPr>
              <w:t>Right-of-use assets obtained in exchange for operating lease liabilitie</w:t>
            </w:r>
            <w:r>
              <w:rPr>
                <w:sz w:val="16"/>
                <w:szCs w:val="16"/>
              </w:rPr>
              <w:t>s</w:t>
            </w:r>
          </w:p>
        </w:tc>
        <w:tc>
          <w:tcPr>
            <w:tcW w:w="0" w:type="auto"/>
            <w:vAlign w:val="bottom"/>
            <w:hideMark/>
          </w:tcPr>
          <w:p w14:paraId="7598AA29"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CC4D39D"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5F71D75" w14:textId="77777777" w:rsidR="00000000" w:rsidRDefault="003C49E9">
            <w:pPr>
              <w:pStyle w:val="a3"/>
              <w:spacing w:before="0" w:beforeAutospacing="0" w:after="0" w:afterAutospacing="0"/>
              <w:jc w:val="right"/>
              <w:rPr>
                <w:sz w:val="20"/>
                <w:szCs w:val="20"/>
              </w:rPr>
            </w:pPr>
            <w:r>
              <w:rPr>
                <w:sz w:val="16"/>
                <w:szCs w:val="16"/>
              </w:rPr>
              <w:t>4,67</w:t>
            </w:r>
            <w:r>
              <w:rPr>
                <w:sz w:val="16"/>
                <w:szCs w:val="16"/>
              </w:rPr>
              <w:t>3</w:t>
            </w:r>
          </w:p>
        </w:tc>
        <w:tc>
          <w:tcPr>
            <w:tcW w:w="0" w:type="auto"/>
            <w:noWrap/>
            <w:vAlign w:val="bottom"/>
            <w:hideMark/>
          </w:tcPr>
          <w:p w14:paraId="1431C8E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4F41C21"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3E80743"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676B770B" w14:textId="77777777" w:rsidR="00000000" w:rsidRDefault="003C49E9">
            <w:pPr>
              <w:pStyle w:val="a3"/>
              <w:spacing w:before="0" w:beforeAutospacing="0" w:after="0" w:afterAutospacing="0"/>
              <w:jc w:val="right"/>
              <w:rPr>
                <w:sz w:val="20"/>
                <w:szCs w:val="20"/>
              </w:rPr>
            </w:pPr>
            <w:r>
              <w:rPr>
                <w:sz w:val="16"/>
                <w:szCs w:val="16"/>
              </w:rPr>
              <w:t>3,76</w:t>
            </w:r>
            <w:r>
              <w:rPr>
                <w:sz w:val="16"/>
                <w:szCs w:val="16"/>
              </w:rPr>
              <w:t>7</w:t>
            </w:r>
          </w:p>
        </w:tc>
        <w:tc>
          <w:tcPr>
            <w:tcW w:w="0" w:type="auto"/>
            <w:noWrap/>
            <w:vAlign w:val="bottom"/>
            <w:hideMark/>
          </w:tcPr>
          <w:p w14:paraId="20C2DBCE" w14:textId="77777777" w:rsidR="00000000" w:rsidRDefault="003C49E9">
            <w:pPr>
              <w:pStyle w:val="a3"/>
              <w:spacing w:before="0" w:beforeAutospacing="0" w:after="0" w:afterAutospacing="0"/>
              <w:rPr>
                <w:sz w:val="16"/>
                <w:szCs w:val="16"/>
              </w:rPr>
            </w:pPr>
            <w:r>
              <w:rPr>
                <w:sz w:val="16"/>
                <w:szCs w:val="16"/>
              </w:rPr>
              <w:t> </w:t>
            </w:r>
          </w:p>
        </w:tc>
      </w:tr>
      <w:tr w:rsidR="00000000" w14:paraId="7F171368" w14:textId="77777777">
        <w:trPr>
          <w:trHeight w:val="160"/>
          <w:tblCellSpacing w:w="15" w:type="dxa"/>
        </w:trPr>
        <w:tc>
          <w:tcPr>
            <w:tcW w:w="0" w:type="auto"/>
            <w:vAlign w:val="bottom"/>
            <w:hideMark/>
          </w:tcPr>
          <w:p w14:paraId="6F593CC9" w14:textId="77777777" w:rsidR="00000000" w:rsidRDefault="003C49E9">
            <w:pPr>
              <w:pStyle w:val="a3"/>
              <w:spacing w:before="0" w:beforeAutospacing="0" w:after="0" w:afterAutospacing="0"/>
              <w:rPr>
                <w:sz w:val="16"/>
                <w:szCs w:val="16"/>
              </w:rPr>
            </w:pPr>
            <w:r>
              <w:rPr>
                <w:b/>
                <w:bCs/>
                <w:sz w:val="16"/>
                <w:szCs w:val="16"/>
              </w:rPr>
              <w:t>Non-cash investing and financing activities</w:t>
            </w:r>
            <w:r>
              <w:rPr>
                <w:b/>
                <w:bCs/>
                <w:sz w:val="16"/>
                <w:szCs w:val="16"/>
              </w:rPr>
              <w:t>:</w:t>
            </w:r>
          </w:p>
        </w:tc>
        <w:tc>
          <w:tcPr>
            <w:tcW w:w="0" w:type="auto"/>
            <w:vAlign w:val="bottom"/>
            <w:hideMark/>
          </w:tcPr>
          <w:p w14:paraId="4D7DEB1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2AFFBB6"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4585DB7"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2D102533"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F6FE8B2"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33EE654" w14:textId="77777777" w:rsidR="00000000" w:rsidRDefault="003C49E9">
            <w:pPr>
              <w:pStyle w:val="a3"/>
              <w:spacing w:before="0" w:beforeAutospacing="0" w:after="0" w:afterAutospacing="0"/>
              <w:jc w:val="right"/>
              <w:rPr>
                <w:sz w:val="16"/>
                <w:szCs w:val="16"/>
              </w:rPr>
            </w:pPr>
            <w:r>
              <w:rPr>
                <w:sz w:val="16"/>
                <w:szCs w:val="16"/>
              </w:rPr>
              <w:t> </w:t>
            </w:r>
          </w:p>
        </w:tc>
      </w:tr>
      <w:tr w:rsidR="00000000" w14:paraId="034397B0" w14:textId="77777777">
        <w:trPr>
          <w:trHeight w:val="160"/>
          <w:tblCellSpacing w:w="15" w:type="dxa"/>
        </w:trPr>
        <w:tc>
          <w:tcPr>
            <w:tcW w:w="0" w:type="auto"/>
            <w:vAlign w:val="bottom"/>
            <w:hideMark/>
          </w:tcPr>
          <w:p w14:paraId="33507664" w14:textId="77777777" w:rsidR="00000000" w:rsidRDefault="003C49E9">
            <w:pPr>
              <w:pStyle w:val="a3"/>
              <w:spacing w:before="0" w:beforeAutospacing="0" w:after="0" w:afterAutospacing="0"/>
              <w:rPr>
                <w:sz w:val="16"/>
                <w:szCs w:val="16"/>
              </w:rPr>
            </w:pPr>
            <w:r>
              <w:rPr>
                <w:sz w:val="16"/>
                <w:szCs w:val="16"/>
              </w:rPr>
              <w:t>Issuance of common stock for repayment of 2022 Convertible Note</w:t>
            </w:r>
            <w:r>
              <w:rPr>
                <w:sz w:val="16"/>
                <w:szCs w:val="16"/>
              </w:rPr>
              <w:t>s</w:t>
            </w:r>
          </w:p>
        </w:tc>
        <w:tc>
          <w:tcPr>
            <w:tcW w:w="0" w:type="auto"/>
            <w:vAlign w:val="bottom"/>
            <w:hideMark/>
          </w:tcPr>
          <w:p w14:paraId="30DAACAD"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501F343A"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58236491" w14:textId="77777777" w:rsidR="00000000" w:rsidRDefault="003C49E9">
            <w:pPr>
              <w:pStyle w:val="a3"/>
              <w:spacing w:before="0" w:beforeAutospacing="0" w:after="0" w:afterAutospacing="0"/>
              <w:jc w:val="right"/>
              <w:rPr>
                <w:sz w:val="16"/>
                <w:szCs w:val="16"/>
              </w:rPr>
            </w:pPr>
            <w:r>
              <w:rPr>
                <w:sz w:val="16"/>
                <w:szCs w:val="16"/>
              </w:rPr>
              <w:t>—</w:t>
            </w:r>
          </w:p>
        </w:tc>
        <w:tc>
          <w:tcPr>
            <w:tcW w:w="0" w:type="auto"/>
            <w:noWrap/>
            <w:vAlign w:val="bottom"/>
            <w:hideMark/>
          </w:tcPr>
          <w:p w14:paraId="60D6042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D6A91E8"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4C6C322B"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6DCD80FF" w14:textId="77777777" w:rsidR="00000000" w:rsidRDefault="003C49E9">
            <w:pPr>
              <w:pStyle w:val="a3"/>
              <w:spacing w:before="0" w:beforeAutospacing="0" w:after="0" w:afterAutospacing="0"/>
              <w:jc w:val="right"/>
              <w:rPr>
                <w:sz w:val="20"/>
                <w:szCs w:val="20"/>
              </w:rPr>
            </w:pPr>
            <w:r>
              <w:rPr>
                <w:sz w:val="16"/>
                <w:szCs w:val="16"/>
              </w:rPr>
              <w:t>209,85</w:t>
            </w:r>
            <w:r>
              <w:rPr>
                <w:sz w:val="16"/>
                <w:szCs w:val="16"/>
              </w:rPr>
              <w:t>9</w:t>
            </w:r>
          </w:p>
        </w:tc>
        <w:tc>
          <w:tcPr>
            <w:tcW w:w="0" w:type="auto"/>
            <w:noWrap/>
            <w:vAlign w:val="bottom"/>
            <w:hideMark/>
          </w:tcPr>
          <w:p w14:paraId="7FDAAD9F" w14:textId="77777777" w:rsidR="00000000" w:rsidRDefault="003C49E9">
            <w:pPr>
              <w:pStyle w:val="a3"/>
              <w:spacing w:before="0" w:beforeAutospacing="0" w:after="0" w:afterAutospacing="0"/>
              <w:rPr>
                <w:sz w:val="16"/>
                <w:szCs w:val="16"/>
              </w:rPr>
            </w:pPr>
            <w:r>
              <w:rPr>
                <w:sz w:val="16"/>
                <w:szCs w:val="16"/>
              </w:rPr>
              <w:t> </w:t>
            </w:r>
          </w:p>
        </w:tc>
      </w:tr>
      <w:tr w:rsidR="00000000" w14:paraId="6C2ECE01" w14:textId="77777777">
        <w:trPr>
          <w:trHeight w:val="160"/>
          <w:tblCellSpacing w:w="15" w:type="dxa"/>
        </w:trPr>
        <w:tc>
          <w:tcPr>
            <w:tcW w:w="0" w:type="auto"/>
            <w:vAlign w:val="bottom"/>
            <w:hideMark/>
          </w:tcPr>
          <w:p w14:paraId="531EF634" w14:textId="77777777" w:rsidR="00000000" w:rsidRDefault="003C49E9">
            <w:pPr>
              <w:pStyle w:val="a3"/>
              <w:spacing w:before="0" w:beforeAutospacing="0" w:after="0" w:afterAutospacing="0"/>
              <w:rPr>
                <w:sz w:val="16"/>
                <w:szCs w:val="16"/>
              </w:rPr>
            </w:pPr>
            <w:r>
              <w:rPr>
                <w:sz w:val="16"/>
                <w:szCs w:val="16"/>
              </w:rPr>
              <w:t>Capital expenditures incurred but not yet pai</w:t>
            </w:r>
            <w:r>
              <w:rPr>
                <w:sz w:val="16"/>
                <w:szCs w:val="16"/>
              </w:rPr>
              <w:t>d</w:t>
            </w:r>
          </w:p>
        </w:tc>
        <w:tc>
          <w:tcPr>
            <w:tcW w:w="0" w:type="auto"/>
            <w:vAlign w:val="bottom"/>
            <w:hideMark/>
          </w:tcPr>
          <w:p w14:paraId="65D81CBB"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ED31BBC"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3DBC10D" w14:textId="77777777" w:rsidR="00000000" w:rsidRDefault="003C49E9">
            <w:pPr>
              <w:pStyle w:val="a3"/>
              <w:spacing w:before="0" w:beforeAutospacing="0" w:after="0" w:afterAutospacing="0"/>
              <w:jc w:val="right"/>
              <w:rPr>
                <w:sz w:val="20"/>
                <w:szCs w:val="20"/>
              </w:rPr>
            </w:pPr>
            <w:r>
              <w:rPr>
                <w:sz w:val="16"/>
                <w:szCs w:val="16"/>
              </w:rPr>
              <w:t>3,27</w:t>
            </w:r>
            <w:r>
              <w:rPr>
                <w:sz w:val="16"/>
                <w:szCs w:val="16"/>
              </w:rPr>
              <w:t>1</w:t>
            </w:r>
          </w:p>
        </w:tc>
        <w:tc>
          <w:tcPr>
            <w:tcW w:w="0" w:type="auto"/>
            <w:noWrap/>
            <w:vAlign w:val="bottom"/>
            <w:hideMark/>
          </w:tcPr>
          <w:p w14:paraId="508A140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C2FE1CE"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33F686AF"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1399C22A" w14:textId="77777777" w:rsidR="00000000" w:rsidRDefault="003C49E9">
            <w:pPr>
              <w:pStyle w:val="a3"/>
              <w:spacing w:before="0" w:beforeAutospacing="0" w:after="0" w:afterAutospacing="0"/>
              <w:jc w:val="right"/>
              <w:rPr>
                <w:sz w:val="20"/>
                <w:szCs w:val="20"/>
              </w:rPr>
            </w:pPr>
            <w:r>
              <w:rPr>
                <w:sz w:val="16"/>
                <w:szCs w:val="16"/>
              </w:rPr>
              <w:t>21</w:t>
            </w:r>
            <w:r>
              <w:rPr>
                <w:sz w:val="16"/>
                <w:szCs w:val="16"/>
              </w:rPr>
              <w:t>9</w:t>
            </w:r>
          </w:p>
        </w:tc>
        <w:tc>
          <w:tcPr>
            <w:tcW w:w="0" w:type="auto"/>
            <w:noWrap/>
            <w:vAlign w:val="bottom"/>
            <w:hideMark/>
          </w:tcPr>
          <w:p w14:paraId="0CBA8FE4" w14:textId="77777777" w:rsidR="00000000" w:rsidRDefault="003C49E9">
            <w:pPr>
              <w:pStyle w:val="a3"/>
              <w:spacing w:before="0" w:beforeAutospacing="0" w:after="0" w:afterAutospacing="0"/>
              <w:rPr>
                <w:sz w:val="16"/>
                <w:szCs w:val="16"/>
              </w:rPr>
            </w:pPr>
            <w:r>
              <w:rPr>
                <w:sz w:val="16"/>
                <w:szCs w:val="16"/>
              </w:rPr>
              <w:t> </w:t>
            </w:r>
          </w:p>
        </w:tc>
      </w:tr>
      <w:tr w:rsidR="00000000" w14:paraId="28BD8D1A" w14:textId="77777777">
        <w:trPr>
          <w:trHeight w:val="160"/>
          <w:tblCellSpacing w:w="15" w:type="dxa"/>
        </w:trPr>
        <w:tc>
          <w:tcPr>
            <w:tcW w:w="0" w:type="auto"/>
            <w:vAlign w:val="bottom"/>
            <w:hideMark/>
          </w:tcPr>
          <w:p w14:paraId="5AA1F4B2" w14:textId="77777777" w:rsidR="00000000" w:rsidRDefault="003C49E9">
            <w:pPr>
              <w:pStyle w:val="a3"/>
              <w:spacing w:before="0" w:beforeAutospacing="0" w:after="0" w:afterAutospacing="0"/>
              <w:rPr>
                <w:sz w:val="16"/>
                <w:szCs w:val="16"/>
              </w:rPr>
            </w:pPr>
            <w:r>
              <w:rPr>
                <w:sz w:val="16"/>
                <w:szCs w:val="16"/>
              </w:rPr>
              <w:t>Asset retirement obligation</w:t>
            </w:r>
            <w:r>
              <w:rPr>
                <w:sz w:val="16"/>
                <w:szCs w:val="16"/>
              </w:rPr>
              <w:t>s</w:t>
            </w:r>
          </w:p>
        </w:tc>
        <w:tc>
          <w:tcPr>
            <w:tcW w:w="0" w:type="auto"/>
            <w:vAlign w:val="bottom"/>
            <w:hideMark/>
          </w:tcPr>
          <w:p w14:paraId="12354614"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20CE38F2"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226B60ED" w14:textId="77777777" w:rsidR="00000000" w:rsidRDefault="003C49E9">
            <w:pPr>
              <w:pStyle w:val="a3"/>
              <w:spacing w:before="0" w:beforeAutospacing="0" w:after="0" w:afterAutospacing="0"/>
              <w:jc w:val="right"/>
              <w:rPr>
                <w:sz w:val="20"/>
                <w:szCs w:val="20"/>
              </w:rPr>
            </w:pPr>
            <w:r>
              <w:rPr>
                <w:sz w:val="16"/>
                <w:szCs w:val="16"/>
              </w:rPr>
              <w:t>1,16</w:t>
            </w:r>
            <w:r>
              <w:rPr>
                <w:sz w:val="16"/>
                <w:szCs w:val="16"/>
              </w:rPr>
              <w:t>1</w:t>
            </w:r>
          </w:p>
        </w:tc>
        <w:tc>
          <w:tcPr>
            <w:tcW w:w="0" w:type="auto"/>
            <w:noWrap/>
            <w:vAlign w:val="bottom"/>
            <w:hideMark/>
          </w:tcPr>
          <w:p w14:paraId="0C7222B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1AB80CF" w14:textId="77777777" w:rsidR="00000000" w:rsidRDefault="003C49E9">
            <w:pPr>
              <w:pStyle w:val="a3"/>
              <w:spacing w:before="0" w:beforeAutospacing="0" w:after="0" w:afterAutospacing="0"/>
              <w:rPr>
                <w:sz w:val="16"/>
                <w:szCs w:val="16"/>
              </w:rPr>
            </w:pPr>
            <w:r>
              <w:rPr>
                <w:sz w:val="16"/>
                <w:szCs w:val="16"/>
              </w:rPr>
              <w:t> </w:t>
            </w:r>
          </w:p>
        </w:tc>
        <w:tc>
          <w:tcPr>
            <w:tcW w:w="0" w:type="auto"/>
            <w:noWrap/>
            <w:vAlign w:val="bottom"/>
            <w:hideMark/>
          </w:tcPr>
          <w:p w14:paraId="7B7937FF" w14:textId="77777777" w:rsidR="00000000" w:rsidRDefault="003C49E9">
            <w:pPr>
              <w:pStyle w:val="a3"/>
              <w:spacing w:before="0" w:beforeAutospacing="0" w:after="0" w:afterAutospacing="0"/>
              <w:rPr>
                <w:sz w:val="16"/>
                <w:szCs w:val="16"/>
              </w:rPr>
            </w:pPr>
            <w:r>
              <w:rPr>
                <w:sz w:val="16"/>
                <w:szCs w:val="16"/>
              </w:rPr>
              <w:t>$</w:t>
            </w:r>
          </w:p>
        </w:tc>
        <w:tc>
          <w:tcPr>
            <w:tcW w:w="0" w:type="auto"/>
            <w:vAlign w:val="bottom"/>
            <w:hideMark/>
          </w:tcPr>
          <w:p w14:paraId="746637AE" w14:textId="77777777" w:rsidR="00000000" w:rsidRDefault="003C49E9">
            <w:pPr>
              <w:pStyle w:val="a3"/>
              <w:spacing w:before="0" w:beforeAutospacing="0" w:after="0" w:afterAutospacing="0"/>
              <w:jc w:val="right"/>
              <w:rPr>
                <w:sz w:val="20"/>
                <w:szCs w:val="20"/>
              </w:rPr>
            </w:pPr>
            <w:r>
              <w:rPr>
                <w:sz w:val="16"/>
                <w:szCs w:val="16"/>
              </w:rPr>
              <w:t>7</w:t>
            </w:r>
            <w:r>
              <w:rPr>
                <w:sz w:val="16"/>
                <w:szCs w:val="16"/>
              </w:rPr>
              <w:t>1</w:t>
            </w:r>
          </w:p>
        </w:tc>
        <w:tc>
          <w:tcPr>
            <w:tcW w:w="0" w:type="auto"/>
            <w:noWrap/>
            <w:vAlign w:val="bottom"/>
            <w:hideMark/>
          </w:tcPr>
          <w:p w14:paraId="10730CC5" w14:textId="77777777" w:rsidR="00000000" w:rsidRDefault="003C49E9">
            <w:pPr>
              <w:pStyle w:val="a3"/>
              <w:spacing w:before="0" w:beforeAutospacing="0" w:after="0" w:afterAutospacing="0"/>
              <w:rPr>
                <w:sz w:val="16"/>
                <w:szCs w:val="16"/>
              </w:rPr>
            </w:pPr>
            <w:r>
              <w:rPr>
                <w:sz w:val="16"/>
                <w:szCs w:val="16"/>
              </w:rPr>
              <w:t> </w:t>
            </w:r>
          </w:p>
        </w:tc>
      </w:tr>
      <w:tr w:rsidR="00000000" w14:paraId="126581B9" w14:textId="77777777">
        <w:trPr>
          <w:tblCellSpacing w:w="15" w:type="dxa"/>
        </w:trPr>
        <w:tc>
          <w:tcPr>
            <w:tcW w:w="0" w:type="auto"/>
            <w:vAlign w:val="bottom"/>
            <w:hideMark/>
          </w:tcPr>
          <w:p w14:paraId="0ADAE66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AC4D91B"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CC98752"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1A593C91"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C75501A"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B8EF5F2" w14:textId="77777777" w:rsidR="00000000" w:rsidRDefault="003C49E9">
            <w:pPr>
              <w:pStyle w:val="a3"/>
              <w:spacing w:before="0" w:beforeAutospacing="0" w:after="0" w:afterAutospacing="0"/>
              <w:jc w:val="right"/>
              <w:rPr>
                <w:sz w:val="16"/>
                <w:szCs w:val="16"/>
              </w:rPr>
            </w:pPr>
            <w:r>
              <w:rPr>
                <w:sz w:val="16"/>
                <w:szCs w:val="16"/>
              </w:rPr>
              <w:t> </w:t>
            </w:r>
          </w:p>
        </w:tc>
        <w:tc>
          <w:tcPr>
            <w:tcW w:w="0" w:type="auto"/>
            <w:vAlign w:val="bottom"/>
            <w:hideMark/>
          </w:tcPr>
          <w:p w14:paraId="667E3288" w14:textId="77777777" w:rsidR="00000000" w:rsidRDefault="003C49E9">
            <w:pPr>
              <w:pStyle w:val="a3"/>
              <w:spacing w:before="0" w:beforeAutospacing="0" w:after="0" w:afterAutospacing="0"/>
              <w:jc w:val="right"/>
              <w:rPr>
                <w:sz w:val="16"/>
                <w:szCs w:val="16"/>
              </w:rPr>
            </w:pPr>
            <w:r>
              <w:rPr>
                <w:sz w:val="16"/>
                <w:szCs w:val="16"/>
              </w:rPr>
              <w:t> </w:t>
            </w:r>
          </w:p>
        </w:tc>
      </w:tr>
    </w:tbl>
    <w:p w14:paraId="5B2E426A" w14:textId="77777777" w:rsidR="00000000" w:rsidRDefault="003C49E9">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14:paraId="18B6BCCB" w14:textId="77777777" w:rsidR="00000000" w:rsidRDefault="003C49E9">
      <w:pPr>
        <w:pStyle w:val="a3"/>
        <w:spacing w:before="240" w:beforeAutospacing="0" w:after="0" w:afterAutospacing="0"/>
        <w:jc w:val="center"/>
        <w:rPr>
          <w:sz w:val="20"/>
          <w:szCs w:val="20"/>
        </w:rPr>
      </w:pPr>
      <w:r>
        <w:rPr>
          <w:sz w:val="20"/>
          <w:szCs w:val="20"/>
        </w:rPr>
        <w:t>1</w:t>
      </w:r>
      <w:r>
        <w:rPr>
          <w:sz w:val="20"/>
          <w:szCs w:val="20"/>
        </w:rPr>
        <w:t>0</w:t>
      </w:r>
    </w:p>
    <w:p w14:paraId="35757AE2" w14:textId="77777777" w:rsidR="00000000" w:rsidRDefault="003C49E9">
      <w:pPr>
        <w:rPr>
          <w:rFonts w:eastAsia="Times New Roman"/>
        </w:rPr>
      </w:pPr>
      <w:r>
        <w:rPr>
          <w:rFonts w:eastAsia="Times New Roman"/>
        </w:rPr>
        <w:pict w14:anchorId="3F6E0AC3">
          <v:rect id="_x0000_i1034" style="width:0;height:1.5pt" o:hralign="center" o:hrstd="t" o:hr="t" fillcolor="#a0a0a0" stroked="f"/>
        </w:pict>
      </w:r>
    </w:p>
    <w:p w14:paraId="76F80059" w14:textId="77777777" w:rsidR="00000000" w:rsidRDefault="003C49E9">
      <w:pPr>
        <w:pStyle w:val="a3"/>
        <w:spacing w:before="0" w:beforeAutospacing="0" w:after="0" w:afterAutospacing="0"/>
        <w:rPr>
          <w:sz w:val="20"/>
          <w:szCs w:val="20"/>
        </w:rPr>
      </w:pPr>
      <w:r>
        <w:rPr>
          <w:sz w:val="20"/>
          <w:szCs w:val="20"/>
        </w:rPr>
        <w:t> </w:t>
      </w:r>
    </w:p>
    <w:p w14:paraId="233244C7" w14:textId="77777777" w:rsidR="00000000" w:rsidRDefault="003C49E9">
      <w:pPr>
        <w:pStyle w:val="a3"/>
        <w:spacing w:before="0" w:beforeAutospacing="0" w:after="0" w:afterAutospacing="0"/>
        <w:jc w:val="center"/>
        <w:rPr>
          <w:sz w:val="20"/>
          <w:szCs w:val="20"/>
        </w:rPr>
      </w:pPr>
      <w:r>
        <w:rPr>
          <w:b/>
          <w:bCs/>
          <w:sz w:val="20"/>
          <w:szCs w:val="20"/>
        </w:rPr>
        <w:t>HubSpot, Inc</w:t>
      </w:r>
      <w:r>
        <w:rPr>
          <w:b/>
          <w:bCs/>
          <w:sz w:val="20"/>
          <w:szCs w:val="20"/>
        </w:rPr>
        <w:t>.</w:t>
      </w:r>
    </w:p>
    <w:p w14:paraId="5A85563D" w14:textId="77777777" w:rsidR="00000000" w:rsidRDefault="003C49E9">
      <w:pPr>
        <w:pStyle w:val="a3"/>
        <w:spacing w:before="0" w:beforeAutospacing="0" w:after="0" w:afterAutospacing="0"/>
        <w:jc w:val="center"/>
        <w:rPr>
          <w:sz w:val="20"/>
          <w:szCs w:val="20"/>
        </w:rPr>
      </w:pPr>
      <w:r>
        <w:rPr>
          <w:b/>
          <w:bCs/>
          <w:sz w:val="20"/>
          <w:szCs w:val="20"/>
        </w:rPr>
        <w:t>Notes to Unaudited Consoli</w:t>
      </w:r>
      <w:r>
        <w:rPr>
          <w:b/>
          <w:bCs/>
          <w:sz w:val="20"/>
          <w:szCs w:val="20"/>
        </w:rPr>
        <w:t>d</w:t>
      </w:r>
      <w:r>
        <w:rPr>
          <w:b/>
          <w:bCs/>
          <w:sz w:val="20"/>
          <w:szCs w:val="20"/>
        </w:rPr>
        <w:t>ated Financial Statement</w:t>
      </w:r>
      <w:r>
        <w:rPr>
          <w:b/>
          <w:bCs/>
          <w:sz w:val="20"/>
          <w:szCs w:val="20"/>
        </w:rPr>
        <w:t>s</w:t>
      </w:r>
    </w:p>
    <w:p w14:paraId="484A5B18" w14:textId="77777777" w:rsidR="00000000" w:rsidRDefault="003C49E9">
      <w:pPr>
        <w:pStyle w:val="a3"/>
        <w:spacing w:before="0" w:beforeAutospacing="0" w:after="0" w:afterAutospacing="0"/>
        <w:rPr>
          <w:sz w:val="20"/>
          <w:szCs w:val="20"/>
        </w:rPr>
      </w:pPr>
      <w:r>
        <w:rPr>
          <w:sz w:val="20"/>
          <w:szCs w:val="20"/>
        </w:rPr>
        <w:t> </w:t>
      </w:r>
    </w:p>
    <w:p w14:paraId="67958800" w14:textId="77777777" w:rsidR="00000000" w:rsidRDefault="003C49E9">
      <w:pPr>
        <w:pStyle w:val="a3"/>
        <w:spacing w:before="0" w:beforeAutospacing="0" w:after="0" w:afterAutospacing="0"/>
        <w:rPr>
          <w:sz w:val="20"/>
          <w:szCs w:val="20"/>
        </w:rPr>
      </w:pPr>
      <w:r>
        <w:rPr>
          <w:sz w:val="20"/>
          <w:szCs w:val="20"/>
        </w:rPr>
        <w:t> </w:t>
      </w:r>
    </w:p>
    <w:p w14:paraId="6E8F517F" w14:textId="77777777" w:rsidR="00000000" w:rsidRDefault="003C49E9">
      <w:pPr>
        <w:pStyle w:val="a3"/>
        <w:spacing w:before="200" w:beforeAutospacing="0" w:after="0" w:afterAutospacing="0"/>
        <w:divId w:val="824207101"/>
        <w:rPr>
          <w:sz w:val="20"/>
          <w:szCs w:val="20"/>
        </w:rPr>
      </w:pPr>
      <w:r>
        <w:rPr>
          <w:b/>
          <w:bCs/>
          <w:sz w:val="20"/>
          <w:szCs w:val="20"/>
        </w:rPr>
        <w:t>1. Organization and Operation</w:t>
      </w:r>
      <w:r>
        <w:rPr>
          <w:b/>
          <w:bCs/>
          <w:sz w:val="20"/>
          <w:szCs w:val="20"/>
        </w:rPr>
        <w:t>s</w:t>
      </w:r>
    </w:p>
    <w:p w14:paraId="0B366BC0" w14:textId="77777777" w:rsidR="00000000" w:rsidRDefault="003C49E9">
      <w:pPr>
        <w:pStyle w:val="a3"/>
        <w:spacing w:before="200" w:beforeAutospacing="0" w:after="0" w:afterAutospacing="0"/>
        <w:ind w:firstLine="555"/>
        <w:divId w:val="824207101"/>
        <w:rPr>
          <w:sz w:val="20"/>
          <w:szCs w:val="20"/>
        </w:rPr>
      </w:pPr>
      <w:r>
        <w:rPr>
          <w:sz w:val="20"/>
          <w:szCs w:val="20"/>
        </w:rPr>
        <w:t>HubSpot, Inc. (the “Company”</w:t>
      </w:r>
      <w:r>
        <w:rPr>
          <w:sz w:val="20"/>
          <w:szCs w:val="20"/>
        </w:rPr>
        <w:t>) provides a cloud-based customer relationship management (“CRM”) Platform, that enables companies to attract, engage, and delight customers throughout the customer experience. The Company’s CRM Platform, comprised of Marketing Hub, Sales Hub, Service Hub,</w:t>
      </w:r>
      <w:r>
        <w:rPr>
          <w:sz w:val="20"/>
          <w:szCs w:val="20"/>
        </w:rPr>
        <w:t xml:space="preserve"> content management system ("CMS") Hub and Operations Hub, features integrated applications, tools, and a native payment solution, that enable businesses to create a cohesive and adaptable customer experience</w:t>
      </w:r>
      <w:r>
        <w:rPr>
          <w:sz w:val="20"/>
          <w:szCs w:val="20"/>
        </w:rPr>
        <w:t>.</w:t>
      </w:r>
      <w:r>
        <w:rPr>
          <w:sz w:val="20"/>
          <w:szCs w:val="20"/>
        </w:rPr>
        <w:t xml:space="preserve"> </w:t>
      </w:r>
    </w:p>
    <w:p w14:paraId="41D06CE8" w14:textId="77777777" w:rsidR="00000000" w:rsidRDefault="003C49E9">
      <w:pPr>
        <w:pStyle w:val="a3"/>
        <w:spacing w:before="200" w:beforeAutospacing="0" w:after="0" w:afterAutospacing="0"/>
        <w:ind w:firstLine="555"/>
        <w:divId w:val="824207101"/>
        <w:rPr>
          <w:sz w:val="20"/>
          <w:szCs w:val="20"/>
        </w:rPr>
      </w:pPr>
      <w:r>
        <w:rPr>
          <w:sz w:val="20"/>
          <w:szCs w:val="20"/>
        </w:rPr>
        <w:t>The accompanying unaudited consolidated</w:t>
      </w:r>
      <w:r>
        <w:rPr>
          <w:sz w:val="20"/>
          <w:szCs w:val="20"/>
        </w:rPr>
        <w:t xml:space="preserve"> </w:t>
      </w:r>
      <w:r>
        <w:rPr>
          <w:sz w:val="20"/>
          <w:szCs w:val="20"/>
        </w:rPr>
        <w:t>finan</w:t>
      </w:r>
      <w:r>
        <w:rPr>
          <w:sz w:val="20"/>
          <w:szCs w:val="20"/>
        </w:rPr>
        <w:t xml:space="preserve">cial statements have been prepared in accordance with generally accepted accounting principles in the United States (“GAAP”) applicable to interim periods, under the rules and regulations of the United States Securities and Exchange Commission (“SEC”). In </w:t>
      </w:r>
      <w:r>
        <w:rPr>
          <w:sz w:val="20"/>
          <w:szCs w:val="20"/>
        </w:rPr>
        <w:t>the opinion of management, the Company has prepared the accompanying unaudited consolidated financial statements on a basis substantially consistent with the audited consolidated financial statements of the Company as of and for the year ended</w:t>
      </w:r>
      <w:r>
        <w:rPr>
          <w:sz w:val="20"/>
          <w:szCs w:val="20"/>
        </w:rPr>
        <w:t xml:space="preserve"> </w:t>
      </w:r>
      <w:r>
        <w:rPr>
          <w:sz w:val="20"/>
          <w:szCs w:val="20"/>
        </w:rPr>
        <w:t>December 31,</w:t>
      </w:r>
      <w:r>
        <w:rPr>
          <w:sz w:val="20"/>
          <w:szCs w:val="20"/>
        </w:rPr>
        <w:t xml:space="preserve"> 2021, and these consolidated financial statements include all adjustments, consisting only of normal recurring adjustments, necessary for a fair statement of the results of the interim periods presented. All intercompany balances and transactions have bee</w:t>
      </w:r>
      <w:r>
        <w:rPr>
          <w:sz w:val="20"/>
          <w:szCs w:val="20"/>
        </w:rPr>
        <w:t>n eliminated in consolidation</w:t>
      </w:r>
      <w:r>
        <w:rPr>
          <w:sz w:val="20"/>
          <w:szCs w:val="20"/>
        </w:rPr>
        <w:t>.</w:t>
      </w:r>
      <w:r>
        <w:rPr>
          <w:sz w:val="20"/>
          <w:szCs w:val="20"/>
        </w:rPr>
        <w:t xml:space="preserve"> </w:t>
      </w:r>
    </w:p>
    <w:p w14:paraId="73EED70C" w14:textId="77777777" w:rsidR="00000000" w:rsidRDefault="003C49E9">
      <w:pPr>
        <w:pStyle w:val="a3"/>
        <w:spacing w:before="200" w:beforeAutospacing="0" w:after="0" w:afterAutospacing="0"/>
        <w:ind w:firstLine="555"/>
        <w:divId w:val="824207101"/>
        <w:rPr>
          <w:sz w:val="20"/>
          <w:szCs w:val="20"/>
        </w:rPr>
      </w:pPr>
      <w:r>
        <w:rPr>
          <w:sz w:val="20"/>
          <w:szCs w:val="20"/>
        </w:rPr>
        <w:t xml:space="preserve">The results of operations for the interim periods presented are not necessarily indicative of the results to be expected for any subsequent quarter or for the entire year ending December 31, 2022. The year-end balance sheet </w:t>
      </w:r>
      <w:r>
        <w:rPr>
          <w:sz w:val="20"/>
          <w:szCs w:val="20"/>
        </w:rPr>
        <w:t>data was derived from audited financial statements, but this Form 10-Q does not include all disclosures required under GAAP. Certain information and note disclosures normally included in annual financial statements prepared in accordance with GAAP have bee</w:t>
      </w:r>
      <w:r>
        <w:rPr>
          <w:sz w:val="20"/>
          <w:szCs w:val="20"/>
        </w:rPr>
        <w:t>n omitted under the rules and regulations of the SEC</w:t>
      </w:r>
      <w:r>
        <w:rPr>
          <w:sz w:val="20"/>
          <w:szCs w:val="20"/>
        </w:rPr>
        <w:t>.</w:t>
      </w:r>
    </w:p>
    <w:p w14:paraId="2CBCCE3D" w14:textId="77777777" w:rsidR="00000000" w:rsidRDefault="003C49E9">
      <w:pPr>
        <w:pStyle w:val="a3"/>
        <w:spacing w:before="200" w:beforeAutospacing="0" w:after="0" w:afterAutospacing="0"/>
        <w:ind w:firstLine="555"/>
        <w:divId w:val="824207101"/>
        <w:rPr>
          <w:sz w:val="20"/>
          <w:szCs w:val="20"/>
        </w:rPr>
      </w:pPr>
      <w:r>
        <w:rPr>
          <w:sz w:val="20"/>
          <w:szCs w:val="20"/>
        </w:rPr>
        <w:t>These interim financial statements should be read in conjunction with the audited consolidated financial statements and related notes contained in the Company’s Annual Report on Form 10-K filed with the</w:t>
      </w:r>
      <w:r>
        <w:rPr>
          <w:sz w:val="20"/>
          <w:szCs w:val="20"/>
        </w:rPr>
        <w:t xml:space="preserve"> SEC on February 14, 2022. There have been no changes in the Company’s significant accounting policies from those that were disclosed in the Company’s Annual Report on Form 10-K that have had a material impact on our consolidated financial statements and r</w:t>
      </w:r>
      <w:r>
        <w:rPr>
          <w:sz w:val="20"/>
          <w:szCs w:val="20"/>
        </w:rPr>
        <w:t>elated notes, except the adoption of updated guidance related to accounting for convertible debt as described within Note 2 of these consolidated financial statements</w:t>
      </w:r>
      <w:r>
        <w:rPr>
          <w:sz w:val="20"/>
          <w:szCs w:val="20"/>
        </w:rPr>
        <w:t>.</w:t>
      </w:r>
    </w:p>
    <w:p w14:paraId="6240BCC5" w14:textId="77777777" w:rsidR="00000000" w:rsidRDefault="003C49E9">
      <w:pPr>
        <w:pStyle w:val="a3"/>
        <w:spacing w:before="200" w:beforeAutospacing="0" w:after="0" w:afterAutospacing="0"/>
        <w:ind w:firstLine="555"/>
        <w:divId w:val="824207101"/>
        <w:rPr>
          <w:sz w:val="20"/>
          <w:szCs w:val="20"/>
        </w:rPr>
      </w:pPr>
      <w:r>
        <w:rPr>
          <w:sz w:val="20"/>
          <w:szCs w:val="20"/>
        </w:rPr>
        <w:t>In February 2022, Russian forces launched a military invasion of Ukraine. While the broa</w:t>
      </w:r>
      <w:r>
        <w:rPr>
          <w:sz w:val="20"/>
          <w:szCs w:val="20"/>
        </w:rPr>
        <w:t>der implications of the conflict on the Company's results of operations and overall financial performance remain uncertain, the Company assessed the potential impact on the June 30, 2022 financial statements and determined there were no material adjustment</w:t>
      </w:r>
      <w:r>
        <w:rPr>
          <w:sz w:val="20"/>
          <w:szCs w:val="20"/>
        </w:rPr>
        <w:t>s necessary with respect to these consolidated financial statements</w:t>
      </w:r>
      <w:r>
        <w:rPr>
          <w:sz w:val="20"/>
          <w:szCs w:val="20"/>
        </w:rPr>
        <w:t>.</w:t>
      </w:r>
    </w:p>
    <w:p w14:paraId="6896BDC3" w14:textId="77777777" w:rsidR="00000000" w:rsidRDefault="003C49E9">
      <w:pPr>
        <w:pStyle w:val="a3"/>
        <w:spacing w:before="200" w:beforeAutospacing="0" w:after="0" w:afterAutospacing="0"/>
        <w:ind w:firstLine="555"/>
        <w:divId w:val="763572479"/>
        <w:rPr>
          <w:sz w:val="20"/>
          <w:szCs w:val="20"/>
        </w:rPr>
      </w:pPr>
      <w:r>
        <w:rPr>
          <w:b/>
          <w:bCs/>
          <w:i/>
          <w:iCs/>
          <w:sz w:val="20"/>
          <w:szCs w:val="20"/>
        </w:rPr>
        <w:t>Recent Accounting Pronouncement</w:t>
      </w:r>
      <w:r>
        <w:rPr>
          <w:b/>
          <w:bCs/>
          <w:i/>
          <w:iCs/>
          <w:sz w:val="20"/>
          <w:szCs w:val="20"/>
        </w:rPr>
        <w:t>s</w:t>
      </w:r>
    </w:p>
    <w:p w14:paraId="79FAC6C4" w14:textId="77777777" w:rsidR="00000000" w:rsidRDefault="003C49E9">
      <w:pPr>
        <w:pStyle w:val="a3"/>
        <w:spacing w:before="200" w:beforeAutospacing="0" w:after="0" w:afterAutospacing="0"/>
        <w:ind w:firstLine="555"/>
        <w:divId w:val="763572479"/>
        <w:rPr>
          <w:sz w:val="20"/>
          <w:szCs w:val="20"/>
        </w:rPr>
      </w:pPr>
      <w:r>
        <w:rPr>
          <w:sz w:val="20"/>
          <w:szCs w:val="20"/>
        </w:rPr>
        <w:t>Recent accounting standards not included below are not expected to have a material impact on our consolidated financial position and results of operations</w:t>
      </w:r>
      <w:r>
        <w:rPr>
          <w:sz w:val="20"/>
          <w:szCs w:val="20"/>
        </w:rPr>
        <w:t>.</w:t>
      </w:r>
    </w:p>
    <w:p w14:paraId="24A840BF" w14:textId="77777777" w:rsidR="00000000" w:rsidRDefault="003C49E9">
      <w:pPr>
        <w:pStyle w:val="a3"/>
        <w:spacing w:before="200" w:beforeAutospacing="0" w:after="0" w:afterAutospacing="0"/>
        <w:ind w:firstLine="555"/>
        <w:divId w:val="763572479"/>
        <w:rPr>
          <w:sz w:val="20"/>
          <w:szCs w:val="20"/>
        </w:rPr>
      </w:pPr>
      <w:r>
        <w:rPr>
          <w:sz w:val="20"/>
          <w:szCs w:val="20"/>
        </w:rPr>
        <w:t xml:space="preserve">In August 2020, the FASB issued guidance simplifying the accounting for convertible instruments by reducing the number of accounting models for convertible debt instruments and convertible preferred stock. Limiting the accounting models results in fewer </w:t>
      </w:r>
      <w:r>
        <w:rPr>
          <w:sz w:val="20"/>
          <w:szCs w:val="20"/>
        </w:rPr>
        <w:t>embedded conversion features being bifurcated from the host contract and separately recognized as compared with current GAAP. In addition, it eliminates the treasury stock method for calculating diluted earnings per share for convertible instruments and re</w:t>
      </w:r>
      <w:r>
        <w:rPr>
          <w:sz w:val="20"/>
          <w:szCs w:val="20"/>
        </w:rPr>
        <w:t>quires the use of the if-converted method. The Company adopted the updated guidance as of January 1, 2022 using a modified retrospective method with a cumulative-effect adjustment as of the adoption date. Comparative periods are not adjusted. See Note 8 of</w:t>
      </w:r>
      <w:r>
        <w:rPr>
          <w:sz w:val="20"/>
          <w:szCs w:val="20"/>
        </w:rPr>
        <w:t xml:space="preserve"> these consolidated financial statements for further details</w:t>
      </w:r>
      <w:r>
        <w:rPr>
          <w:sz w:val="20"/>
          <w:szCs w:val="20"/>
        </w:rPr>
        <w:t>.</w:t>
      </w:r>
    </w:p>
    <w:p w14:paraId="65C89675" w14:textId="77777777" w:rsidR="00000000" w:rsidRDefault="003C49E9">
      <w:pPr>
        <w:pStyle w:val="a3"/>
        <w:spacing w:before="200" w:beforeAutospacing="0" w:after="0" w:afterAutospacing="0"/>
        <w:ind w:firstLine="555"/>
        <w:divId w:val="763572479"/>
        <w:rPr>
          <w:sz w:val="20"/>
          <w:szCs w:val="20"/>
        </w:rPr>
      </w:pPr>
      <w:r>
        <w:rPr>
          <w:sz w:val="20"/>
          <w:szCs w:val="20"/>
        </w:rPr>
        <w:t>In October 2021, the FASB issued guidance that requires companies to recognize and measure contract assets and contract liabilities acquired in a business combination, in accordance with the rev</w:t>
      </w:r>
      <w:r>
        <w:rPr>
          <w:sz w:val="20"/>
          <w:szCs w:val="20"/>
        </w:rPr>
        <w:t>enue recognition guidance, as if the acquirer had entered into the original contract at the same time and on the same terms as the acquiree. Generally, this will result in the acquirer recognizing contract assets and liabilities at the same amounts recorde</w:t>
      </w:r>
      <w:r>
        <w:rPr>
          <w:sz w:val="20"/>
          <w:szCs w:val="20"/>
        </w:rPr>
        <w:t>d by the acquiree as of the acquisition date. Under the previous standard, an acquirer generally recognizes such items at fair value on the acquisition date. The Company adopted the updated guidance as of January 1, 2022 and the ongoing impact of this guid</w:t>
      </w:r>
      <w:r>
        <w:rPr>
          <w:sz w:val="20"/>
          <w:szCs w:val="20"/>
        </w:rPr>
        <w:t>ance will depend on the contract assets and liabilities acquired in future business combinations.</w:t>
      </w:r>
      <w:r>
        <w:rPr>
          <w:sz w:val="20"/>
          <w:szCs w:val="20"/>
        </w:rPr>
        <w:t xml:space="preserve"> </w:t>
      </w:r>
      <w:r>
        <w:rPr>
          <w:sz w:val="20"/>
          <w:szCs w:val="20"/>
        </w:rPr>
        <w:br/>
      </w:r>
      <w:r>
        <w:rPr>
          <w:sz w:val="20"/>
          <w:szCs w:val="20"/>
        </w:rPr>
        <w:t> </w:t>
      </w:r>
    </w:p>
    <w:p w14:paraId="5B40F3BF" w14:textId="77777777" w:rsidR="00000000" w:rsidRDefault="003C49E9">
      <w:pPr>
        <w:pStyle w:val="a3"/>
        <w:spacing w:before="240" w:beforeAutospacing="0" w:after="0" w:afterAutospacing="0"/>
        <w:jc w:val="center"/>
        <w:rPr>
          <w:sz w:val="20"/>
          <w:szCs w:val="20"/>
        </w:rPr>
      </w:pPr>
      <w:r>
        <w:rPr>
          <w:sz w:val="20"/>
          <w:szCs w:val="20"/>
        </w:rPr>
        <w:t>1</w:t>
      </w:r>
      <w:r>
        <w:rPr>
          <w:sz w:val="20"/>
          <w:szCs w:val="20"/>
        </w:rPr>
        <w:t>1</w:t>
      </w:r>
    </w:p>
    <w:p w14:paraId="65D3E025" w14:textId="77777777" w:rsidR="00000000" w:rsidRDefault="003C49E9">
      <w:pPr>
        <w:rPr>
          <w:rFonts w:eastAsia="Times New Roman"/>
        </w:rPr>
      </w:pPr>
      <w:r>
        <w:rPr>
          <w:rFonts w:eastAsia="Times New Roman"/>
        </w:rPr>
        <w:pict w14:anchorId="7B9FA2EB">
          <v:rect id="_x0000_i1035" style="width:0;height:1.5pt" o:hralign="center" o:hrstd="t" o:hr="t" fillcolor="#a0a0a0" stroked="f"/>
        </w:pict>
      </w:r>
    </w:p>
    <w:p w14:paraId="0C4ACBA7" w14:textId="77777777" w:rsidR="00000000" w:rsidRDefault="003C49E9">
      <w:pPr>
        <w:pStyle w:val="a3"/>
        <w:spacing w:before="0" w:beforeAutospacing="0" w:after="0" w:afterAutospacing="0"/>
        <w:rPr>
          <w:sz w:val="20"/>
          <w:szCs w:val="20"/>
        </w:rPr>
      </w:pPr>
      <w:r>
        <w:rPr>
          <w:sz w:val="20"/>
          <w:szCs w:val="20"/>
        </w:rPr>
        <w:t> </w:t>
      </w:r>
    </w:p>
    <w:p w14:paraId="2C7381D6" w14:textId="77777777" w:rsidR="00000000" w:rsidRDefault="003C49E9">
      <w:pPr>
        <w:pStyle w:val="a3"/>
        <w:spacing w:before="240" w:beforeAutospacing="0" w:after="0" w:afterAutospacing="0"/>
        <w:jc w:val="both"/>
        <w:divId w:val="237977800"/>
        <w:rPr>
          <w:sz w:val="20"/>
          <w:szCs w:val="20"/>
        </w:rPr>
      </w:pPr>
      <w:r>
        <w:rPr>
          <w:b/>
          <w:bCs/>
          <w:sz w:val="20"/>
          <w:szCs w:val="20"/>
        </w:rPr>
        <w:t>2. Revenue</w:t>
      </w:r>
      <w:r>
        <w:rPr>
          <w:b/>
          <w:bCs/>
          <w:sz w:val="20"/>
          <w:szCs w:val="20"/>
        </w:rPr>
        <w:t>s</w:t>
      </w:r>
    </w:p>
    <w:p w14:paraId="6648C31C" w14:textId="77777777" w:rsidR="00000000" w:rsidRDefault="003C49E9">
      <w:pPr>
        <w:pStyle w:val="a3"/>
        <w:spacing w:before="240" w:beforeAutospacing="0" w:after="0" w:afterAutospacing="0"/>
        <w:ind w:left="476"/>
        <w:jc w:val="both"/>
        <w:divId w:val="237977800"/>
        <w:rPr>
          <w:sz w:val="20"/>
          <w:szCs w:val="20"/>
        </w:rPr>
      </w:pPr>
      <w:r>
        <w:rPr>
          <w:b/>
          <w:bCs/>
          <w:i/>
          <w:iCs/>
          <w:sz w:val="20"/>
          <w:szCs w:val="20"/>
        </w:rPr>
        <w:t>D</w:t>
      </w:r>
      <w:r>
        <w:rPr>
          <w:b/>
          <w:bCs/>
          <w:i/>
          <w:iCs/>
          <w:sz w:val="20"/>
          <w:szCs w:val="20"/>
        </w:rPr>
        <w:t>isaggregation of Revenue</w:t>
      </w:r>
      <w:r>
        <w:rPr>
          <w:b/>
          <w:bCs/>
          <w:i/>
          <w:iCs/>
          <w:sz w:val="20"/>
          <w:szCs w:val="20"/>
        </w:rPr>
        <w:t xml:space="preserve"> </w:t>
      </w:r>
    </w:p>
    <w:p w14:paraId="1071F73F" w14:textId="77777777" w:rsidR="00000000" w:rsidRDefault="003C49E9">
      <w:pPr>
        <w:pStyle w:val="a3"/>
        <w:spacing w:before="240" w:beforeAutospacing="0" w:after="0" w:afterAutospacing="0"/>
        <w:ind w:firstLine="555"/>
        <w:divId w:val="816453404"/>
        <w:rPr>
          <w:sz w:val="20"/>
          <w:szCs w:val="20"/>
        </w:rPr>
      </w:pPr>
      <w:r>
        <w:rPr>
          <w:sz w:val="20"/>
          <w:szCs w:val="20"/>
        </w:rPr>
        <w:t>The Company provides disaggregation of revenue based on geographic region (Note 14) and based on the subscription versus professional services and other classification on the consolidated statements of operations as it believes these best depict how the na</w:t>
      </w:r>
      <w:r>
        <w:rPr>
          <w:sz w:val="20"/>
          <w:szCs w:val="20"/>
        </w:rPr>
        <w:t>ture, amount, timing and uncertainty of revenue and cash flows are affected by economic factors</w:t>
      </w:r>
      <w:r>
        <w:rPr>
          <w:sz w:val="20"/>
          <w:szCs w:val="20"/>
        </w:rPr>
        <w:t>.</w:t>
      </w:r>
    </w:p>
    <w:p w14:paraId="7F26D8D7" w14:textId="77777777" w:rsidR="00000000" w:rsidRDefault="003C49E9">
      <w:pPr>
        <w:pStyle w:val="a3"/>
        <w:spacing w:before="240" w:beforeAutospacing="0" w:after="0" w:afterAutospacing="0"/>
        <w:ind w:firstLine="555"/>
        <w:divId w:val="816453404"/>
        <w:rPr>
          <w:sz w:val="20"/>
          <w:szCs w:val="20"/>
        </w:rPr>
      </w:pPr>
      <w:r>
        <w:rPr>
          <w:b/>
          <w:bCs/>
          <w:i/>
          <w:iCs/>
          <w:sz w:val="20"/>
          <w:szCs w:val="20"/>
        </w:rPr>
        <w:t>Deferred Revenue and Deferred Commission Expens</w:t>
      </w:r>
      <w:r>
        <w:rPr>
          <w:b/>
          <w:bCs/>
          <w:i/>
          <w:iCs/>
          <w:sz w:val="20"/>
          <w:szCs w:val="20"/>
        </w:rPr>
        <w:t>e</w:t>
      </w:r>
    </w:p>
    <w:p w14:paraId="1059AFB6" w14:textId="77777777" w:rsidR="00000000" w:rsidRDefault="003C49E9">
      <w:pPr>
        <w:pStyle w:val="a3"/>
        <w:spacing w:before="240" w:beforeAutospacing="0" w:after="0" w:afterAutospacing="0"/>
        <w:ind w:firstLine="555"/>
        <w:divId w:val="816453404"/>
        <w:rPr>
          <w:sz w:val="20"/>
          <w:szCs w:val="20"/>
        </w:rPr>
      </w:pPr>
      <w:r>
        <w:rPr>
          <w:sz w:val="20"/>
          <w:szCs w:val="20"/>
        </w:rPr>
        <w:t>Amounts that have been invoiced are recorded in accounts receivable and deferred revenue or revenue, depending</w:t>
      </w:r>
      <w:r>
        <w:rPr>
          <w:sz w:val="20"/>
          <w:szCs w:val="20"/>
        </w:rPr>
        <w:t xml:space="preserve"> on whether the revenue recognition criteria have been met. Deferred revenue represents amounts billed for which revenue has not yet been recognized. Deferred revenue that will be recognized during the succeeding 12-month period is recorded as current defe</w:t>
      </w:r>
      <w:r>
        <w:rPr>
          <w:sz w:val="20"/>
          <w:szCs w:val="20"/>
        </w:rPr>
        <w:t>rred revenue, and the remaining portion is recorded as long-term deferred revenue. Deferred revenue during the six months ended June 30, 2022 increased by</w:t>
      </w:r>
      <w:r>
        <w:rPr>
          <w:sz w:val="20"/>
          <w:szCs w:val="20"/>
        </w:rPr>
        <w:t xml:space="preserve"> </w:t>
      </w:r>
      <w:r>
        <w:rPr>
          <w:sz w:val="20"/>
          <w:szCs w:val="20"/>
        </w:rPr>
        <w:t>$</w:t>
      </w:r>
      <w:r>
        <w:rPr>
          <w:sz w:val="20"/>
          <w:szCs w:val="20"/>
        </w:rPr>
        <w:t>39.</w:t>
      </w:r>
      <w:r>
        <w:rPr>
          <w:sz w:val="20"/>
          <w:szCs w:val="20"/>
        </w:rPr>
        <w:t>2</w:t>
      </w:r>
      <w:r>
        <w:rPr>
          <w:sz w:val="20"/>
          <w:szCs w:val="20"/>
        </w:rPr>
        <w:t xml:space="preserve"> million resulting from</w:t>
      </w:r>
      <w:r>
        <w:rPr>
          <w:sz w:val="20"/>
          <w:szCs w:val="20"/>
        </w:rPr>
        <w:t xml:space="preserve"> </w:t>
      </w:r>
      <w:r>
        <w:rPr>
          <w:sz w:val="20"/>
          <w:szCs w:val="20"/>
        </w:rPr>
        <w:t>$</w:t>
      </w:r>
      <w:r>
        <w:rPr>
          <w:sz w:val="20"/>
          <w:szCs w:val="20"/>
        </w:rPr>
        <w:t>461.</w:t>
      </w:r>
      <w:r>
        <w:rPr>
          <w:sz w:val="20"/>
          <w:szCs w:val="20"/>
        </w:rPr>
        <w:t>0</w:t>
      </w:r>
      <w:r>
        <w:rPr>
          <w:sz w:val="20"/>
          <w:szCs w:val="20"/>
        </w:rPr>
        <w:t xml:space="preserve"> million of additional invoicing and was offset by revenue recogni</w:t>
      </w:r>
      <w:r>
        <w:rPr>
          <w:sz w:val="20"/>
          <w:szCs w:val="20"/>
        </w:rPr>
        <w:t xml:space="preserve">zed of </w:t>
      </w:r>
      <w:r>
        <w:rPr>
          <w:sz w:val="20"/>
          <w:szCs w:val="20"/>
        </w:rPr>
        <w:t>$</w:t>
      </w:r>
      <w:r>
        <w:rPr>
          <w:sz w:val="20"/>
          <w:szCs w:val="20"/>
        </w:rPr>
        <w:t>421.</w:t>
      </w:r>
      <w:r>
        <w:rPr>
          <w:sz w:val="20"/>
          <w:szCs w:val="20"/>
        </w:rPr>
        <w:t>8</w:t>
      </w:r>
      <w:r>
        <w:rPr>
          <w:sz w:val="20"/>
          <w:szCs w:val="20"/>
        </w:rPr>
        <w:t xml:space="preserve"> million during the same period.</w:t>
      </w:r>
      <w:r>
        <w:rPr>
          <w:sz w:val="20"/>
          <w:szCs w:val="20"/>
        </w:rPr>
        <w:t xml:space="preserve"> </w:t>
      </w:r>
      <w:r>
        <w:rPr>
          <w:sz w:val="20"/>
          <w:szCs w:val="20"/>
        </w:rPr>
        <w:t>$</w:t>
      </w:r>
      <w:r>
        <w:rPr>
          <w:sz w:val="20"/>
          <w:szCs w:val="20"/>
        </w:rPr>
        <w:t>245.</w:t>
      </w:r>
      <w:r>
        <w:rPr>
          <w:sz w:val="20"/>
          <w:szCs w:val="20"/>
        </w:rPr>
        <w:t>0</w:t>
      </w:r>
      <w:r>
        <w:rPr>
          <w:sz w:val="20"/>
          <w:szCs w:val="20"/>
        </w:rPr>
        <w:t xml:space="preserve"> million of revenue was recognized during the three months ended June 30, 2022 that was included in deferred revenue at the beginning of the period.</w:t>
      </w:r>
      <w:r>
        <w:rPr>
          <w:sz w:val="20"/>
          <w:szCs w:val="20"/>
        </w:rPr>
        <w:t xml:space="preserve"> </w:t>
      </w:r>
      <w:r>
        <w:rPr>
          <w:sz w:val="20"/>
          <w:szCs w:val="20"/>
        </w:rPr>
        <w:t>$</w:t>
      </w:r>
      <w:r>
        <w:rPr>
          <w:sz w:val="20"/>
          <w:szCs w:val="20"/>
        </w:rPr>
        <w:t>333.</w:t>
      </w:r>
      <w:r>
        <w:rPr>
          <w:sz w:val="20"/>
          <w:szCs w:val="20"/>
        </w:rPr>
        <w:t>7</w:t>
      </w:r>
      <w:r>
        <w:rPr>
          <w:sz w:val="20"/>
          <w:szCs w:val="20"/>
        </w:rPr>
        <w:t xml:space="preserve"> million of revenue was recognized during the six</w:t>
      </w:r>
      <w:r>
        <w:rPr>
          <w:sz w:val="20"/>
          <w:szCs w:val="20"/>
        </w:rPr>
        <w:t xml:space="preserve"> months ended June 30, 2022 that was included in deferred revenue at the beginning of the period. As of June 30, 2022, approximately </w:t>
      </w:r>
      <w:r>
        <w:rPr>
          <w:sz w:val="20"/>
          <w:szCs w:val="20"/>
        </w:rPr>
        <w:t>$</w:t>
      </w:r>
      <w:r>
        <w:rPr>
          <w:sz w:val="20"/>
          <w:szCs w:val="20"/>
        </w:rPr>
        <w:t>423.</w:t>
      </w:r>
      <w:r>
        <w:rPr>
          <w:sz w:val="20"/>
          <w:szCs w:val="20"/>
        </w:rPr>
        <w:t>7</w:t>
      </w:r>
      <w:r>
        <w:rPr>
          <w:sz w:val="20"/>
          <w:szCs w:val="20"/>
        </w:rPr>
        <w:t xml:space="preserve"> million of revenue is expected to be recognized from remaining performance obligations for contracts with original p</w:t>
      </w:r>
      <w:r>
        <w:rPr>
          <w:sz w:val="20"/>
          <w:szCs w:val="20"/>
        </w:rPr>
        <w:t>erformance obligations that exceed</w:t>
      </w:r>
      <w:r>
        <w:rPr>
          <w:sz w:val="20"/>
          <w:szCs w:val="20"/>
        </w:rPr>
        <w:t xml:space="preserve"> </w:t>
      </w:r>
      <w:r>
        <w:rPr>
          <w:sz w:val="20"/>
          <w:szCs w:val="20"/>
        </w:rPr>
        <w:t>one yea</w:t>
      </w:r>
      <w:r>
        <w:rPr>
          <w:sz w:val="20"/>
          <w:szCs w:val="20"/>
        </w:rPr>
        <w:t>r</w:t>
      </w:r>
      <w:r>
        <w:rPr>
          <w:sz w:val="20"/>
          <w:szCs w:val="20"/>
        </w:rPr>
        <w:t>. The Company expects to recognize revenue on approximately</w:t>
      </w:r>
      <w:r>
        <w:rPr>
          <w:sz w:val="20"/>
          <w:szCs w:val="20"/>
        </w:rPr>
        <w:t xml:space="preserve"> </w:t>
      </w:r>
      <w:r>
        <w:rPr>
          <w:sz w:val="20"/>
          <w:szCs w:val="20"/>
        </w:rPr>
        <w:t>9</w:t>
      </w:r>
      <w:r>
        <w:rPr>
          <w:sz w:val="20"/>
          <w:szCs w:val="20"/>
        </w:rPr>
        <w:t>3</w:t>
      </w:r>
      <w:r>
        <w:rPr>
          <w:sz w:val="20"/>
          <w:szCs w:val="20"/>
        </w:rPr>
        <w:t>%</w:t>
      </w:r>
      <w:r>
        <w:rPr>
          <w:sz w:val="20"/>
          <w:szCs w:val="20"/>
        </w:rPr>
        <w:t xml:space="preserve"> of these remaining performance obligations over the next</w:t>
      </w:r>
      <w:r>
        <w:rPr>
          <w:sz w:val="20"/>
          <w:szCs w:val="20"/>
        </w:rPr>
        <w:t xml:space="preserve"> </w:t>
      </w:r>
      <w:r>
        <w:rPr>
          <w:sz w:val="20"/>
          <w:szCs w:val="20"/>
        </w:rPr>
        <w:t>24 month</w:t>
      </w:r>
      <w:r>
        <w:rPr>
          <w:sz w:val="20"/>
          <w:szCs w:val="20"/>
        </w:rPr>
        <w:t>s</w:t>
      </w:r>
      <w:r>
        <w:rPr>
          <w:sz w:val="20"/>
          <w:szCs w:val="20"/>
        </w:rPr>
        <w:t>, with the balance recognized thereafter</w:t>
      </w:r>
      <w:r>
        <w:rPr>
          <w:sz w:val="20"/>
          <w:szCs w:val="20"/>
        </w:rPr>
        <w:t>.</w:t>
      </w:r>
      <w:r>
        <w:rPr>
          <w:sz w:val="20"/>
          <w:szCs w:val="20"/>
        </w:rPr>
        <w:t xml:space="preserve"> </w:t>
      </w:r>
    </w:p>
    <w:p w14:paraId="5BB6997B" w14:textId="77777777" w:rsidR="00000000" w:rsidRDefault="003C49E9">
      <w:pPr>
        <w:pStyle w:val="a3"/>
        <w:spacing w:before="240" w:beforeAutospacing="0" w:after="0" w:afterAutospacing="0"/>
        <w:ind w:firstLine="555"/>
        <w:divId w:val="816453404"/>
        <w:rPr>
          <w:sz w:val="20"/>
          <w:szCs w:val="20"/>
        </w:rPr>
      </w:pPr>
      <w:r>
        <w:rPr>
          <w:sz w:val="20"/>
          <w:szCs w:val="20"/>
        </w:rPr>
        <w:t xml:space="preserve">Additional contract liabilities of </w:t>
      </w:r>
      <w:r>
        <w:rPr>
          <w:sz w:val="20"/>
          <w:szCs w:val="20"/>
        </w:rPr>
        <w:t>$</w:t>
      </w:r>
      <w:r>
        <w:rPr>
          <w:sz w:val="20"/>
          <w:szCs w:val="20"/>
        </w:rPr>
        <w:t>2.</w:t>
      </w:r>
      <w:r>
        <w:rPr>
          <w:sz w:val="20"/>
          <w:szCs w:val="20"/>
        </w:rPr>
        <w:t>4</w:t>
      </w:r>
      <w:r>
        <w:rPr>
          <w:sz w:val="20"/>
          <w:szCs w:val="20"/>
        </w:rPr>
        <w:t xml:space="preserve"> </w:t>
      </w:r>
      <w:r>
        <w:rPr>
          <w:sz w:val="20"/>
          <w:szCs w:val="20"/>
        </w:rPr>
        <w:t xml:space="preserve">million and </w:t>
      </w:r>
      <w:r>
        <w:rPr>
          <w:sz w:val="20"/>
          <w:szCs w:val="20"/>
        </w:rPr>
        <w:t>$</w:t>
      </w:r>
      <w:r>
        <w:rPr>
          <w:sz w:val="20"/>
          <w:szCs w:val="20"/>
        </w:rPr>
        <w:t>2.</w:t>
      </w:r>
      <w:r>
        <w:rPr>
          <w:sz w:val="20"/>
          <w:szCs w:val="20"/>
        </w:rPr>
        <w:t>5</w:t>
      </w:r>
      <w:r>
        <w:rPr>
          <w:sz w:val="20"/>
          <w:szCs w:val="20"/>
        </w:rPr>
        <w:t xml:space="preserve"> were included in accrued expenses and other current liabilities on the consolidated balance sheet as of June 30, 2022 and December 31, 2021</w:t>
      </w:r>
      <w:r>
        <w:rPr>
          <w:sz w:val="20"/>
          <w:szCs w:val="20"/>
        </w:rPr>
        <w:t>.</w:t>
      </w:r>
      <w:r>
        <w:rPr>
          <w:sz w:val="20"/>
          <w:szCs w:val="20"/>
        </w:rPr>
        <w:t xml:space="preserve"> </w:t>
      </w:r>
    </w:p>
    <w:p w14:paraId="072ADEA6" w14:textId="77777777" w:rsidR="00000000" w:rsidRDefault="003C49E9">
      <w:pPr>
        <w:pStyle w:val="a3"/>
        <w:spacing w:before="240" w:beforeAutospacing="0" w:after="0" w:afterAutospacing="0"/>
        <w:ind w:firstLine="555"/>
        <w:divId w:val="816453404"/>
        <w:rPr>
          <w:sz w:val="20"/>
          <w:szCs w:val="20"/>
        </w:rPr>
      </w:pPr>
      <w:r>
        <w:rPr>
          <w:sz w:val="20"/>
          <w:szCs w:val="20"/>
        </w:rPr>
        <w:t>The incremental direct costs of obtaining a contract, which primarily consist of sales commission</w:t>
      </w:r>
      <w:r>
        <w:rPr>
          <w:sz w:val="20"/>
          <w:szCs w:val="20"/>
        </w:rPr>
        <w:t>s paid for new subscription contracts, are deferred and amortized on a straight-line basis over a period of approximately one to three years. The</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three-yea</w:t>
      </w:r>
      <w:r>
        <w:rPr>
          <w:sz w:val="20"/>
          <w:szCs w:val="20"/>
        </w:rPr>
        <w:t>r</w:t>
      </w:r>
      <w:r>
        <w:rPr>
          <w:sz w:val="20"/>
          <w:szCs w:val="20"/>
        </w:rPr>
        <w:t xml:space="preserve"> period has been determined by taking into consideration the type of product sold, the commit</w:t>
      </w:r>
      <w:r>
        <w:rPr>
          <w:sz w:val="20"/>
          <w:szCs w:val="20"/>
        </w:rPr>
        <w:t>ment term of the customer contract, the nature of the Company’s technology development life-cycle, and an estimated customer relationship period. Sales commissions for upgrade contracts are deferred and amortized on a straight-line basis over the remaining</w:t>
      </w:r>
      <w:r>
        <w:rPr>
          <w:sz w:val="20"/>
          <w:szCs w:val="20"/>
        </w:rPr>
        <w:t xml:space="preserve"> estimated customer relationship period of the related customer. Deferred commission expense that will be recorded as expense during the succeeding 12-month period is recorded as current deferred commission expense, and the remaining portion is recorded as</w:t>
      </w:r>
      <w:r>
        <w:rPr>
          <w:sz w:val="20"/>
          <w:szCs w:val="20"/>
        </w:rPr>
        <w:t xml:space="preserve"> long-term deferred commission expense</w:t>
      </w:r>
      <w:r>
        <w:rPr>
          <w:sz w:val="20"/>
          <w:szCs w:val="20"/>
        </w:rPr>
        <w:t>.</w:t>
      </w:r>
      <w:r>
        <w:rPr>
          <w:sz w:val="20"/>
          <w:szCs w:val="20"/>
        </w:rPr>
        <w:t xml:space="preserve"> </w:t>
      </w:r>
    </w:p>
    <w:p w14:paraId="12AC4D6A" w14:textId="77777777" w:rsidR="00000000" w:rsidRDefault="003C49E9">
      <w:pPr>
        <w:pStyle w:val="a3"/>
        <w:spacing w:before="240" w:beforeAutospacing="0" w:after="0" w:afterAutospacing="0"/>
        <w:ind w:firstLine="555"/>
        <w:divId w:val="816453404"/>
        <w:rPr>
          <w:sz w:val="20"/>
          <w:szCs w:val="20"/>
        </w:rPr>
      </w:pPr>
      <w:r>
        <w:rPr>
          <w:sz w:val="20"/>
          <w:szCs w:val="20"/>
        </w:rPr>
        <w:t xml:space="preserve">Deferred commission expense during the three months ended June 30, 2022 increased by </w:t>
      </w:r>
      <w:r>
        <w:rPr>
          <w:sz w:val="20"/>
          <w:szCs w:val="20"/>
        </w:rPr>
        <w:t>$</w:t>
      </w:r>
      <w:r>
        <w:rPr>
          <w:sz w:val="20"/>
          <w:szCs w:val="20"/>
        </w:rPr>
        <w:t>2.</w:t>
      </w:r>
      <w:r>
        <w:rPr>
          <w:sz w:val="20"/>
          <w:szCs w:val="20"/>
        </w:rPr>
        <w:t>4</w:t>
      </w:r>
      <w:r>
        <w:rPr>
          <w:sz w:val="20"/>
          <w:szCs w:val="20"/>
        </w:rPr>
        <w:t xml:space="preserve"> million as a result of deferring incremental costs of obtaining a contract of </w:t>
      </w:r>
      <w:r>
        <w:rPr>
          <w:sz w:val="20"/>
          <w:szCs w:val="20"/>
        </w:rPr>
        <w:t>$</w:t>
      </w:r>
      <w:r>
        <w:rPr>
          <w:sz w:val="20"/>
          <w:szCs w:val="20"/>
        </w:rPr>
        <w:t>24.</w:t>
      </w:r>
      <w:r>
        <w:rPr>
          <w:sz w:val="20"/>
          <w:szCs w:val="20"/>
        </w:rPr>
        <w:t>4</w:t>
      </w:r>
      <w:r>
        <w:rPr>
          <w:sz w:val="20"/>
          <w:szCs w:val="20"/>
        </w:rPr>
        <w:t xml:space="preserve"> million and was offset by amortization of</w:t>
      </w:r>
      <w:r>
        <w:rPr>
          <w:sz w:val="20"/>
          <w:szCs w:val="20"/>
        </w:rPr>
        <w:t xml:space="preserve"> </w:t>
      </w:r>
      <w:r>
        <w:rPr>
          <w:sz w:val="20"/>
          <w:szCs w:val="20"/>
        </w:rPr>
        <w:t>$</w:t>
      </w:r>
      <w:r>
        <w:rPr>
          <w:sz w:val="20"/>
          <w:szCs w:val="20"/>
        </w:rPr>
        <w:t>22.</w:t>
      </w:r>
      <w:r>
        <w:rPr>
          <w:sz w:val="20"/>
          <w:szCs w:val="20"/>
        </w:rPr>
        <w:t>0</w:t>
      </w:r>
      <w:r>
        <w:rPr>
          <w:sz w:val="20"/>
          <w:szCs w:val="20"/>
        </w:rPr>
        <w:t xml:space="preserve"> million during the same period. Deferred commission expense during the six months ended June 30, 2022 increased by </w:t>
      </w:r>
      <w:r>
        <w:rPr>
          <w:sz w:val="20"/>
          <w:szCs w:val="20"/>
        </w:rPr>
        <w:t>$</w:t>
      </w:r>
      <w:r>
        <w:rPr>
          <w:sz w:val="20"/>
          <w:szCs w:val="20"/>
        </w:rPr>
        <w:t>10.</w:t>
      </w:r>
      <w:r>
        <w:rPr>
          <w:sz w:val="20"/>
          <w:szCs w:val="20"/>
        </w:rPr>
        <w:t>3</w:t>
      </w:r>
      <w:r>
        <w:rPr>
          <w:sz w:val="20"/>
          <w:szCs w:val="20"/>
        </w:rPr>
        <w:t xml:space="preserve"> million as a result of deferring incremental costs of obtaining a contract of </w:t>
      </w:r>
      <w:r>
        <w:rPr>
          <w:sz w:val="20"/>
          <w:szCs w:val="20"/>
        </w:rPr>
        <w:t>$</w:t>
      </w:r>
      <w:r>
        <w:rPr>
          <w:sz w:val="20"/>
          <w:szCs w:val="20"/>
        </w:rPr>
        <w:t>51.</w:t>
      </w:r>
      <w:r>
        <w:rPr>
          <w:sz w:val="20"/>
          <w:szCs w:val="20"/>
        </w:rPr>
        <w:t>2</w:t>
      </w:r>
      <w:r>
        <w:rPr>
          <w:sz w:val="20"/>
          <w:szCs w:val="20"/>
        </w:rPr>
        <w:t xml:space="preserve"> million and was offset by amortization of </w:t>
      </w:r>
      <w:r>
        <w:rPr>
          <w:sz w:val="20"/>
          <w:szCs w:val="20"/>
        </w:rPr>
        <w:t>$</w:t>
      </w:r>
      <w:r>
        <w:rPr>
          <w:sz w:val="20"/>
          <w:szCs w:val="20"/>
        </w:rPr>
        <w:t>4</w:t>
      </w:r>
      <w:r>
        <w:rPr>
          <w:sz w:val="20"/>
          <w:szCs w:val="20"/>
        </w:rPr>
        <w:t>0.</w:t>
      </w:r>
      <w:r>
        <w:rPr>
          <w:sz w:val="20"/>
          <w:szCs w:val="20"/>
        </w:rPr>
        <w:t>9</w:t>
      </w:r>
      <w:r>
        <w:rPr>
          <w:sz w:val="20"/>
          <w:szCs w:val="20"/>
        </w:rPr>
        <w:t xml:space="preserve"> million during the same period</w:t>
      </w:r>
      <w:r>
        <w:rPr>
          <w:sz w:val="20"/>
          <w:szCs w:val="20"/>
        </w:rPr>
        <w:t>.</w:t>
      </w:r>
      <w:r>
        <w:rPr>
          <w:sz w:val="20"/>
          <w:szCs w:val="20"/>
        </w:rPr>
        <w:t xml:space="preserve"> </w:t>
      </w:r>
    </w:p>
    <w:p w14:paraId="77229D71" w14:textId="77777777" w:rsidR="00000000" w:rsidRDefault="003C49E9">
      <w:pPr>
        <w:pStyle w:val="a3"/>
        <w:spacing w:before="240" w:beforeAutospacing="0" w:after="0" w:afterAutospacing="0"/>
        <w:divId w:val="1730877117"/>
        <w:rPr>
          <w:sz w:val="20"/>
          <w:szCs w:val="20"/>
        </w:rPr>
      </w:pPr>
      <w:r>
        <w:rPr>
          <w:b/>
          <w:bCs/>
          <w:sz w:val="20"/>
          <w:szCs w:val="20"/>
        </w:rPr>
        <w:t>3. Net Loss per Shar</w:t>
      </w:r>
      <w:r>
        <w:rPr>
          <w:b/>
          <w:bCs/>
          <w:sz w:val="20"/>
          <w:szCs w:val="20"/>
        </w:rPr>
        <w:t>e</w:t>
      </w:r>
    </w:p>
    <w:p w14:paraId="05FEF243" w14:textId="77777777" w:rsidR="00000000" w:rsidRDefault="003C49E9">
      <w:pPr>
        <w:pStyle w:val="a3"/>
        <w:spacing w:before="240" w:beforeAutospacing="0" w:after="0" w:afterAutospacing="0"/>
        <w:ind w:firstLine="555"/>
        <w:divId w:val="1730877117"/>
        <w:rPr>
          <w:sz w:val="20"/>
          <w:szCs w:val="20"/>
        </w:rPr>
      </w:pPr>
      <w:r>
        <w:rPr>
          <w:sz w:val="20"/>
          <w:szCs w:val="20"/>
        </w:rPr>
        <w:t xml:space="preserve">Basic net loss per share is computed by dividing net loss by the weighted average number of common shares outstanding for the period. Diluted net loss per share is computed by giving effect to all </w:t>
      </w:r>
      <w:r>
        <w:rPr>
          <w:sz w:val="20"/>
          <w:szCs w:val="20"/>
        </w:rPr>
        <w:t>potential dilutive common stock equivalents outstanding for the period. For purposes of this calculation, options to purchase common stock, restricted stock units (“RSUs”), shares issued pursuant to the Employee Stock Purchase Plan (“ESPP”), the Warrants (</w:t>
      </w:r>
      <w:r>
        <w:rPr>
          <w:sz w:val="20"/>
          <w:szCs w:val="20"/>
        </w:rPr>
        <w:t>defined in Note 8), the Conversion Option of the 2022 Notes, and the Conversion Option of the 2025 Notes (the “Conversion Options”) (Note 8) are considered to be potential common stock equivalents</w:t>
      </w:r>
      <w:r>
        <w:rPr>
          <w:sz w:val="20"/>
          <w:szCs w:val="20"/>
        </w:rPr>
        <w:t>.</w:t>
      </w:r>
      <w:r>
        <w:rPr>
          <w:sz w:val="20"/>
          <w:szCs w:val="20"/>
        </w:rPr>
        <w:t xml:space="preserve"> </w:t>
      </w:r>
    </w:p>
    <w:p w14:paraId="20A0B1B5" w14:textId="77777777" w:rsidR="00000000" w:rsidRDefault="003C49E9">
      <w:pPr>
        <w:pStyle w:val="a3"/>
        <w:spacing w:before="240" w:beforeAutospacing="0" w:after="0" w:afterAutospacing="0"/>
        <w:ind w:firstLine="555"/>
        <w:divId w:val="1418013870"/>
        <w:rPr>
          <w:sz w:val="20"/>
          <w:szCs w:val="20"/>
        </w:rPr>
      </w:pPr>
      <w:r>
        <w:rPr>
          <w:sz w:val="20"/>
          <w:szCs w:val="20"/>
        </w:rPr>
        <w:t>A reconciliation of the denominator used in the calculati</w:t>
      </w:r>
      <w:r>
        <w:rPr>
          <w:sz w:val="20"/>
          <w:szCs w:val="20"/>
        </w:rPr>
        <w:t>on of basic and diluted net loss per share is as follows</w:t>
      </w:r>
      <w:r>
        <w:rPr>
          <w:sz w:val="20"/>
          <w:szCs w:val="20"/>
        </w:rPr>
        <w:t>:</w:t>
      </w:r>
    </w:p>
    <w:p w14:paraId="4FCE3D87" w14:textId="77777777" w:rsidR="00000000" w:rsidRDefault="003C49E9">
      <w:pPr>
        <w:pStyle w:val="a3"/>
        <w:spacing w:before="0" w:beforeAutospacing="0" w:after="0" w:afterAutospacing="0"/>
        <w:ind w:firstLine="555"/>
        <w:divId w:val="1418013870"/>
        <w:rPr>
          <w:sz w:val="20"/>
          <w:szCs w:val="20"/>
        </w:rPr>
      </w:pPr>
      <w:r>
        <w:rPr>
          <w:sz w:val="20"/>
          <w:szCs w:val="20"/>
        </w:rPr>
        <w:t>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3542"/>
        <w:gridCol w:w="160"/>
        <w:gridCol w:w="857"/>
        <w:gridCol w:w="127"/>
        <w:gridCol w:w="115"/>
        <w:gridCol w:w="160"/>
        <w:gridCol w:w="801"/>
        <w:gridCol w:w="127"/>
        <w:gridCol w:w="110"/>
        <w:gridCol w:w="160"/>
        <w:gridCol w:w="677"/>
        <w:gridCol w:w="127"/>
        <w:gridCol w:w="115"/>
        <w:gridCol w:w="160"/>
        <w:gridCol w:w="677"/>
        <w:gridCol w:w="142"/>
      </w:tblGrid>
      <w:tr w:rsidR="00000000" w14:paraId="6693E5F9" w14:textId="77777777">
        <w:trPr>
          <w:divId w:val="1418013870"/>
          <w:tblCellSpacing w:w="15" w:type="dxa"/>
        </w:trPr>
        <w:tc>
          <w:tcPr>
            <w:tcW w:w="2348" w:type="pct"/>
            <w:vAlign w:val="center"/>
            <w:hideMark/>
          </w:tcPr>
          <w:p w14:paraId="361B368A" w14:textId="77777777" w:rsidR="00000000" w:rsidRDefault="003C49E9">
            <w:pPr>
              <w:rPr>
                <w:sz w:val="20"/>
                <w:szCs w:val="20"/>
              </w:rPr>
            </w:pPr>
          </w:p>
        </w:tc>
        <w:tc>
          <w:tcPr>
            <w:tcW w:w="50" w:type="pct"/>
            <w:vAlign w:val="center"/>
            <w:hideMark/>
          </w:tcPr>
          <w:p w14:paraId="4D082572" w14:textId="77777777" w:rsidR="00000000" w:rsidRDefault="003C49E9">
            <w:pPr>
              <w:rPr>
                <w:rFonts w:eastAsia="Times New Roman"/>
                <w:sz w:val="20"/>
                <w:szCs w:val="20"/>
              </w:rPr>
            </w:pPr>
          </w:p>
        </w:tc>
        <w:tc>
          <w:tcPr>
            <w:tcW w:w="580" w:type="pct"/>
            <w:vAlign w:val="center"/>
            <w:hideMark/>
          </w:tcPr>
          <w:p w14:paraId="4C917409" w14:textId="77777777" w:rsidR="00000000" w:rsidRDefault="003C49E9">
            <w:pPr>
              <w:rPr>
                <w:rFonts w:eastAsia="Times New Roman"/>
                <w:sz w:val="20"/>
                <w:szCs w:val="20"/>
              </w:rPr>
            </w:pPr>
          </w:p>
        </w:tc>
        <w:tc>
          <w:tcPr>
            <w:tcW w:w="50" w:type="pct"/>
            <w:vAlign w:val="center"/>
            <w:hideMark/>
          </w:tcPr>
          <w:p w14:paraId="031D4D26" w14:textId="77777777" w:rsidR="00000000" w:rsidRDefault="003C49E9">
            <w:pPr>
              <w:rPr>
                <w:rFonts w:eastAsia="Times New Roman"/>
                <w:sz w:val="20"/>
                <w:szCs w:val="20"/>
              </w:rPr>
            </w:pPr>
          </w:p>
        </w:tc>
        <w:tc>
          <w:tcPr>
            <w:tcW w:w="57" w:type="pct"/>
            <w:vAlign w:val="center"/>
            <w:hideMark/>
          </w:tcPr>
          <w:p w14:paraId="1625500C" w14:textId="77777777" w:rsidR="00000000" w:rsidRDefault="003C49E9">
            <w:pPr>
              <w:rPr>
                <w:rFonts w:eastAsia="Times New Roman"/>
                <w:sz w:val="20"/>
                <w:szCs w:val="20"/>
              </w:rPr>
            </w:pPr>
          </w:p>
        </w:tc>
        <w:tc>
          <w:tcPr>
            <w:tcW w:w="50" w:type="pct"/>
            <w:vAlign w:val="center"/>
            <w:hideMark/>
          </w:tcPr>
          <w:p w14:paraId="307C9A67" w14:textId="77777777" w:rsidR="00000000" w:rsidRDefault="003C49E9">
            <w:pPr>
              <w:rPr>
                <w:rFonts w:eastAsia="Times New Roman"/>
                <w:sz w:val="20"/>
                <w:szCs w:val="20"/>
              </w:rPr>
            </w:pPr>
          </w:p>
        </w:tc>
        <w:tc>
          <w:tcPr>
            <w:tcW w:w="567" w:type="pct"/>
            <w:vAlign w:val="center"/>
            <w:hideMark/>
          </w:tcPr>
          <w:p w14:paraId="373C3B2F" w14:textId="77777777" w:rsidR="00000000" w:rsidRDefault="003C49E9">
            <w:pPr>
              <w:rPr>
                <w:rFonts w:eastAsia="Times New Roman"/>
                <w:sz w:val="20"/>
                <w:szCs w:val="20"/>
              </w:rPr>
            </w:pPr>
          </w:p>
        </w:tc>
        <w:tc>
          <w:tcPr>
            <w:tcW w:w="50" w:type="pct"/>
            <w:vAlign w:val="center"/>
            <w:hideMark/>
          </w:tcPr>
          <w:p w14:paraId="1CB744C8" w14:textId="77777777" w:rsidR="00000000" w:rsidRDefault="003C49E9">
            <w:pPr>
              <w:rPr>
                <w:rFonts w:eastAsia="Times New Roman"/>
                <w:sz w:val="20"/>
                <w:szCs w:val="20"/>
              </w:rPr>
            </w:pPr>
          </w:p>
        </w:tc>
        <w:tc>
          <w:tcPr>
            <w:tcW w:w="57" w:type="pct"/>
            <w:vAlign w:val="center"/>
            <w:hideMark/>
          </w:tcPr>
          <w:p w14:paraId="3DD663CE" w14:textId="77777777" w:rsidR="00000000" w:rsidRDefault="003C49E9">
            <w:pPr>
              <w:rPr>
                <w:rFonts w:eastAsia="Times New Roman"/>
                <w:sz w:val="20"/>
                <w:szCs w:val="20"/>
              </w:rPr>
            </w:pPr>
          </w:p>
        </w:tc>
        <w:tc>
          <w:tcPr>
            <w:tcW w:w="50" w:type="pct"/>
            <w:vAlign w:val="center"/>
            <w:hideMark/>
          </w:tcPr>
          <w:p w14:paraId="64BFA3AF" w14:textId="77777777" w:rsidR="00000000" w:rsidRDefault="003C49E9">
            <w:pPr>
              <w:rPr>
                <w:rFonts w:eastAsia="Times New Roman"/>
                <w:sz w:val="20"/>
                <w:szCs w:val="20"/>
              </w:rPr>
            </w:pPr>
          </w:p>
        </w:tc>
        <w:tc>
          <w:tcPr>
            <w:tcW w:w="464" w:type="pct"/>
            <w:vAlign w:val="center"/>
            <w:hideMark/>
          </w:tcPr>
          <w:p w14:paraId="26F76637" w14:textId="77777777" w:rsidR="00000000" w:rsidRDefault="003C49E9">
            <w:pPr>
              <w:rPr>
                <w:rFonts w:eastAsia="Times New Roman"/>
                <w:sz w:val="20"/>
                <w:szCs w:val="20"/>
              </w:rPr>
            </w:pPr>
          </w:p>
        </w:tc>
        <w:tc>
          <w:tcPr>
            <w:tcW w:w="50" w:type="pct"/>
            <w:vAlign w:val="center"/>
            <w:hideMark/>
          </w:tcPr>
          <w:p w14:paraId="7C190632" w14:textId="77777777" w:rsidR="00000000" w:rsidRDefault="003C49E9">
            <w:pPr>
              <w:rPr>
                <w:rFonts w:eastAsia="Times New Roman"/>
                <w:sz w:val="20"/>
                <w:szCs w:val="20"/>
              </w:rPr>
            </w:pPr>
          </w:p>
        </w:tc>
        <w:tc>
          <w:tcPr>
            <w:tcW w:w="57" w:type="pct"/>
            <w:vAlign w:val="center"/>
            <w:hideMark/>
          </w:tcPr>
          <w:p w14:paraId="670FB189" w14:textId="77777777" w:rsidR="00000000" w:rsidRDefault="003C49E9">
            <w:pPr>
              <w:rPr>
                <w:rFonts w:eastAsia="Times New Roman"/>
                <w:sz w:val="20"/>
                <w:szCs w:val="20"/>
              </w:rPr>
            </w:pPr>
          </w:p>
        </w:tc>
        <w:tc>
          <w:tcPr>
            <w:tcW w:w="50" w:type="pct"/>
            <w:vAlign w:val="center"/>
            <w:hideMark/>
          </w:tcPr>
          <w:p w14:paraId="601ABAE5" w14:textId="77777777" w:rsidR="00000000" w:rsidRDefault="003C49E9">
            <w:pPr>
              <w:rPr>
                <w:rFonts w:eastAsia="Times New Roman"/>
                <w:sz w:val="20"/>
                <w:szCs w:val="20"/>
              </w:rPr>
            </w:pPr>
          </w:p>
        </w:tc>
        <w:tc>
          <w:tcPr>
            <w:tcW w:w="465" w:type="pct"/>
            <w:vAlign w:val="center"/>
            <w:hideMark/>
          </w:tcPr>
          <w:p w14:paraId="7C80D322" w14:textId="77777777" w:rsidR="00000000" w:rsidRDefault="003C49E9">
            <w:pPr>
              <w:rPr>
                <w:rFonts w:eastAsia="Times New Roman"/>
                <w:sz w:val="20"/>
                <w:szCs w:val="20"/>
              </w:rPr>
            </w:pPr>
          </w:p>
        </w:tc>
        <w:tc>
          <w:tcPr>
            <w:tcW w:w="50" w:type="pct"/>
            <w:vAlign w:val="center"/>
            <w:hideMark/>
          </w:tcPr>
          <w:p w14:paraId="7530A76D" w14:textId="77777777" w:rsidR="00000000" w:rsidRDefault="003C49E9">
            <w:pPr>
              <w:rPr>
                <w:rFonts w:eastAsia="Times New Roman"/>
                <w:sz w:val="20"/>
                <w:szCs w:val="20"/>
              </w:rPr>
            </w:pPr>
          </w:p>
        </w:tc>
      </w:tr>
      <w:tr w:rsidR="00000000" w14:paraId="2EFC6EE8" w14:textId="77777777">
        <w:trPr>
          <w:divId w:val="1418013870"/>
          <w:trHeight w:val="160"/>
          <w:tblCellSpacing w:w="15" w:type="dxa"/>
        </w:trPr>
        <w:tc>
          <w:tcPr>
            <w:tcW w:w="0" w:type="auto"/>
            <w:vAlign w:val="bottom"/>
            <w:hideMark/>
          </w:tcPr>
          <w:p w14:paraId="52EA7884"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081E51D9"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E36A8E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1FA9329"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4EC85A7"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60D037E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38C8F2B" w14:textId="77777777">
        <w:trPr>
          <w:divId w:val="1418013870"/>
          <w:trHeight w:val="160"/>
          <w:tblCellSpacing w:w="15" w:type="dxa"/>
        </w:trPr>
        <w:tc>
          <w:tcPr>
            <w:tcW w:w="0" w:type="auto"/>
            <w:vAlign w:val="bottom"/>
            <w:hideMark/>
          </w:tcPr>
          <w:p w14:paraId="25378EA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F68645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2DF8A3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4C57968"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CF4B1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97FC58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5C9E414"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D3F756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688F69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F68114F"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6CEE9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C0B2B6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1DB0E43" w14:textId="77777777">
        <w:trPr>
          <w:divId w:val="1418013870"/>
          <w:trHeight w:val="200"/>
          <w:tblCellSpacing w:w="15" w:type="dxa"/>
        </w:trPr>
        <w:tc>
          <w:tcPr>
            <w:tcW w:w="0" w:type="auto"/>
            <w:vAlign w:val="bottom"/>
            <w:hideMark/>
          </w:tcPr>
          <w:p w14:paraId="025D376C" w14:textId="77777777" w:rsidR="00000000" w:rsidRDefault="003C49E9">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14:paraId="4D23D2B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256D3CD" w14:textId="77777777" w:rsidR="00000000" w:rsidRDefault="003C49E9">
            <w:pPr>
              <w:pStyle w:val="a3"/>
              <w:spacing w:before="0" w:beforeAutospacing="0" w:after="0" w:afterAutospacing="0"/>
              <w:jc w:val="right"/>
              <w:rPr>
                <w:sz w:val="20"/>
                <w:szCs w:val="20"/>
              </w:rPr>
            </w:pPr>
            <w:r>
              <w:rPr>
                <w:sz w:val="20"/>
                <w:szCs w:val="20"/>
              </w:rPr>
              <w:t>(</w:t>
            </w:r>
            <w:r>
              <w:rPr>
                <w:sz w:val="20"/>
                <w:szCs w:val="20"/>
              </w:rPr>
              <w:t>56,36</w:t>
            </w:r>
            <w:r>
              <w:rPr>
                <w:sz w:val="20"/>
                <w:szCs w:val="20"/>
              </w:rPr>
              <w:t>1</w:t>
            </w:r>
          </w:p>
        </w:tc>
        <w:tc>
          <w:tcPr>
            <w:tcW w:w="0" w:type="auto"/>
            <w:noWrap/>
            <w:vAlign w:val="bottom"/>
            <w:hideMark/>
          </w:tcPr>
          <w:p w14:paraId="080847D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0B92AB8"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1AA8BB5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6280B64" w14:textId="77777777" w:rsidR="00000000" w:rsidRDefault="003C49E9">
            <w:pPr>
              <w:pStyle w:val="a3"/>
              <w:spacing w:before="0" w:beforeAutospacing="0" w:after="0" w:afterAutospacing="0"/>
              <w:jc w:val="right"/>
              <w:rPr>
                <w:sz w:val="20"/>
                <w:szCs w:val="20"/>
              </w:rPr>
            </w:pPr>
            <w:r>
              <w:rPr>
                <w:sz w:val="20"/>
                <w:szCs w:val="20"/>
              </w:rPr>
              <w:t>(</w:t>
            </w:r>
            <w:r>
              <w:rPr>
                <w:sz w:val="20"/>
                <w:szCs w:val="20"/>
              </w:rPr>
              <w:t>24,57</w:t>
            </w:r>
            <w:r>
              <w:rPr>
                <w:sz w:val="20"/>
                <w:szCs w:val="20"/>
              </w:rPr>
              <w:t>2</w:t>
            </w:r>
          </w:p>
        </w:tc>
        <w:tc>
          <w:tcPr>
            <w:tcW w:w="0" w:type="auto"/>
            <w:noWrap/>
            <w:vAlign w:val="bottom"/>
            <w:hideMark/>
          </w:tcPr>
          <w:p w14:paraId="5949CEC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F8F4F4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7E181E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1425C34" w14:textId="77777777" w:rsidR="00000000" w:rsidRDefault="003C49E9">
            <w:pPr>
              <w:pStyle w:val="a3"/>
              <w:spacing w:before="0" w:beforeAutospacing="0" w:after="0" w:afterAutospacing="0"/>
              <w:jc w:val="right"/>
              <w:rPr>
                <w:sz w:val="20"/>
                <w:szCs w:val="20"/>
              </w:rPr>
            </w:pPr>
            <w:r>
              <w:rPr>
                <w:sz w:val="20"/>
                <w:szCs w:val="20"/>
              </w:rPr>
              <w:t>(</w:t>
            </w:r>
            <w:r>
              <w:rPr>
                <w:sz w:val="20"/>
                <w:szCs w:val="20"/>
              </w:rPr>
              <w:t>65,70</w:t>
            </w:r>
            <w:r>
              <w:rPr>
                <w:sz w:val="20"/>
                <w:szCs w:val="20"/>
              </w:rPr>
              <w:t>2</w:t>
            </w:r>
          </w:p>
        </w:tc>
        <w:tc>
          <w:tcPr>
            <w:tcW w:w="0" w:type="auto"/>
            <w:noWrap/>
            <w:vAlign w:val="bottom"/>
            <w:hideMark/>
          </w:tcPr>
          <w:p w14:paraId="49D8217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387AAC5"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06AEFC5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2128479" w14:textId="77777777" w:rsidR="00000000" w:rsidRDefault="003C49E9">
            <w:pPr>
              <w:pStyle w:val="a3"/>
              <w:spacing w:before="0" w:beforeAutospacing="0" w:after="0" w:afterAutospacing="0"/>
              <w:jc w:val="right"/>
              <w:rPr>
                <w:sz w:val="20"/>
                <w:szCs w:val="20"/>
              </w:rPr>
            </w:pPr>
            <w:r>
              <w:rPr>
                <w:sz w:val="20"/>
                <w:szCs w:val="20"/>
              </w:rPr>
              <w:t>(</w:t>
            </w:r>
            <w:r>
              <w:rPr>
                <w:sz w:val="20"/>
                <w:szCs w:val="20"/>
              </w:rPr>
              <w:t>47,73</w:t>
            </w:r>
            <w:r>
              <w:rPr>
                <w:sz w:val="20"/>
                <w:szCs w:val="20"/>
              </w:rPr>
              <w:t>1</w:t>
            </w:r>
          </w:p>
        </w:tc>
        <w:tc>
          <w:tcPr>
            <w:tcW w:w="0" w:type="auto"/>
            <w:noWrap/>
            <w:vAlign w:val="bottom"/>
            <w:hideMark/>
          </w:tcPr>
          <w:p w14:paraId="1B70CFA8" w14:textId="77777777" w:rsidR="00000000" w:rsidRDefault="003C49E9">
            <w:pPr>
              <w:pStyle w:val="a3"/>
              <w:spacing w:before="0" w:beforeAutospacing="0" w:after="0" w:afterAutospacing="0"/>
              <w:rPr>
                <w:sz w:val="20"/>
                <w:szCs w:val="20"/>
              </w:rPr>
            </w:pPr>
            <w:r>
              <w:rPr>
                <w:sz w:val="20"/>
                <w:szCs w:val="20"/>
              </w:rPr>
              <w:t>)</w:t>
            </w:r>
          </w:p>
        </w:tc>
      </w:tr>
      <w:tr w:rsidR="00000000" w14:paraId="62114BBD" w14:textId="77777777">
        <w:trPr>
          <w:divId w:val="1418013870"/>
          <w:trHeight w:val="200"/>
          <w:tblCellSpacing w:w="15" w:type="dxa"/>
        </w:trPr>
        <w:tc>
          <w:tcPr>
            <w:tcW w:w="0" w:type="auto"/>
            <w:vAlign w:val="bottom"/>
            <w:hideMark/>
          </w:tcPr>
          <w:p w14:paraId="5BBF13F4" w14:textId="77777777" w:rsidR="00000000" w:rsidRDefault="003C49E9">
            <w:pPr>
              <w:pStyle w:val="a3"/>
              <w:spacing w:before="0" w:beforeAutospacing="0" w:after="0" w:afterAutospacing="0"/>
              <w:rPr>
                <w:sz w:val="20"/>
                <w:szCs w:val="20"/>
              </w:rPr>
            </w:pPr>
            <w:r>
              <w:rPr>
                <w:sz w:val="20"/>
                <w:szCs w:val="20"/>
              </w:rPr>
              <w:t>Weighted-average common shares outstanding — basi</w:t>
            </w:r>
            <w:r>
              <w:rPr>
                <w:sz w:val="20"/>
                <w:szCs w:val="20"/>
              </w:rPr>
              <w:t>c</w:t>
            </w:r>
          </w:p>
        </w:tc>
        <w:tc>
          <w:tcPr>
            <w:tcW w:w="0" w:type="auto"/>
            <w:noWrap/>
            <w:vAlign w:val="bottom"/>
            <w:hideMark/>
          </w:tcPr>
          <w:p w14:paraId="4C6D5B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A6B3B62" w14:textId="77777777" w:rsidR="00000000" w:rsidRDefault="003C49E9">
            <w:pPr>
              <w:pStyle w:val="a3"/>
              <w:spacing w:before="0" w:beforeAutospacing="0" w:after="0" w:afterAutospacing="0"/>
              <w:jc w:val="right"/>
              <w:rPr>
                <w:sz w:val="20"/>
                <w:szCs w:val="20"/>
              </w:rPr>
            </w:pPr>
            <w:r>
              <w:rPr>
                <w:sz w:val="20"/>
                <w:szCs w:val="20"/>
              </w:rPr>
              <w:t>47,81</w:t>
            </w:r>
            <w:r>
              <w:rPr>
                <w:sz w:val="20"/>
                <w:szCs w:val="20"/>
              </w:rPr>
              <w:t>5</w:t>
            </w:r>
          </w:p>
        </w:tc>
        <w:tc>
          <w:tcPr>
            <w:tcW w:w="0" w:type="auto"/>
            <w:noWrap/>
            <w:vAlign w:val="bottom"/>
            <w:hideMark/>
          </w:tcPr>
          <w:p w14:paraId="1ED1D44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C8772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F9141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870C05" w14:textId="77777777" w:rsidR="00000000" w:rsidRDefault="003C49E9">
            <w:pPr>
              <w:pStyle w:val="a3"/>
              <w:spacing w:before="0" w:beforeAutospacing="0" w:after="0" w:afterAutospacing="0"/>
              <w:jc w:val="right"/>
              <w:rPr>
                <w:sz w:val="20"/>
                <w:szCs w:val="20"/>
              </w:rPr>
            </w:pPr>
            <w:r>
              <w:rPr>
                <w:sz w:val="20"/>
                <w:szCs w:val="20"/>
              </w:rPr>
              <w:t>46,77</w:t>
            </w:r>
            <w:r>
              <w:rPr>
                <w:sz w:val="20"/>
                <w:szCs w:val="20"/>
              </w:rPr>
              <w:t>7</w:t>
            </w:r>
          </w:p>
        </w:tc>
        <w:tc>
          <w:tcPr>
            <w:tcW w:w="0" w:type="auto"/>
            <w:noWrap/>
            <w:vAlign w:val="bottom"/>
            <w:hideMark/>
          </w:tcPr>
          <w:p w14:paraId="21E5027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9C899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557311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02DA8D" w14:textId="77777777" w:rsidR="00000000" w:rsidRDefault="003C49E9">
            <w:pPr>
              <w:pStyle w:val="a3"/>
              <w:spacing w:before="0" w:beforeAutospacing="0" w:after="0" w:afterAutospacing="0"/>
              <w:jc w:val="right"/>
              <w:rPr>
                <w:sz w:val="20"/>
                <w:szCs w:val="20"/>
              </w:rPr>
            </w:pPr>
            <w:r>
              <w:rPr>
                <w:sz w:val="20"/>
                <w:szCs w:val="20"/>
              </w:rPr>
              <w:t>47,69</w:t>
            </w:r>
            <w:r>
              <w:rPr>
                <w:sz w:val="20"/>
                <w:szCs w:val="20"/>
              </w:rPr>
              <w:t>7</w:t>
            </w:r>
          </w:p>
        </w:tc>
        <w:tc>
          <w:tcPr>
            <w:tcW w:w="0" w:type="auto"/>
            <w:noWrap/>
            <w:vAlign w:val="bottom"/>
            <w:hideMark/>
          </w:tcPr>
          <w:p w14:paraId="218750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3972A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9F19FC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8C81D3" w14:textId="77777777" w:rsidR="00000000" w:rsidRDefault="003C49E9">
            <w:pPr>
              <w:pStyle w:val="a3"/>
              <w:spacing w:before="0" w:beforeAutospacing="0" w:after="0" w:afterAutospacing="0"/>
              <w:jc w:val="right"/>
              <w:rPr>
                <w:sz w:val="20"/>
                <w:szCs w:val="20"/>
              </w:rPr>
            </w:pPr>
            <w:r>
              <w:rPr>
                <w:sz w:val="20"/>
                <w:szCs w:val="20"/>
              </w:rPr>
              <w:t>46,60</w:t>
            </w:r>
            <w:r>
              <w:rPr>
                <w:sz w:val="20"/>
                <w:szCs w:val="20"/>
              </w:rPr>
              <w:t>3</w:t>
            </w:r>
          </w:p>
        </w:tc>
        <w:tc>
          <w:tcPr>
            <w:tcW w:w="0" w:type="auto"/>
            <w:noWrap/>
            <w:vAlign w:val="bottom"/>
            <w:hideMark/>
          </w:tcPr>
          <w:p w14:paraId="7A5D22E9" w14:textId="77777777" w:rsidR="00000000" w:rsidRDefault="003C49E9">
            <w:pPr>
              <w:pStyle w:val="a3"/>
              <w:spacing w:before="0" w:beforeAutospacing="0" w:after="0" w:afterAutospacing="0"/>
              <w:rPr>
                <w:sz w:val="20"/>
                <w:szCs w:val="20"/>
              </w:rPr>
            </w:pPr>
            <w:r>
              <w:rPr>
                <w:sz w:val="20"/>
                <w:szCs w:val="20"/>
              </w:rPr>
              <w:t> </w:t>
            </w:r>
          </w:p>
        </w:tc>
      </w:tr>
      <w:tr w:rsidR="00000000" w14:paraId="3043DAC4" w14:textId="77777777">
        <w:trPr>
          <w:divId w:val="1418013870"/>
          <w:trHeight w:val="200"/>
          <w:tblCellSpacing w:w="15" w:type="dxa"/>
        </w:trPr>
        <w:tc>
          <w:tcPr>
            <w:tcW w:w="0" w:type="auto"/>
            <w:vAlign w:val="bottom"/>
            <w:hideMark/>
          </w:tcPr>
          <w:p w14:paraId="4C937EAE" w14:textId="77777777" w:rsidR="00000000" w:rsidRDefault="003C49E9">
            <w:pPr>
              <w:pStyle w:val="a3"/>
              <w:spacing w:before="0" w:beforeAutospacing="0" w:after="0" w:afterAutospacing="0"/>
              <w:rPr>
                <w:sz w:val="20"/>
                <w:szCs w:val="20"/>
              </w:rPr>
            </w:pPr>
            <w:r>
              <w:rPr>
                <w:sz w:val="20"/>
                <w:szCs w:val="20"/>
              </w:rPr>
              <w:t xml:space="preserve">Dilutive effect of share equivalents resulting from stock </w:t>
            </w:r>
            <w:r>
              <w:rPr>
                <w:sz w:val="20"/>
                <w:szCs w:val="20"/>
              </w:rPr>
              <w:br/>
              <w:t>   </w:t>
            </w:r>
            <w:r>
              <w:rPr>
                <w:sz w:val="20"/>
                <w:szCs w:val="20"/>
              </w:rPr>
              <w:t>options, RSUs, ESPP, Warrants and the Conversion</w:t>
            </w:r>
            <w:r>
              <w:rPr>
                <w:sz w:val="20"/>
                <w:szCs w:val="20"/>
              </w:rPr>
              <w:br/>
              <w:t>   Option</w:t>
            </w:r>
            <w:r>
              <w:rPr>
                <w:sz w:val="20"/>
                <w:szCs w:val="20"/>
              </w:rPr>
              <w:t>s</w:t>
            </w:r>
          </w:p>
        </w:tc>
        <w:tc>
          <w:tcPr>
            <w:tcW w:w="0" w:type="auto"/>
            <w:noWrap/>
            <w:vAlign w:val="bottom"/>
            <w:hideMark/>
          </w:tcPr>
          <w:p w14:paraId="516FBE1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6DB5862"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7DA890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C6F0A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C0B628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D0AF49"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FE16B4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DE0C0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280B5C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CA341D"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E3E057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638FC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28F82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9FDDA7"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E0711D5" w14:textId="77777777" w:rsidR="00000000" w:rsidRDefault="003C49E9">
            <w:pPr>
              <w:pStyle w:val="a3"/>
              <w:spacing w:before="0" w:beforeAutospacing="0" w:after="0" w:afterAutospacing="0"/>
              <w:rPr>
                <w:sz w:val="20"/>
                <w:szCs w:val="20"/>
              </w:rPr>
            </w:pPr>
            <w:r>
              <w:rPr>
                <w:sz w:val="20"/>
                <w:szCs w:val="20"/>
              </w:rPr>
              <w:t> </w:t>
            </w:r>
          </w:p>
        </w:tc>
      </w:tr>
      <w:tr w:rsidR="00000000" w14:paraId="58E9D7FD" w14:textId="77777777">
        <w:trPr>
          <w:divId w:val="1418013870"/>
          <w:trHeight w:val="200"/>
          <w:tblCellSpacing w:w="15" w:type="dxa"/>
        </w:trPr>
        <w:tc>
          <w:tcPr>
            <w:tcW w:w="0" w:type="auto"/>
            <w:vAlign w:val="bottom"/>
            <w:hideMark/>
          </w:tcPr>
          <w:p w14:paraId="362C687F" w14:textId="77777777" w:rsidR="00000000" w:rsidRDefault="003C49E9">
            <w:pPr>
              <w:pStyle w:val="a3"/>
              <w:spacing w:before="0" w:beforeAutospacing="0" w:after="0" w:afterAutospacing="0"/>
              <w:rPr>
                <w:sz w:val="20"/>
                <w:szCs w:val="20"/>
              </w:rPr>
            </w:pPr>
            <w:r>
              <w:rPr>
                <w:sz w:val="20"/>
                <w:szCs w:val="20"/>
              </w:rPr>
              <w:t>Weighted-average common shares, outstanding — dilute</w:t>
            </w:r>
            <w:r>
              <w:rPr>
                <w:sz w:val="20"/>
                <w:szCs w:val="20"/>
              </w:rPr>
              <w:t>d</w:t>
            </w:r>
          </w:p>
        </w:tc>
        <w:tc>
          <w:tcPr>
            <w:tcW w:w="0" w:type="auto"/>
            <w:noWrap/>
            <w:vAlign w:val="bottom"/>
            <w:hideMark/>
          </w:tcPr>
          <w:p w14:paraId="60B19B1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96A73B" w14:textId="77777777" w:rsidR="00000000" w:rsidRDefault="003C49E9">
            <w:pPr>
              <w:pStyle w:val="a3"/>
              <w:spacing w:before="0" w:beforeAutospacing="0" w:after="0" w:afterAutospacing="0"/>
              <w:jc w:val="right"/>
              <w:rPr>
                <w:sz w:val="20"/>
                <w:szCs w:val="20"/>
              </w:rPr>
            </w:pPr>
            <w:r>
              <w:rPr>
                <w:sz w:val="20"/>
                <w:szCs w:val="20"/>
              </w:rPr>
              <w:t>47,81</w:t>
            </w:r>
            <w:r>
              <w:rPr>
                <w:sz w:val="20"/>
                <w:szCs w:val="20"/>
              </w:rPr>
              <w:t>5</w:t>
            </w:r>
          </w:p>
        </w:tc>
        <w:tc>
          <w:tcPr>
            <w:tcW w:w="0" w:type="auto"/>
            <w:noWrap/>
            <w:vAlign w:val="bottom"/>
            <w:hideMark/>
          </w:tcPr>
          <w:p w14:paraId="669A43E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2C852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FC3F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17E712" w14:textId="77777777" w:rsidR="00000000" w:rsidRDefault="003C49E9">
            <w:pPr>
              <w:pStyle w:val="a3"/>
              <w:spacing w:before="0" w:beforeAutospacing="0" w:after="0" w:afterAutospacing="0"/>
              <w:jc w:val="right"/>
              <w:rPr>
                <w:sz w:val="20"/>
                <w:szCs w:val="20"/>
              </w:rPr>
            </w:pPr>
            <w:r>
              <w:rPr>
                <w:sz w:val="20"/>
                <w:szCs w:val="20"/>
              </w:rPr>
              <w:t>46,77</w:t>
            </w:r>
            <w:r>
              <w:rPr>
                <w:sz w:val="20"/>
                <w:szCs w:val="20"/>
              </w:rPr>
              <w:t>7</w:t>
            </w:r>
          </w:p>
        </w:tc>
        <w:tc>
          <w:tcPr>
            <w:tcW w:w="0" w:type="auto"/>
            <w:noWrap/>
            <w:vAlign w:val="bottom"/>
            <w:hideMark/>
          </w:tcPr>
          <w:p w14:paraId="510862E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C7D93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2E4F8E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52CD123" w14:textId="77777777" w:rsidR="00000000" w:rsidRDefault="003C49E9">
            <w:pPr>
              <w:pStyle w:val="a3"/>
              <w:spacing w:before="0" w:beforeAutospacing="0" w:after="0" w:afterAutospacing="0"/>
              <w:jc w:val="right"/>
              <w:rPr>
                <w:sz w:val="20"/>
                <w:szCs w:val="20"/>
              </w:rPr>
            </w:pPr>
            <w:r>
              <w:rPr>
                <w:sz w:val="20"/>
                <w:szCs w:val="20"/>
              </w:rPr>
              <w:t>47,69</w:t>
            </w:r>
            <w:r>
              <w:rPr>
                <w:sz w:val="20"/>
                <w:szCs w:val="20"/>
              </w:rPr>
              <w:t>7</w:t>
            </w:r>
          </w:p>
        </w:tc>
        <w:tc>
          <w:tcPr>
            <w:tcW w:w="0" w:type="auto"/>
            <w:noWrap/>
            <w:vAlign w:val="bottom"/>
            <w:hideMark/>
          </w:tcPr>
          <w:p w14:paraId="5360202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BE5C8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6EF564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6CE5324" w14:textId="77777777" w:rsidR="00000000" w:rsidRDefault="003C49E9">
            <w:pPr>
              <w:pStyle w:val="a3"/>
              <w:spacing w:before="0" w:beforeAutospacing="0" w:after="0" w:afterAutospacing="0"/>
              <w:jc w:val="right"/>
              <w:rPr>
                <w:sz w:val="20"/>
                <w:szCs w:val="20"/>
              </w:rPr>
            </w:pPr>
            <w:r>
              <w:rPr>
                <w:sz w:val="20"/>
                <w:szCs w:val="20"/>
              </w:rPr>
              <w:t>46,60</w:t>
            </w:r>
            <w:r>
              <w:rPr>
                <w:sz w:val="20"/>
                <w:szCs w:val="20"/>
              </w:rPr>
              <w:t>3</w:t>
            </w:r>
          </w:p>
        </w:tc>
        <w:tc>
          <w:tcPr>
            <w:tcW w:w="0" w:type="auto"/>
            <w:noWrap/>
            <w:vAlign w:val="bottom"/>
            <w:hideMark/>
          </w:tcPr>
          <w:p w14:paraId="54584207" w14:textId="77777777" w:rsidR="00000000" w:rsidRDefault="003C49E9">
            <w:pPr>
              <w:pStyle w:val="a3"/>
              <w:spacing w:before="0" w:beforeAutospacing="0" w:after="0" w:afterAutospacing="0"/>
              <w:rPr>
                <w:sz w:val="20"/>
                <w:szCs w:val="20"/>
              </w:rPr>
            </w:pPr>
            <w:r>
              <w:rPr>
                <w:sz w:val="20"/>
                <w:szCs w:val="20"/>
              </w:rPr>
              <w:t> </w:t>
            </w:r>
          </w:p>
        </w:tc>
      </w:tr>
      <w:tr w:rsidR="00000000" w14:paraId="651979F0" w14:textId="77777777">
        <w:trPr>
          <w:divId w:val="1418013870"/>
          <w:trHeight w:val="200"/>
          <w:tblCellSpacing w:w="15" w:type="dxa"/>
        </w:trPr>
        <w:tc>
          <w:tcPr>
            <w:tcW w:w="0" w:type="auto"/>
            <w:vAlign w:val="bottom"/>
            <w:hideMark/>
          </w:tcPr>
          <w:p w14:paraId="1E0FEFC3" w14:textId="77777777" w:rsidR="00000000" w:rsidRDefault="003C49E9">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noWrap/>
            <w:vAlign w:val="bottom"/>
            <w:hideMark/>
          </w:tcPr>
          <w:p w14:paraId="646DC01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16E16CD" w14:textId="77777777" w:rsidR="00000000" w:rsidRDefault="003C49E9">
            <w:pPr>
              <w:pStyle w:val="a3"/>
              <w:spacing w:before="0" w:beforeAutospacing="0" w:after="0" w:afterAutospacing="0"/>
              <w:jc w:val="right"/>
              <w:rPr>
                <w:sz w:val="20"/>
                <w:szCs w:val="20"/>
              </w:rPr>
            </w:pPr>
            <w:r>
              <w:rPr>
                <w:sz w:val="20"/>
                <w:szCs w:val="20"/>
              </w:rPr>
              <w:t>(</w:t>
            </w:r>
            <w:r>
              <w:rPr>
                <w:sz w:val="20"/>
                <w:szCs w:val="20"/>
              </w:rPr>
              <w:t>1.1</w:t>
            </w:r>
            <w:r>
              <w:rPr>
                <w:sz w:val="20"/>
                <w:szCs w:val="20"/>
              </w:rPr>
              <w:t>8</w:t>
            </w:r>
          </w:p>
        </w:tc>
        <w:tc>
          <w:tcPr>
            <w:tcW w:w="0" w:type="auto"/>
            <w:noWrap/>
            <w:vAlign w:val="bottom"/>
            <w:hideMark/>
          </w:tcPr>
          <w:p w14:paraId="576DB36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687623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2CF808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D822C0E" w14:textId="77777777" w:rsidR="00000000" w:rsidRDefault="003C49E9">
            <w:pPr>
              <w:pStyle w:val="a3"/>
              <w:spacing w:before="0" w:beforeAutospacing="0" w:after="0" w:afterAutospacing="0"/>
              <w:jc w:val="right"/>
              <w:rPr>
                <w:sz w:val="20"/>
                <w:szCs w:val="20"/>
              </w:rPr>
            </w:pPr>
            <w:r>
              <w:rPr>
                <w:sz w:val="20"/>
                <w:szCs w:val="20"/>
              </w:rPr>
              <w:t>(</w:t>
            </w:r>
            <w:r>
              <w:rPr>
                <w:sz w:val="20"/>
                <w:szCs w:val="20"/>
              </w:rPr>
              <w:t>0.5</w:t>
            </w:r>
            <w:r>
              <w:rPr>
                <w:sz w:val="20"/>
                <w:szCs w:val="20"/>
              </w:rPr>
              <w:t>3</w:t>
            </w:r>
          </w:p>
        </w:tc>
        <w:tc>
          <w:tcPr>
            <w:tcW w:w="0" w:type="auto"/>
            <w:noWrap/>
            <w:vAlign w:val="bottom"/>
            <w:hideMark/>
          </w:tcPr>
          <w:p w14:paraId="65E108B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5179F4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646685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61DD3FC" w14:textId="77777777" w:rsidR="00000000" w:rsidRDefault="003C49E9">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noWrap/>
            <w:vAlign w:val="bottom"/>
            <w:hideMark/>
          </w:tcPr>
          <w:p w14:paraId="415A201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98F1A3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1EE228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7AF4765" w14:textId="77777777" w:rsidR="00000000" w:rsidRDefault="003C49E9">
            <w:pPr>
              <w:pStyle w:val="a3"/>
              <w:spacing w:before="0" w:beforeAutospacing="0" w:after="0" w:afterAutospacing="0"/>
              <w:jc w:val="right"/>
              <w:rPr>
                <w:sz w:val="20"/>
                <w:szCs w:val="20"/>
              </w:rPr>
            </w:pPr>
            <w:r>
              <w:rPr>
                <w:sz w:val="20"/>
                <w:szCs w:val="20"/>
              </w:rPr>
              <w:t>(</w:t>
            </w:r>
            <w:r>
              <w:rPr>
                <w:sz w:val="20"/>
                <w:szCs w:val="20"/>
              </w:rPr>
              <w:t>1.0</w:t>
            </w:r>
            <w:r>
              <w:rPr>
                <w:sz w:val="20"/>
                <w:szCs w:val="20"/>
              </w:rPr>
              <w:t>2</w:t>
            </w:r>
          </w:p>
        </w:tc>
        <w:tc>
          <w:tcPr>
            <w:tcW w:w="0" w:type="auto"/>
            <w:noWrap/>
            <w:vAlign w:val="bottom"/>
            <w:hideMark/>
          </w:tcPr>
          <w:p w14:paraId="4A52C9EE" w14:textId="77777777" w:rsidR="00000000" w:rsidRDefault="003C49E9">
            <w:pPr>
              <w:pStyle w:val="a3"/>
              <w:spacing w:before="0" w:beforeAutospacing="0" w:after="0" w:afterAutospacing="0"/>
              <w:rPr>
                <w:sz w:val="20"/>
                <w:szCs w:val="20"/>
              </w:rPr>
            </w:pPr>
            <w:r>
              <w:rPr>
                <w:sz w:val="20"/>
                <w:szCs w:val="20"/>
              </w:rPr>
              <w:t>)</w:t>
            </w:r>
          </w:p>
        </w:tc>
      </w:tr>
    </w:tbl>
    <w:p w14:paraId="1D67DB29" w14:textId="77777777" w:rsidR="00000000" w:rsidRDefault="003C49E9">
      <w:pPr>
        <w:pStyle w:val="a3"/>
        <w:spacing w:before="0" w:beforeAutospacing="0" w:after="0" w:afterAutospacing="0"/>
        <w:divId w:val="1418013870"/>
        <w:rPr>
          <w:sz w:val="20"/>
          <w:szCs w:val="20"/>
        </w:rPr>
      </w:pPr>
      <w:r>
        <w:rPr>
          <w:sz w:val="20"/>
          <w:szCs w:val="20"/>
        </w:rPr>
        <w:t> </w:t>
      </w:r>
    </w:p>
    <w:p w14:paraId="344F67BF" w14:textId="77777777" w:rsidR="00000000" w:rsidRDefault="003C49E9">
      <w:pPr>
        <w:pStyle w:val="a3"/>
        <w:spacing w:before="240" w:beforeAutospacing="0" w:after="0" w:afterAutospacing="0"/>
        <w:jc w:val="center"/>
        <w:divId w:val="1418013870"/>
        <w:rPr>
          <w:sz w:val="20"/>
          <w:szCs w:val="20"/>
        </w:rPr>
      </w:pPr>
      <w:r>
        <w:rPr>
          <w:sz w:val="20"/>
          <w:szCs w:val="20"/>
        </w:rPr>
        <w:t>1</w:t>
      </w:r>
      <w:r>
        <w:rPr>
          <w:sz w:val="20"/>
          <w:szCs w:val="20"/>
        </w:rPr>
        <w:t>2</w:t>
      </w:r>
    </w:p>
    <w:p w14:paraId="654BD889" w14:textId="77777777" w:rsidR="00000000" w:rsidRDefault="003C49E9">
      <w:pPr>
        <w:divId w:val="1418013870"/>
        <w:rPr>
          <w:rFonts w:ascii="Calibri" w:eastAsia="Times New Roman" w:hAnsi="Calibri" w:cs="Calibri"/>
          <w:sz w:val="22"/>
          <w:szCs w:val="22"/>
        </w:rPr>
      </w:pPr>
      <w:r>
        <w:rPr>
          <w:rFonts w:ascii="Calibri" w:eastAsia="Times New Roman" w:hAnsi="Calibri" w:cs="Calibri"/>
          <w:sz w:val="22"/>
          <w:szCs w:val="22"/>
        </w:rPr>
        <w:pict w14:anchorId="363A0789">
          <v:rect id="_x0000_i1036" style="width:0;height:1.5pt" o:hralign="center" o:hrstd="t" o:hr="t" fillcolor="#a0a0a0" stroked="f"/>
        </w:pict>
      </w:r>
    </w:p>
    <w:p w14:paraId="29BEEAEB" w14:textId="77777777" w:rsidR="00000000" w:rsidRDefault="003C49E9">
      <w:pPr>
        <w:pStyle w:val="a3"/>
        <w:spacing w:before="0" w:beforeAutospacing="0" w:after="0" w:afterAutospacing="0"/>
        <w:divId w:val="1418013870"/>
        <w:rPr>
          <w:sz w:val="20"/>
          <w:szCs w:val="20"/>
        </w:rPr>
      </w:pPr>
      <w:r>
        <w:rPr>
          <w:sz w:val="20"/>
          <w:szCs w:val="20"/>
        </w:rPr>
        <w:t> </w:t>
      </w:r>
    </w:p>
    <w:p w14:paraId="1C470979" w14:textId="77777777" w:rsidR="00000000" w:rsidRDefault="003C49E9">
      <w:pPr>
        <w:pStyle w:val="a3"/>
        <w:spacing w:before="240" w:beforeAutospacing="0" w:after="0" w:afterAutospacing="0"/>
        <w:ind w:firstLine="555"/>
        <w:divId w:val="1730877117"/>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w:t>
      </w:r>
      <w:r>
        <w:rPr>
          <w:sz w:val="20"/>
          <w:szCs w:val="20"/>
        </w:rPr>
        <w:t>er the ESPP, as well as the Warrants and Conversion Options were excluded in the calculation of diluted net loss per share as the effect would be anti-dilutive</w:t>
      </w:r>
      <w:r>
        <w:rPr>
          <w:sz w:val="20"/>
          <w:szCs w:val="20"/>
        </w:rPr>
        <w:t>.</w:t>
      </w:r>
    </w:p>
    <w:p w14:paraId="6C432119" w14:textId="77777777" w:rsidR="00000000" w:rsidRDefault="003C49E9">
      <w:pPr>
        <w:pStyle w:val="a3"/>
        <w:spacing w:before="240" w:beforeAutospacing="0" w:after="0" w:afterAutospacing="0"/>
        <w:ind w:firstLine="555"/>
        <w:divId w:val="1730877117"/>
        <w:rPr>
          <w:sz w:val="20"/>
          <w:szCs w:val="20"/>
        </w:rPr>
      </w:pPr>
      <w:r>
        <w:rPr>
          <w:sz w:val="20"/>
          <w:szCs w:val="20"/>
        </w:rPr>
        <w:t>The Company uses the treasury stock method and the average market price per share during the pe</w:t>
      </w:r>
      <w:r>
        <w:rPr>
          <w:sz w:val="20"/>
          <w:szCs w:val="20"/>
        </w:rPr>
        <w:t>riod for calculating any potential dilutive effect of the Warrants. The average stock price for the three months ended June 30, 202</w:t>
      </w:r>
      <w:r>
        <w:rPr>
          <w:sz w:val="20"/>
          <w:szCs w:val="20"/>
        </w:rPr>
        <w:t>2</w:t>
      </w:r>
      <w:r>
        <w:rPr>
          <w:sz w:val="20"/>
          <w:szCs w:val="20"/>
        </w:rPr>
        <w:t xml:space="preserve"> was </w:t>
      </w:r>
      <w:r>
        <w:rPr>
          <w:sz w:val="20"/>
          <w:szCs w:val="20"/>
        </w:rPr>
        <w:t>$</w:t>
      </w:r>
      <w:r>
        <w:rPr>
          <w:sz w:val="20"/>
          <w:szCs w:val="20"/>
        </w:rPr>
        <w:t>365.2</w:t>
      </w:r>
      <w:r>
        <w:rPr>
          <w:sz w:val="20"/>
          <w:szCs w:val="20"/>
        </w:rPr>
        <w:t>1</w:t>
      </w:r>
      <w:r>
        <w:rPr>
          <w:sz w:val="20"/>
          <w:szCs w:val="20"/>
        </w:rPr>
        <w:t xml:space="preserve"> and for the</w:t>
      </w:r>
      <w:r>
        <w:rPr>
          <w:sz w:val="20"/>
          <w:szCs w:val="20"/>
        </w:rPr>
        <w:t xml:space="preserve"> </w:t>
      </w:r>
      <w:r>
        <w:rPr>
          <w:sz w:val="20"/>
          <w:szCs w:val="20"/>
        </w:rPr>
        <w:t>six months ended June 30, 202</w:t>
      </w:r>
      <w:r>
        <w:rPr>
          <w:sz w:val="20"/>
          <w:szCs w:val="20"/>
        </w:rPr>
        <w:t>2</w:t>
      </w:r>
      <w:r>
        <w:rPr>
          <w:sz w:val="20"/>
          <w:szCs w:val="20"/>
        </w:rPr>
        <w:t xml:space="preserve"> was </w:t>
      </w:r>
      <w:r>
        <w:rPr>
          <w:sz w:val="20"/>
          <w:szCs w:val="20"/>
        </w:rPr>
        <w:t>$</w:t>
      </w:r>
      <w:r>
        <w:rPr>
          <w:sz w:val="20"/>
          <w:szCs w:val="20"/>
        </w:rPr>
        <w:t>424.8</w:t>
      </w:r>
      <w:r>
        <w:rPr>
          <w:sz w:val="20"/>
          <w:szCs w:val="20"/>
        </w:rPr>
        <w:t>4</w:t>
      </w:r>
      <w:r>
        <w:rPr>
          <w:sz w:val="20"/>
          <w:szCs w:val="20"/>
        </w:rPr>
        <w:t>. The Company uses the if-converted method when calculati</w:t>
      </w:r>
      <w:r>
        <w:rPr>
          <w:sz w:val="20"/>
          <w:szCs w:val="20"/>
        </w:rPr>
        <w:t>ng any potential dilutive effect of the Conversion Options, which assumes conversion of outstanding convertible securities at the beginning of the reporting period or date of issuance, if the convertible security was issued during the period</w:t>
      </w:r>
      <w:r>
        <w:rPr>
          <w:sz w:val="20"/>
          <w:szCs w:val="20"/>
        </w:rPr>
        <w:t>.</w:t>
      </w:r>
    </w:p>
    <w:p w14:paraId="6659BA7C" w14:textId="77777777" w:rsidR="00000000" w:rsidRDefault="003C49E9">
      <w:pPr>
        <w:pStyle w:val="a3"/>
        <w:spacing w:before="240" w:beforeAutospacing="0" w:after="0" w:afterAutospacing="0"/>
        <w:ind w:firstLine="555"/>
        <w:divId w:val="598411574"/>
        <w:rPr>
          <w:sz w:val="20"/>
          <w:szCs w:val="20"/>
        </w:rPr>
      </w:pPr>
      <w:r>
        <w:rPr>
          <w:sz w:val="20"/>
          <w:szCs w:val="20"/>
        </w:rPr>
        <w:t>The following</w:t>
      </w:r>
      <w:r>
        <w:rPr>
          <w:sz w:val="20"/>
          <w:szCs w:val="20"/>
        </w:rPr>
        <w:t xml:space="preserve"> table contains all potentially dilutive common stock equivalents</w:t>
      </w:r>
      <w:r>
        <w:rPr>
          <w:sz w:val="20"/>
          <w:szCs w:val="20"/>
        </w:rPr>
        <w:t>.</w:t>
      </w:r>
      <w:r>
        <w:rPr>
          <w:sz w:val="20"/>
          <w:szCs w:val="20"/>
        </w:rPr>
        <w:t xml:space="preserve"> </w:t>
      </w:r>
    </w:p>
    <w:p w14:paraId="1B54115F" w14:textId="77777777" w:rsidR="00000000" w:rsidRDefault="003C49E9">
      <w:pPr>
        <w:pStyle w:val="a3"/>
        <w:spacing w:before="40" w:beforeAutospacing="0" w:after="0" w:afterAutospacing="0"/>
        <w:ind w:firstLine="555"/>
        <w:divId w:val="598411574"/>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74"/>
        <w:gridCol w:w="139"/>
        <w:gridCol w:w="110"/>
        <w:gridCol w:w="1066"/>
        <w:gridCol w:w="110"/>
        <w:gridCol w:w="139"/>
        <w:gridCol w:w="110"/>
        <w:gridCol w:w="1072"/>
        <w:gridCol w:w="125"/>
      </w:tblGrid>
      <w:tr w:rsidR="00000000" w14:paraId="5300779A" w14:textId="77777777">
        <w:trPr>
          <w:divId w:val="598411574"/>
          <w:tblCellSpacing w:w="15" w:type="dxa"/>
        </w:trPr>
        <w:tc>
          <w:tcPr>
            <w:tcW w:w="2948" w:type="pct"/>
            <w:vAlign w:val="center"/>
            <w:hideMark/>
          </w:tcPr>
          <w:p w14:paraId="032B39B0" w14:textId="77777777" w:rsidR="00000000" w:rsidRDefault="003C49E9">
            <w:pPr>
              <w:rPr>
                <w:sz w:val="20"/>
                <w:szCs w:val="20"/>
              </w:rPr>
            </w:pPr>
          </w:p>
        </w:tc>
        <w:tc>
          <w:tcPr>
            <w:tcW w:w="96" w:type="pct"/>
            <w:vAlign w:val="center"/>
            <w:hideMark/>
          </w:tcPr>
          <w:p w14:paraId="2C50D60D" w14:textId="77777777" w:rsidR="00000000" w:rsidRDefault="003C49E9">
            <w:pPr>
              <w:rPr>
                <w:rFonts w:eastAsia="Times New Roman"/>
                <w:sz w:val="20"/>
                <w:szCs w:val="20"/>
              </w:rPr>
            </w:pPr>
          </w:p>
        </w:tc>
        <w:tc>
          <w:tcPr>
            <w:tcW w:w="50" w:type="pct"/>
            <w:vAlign w:val="center"/>
            <w:hideMark/>
          </w:tcPr>
          <w:p w14:paraId="343084A5" w14:textId="77777777" w:rsidR="00000000" w:rsidRDefault="003C49E9">
            <w:pPr>
              <w:rPr>
                <w:rFonts w:eastAsia="Times New Roman"/>
                <w:sz w:val="20"/>
                <w:szCs w:val="20"/>
              </w:rPr>
            </w:pPr>
          </w:p>
        </w:tc>
        <w:tc>
          <w:tcPr>
            <w:tcW w:w="827" w:type="pct"/>
            <w:vAlign w:val="center"/>
            <w:hideMark/>
          </w:tcPr>
          <w:p w14:paraId="445D8934" w14:textId="77777777" w:rsidR="00000000" w:rsidRDefault="003C49E9">
            <w:pPr>
              <w:rPr>
                <w:rFonts w:eastAsia="Times New Roman"/>
                <w:sz w:val="20"/>
                <w:szCs w:val="20"/>
              </w:rPr>
            </w:pPr>
          </w:p>
        </w:tc>
        <w:tc>
          <w:tcPr>
            <w:tcW w:w="50" w:type="pct"/>
            <w:vAlign w:val="center"/>
            <w:hideMark/>
          </w:tcPr>
          <w:p w14:paraId="536572DF" w14:textId="77777777" w:rsidR="00000000" w:rsidRDefault="003C49E9">
            <w:pPr>
              <w:rPr>
                <w:rFonts w:eastAsia="Times New Roman"/>
                <w:sz w:val="20"/>
                <w:szCs w:val="20"/>
              </w:rPr>
            </w:pPr>
          </w:p>
        </w:tc>
        <w:tc>
          <w:tcPr>
            <w:tcW w:w="96" w:type="pct"/>
            <w:vAlign w:val="center"/>
            <w:hideMark/>
          </w:tcPr>
          <w:p w14:paraId="75F4ACD3" w14:textId="77777777" w:rsidR="00000000" w:rsidRDefault="003C49E9">
            <w:pPr>
              <w:rPr>
                <w:rFonts w:eastAsia="Times New Roman"/>
                <w:sz w:val="20"/>
                <w:szCs w:val="20"/>
              </w:rPr>
            </w:pPr>
          </w:p>
        </w:tc>
        <w:tc>
          <w:tcPr>
            <w:tcW w:w="50" w:type="pct"/>
            <w:vAlign w:val="center"/>
            <w:hideMark/>
          </w:tcPr>
          <w:p w14:paraId="4697165C" w14:textId="77777777" w:rsidR="00000000" w:rsidRDefault="003C49E9">
            <w:pPr>
              <w:rPr>
                <w:rFonts w:eastAsia="Times New Roman"/>
                <w:sz w:val="20"/>
                <w:szCs w:val="20"/>
              </w:rPr>
            </w:pPr>
          </w:p>
        </w:tc>
        <w:tc>
          <w:tcPr>
            <w:tcW w:w="831" w:type="pct"/>
            <w:vAlign w:val="center"/>
            <w:hideMark/>
          </w:tcPr>
          <w:p w14:paraId="2D419D11" w14:textId="77777777" w:rsidR="00000000" w:rsidRDefault="003C49E9">
            <w:pPr>
              <w:rPr>
                <w:rFonts w:eastAsia="Times New Roman"/>
                <w:sz w:val="20"/>
                <w:szCs w:val="20"/>
              </w:rPr>
            </w:pPr>
          </w:p>
        </w:tc>
        <w:tc>
          <w:tcPr>
            <w:tcW w:w="50" w:type="pct"/>
            <w:vAlign w:val="center"/>
            <w:hideMark/>
          </w:tcPr>
          <w:p w14:paraId="49336041" w14:textId="77777777" w:rsidR="00000000" w:rsidRDefault="003C49E9">
            <w:pPr>
              <w:rPr>
                <w:rFonts w:eastAsia="Times New Roman"/>
                <w:sz w:val="20"/>
                <w:szCs w:val="20"/>
              </w:rPr>
            </w:pPr>
          </w:p>
        </w:tc>
      </w:tr>
      <w:tr w:rsidR="00000000" w14:paraId="42284135" w14:textId="77777777">
        <w:trPr>
          <w:divId w:val="598411574"/>
          <w:trHeight w:val="160"/>
          <w:tblCellSpacing w:w="15" w:type="dxa"/>
        </w:trPr>
        <w:tc>
          <w:tcPr>
            <w:tcW w:w="0" w:type="auto"/>
            <w:vAlign w:val="bottom"/>
            <w:hideMark/>
          </w:tcPr>
          <w:p w14:paraId="53F92E8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97BCEBC"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DB6D146" w14:textId="77777777" w:rsidR="00000000" w:rsidRDefault="003C49E9">
            <w:pPr>
              <w:pStyle w:val="a3"/>
              <w:spacing w:before="0" w:beforeAutospacing="0" w:after="0" w:afterAutospacing="0"/>
              <w:jc w:val="center"/>
              <w:rPr>
                <w:sz w:val="16"/>
                <w:szCs w:val="16"/>
              </w:rPr>
            </w:pPr>
            <w:r>
              <w:rPr>
                <w:b/>
                <w:bCs/>
                <w:sz w:val="16"/>
                <w:szCs w:val="16"/>
              </w:rPr>
              <w:t>As of June 30</w:t>
            </w:r>
            <w:r>
              <w:rPr>
                <w:b/>
                <w:bCs/>
                <w:sz w:val="16"/>
                <w:szCs w:val="16"/>
              </w:rPr>
              <w:t>,</w:t>
            </w:r>
          </w:p>
        </w:tc>
        <w:tc>
          <w:tcPr>
            <w:tcW w:w="0" w:type="auto"/>
            <w:vAlign w:val="bottom"/>
            <w:hideMark/>
          </w:tcPr>
          <w:p w14:paraId="29872F2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54B6FCD" w14:textId="77777777">
        <w:trPr>
          <w:divId w:val="598411574"/>
          <w:trHeight w:val="160"/>
          <w:tblCellSpacing w:w="15" w:type="dxa"/>
        </w:trPr>
        <w:tc>
          <w:tcPr>
            <w:tcW w:w="0" w:type="auto"/>
            <w:vAlign w:val="bottom"/>
            <w:hideMark/>
          </w:tcPr>
          <w:p w14:paraId="1D5A72E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1F61FC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A2D8FF9"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0F9214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07E176E"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05595C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E5EC8D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DB8FEB3" w14:textId="77777777">
        <w:trPr>
          <w:divId w:val="598411574"/>
          <w:trHeight w:val="160"/>
          <w:tblCellSpacing w:w="15" w:type="dxa"/>
        </w:trPr>
        <w:tc>
          <w:tcPr>
            <w:tcW w:w="0" w:type="auto"/>
            <w:vAlign w:val="bottom"/>
            <w:hideMark/>
          </w:tcPr>
          <w:p w14:paraId="7A0CE68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BF3FDAA"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A574716"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14EF92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2E2235A" w14:textId="77777777">
        <w:trPr>
          <w:divId w:val="598411574"/>
          <w:trHeight w:val="200"/>
          <w:tblCellSpacing w:w="15" w:type="dxa"/>
        </w:trPr>
        <w:tc>
          <w:tcPr>
            <w:tcW w:w="0" w:type="auto"/>
            <w:vAlign w:val="bottom"/>
            <w:hideMark/>
          </w:tcPr>
          <w:p w14:paraId="0D0FCEFB" w14:textId="77777777" w:rsidR="00000000" w:rsidRDefault="003C49E9">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14:paraId="32841E4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8A018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66A58CF" w14:textId="77777777" w:rsidR="00000000" w:rsidRDefault="003C49E9">
            <w:pPr>
              <w:pStyle w:val="a3"/>
              <w:spacing w:before="0" w:beforeAutospacing="0" w:after="0" w:afterAutospacing="0"/>
              <w:jc w:val="right"/>
              <w:rPr>
                <w:sz w:val="20"/>
                <w:szCs w:val="20"/>
              </w:rPr>
            </w:pPr>
            <w:r>
              <w:rPr>
                <w:sz w:val="20"/>
                <w:szCs w:val="20"/>
              </w:rPr>
              <w:t>53</w:t>
            </w:r>
            <w:r>
              <w:rPr>
                <w:sz w:val="20"/>
                <w:szCs w:val="20"/>
              </w:rPr>
              <w:t>8</w:t>
            </w:r>
          </w:p>
        </w:tc>
        <w:tc>
          <w:tcPr>
            <w:tcW w:w="0" w:type="auto"/>
            <w:noWrap/>
            <w:vAlign w:val="bottom"/>
            <w:hideMark/>
          </w:tcPr>
          <w:p w14:paraId="68DDEE3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07A45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13895F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DD0D73" w14:textId="77777777" w:rsidR="00000000" w:rsidRDefault="003C49E9">
            <w:pPr>
              <w:pStyle w:val="a3"/>
              <w:spacing w:before="0" w:beforeAutospacing="0" w:after="0" w:afterAutospacing="0"/>
              <w:jc w:val="right"/>
              <w:rPr>
                <w:sz w:val="20"/>
                <w:szCs w:val="20"/>
              </w:rPr>
            </w:pPr>
            <w:r>
              <w:rPr>
                <w:sz w:val="20"/>
                <w:szCs w:val="20"/>
              </w:rPr>
              <w:t>74</w:t>
            </w:r>
            <w:r>
              <w:rPr>
                <w:sz w:val="20"/>
                <w:szCs w:val="20"/>
              </w:rPr>
              <w:t>9</w:t>
            </w:r>
          </w:p>
        </w:tc>
        <w:tc>
          <w:tcPr>
            <w:tcW w:w="0" w:type="auto"/>
            <w:noWrap/>
            <w:vAlign w:val="bottom"/>
            <w:hideMark/>
          </w:tcPr>
          <w:p w14:paraId="5559D8E1" w14:textId="77777777" w:rsidR="00000000" w:rsidRDefault="003C49E9">
            <w:pPr>
              <w:pStyle w:val="a3"/>
              <w:spacing w:before="0" w:beforeAutospacing="0" w:after="0" w:afterAutospacing="0"/>
              <w:rPr>
                <w:sz w:val="20"/>
                <w:szCs w:val="20"/>
              </w:rPr>
            </w:pPr>
            <w:r>
              <w:rPr>
                <w:sz w:val="20"/>
                <w:szCs w:val="20"/>
              </w:rPr>
              <w:t> </w:t>
            </w:r>
          </w:p>
        </w:tc>
      </w:tr>
      <w:tr w:rsidR="00000000" w14:paraId="33113486" w14:textId="77777777">
        <w:trPr>
          <w:divId w:val="598411574"/>
          <w:trHeight w:val="200"/>
          <w:tblCellSpacing w:w="15" w:type="dxa"/>
        </w:trPr>
        <w:tc>
          <w:tcPr>
            <w:tcW w:w="0" w:type="auto"/>
            <w:vAlign w:val="bottom"/>
            <w:hideMark/>
          </w:tcPr>
          <w:p w14:paraId="687317F2" w14:textId="77777777" w:rsidR="00000000" w:rsidRDefault="003C49E9">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14:paraId="226AA09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A090F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E6E73D" w14:textId="77777777" w:rsidR="00000000" w:rsidRDefault="003C49E9">
            <w:pPr>
              <w:pStyle w:val="a3"/>
              <w:spacing w:before="0" w:beforeAutospacing="0" w:after="0" w:afterAutospacing="0"/>
              <w:jc w:val="right"/>
              <w:rPr>
                <w:sz w:val="20"/>
                <w:szCs w:val="20"/>
              </w:rPr>
            </w:pPr>
            <w:r>
              <w:rPr>
                <w:sz w:val="20"/>
                <w:szCs w:val="20"/>
              </w:rPr>
              <w:t>1,47</w:t>
            </w:r>
            <w:r>
              <w:rPr>
                <w:sz w:val="20"/>
                <w:szCs w:val="20"/>
              </w:rPr>
              <w:t>7</w:t>
            </w:r>
          </w:p>
        </w:tc>
        <w:tc>
          <w:tcPr>
            <w:tcW w:w="0" w:type="auto"/>
            <w:noWrap/>
            <w:vAlign w:val="bottom"/>
            <w:hideMark/>
          </w:tcPr>
          <w:p w14:paraId="1E420B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B8FB8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195CFA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4CAF5C" w14:textId="77777777" w:rsidR="00000000" w:rsidRDefault="003C49E9">
            <w:pPr>
              <w:pStyle w:val="a3"/>
              <w:spacing w:before="0" w:beforeAutospacing="0" w:after="0" w:afterAutospacing="0"/>
              <w:jc w:val="right"/>
              <w:rPr>
                <w:sz w:val="20"/>
                <w:szCs w:val="20"/>
              </w:rPr>
            </w:pPr>
            <w:r>
              <w:rPr>
                <w:sz w:val="20"/>
                <w:szCs w:val="20"/>
              </w:rPr>
              <w:t>1,46</w:t>
            </w:r>
            <w:r>
              <w:rPr>
                <w:sz w:val="20"/>
                <w:szCs w:val="20"/>
              </w:rPr>
              <w:t>2</w:t>
            </w:r>
          </w:p>
        </w:tc>
        <w:tc>
          <w:tcPr>
            <w:tcW w:w="0" w:type="auto"/>
            <w:noWrap/>
            <w:vAlign w:val="bottom"/>
            <w:hideMark/>
          </w:tcPr>
          <w:p w14:paraId="57F026E6" w14:textId="77777777" w:rsidR="00000000" w:rsidRDefault="003C49E9">
            <w:pPr>
              <w:pStyle w:val="a3"/>
              <w:spacing w:before="0" w:beforeAutospacing="0" w:after="0" w:afterAutospacing="0"/>
              <w:rPr>
                <w:sz w:val="20"/>
                <w:szCs w:val="20"/>
              </w:rPr>
            </w:pPr>
            <w:r>
              <w:rPr>
                <w:sz w:val="20"/>
                <w:szCs w:val="20"/>
              </w:rPr>
              <w:t> </w:t>
            </w:r>
          </w:p>
        </w:tc>
      </w:tr>
      <w:tr w:rsidR="00000000" w14:paraId="5A26799D" w14:textId="77777777">
        <w:trPr>
          <w:divId w:val="598411574"/>
          <w:trHeight w:val="200"/>
          <w:tblCellSpacing w:w="15" w:type="dxa"/>
        </w:trPr>
        <w:tc>
          <w:tcPr>
            <w:tcW w:w="0" w:type="auto"/>
            <w:vAlign w:val="bottom"/>
            <w:hideMark/>
          </w:tcPr>
          <w:p w14:paraId="3618D2E5" w14:textId="77777777" w:rsidR="00000000" w:rsidRDefault="003C49E9">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14:paraId="715F695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45919C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93DD15D" w14:textId="77777777" w:rsidR="00000000" w:rsidRDefault="003C49E9">
            <w:pPr>
              <w:pStyle w:val="a3"/>
              <w:spacing w:before="0" w:beforeAutospacing="0" w:after="0" w:afterAutospacing="0"/>
              <w:jc w:val="right"/>
              <w:rPr>
                <w:sz w:val="20"/>
                <w:szCs w:val="20"/>
              </w:rPr>
            </w:pPr>
            <w:r>
              <w:rPr>
                <w:sz w:val="20"/>
                <w:szCs w:val="20"/>
              </w:rPr>
              <w:t>1,04</w:t>
            </w:r>
            <w:r>
              <w:rPr>
                <w:sz w:val="20"/>
                <w:szCs w:val="20"/>
              </w:rPr>
              <w:t>9</w:t>
            </w:r>
          </w:p>
        </w:tc>
        <w:tc>
          <w:tcPr>
            <w:tcW w:w="0" w:type="auto"/>
            <w:noWrap/>
            <w:vAlign w:val="bottom"/>
            <w:hideMark/>
          </w:tcPr>
          <w:p w14:paraId="7395A4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E5885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6AB727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529C9E" w14:textId="77777777" w:rsidR="00000000" w:rsidRDefault="003C49E9">
            <w:pPr>
              <w:pStyle w:val="a3"/>
              <w:spacing w:before="0" w:beforeAutospacing="0" w:after="0" w:afterAutospacing="0"/>
              <w:jc w:val="right"/>
              <w:rPr>
                <w:sz w:val="20"/>
                <w:szCs w:val="20"/>
              </w:rPr>
            </w:pPr>
            <w:r>
              <w:rPr>
                <w:sz w:val="20"/>
                <w:szCs w:val="20"/>
              </w:rPr>
              <w:t>1,83</w:t>
            </w:r>
            <w:r>
              <w:rPr>
                <w:sz w:val="20"/>
                <w:szCs w:val="20"/>
              </w:rPr>
              <w:t>0</w:t>
            </w:r>
          </w:p>
        </w:tc>
        <w:tc>
          <w:tcPr>
            <w:tcW w:w="0" w:type="auto"/>
            <w:noWrap/>
            <w:vAlign w:val="bottom"/>
            <w:hideMark/>
          </w:tcPr>
          <w:p w14:paraId="1E4F1006" w14:textId="77777777" w:rsidR="00000000" w:rsidRDefault="003C49E9">
            <w:pPr>
              <w:pStyle w:val="a3"/>
              <w:spacing w:before="0" w:beforeAutospacing="0" w:after="0" w:afterAutospacing="0"/>
              <w:rPr>
                <w:sz w:val="20"/>
                <w:szCs w:val="20"/>
              </w:rPr>
            </w:pPr>
            <w:r>
              <w:rPr>
                <w:sz w:val="20"/>
                <w:szCs w:val="20"/>
              </w:rPr>
              <w:t> </w:t>
            </w:r>
          </w:p>
        </w:tc>
      </w:tr>
      <w:tr w:rsidR="00000000" w14:paraId="44C8FE6C" w14:textId="77777777">
        <w:trPr>
          <w:divId w:val="598411574"/>
          <w:trHeight w:val="200"/>
          <w:tblCellSpacing w:w="15" w:type="dxa"/>
        </w:trPr>
        <w:tc>
          <w:tcPr>
            <w:tcW w:w="0" w:type="auto"/>
            <w:vAlign w:val="bottom"/>
            <w:hideMark/>
          </w:tcPr>
          <w:p w14:paraId="11146829" w14:textId="77777777" w:rsidR="00000000" w:rsidRDefault="003C49E9">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14:paraId="56ECA47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F6F471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065A72" w14:textId="77777777" w:rsidR="00000000" w:rsidRDefault="003C49E9">
            <w:pPr>
              <w:pStyle w:val="a3"/>
              <w:spacing w:before="0" w:beforeAutospacing="0" w:after="0" w:afterAutospacing="0"/>
              <w:jc w:val="right"/>
              <w:rPr>
                <w:sz w:val="20"/>
                <w:szCs w:val="20"/>
              </w:rPr>
            </w:pPr>
            <w:r>
              <w:rPr>
                <w:sz w:val="20"/>
                <w:szCs w:val="20"/>
              </w:rPr>
              <w:t>1,62</w:t>
            </w:r>
            <w:r>
              <w:rPr>
                <w:sz w:val="20"/>
                <w:szCs w:val="20"/>
              </w:rPr>
              <w:t>5</w:t>
            </w:r>
          </w:p>
        </w:tc>
        <w:tc>
          <w:tcPr>
            <w:tcW w:w="0" w:type="auto"/>
            <w:noWrap/>
            <w:vAlign w:val="bottom"/>
            <w:hideMark/>
          </w:tcPr>
          <w:p w14:paraId="3DC8D09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F7BAA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9BF70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5293E8" w14:textId="77777777" w:rsidR="00000000" w:rsidRDefault="003C49E9">
            <w:pPr>
              <w:pStyle w:val="a3"/>
              <w:spacing w:before="0" w:beforeAutospacing="0" w:after="0" w:afterAutospacing="0"/>
              <w:jc w:val="right"/>
              <w:rPr>
                <w:sz w:val="20"/>
                <w:szCs w:val="20"/>
              </w:rPr>
            </w:pPr>
            <w:r>
              <w:rPr>
                <w:sz w:val="20"/>
                <w:szCs w:val="20"/>
              </w:rPr>
              <w:t>66</w:t>
            </w:r>
            <w:r>
              <w:rPr>
                <w:sz w:val="20"/>
                <w:szCs w:val="20"/>
              </w:rPr>
              <w:t>4</w:t>
            </w:r>
          </w:p>
        </w:tc>
        <w:tc>
          <w:tcPr>
            <w:tcW w:w="0" w:type="auto"/>
            <w:noWrap/>
            <w:vAlign w:val="bottom"/>
            <w:hideMark/>
          </w:tcPr>
          <w:p w14:paraId="0B011D2D" w14:textId="77777777" w:rsidR="00000000" w:rsidRDefault="003C49E9">
            <w:pPr>
              <w:pStyle w:val="a3"/>
              <w:spacing w:before="0" w:beforeAutospacing="0" w:after="0" w:afterAutospacing="0"/>
              <w:rPr>
                <w:sz w:val="20"/>
                <w:szCs w:val="20"/>
              </w:rPr>
            </w:pPr>
            <w:r>
              <w:rPr>
                <w:sz w:val="20"/>
                <w:szCs w:val="20"/>
              </w:rPr>
              <w:t> </w:t>
            </w:r>
          </w:p>
        </w:tc>
      </w:tr>
      <w:tr w:rsidR="00000000" w14:paraId="46C1A8F7" w14:textId="77777777">
        <w:trPr>
          <w:divId w:val="598411574"/>
          <w:trHeight w:val="200"/>
          <w:tblCellSpacing w:w="15" w:type="dxa"/>
        </w:trPr>
        <w:tc>
          <w:tcPr>
            <w:tcW w:w="0" w:type="auto"/>
            <w:vAlign w:val="bottom"/>
            <w:hideMark/>
          </w:tcPr>
          <w:p w14:paraId="6DD53C1D" w14:textId="77777777" w:rsidR="00000000" w:rsidRDefault="003C49E9">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14:paraId="28701E4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47038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5F3B8A" w14:textId="77777777" w:rsidR="00000000" w:rsidRDefault="003C49E9">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337C13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0E4E8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1E801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854E37" w14:textId="77777777" w:rsidR="00000000" w:rsidRDefault="003C49E9">
            <w:pPr>
              <w:pStyle w:val="a3"/>
              <w:spacing w:before="0" w:beforeAutospacing="0" w:after="0" w:afterAutospacing="0"/>
              <w:jc w:val="right"/>
              <w:rPr>
                <w:sz w:val="20"/>
                <w:szCs w:val="20"/>
              </w:rPr>
            </w:pPr>
            <w:r>
              <w:rPr>
                <w:sz w:val="20"/>
                <w:szCs w:val="20"/>
              </w:rPr>
              <w:t>8</w:t>
            </w:r>
          </w:p>
        </w:tc>
        <w:tc>
          <w:tcPr>
            <w:tcW w:w="0" w:type="auto"/>
            <w:noWrap/>
            <w:vAlign w:val="bottom"/>
            <w:hideMark/>
          </w:tcPr>
          <w:p w14:paraId="31167CE2" w14:textId="77777777" w:rsidR="00000000" w:rsidRDefault="003C49E9">
            <w:pPr>
              <w:pStyle w:val="a3"/>
              <w:spacing w:before="0" w:beforeAutospacing="0" w:after="0" w:afterAutospacing="0"/>
              <w:rPr>
                <w:sz w:val="20"/>
                <w:szCs w:val="20"/>
              </w:rPr>
            </w:pPr>
            <w:r>
              <w:rPr>
                <w:sz w:val="20"/>
                <w:szCs w:val="20"/>
              </w:rPr>
              <w:t> </w:t>
            </w:r>
          </w:p>
        </w:tc>
      </w:tr>
    </w:tbl>
    <w:p w14:paraId="0E7BF4C9" w14:textId="77777777" w:rsidR="00000000" w:rsidRDefault="003C49E9">
      <w:pPr>
        <w:pStyle w:val="a3"/>
        <w:spacing w:before="0" w:beforeAutospacing="0" w:after="0" w:afterAutospacing="0"/>
        <w:ind w:firstLine="726"/>
        <w:rPr>
          <w:sz w:val="20"/>
          <w:szCs w:val="20"/>
        </w:rPr>
      </w:pPr>
      <w:r>
        <w:rPr>
          <w:sz w:val="20"/>
          <w:szCs w:val="20"/>
        </w:rPr>
        <w:t> </w:t>
      </w:r>
    </w:p>
    <w:p w14:paraId="446A6975" w14:textId="77777777" w:rsidR="00000000" w:rsidRDefault="003C49E9">
      <w:pPr>
        <w:pStyle w:val="a3"/>
        <w:spacing w:before="200" w:beforeAutospacing="0" w:after="0" w:afterAutospacing="0"/>
        <w:divId w:val="2089577374"/>
        <w:rPr>
          <w:sz w:val="20"/>
          <w:szCs w:val="20"/>
        </w:rPr>
      </w:pPr>
      <w:r>
        <w:rPr>
          <w:b/>
          <w:bCs/>
          <w:sz w:val="20"/>
          <w:szCs w:val="20"/>
        </w:rPr>
        <w:t>4. Fair Value of Financial Instrument</w:t>
      </w:r>
      <w:r>
        <w:rPr>
          <w:b/>
          <w:bCs/>
          <w:sz w:val="20"/>
          <w:szCs w:val="20"/>
        </w:rPr>
        <w:t>s</w:t>
      </w:r>
    </w:p>
    <w:p w14:paraId="415C8E50" w14:textId="77777777" w:rsidR="00000000" w:rsidRDefault="003C49E9">
      <w:pPr>
        <w:pStyle w:val="a3"/>
        <w:spacing w:before="200" w:beforeAutospacing="0" w:after="0" w:afterAutospacing="0"/>
        <w:ind w:firstLine="555"/>
        <w:divId w:val="2089577374"/>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r>
        <w:rPr>
          <w:sz w:val="20"/>
          <w:szCs w:val="20"/>
        </w:rPr>
        <w:t>:</w:t>
      </w:r>
    </w:p>
    <w:p w14:paraId="16CC609E" w14:textId="77777777" w:rsidR="00000000" w:rsidRDefault="003C49E9">
      <w:pPr>
        <w:divId w:val="1301379666"/>
        <w:rPr>
          <w:rFonts w:eastAsia="Times New Roman"/>
          <w:sz w:val="20"/>
          <w:szCs w:val="20"/>
        </w:rPr>
      </w:pPr>
      <w:r>
        <w:rPr>
          <w:rFonts w:eastAsia="Times New Roman"/>
          <w:sz w:val="20"/>
          <w:szCs w:val="20"/>
        </w:rPr>
        <w:t>•</w:t>
      </w:r>
    </w:p>
    <w:p w14:paraId="39A340CD" w14:textId="77777777" w:rsidR="00000000" w:rsidRDefault="003C49E9">
      <w:pPr>
        <w:divId w:val="1369064732"/>
        <w:rPr>
          <w:rFonts w:eastAsia="Times New Roman"/>
          <w:sz w:val="20"/>
          <w:szCs w:val="20"/>
        </w:rPr>
      </w:pPr>
      <w:r>
        <w:rPr>
          <w:rFonts w:eastAsia="Times New Roman"/>
          <w:sz w:val="20"/>
          <w:szCs w:val="20"/>
        </w:rPr>
        <w:t>Level 1 — Quoted prices in active markets for identical assets or liab</w:t>
      </w:r>
      <w:r>
        <w:rPr>
          <w:rFonts w:eastAsia="Times New Roman"/>
          <w:sz w:val="20"/>
          <w:szCs w:val="20"/>
        </w:rPr>
        <w:t>ilities</w:t>
      </w:r>
      <w:r>
        <w:rPr>
          <w:rFonts w:eastAsia="Times New Roman"/>
          <w:sz w:val="20"/>
          <w:szCs w:val="20"/>
        </w:rPr>
        <w:t>.</w:t>
      </w:r>
    </w:p>
    <w:p w14:paraId="46F9C32D" w14:textId="77777777" w:rsidR="00000000" w:rsidRDefault="003C49E9">
      <w:pPr>
        <w:divId w:val="378552389"/>
        <w:rPr>
          <w:rFonts w:eastAsia="Times New Roman"/>
          <w:sz w:val="20"/>
          <w:szCs w:val="20"/>
        </w:rPr>
      </w:pPr>
      <w:r>
        <w:rPr>
          <w:rFonts w:eastAsia="Times New Roman"/>
          <w:sz w:val="20"/>
          <w:szCs w:val="20"/>
        </w:rPr>
        <w:t>•</w:t>
      </w:r>
    </w:p>
    <w:p w14:paraId="76C172DB" w14:textId="77777777" w:rsidR="00000000" w:rsidRDefault="003C49E9">
      <w:pPr>
        <w:divId w:val="1110272815"/>
        <w:rPr>
          <w:rFonts w:eastAsia="Times New Roman"/>
          <w:sz w:val="20"/>
          <w:szCs w:val="20"/>
        </w:rPr>
      </w:pPr>
      <w:r>
        <w:rPr>
          <w:rFonts w:eastAsia="Times New Roman"/>
          <w:sz w:val="20"/>
          <w:szCs w:val="20"/>
        </w:rPr>
        <w:t>Level 2 — Observable inputs other than Level 1 prices such as quoted prices for similar assets or liabilities; quoted prices in markets with insufficient volume or infrequent transactions (less active markets); or model-derived valuations in whi</w:t>
      </w:r>
      <w:r>
        <w:rPr>
          <w:rFonts w:eastAsia="Times New Roman"/>
          <w:sz w:val="20"/>
          <w:szCs w:val="20"/>
        </w:rPr>
        <w:t>ch all significant inputs are observable or can be derived principally from or corroborated by observable market data for substantially the full term of the assets or liabilities</w:t>
      </w:r>
      <w:r>
        <w:rPr>
          <w:rFonts w:eastAsia="Times New Roman"/>
          <w:sz w:val="20"/>
          <w:szCs w:val="20"/>
        </w:rPr>
        <w:t>.</w:t>
      </w:r>
    </w:p>
    <w:p w14:paraId="76602FC5" w14:textId="77777777" w:rsidR="00000000" w:rsidRDefault="003C49E9">
      <w:pPr>
        <w:divId w:val="1785077867"/>
        <w:rPr>
          <w:rFonts w:eastAsia="Times New Roman"/>
          <w:sz w:val="20"/>
          <w:szCs w:val="20"/>
        </w:rPr>
      </w:pPr>
      <w:r>
        <w:rPr>
          <w:rFonts w:eastAsia="Times New Roman"/>
          <w:sz w:val="20"/>
          <w:szCs w:val="20"/>
        </w:rPr>
        <w:t>•</w:t>
      </w:r>
    </w:p>
    <w:p w14:paraId="63158E47" w14:textId="77777777" w:rsidR="00000000" w:rsidRDefault="003C49E9">
      <w:pPr>
        <w:divId w:val="708341130"/>
        <w:rPr>
          <w:rFonts w:eastAsia="Times New Roman"/>
          <w:sz w:val="20"/>
          <w:szCs w:val="20"/>
        </w:rPr>
      </w:pPr>
      <w:r>
        <w:rPr>
          <w:rFonts w:eastAsia="Times New Roman"/>
          <w:sz w:val="20"/>
          <w:szCs w:val="20"/>
        </w:rPr>
        <w:t xml:space="preserve">Level 3 — </w:t>
      </w:r>
      <w:r>
        <w:rPr>
          <w:rFonts w:eastAsia="Times New Roman"/>
          <w:sz w:val="20"/>
          <w:szCs w:val="20"/>
        </w:rPr>
        <w:t>Unobservable inputs to the valuation methodology that are significant to the measurement of fair value of assets or liabilities</w:t>
      </w:r>
      <w:r>
        <w:rPr>
          <w:rFonts w:eastAsia="Times New Roman"/>
          <w:sz w:val="20"/>
          <w:szCs w:val="20"/>
        </w:rPr>
        <w:t>.</w:t>
      </w:r>
    </w:p>
    <w:p w14:paraId="4D00216B" w14:textId="77777777" w:rsidR="00000000" w:rsidRDefault="003C49E9">
      <w:pPr>
        <w:pStyle w:val="a3"/>
        <w:spacing w:before="200" w:beforeAutospacing="0" w:after="0" w:afterAutospacing="0"/>
        <w:ind w:firstLine="555"/>
        <w:divId w:val="1692997683"/>
        <w:rPr>
          <w:sz w:val="20"/>
          <w:szCs w:val="20"/>
        </w:rPr>
      </w:pPr>
      <w:r>
        <w:rPr>
          <w:sz w:val="20"/>
          <w:szCs w:val="20"/>
        </w:rPr>
        <w:t>The following table details the fair value measurements within the fair value hierarchy of the Company’s financial assets and l</w:t>
      </w:r>
      <w:r>
        <w:rPr>
          <w:sz w:val="20"/>
          <w:szCs w:val="20"/>
        </w:rPr>
        <w:t>iabilities at</w:t>
      </w:r>
      <w:r>
        <w:rPr>
          <w:sz w:val="20"/>
          <w:szCs w:val="20"/>
        </w:rPr>
        <w:t xml:space="preserve"> </w:t>
      </w:r>
      <w:r>
        <w:rPr>
          <w:sz w:val="20"/>
          <w:szCs w:val="20"/>
        </w:rPr>
        <w:t>June 30, 2022 and December 31, 2021:</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38"/>
        <w:gridCol w:w="110"/>
        <w:gridCol w:w="160"/>
        <w:gridCol w:w="610"/>
        <w:gridCol w:w="110"/>
        <w:gridCol w:w="110"/>
        <w:gridCol w:w="160"/>
        <w:gridCol w:w="860"/>
        <w:gridCol w:w="110"/>
        <w:gridCol w:w="110"/>
        <w:gridCol w:w="161"/>
        <w:gridCol w:w="371"/>
        <w:gridCol w:w="110"/>
        <w:gridCol w:w="110"/>
        <w:gridCol w:w="160"/>
        <w:gridCol w:w="860"/>
        <w:gridCol w:w="125"/>
      </w:tblGrid>
      <w:tr w:rsidR="00000000" w14:paraId="4EC99B6B" w14:textId="77777777">
        <w:trPr>
          <w:divId w:val="1692997683"/>
          <w:tblCellSpacing w:w="15" w:type="dxa"/>
        </w:trPr>
        <w:tc>
          <w:tcPr>
            <w:tcW w:w="2410" w:type="pct"/>
            <w:vAlign w:val="center"/>
            <w:hideMark/>
          </w:tcPr>
          <w:p w14:paraId="190EE7BB" w14:textId="77777777" w:rsidR="00000000" w:rsidRDefault="003C49E9">
            <w:pPr>
              <w:rPr>
                <w:sz w:val="20"/>
                <w:szCs w:val="20"/>
              </w:rPr>
            </w:pPr>
          </w:p>
        </w:tc>
        <w:tc>
          <w:tcPr>
            <w:tcW w:w="69" w:type="pct"/>
            <w:vAlign w:val="center"/>
            <w:hideMark/>
          </w:tcPr>
          <w:p w14:paraId="6BDCACF3" w14:textId="77777777" w:rsidR="00000000" w:rsidRDefault="003C49E9">
            <w:pPr>
              <w:rPr>
                <w:rFonts w:eastAsia="Times New Roman"/>
                <w:sz w:val="20"/>
                <w:szCs w:val="20"/>
              </w:rPr>
            </w:pPr>
          </w:p>
        </w:tc>
        <w:tc>
          <w:tcPr>
            <w:tcW w:w="50" w:type="pct"/>
            <w:vAlign w:val="center"/>
            <w:hideMark/>
          </w:tcPr>
          <w:p w14:paraId="0BE3D314" w14:textId="77777777" w:rsidR="00000000" w:rsidRDefault="003C49E9">
            <w:pPr>
              <w:rPr>
                <w:rFonts w:eastAsia="Times New Roman"/>
                <w:sz w:val="20"/>
                <w:szCs w:val="20"/>
              </w:rPr>
            </w:pPr>
          </w:p>
        </w:tc>
        <w:tc>
          <w:tcPr>
            <w:tcW w:w="437" w:type="pct"/>
            <w:vAlign w:val="center"/>
            <w:hideMark/>
          </w:tcPr>
          <w:p w14:paraId="3E254FDA" w14:textId="77777777" w:rsidR="00000000" w:rsidRDefault="003C49E9">
            <w:pPr>
              <w:rPr>
                <w:rFonts w:eastAsia="Times New Roman"/>
                <w:sz w:val="20"/>
                <w:szCs w:val="20"/>
              </w:rPr>
            </w:pPr>
          </w:p>
        </w:tc>
        <w:tc>
          <w:tcPr>
            <w:tcW w:w="50" w:type="pct"/>
            <w:vAlign w:val="center"/>
            <w:hideMark/>
          </w:tcPr>
          <w:p w14:paraId="387530C4" w14:textId="77777777" w:rsidR="00000000" w:rsidRDefault="003C49E9">
            <w:pPr>
              <w:rPr>
                <w:rFonts w:eastAsia="Times New Roman"/>
                <w:sz w:val="20"/>
                <w:szCs w:val="20"/>
              </w:rPr>
            </w:pPr>
          </w:p>
        </w:tc>
        <w:tc>
          <w:tcPr>
            <w:tcW w:w="62" w:type="pct"/>
            <w:vAlign w:val="center"/>
            <w:hideMark/>
          </w:tcPr>
          <w:p w14:paraId="02DCAF7D" w14:textId="77777777" w:rsidR="00000000" w:rsidRDefault="003C49E9">
            <w:pPr>
              <w:rPr>
                <w:rFonts w:eastAsia="Times New Roman"/>
                <w:sz w:val="20"/>
                <w:szCs w:val="20"/>
              </w:rPr>
            </w:pPr>
          </w:p>
        </w:tc>
        <w:tc>
          <w:tcPr>
            <w:tcW w:w="50" w:type="pct"/>
            <w:vAlign w:val="center"/>
            <w:hideMark/>
          </w:tcPr>
          <w:p w14:paraId="6745118B" w14:textId="77777777" w:rsidR="00000000" w:rsidRDefault="003C49E9">
            <w:pPr>
              <w:rPr>
                <w:rFonts w:eastAsia="Times New Roman"/>
                <w:sz w:val="20"/>
                <w:szCs w:val="20"/>
              </w:rPr>
            </w:pPr>
          </w:p>
        </w:tc>
        <w:tc>
          <w:tcPr>
            <w:tcW w:w="438" w:type="pct"/>
            <w:vAlign w:val="center"/>
            <w:hideMark/>
          </w:tcPr>
          <w:p w14:paraId="5FBEF81C" w14:textId="77777777" w:rsidR="00000000" w:rsidRDefault="003C49E9">
            <w:pPr>
              <w:rPr>
                <w:rFonts w:eastAsia="Times New Roman"/>
                <w:sz w:val="20"/>
                <w:szCs w:val="20"/>
              </w:rPr>
            </w:pPr>
          </w:p>
        </w:tc>
        <w:tc>
          <w:tcPr>
            <w:tcW w:w="50" w:type="pct"/>
            <w:vAlign w:val="center"/>
            <w:hideMark/>
          </w:tcPr>
          <w:p w14:paraId="3C412942" w14:textId="77777777" w:rsidR="00000000" w:rsidRDefault="003C49E9">
            <w:pPr>
              <w:rPr>
                <w:rFonts w:eastAsia="Times New Roman"/>
                <w:sz w:val="20"/>
                <w:szCs w:val="20"/>
              </w:rPr>
            </w:pPr>
          </w:p>
        </w:tc>
        <w:tc>
          <w:tcPr>
            <w:tcW w:w="62" w:type="pct"/>
            <w:vAlign w:val="center"/>
            <w:hideMark/>
          </w:tcPr>
          <w:p w14:paraId="2AD88FB6" w14:textId="77777777" w:rsidR="00000000" w:rsidRDefault="003C49E9">
            <w:pPr>
              <w:rPr>
                <w:rFonts w:eastAsia="Times New Roman"/>
                <w:sz w:val="20"/>
                <w:szCs w:val="20"/>
              </w:rPr>
            </w:pPr>
          </w:p>
        </w:tc>
        <w:tc>
          <w:tcPr>
            <w:tcW w:w="50" w:type="pct"/>
            <w:vAlign w:val="center"/>
            <w:hideMark/>
          </w:tcPr>
          <w:p w14:paraId="510DFE93" w14:textId="77777777" w:rsidR="00000000" w:rsidRDefault="003C49E9">
            <w:pPr>
              <w:rPr>
                <w:rFonts w:eastAsia="Times New Roman"/>
                <w:sz w:val="20"/>
                <w:szCs w:val="20"/>
              </w:rPr>
            </w:pPr>
          </w:p>
        </w:tc>
        <w:tc>
          <w:tcPr>
            <w:tcW w:w="527" w:type="pct"/>
            <w:vAlign w:val="center"/>
            <w:hideMark/>
          </w:tcPr>
          <w:p w14:paraId="20EC35DB" w14:textId="77777777" w:rsidR="00000000" w:rsidRDefault="003C49E9">
            <w:pPr>
              <w:rPr>
                <w:rFonts w:eastAsia="Times New Roman"/>
                <w:sz w:val="20"/>
                <w:szCs w:val="20"/>
              </w:rPr>
            </w:pPr>
          </w:p>
        </w:tc>
        <w:tc>
          <w:tcPr>
            <w:tcW w:w="50" w:type="pct"/>
            <w:vAlign w:val="center"/>
            <w:hideMark/>
          </w:tcPr>
          <w:p w14:paraId="20DACDFB" w14:textId="77777777" w:rsidR="00000000" w:rsidRDefault="003C49E9">
            <w:pPr>
              <w:rPr>
                <w:rFonts w:eastAsia="Times New Roman"/>
                <w:sz w:val="20"/>
                <w:szCs w:val="20"/>
              </w:rPr>
            </w:pPr>
          </w:p>
        </w:tc>
        <w:tc>
          <w:tcPr>
            <w:tcW w:w="62" w:type="pct"/>
            <w:vAlign w:val="center"/>
            <w:hideMark/>
          </w:tcPr>
          <w:p w14:paraId="051CCB3D" w14:textId="77777777" w:rsidR="00000000" w:rsidRDefault="003C49E9">
            <w:pPr>
              <w:rPr>
                <w:rFonts w:eastAsia="Times New Roman"/>
                <w:sz w:val="20"/>
                <w:szCs w:val="20"/>
              </w:rPr>
            </w:pPr>
          </w:p>
        </w:tc>
        <w:tc>
          <w:tcPr>
            <w:tcW w:w="50" w:type="pct"/>
            <w:vAlign w:val="center"/>
            <w:hideMark/>
          </w:tcPr>
          <w:p w14:paraId="3CAD875A" w14:textId="77777777" w:rsidR="00000000" w:rsidRDefault="003C49E9">
            <w:pPr>
              <w:rPr>
                <w:rFonts w:eastAsia="Times New Roman"/>
                <w:sz w:val="20"/>
                <w:szCs w:val="20"/>
              </w:rPr>
            </w:pPr>
          </w:p>
        </w:tc>
        <w:tc>
          <w:tcPr>
            <w:tcW w:w="528" w:type="pct"/>
            <w:vAlign w:val="center"/>
            <w:hideMark/>
          </w:tcPr>
          <w:p w14:paraId="682E5744" w14:textId="77777777" w:rsidR="00000000" w:rsidRDefault="003C49E9">
            <w:pPr>
              <w:rPr>
                <w:rFonts w:eastAsia="Times New Roman"/>
                <w:sz w:val="20"/>
                <w:szCs w:val="20"/>
              </w:rPr>
            </w:pPr>
          </w:p>
        </w:tc>
        <w:tc>
          <w:tcPr>
            <w:tcW w:w="50" w:type="pct"/>
            <w:vAlign w:val="center"/>
            <w:hideMark/>
          </w:tcPr>
          <w:p w14:paraId="54D6C828" w14:textId="77777777" w:rsidR="00000000" w:rsidRDefault="003C49E9">
            <w:pPr>
              <w:rPr>
                <w:rFonts w:eastAsia="Times New Roman"/>
                <w:sz w:val="20"/>
                <w:szCs w:val="20"/>
              </w:rPr>
            </w:pPr>
          </w:p>
        </w:tc>
      </w:tr>
      <w:tr w:rsidR="00000000" w14:paraId="3FF3EA2E" w14:textId="77777777">
        <w:trPr>
          <w:divId w:val="1692997683"/>
          <w:trHeight w:val="160"/>
          <w:tblCellSpacing w:w="15" w:type="dxa"/>
        </w:trPr>
        <w:tc>
          <w:tcPr>
            <w:tcW w:w="0" w:type="auto"/>
            <w:vAlign w:val="bottom"/>
            <w:hideMark/>
          </w:tcPr>
          <w:p w14:paraId="275C3F8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8FCCCFF"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35510EA8"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01AC097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3572379" w14:textId="77777777">
        <w:trPr>
          <w:divId w:val="1692997683"/>
          <w:trHeight w:val="160"/>
          <w:tblCellSpacing w:w="15" w:type="dxa"/>
        </w:trPr>
        <w:tc>
          <w:tcPr>
            <w:tcW w:w="0" w:type="auto"/>
            <w:vAlign w:val="bottom"/>
            <w:hideMark/>
          </w:tcPr>
          <w:p w14:paraId="0B6BB94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EAFF671"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7F8E2D7B"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14:paraId="0C73BF1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F77D06B"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2836FA3"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14:paraId="475EA71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53D064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125D0D7"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14:paraId="02C9B12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E9E1856"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21855B0" w14:textId="77777777" w:rsidR="00000000" w:rsidRDefault="003C49E9">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5A9C257D"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8CDABC5" w14:textId="77777777">
        <w:trPr>
          <w:divId w:val="1692997683"/>
          <w:trHeight w:val="160"/>
          <w:tblCellSpacing w:w="15" w:type="dxa"/>
        </w:trPr>
        <w:tc>
          <w:tcPr>
            <w:tcW w:w="0" w:type="auto"/>
            <w:vAlign w:val="bottom"/>
            <w:hideMark/>
          </w:tcPr>
          <w:p w14:paraId="30F8A47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DCB067B"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00C489EF"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EEC42DC"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436FCB1" w14:textId="77777777">
        <w:trPr>
          <w:divId w:val="1692997683"/>
          <w:trHeight w:val="200"/>
          <w:tblCellSpacing w:w="15" w:type="dxa"/>
        </w:trPr>
        <w:tc>
          <w:tcPr>
            <w:tcW w:w="0" w:type="auto"/>
            <w:vAlign w:val="bottom"/>
            <w:hideMark/>
          </w:tcPr>
          <w:p w14:paraId="25436C3D" w14:textId="77777777" w:rsidR="00000000" w:rsidRDefault="003C49E9">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14:paraId="269C1CD1"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E0A460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2DFA75"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DEE5696"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B7C8A8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3DBA60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C7C2DFB"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2FCEA2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B07AB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C60AB6D"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39D52A1"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577E91E"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8A958E6" w14:textId="77777777">
        <w:trPr>
          <w:divId w:val="1692997683"/>
          <w:trHeight w:val="200"/>
          <w:tblCellSpacing w:w="15" w:type="dxa"/>
        </w:trPr>
        <w:tc>
          <w:tcPr>
            <w:tcW w:w="0" w:type="auto"/>
            <w:vAlign w:val="bottom"/>
            <w:hideMark/>
          </w:tcPr>
          <w:p w14:paraId="4C88CF24" w14:textId="77777777" w:rsidR="00000000" w:rsidRDefault="003C49E9">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14:paraId="377F84C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216757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2A4B9D6" w14:textId="77777777" w:rsidR="00000000" w:rsidRDefault="003C49E9">
            <w:pPr>
              <w:pStyle w:val="a3"/>
              <w:spacing w:before="0" w:beforeAutospacing="0" w:after="0" w:afterAutospacing="0"/>
              <w:jc w:val="right"/>
              <w:rPr>
                <w:sz w:val="20"/>
                <w:szCs w:val="20"/>
              </w:rPr>
            </w:pPr>
            <w:r>
              <w:rPr>
                <w:sz w:val="20"/>
                <w:szCs w:val="20"/>
              </w:rPr>
              <w:t>17,73</w:t>
            </w:r>
            <w:r>
              <w:rPr>
                <w:sz w:val="20"/>
                <w:szCs w:val="20"/>
              </w:rPr>
              <w:t>8</w:t>
            </w:r>
          </w:p>
        </w:tc>
        <w:tc>
          <w:tcPr>
            <w:tcW w:w="0" w:type="auto"/>
            <w:noWrap/>
            <w:vAlign w:val="bottom"/>
            <w:hideMark/>
          </w:tcPr>
          <w:p w14:paraId="247A00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69DD8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364DBF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F583F45"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780030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01BA0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E4B64A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D606182"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5899D2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B5ED4B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013010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41BBBF2" w14:textId="77777777" w:rsidR="00000000" w:rsidRDefault="003C49E9">
            <w:pPr>
              <w:pStyle w:val="a3"/>
              <w:spacing w:before="0" w:beforeAutospacing="0" w:after="0" w:afterAutospacing="0"/>
              <w:jc w:val="right"/>
              <w:rPr>
                <w:sz w:val="20"/>
                <w:szCs w:val="20"/>
              </w:rPr>
            </w:pPr>
            <w:r>
              <w:rPr>
                <w:sz w:val="20"/>
                <w:szCs w:val="20"/>
              </w:rPr>
              <w:t>17,73</w:t>
            </w:r>
            <w:r>
              <w:rPr>
                <w:sz w:val="20"/>
                <w:szCs w:val="20"/>
              </w:rPr>
              <w:t>8</w:t>
            </w:r>
          </w:p>
        </w:tc>
        <w:tc>
          <w:tcPr>
            <w:tcW w:w="0" w:type="auto"/>
            <w:noWrap/>
            <w:vAlign w:val="bottom"/>
            <w:hideMark/>
          </w:tcPr>
          <w:p w14:paraId="0705E831" w14:textId="77777777" w:rsidR="00000000" w:rsidRDefault="003C49E9">
            <w:pPr>
              <w:pStyle w:val="a3"/>
              <w:spacing w:before="0" w:beforeAutospacing="0" w:after="0" w:afterAutospacing="0"/>
              <w:rPr>
                <w:sz w:val="20"/>
                <w:szCs w:val="20"/>
              </w:rPr>
            </w:pPr>
            <w:r>
              <w:rPr>
                <w:sz w:val="20"/>
                <w:szCs w:val="20"/>
              </w:rPr>
              <w:t> </w:t>
            </w:r>
          </w:p>
        </w:tc>
      </w:tr>
      <w:tr w:rsidR="00000000" w14:paraId="5E034C97" w14:textId="77777777">
        <w:trPr>
          <w:divId w:val="1692997683"/>
          <w:trHeight w:val="200"/>
          <w:tblCellSpacing w:w="15" w:type="dxa"/>
        </w:trPr>
        <w:tc>
          <w:tcPr>
            <w:tcW w:w="0" w:type="auto"/>
            <w:vAlign w:val="bottom"/>
            <w:hideMark/>
          </w:tcPr>
          <w:p w14:paraId="63C432C3" w14:textId="77777777" w:rsidR="00000000" w:rsidRDefault="003C49E9">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14:paraId="78DC606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96BD3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91F569"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280AB9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438FC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3F0A4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1E00A37" w14:textId="77777777" w:rsidR="00000000" w:rsidRDefault="003C49E9">
            <w:pPr>
              <w:pStyle w:val="a3"/>
              <w:spacing w:before="0" w:beforeAutospacing="0" w:after="0" w:afterAutospacing="0"/>
              <w:jc w:val="right"/>
              <w:rPr>
                <w:sz w:val="20"/>
                <w:szCs w:val="20"/>
              </w:rPr>
            </w:pPr>
            <w:r>
              <w:rPr>
                <w:sz w:val="20"/>
                <w:szCs w:val="20"/>
              </w:rPr>
              <w:t>25,62</w:t>
            </w:r>
            <w:r>
              <w:rPr>
                <w:sz w:val="20"/>
                <w:szCs w:val="20"/>
              </w:rPr>
              <w:t>9</w:t>
            </w:r>
          </w:p>
        </w:tc>
        <w:tc>
          <w:tcPr>
            <w:tcW w:w="0" w:type="auto"/>
            <w:noWrap/>
            <w:vAlign w:val="bottom"/>
            <w:hideMark/>
          </w:tcPr>
          <w:p w14:paraId="1AF4B10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392E1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AA178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5644FB"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4A112F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61A05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651FBA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3131A1" w14:textId="77777777" w:rsidR="00000000" w:rsidRDefault="003C49E9">
            <w:pPr>
              <w:pStyle w:val="a3"/>
              <w:spacing w:before="0" w:beforeAutospacing="0" w:after="0" w:afterAutospacing="0"/>
              <w:jc w:val="right"/>
              <w:rPr>
                <w:sz w:val="20"/>
                <w:szCs w:val="20"/>
              </w:rPr>
            </w:pPr>
            <w:r>
              <w:rPr>
                <w:sz w:val="20"/>
                <w:szCs w:val="20"/>
              </w:rPr>
              <w:t>25,62</w:t>
            </w:r>
            <w:r>
              <w:rPr>
                <w:sz w:val="20"/>
                <w:szCs w:val="20"/>
              </w:rPr>
              <w:t>9</w:t>
            </w:r>
          </w:p>
        </w:tc>
        <w:tc>
          <w:tcPr>
            <w:tcW w:w="0" w:type="auto"/>
            <w:noWrap/>
            <w:vAlign w:val="bottom"/>
            <w:hideMark/>
          </w:tcPr>
          <w:p w14:paraId="4449CB26" w14:textId="77777777" w:rsidR="00000000" w:rsidRDefault="003C49E9">
            <w:pPr>
              <w:pStyle w:val="a3"/>
              <w:spacing w:before="0" w:beforeAutospacing="0" w:after="0" w:afterAutospacing="0"/>
              <w:rPr>
                <w:sz w:val="20"/>
                <w:szCs w:val="20"/>
              </w:rPr>
            </w:pPr>
            <w:r>
              <w:rPr>
                <w:sz w:val="20"/>
                <w:szCs w:val="20"/>
              </w:rPr>
              <w:t> </w:t>
            </w:r>
          </w:p>
        </w:tc>
      </w:tr>
      <w:tr w:rsidR="00000000" w14:paraId="47F8C7DA" w14:textId="77777777">
        <w:trPr>
          <w:divId w:val="1692997683"/>
          <w:trHeight w:val="200"/>
          <w:tblCellSpacing w:w="15" w:type="dxa"/>
        </w:trPr>
        <w:tc>
          <w:tcPr>
            <w:tcW w:w="0" w:type="auto"/>
            <w:vAlign w:val="bottom"/>
            <w:hideMark/>
          </w:tcPr>
          <w:p w14:paraId="3F9E2A40" w14:textId="77777777" w:rsidR="00000000" w:rsidRDefault="003C49E9">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14:paraId="31C7BA9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64DBE1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8281FF"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4CC2075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A9FE66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355C7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E444F0" w14:textId="77777777" w:rsidR="00000000" w:rsidRDefault="003C49E9">
            <w:pPr>
              <w:pStyle w:val="a3"/>
              <w:spacing w:before="0" w:beforeAutospacing="0" w:after="0" w:afterAutospacing="0"/>
              <w:jc w:val="right"/>
              <w:rPr>
                <w:sz w:val="20"/>
                <w:szCs w:val="20"/>
              </w:rPr>
            </w:pPr>
            <w:r>
              <w:rPr>
                <w:sz w:val="20"/>
                <w:szCs w:val="20"/>
              </w:rPr>
              <w:t>250,93</w:t>
            </w:r>
            <w:r>
              <w:rPr>
                <w:sz w:val="20"/>
                <w:szCs w:val="20"/>
              </w:rPr>
              <w:t>9</w:t>
            </w:r>
          </w:p>
        </w:tc>
        <w:tc>
          <w:tcPr>
            <w:tcW w:w="0" w:type="auto"/>
            <w:noWrap/>
            <w:vAlign w:val="bottom"/>
            <w:hideMark/>
          </w:tcPr>
          <w:p w14:paraId="1C3583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09718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155B8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8DA916"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059C95C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32A8C3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253130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0D8140" w14:textId="77777777" w:rsidR="00000000" w:rsidRDefault="003C49E9">
            <w:pPr>
              <w:pStyle w:val="a3"/>
              <w:spacing w:before="0" w:beforeAutospacing="0" w:after="0" w:afterAutospacing="0"/>
              <w:jc w:val="right"/>
              <w:rPr>
                <w:sz w:val="20"/>
                <w:szCs w:val="20"/>
              </w:rPr>
            </w:pPr>
            <w:r>
              <w:rPr>
                <w:sz w:val="20"/>
                <w:szCs w:val="20"/>
              </w:rPr>
              <w:t>250,93</w:t>
            </w:r>
            <w:r>
              <w:rPr>
                <w:sz w:val="20"/>
                <w:szCs w:val="20"/>
              </w:rPr>
              <w:t>9</w:t>
            </w:r>
          </w:p>
        </w:tc>
        <w:tc>
          <w:tcPr>
            <w:tcW w:w="0" w:type="auto"/>
            <w:noWrap/>
            <w:vAlign w:val="bottom"/>
            <w:hideMark/>
          </w:tcPr>
          <w:p w14:paraId="39247DBF" w14:textId="77777777" w:rsidR="00000000" w:rsidRDefault="003C49E9">
            <w:pPr>
              <w:pStyle w:val="a3"/>
              <w:spacing w:before="0" w:beforeAutospacing="0" w:after="0" w:afterAutospacing="0"/>
              <w:rPr>
                <w:sz w:val="20"/>
                <w:szCs w:val="20"/>
              </w:rPr>
            </w:pPr>
            <w:r>
              <w:rPr>
                <w:sz w:val="20"/>
                <w:szCs w:val="20"/>
              </w:rPr>
              <w:t> </w:t>
            </w:r>
          </w:p>
        </w:tc>
      </w:tr>
      <w:tr w:rsidR="00000000" w14:paraId="2696AF57" w14:textId="77777777">
        <w:trPr>
          <w:divId w:val="1692997683"/>
          <w:trHeight w:val="200"/>
          <w:tblCellSpacing w:w="15" w:type="dxa"/>
        </w:trPr>
        <w:tc>
          <w:tcPr>
            <w:tcW w:w="0" w:type="auto"/>
            <w:vAlign w:val="bottom"/>
            <w:hideMark/>
          </w:tcPr>
          <w:p w14:paraId="2E17CA44" w14:textId="77777777" w:rsidR="00000000" w:rsidRDefault="003C49E9">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14:paraId="61B764E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3A6AF5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A2342A"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5B7FDA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8A098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09CDD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E00210" w14:textId="77777777" w:rsidR="00000000" w:rsidRDefault="003C49E9">
            <w:pPr>
              <w:pStyle w:val="a3"/>
              <w:spacing w:before="0" w:beforeAutospacing="0" w:after="0" w:afterAutospacing="0"/>
              <w:jc w:val="right"/>
              <w:rPr>
                <w:sz w:val="20"/>
                <w:szCs w:val="20"/>
              </w:rPr>
            </w:pPr>
            <w:r>
              <w:rPr>
                <w:sz w:val="20"/>
                <w:szCs w:val="20"/>
              </w:rPr>
              <w:t>35,37</w:t>
            </w:r>
            <w:r>
              <w:rPr>
                <w:sz w:val="20"/>
                <w:szCs w:val="20"/>
              </w:rPr>
              <w:t>8</w:t>
            </w:r>
          </w:p>
        </w:tc>
        <w:tc>
          <w:tcPr>
            <w:tcW w:w="0" w:type="auto"/>
            <w:noWrap/>
            <w:vAlign w:val="bottom"/>
            <w:hideMark/>
          </w:tcPr>
          <w:p w14:paraId="18BC13A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4AC07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8C6640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F94A39"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FA1551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49856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E90AA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E5D1F0" w14:textId="77777777" w:rsidR="00000000" w:rsidRDefault="003C49E9">
            <w:pPr>
              <w:pStyle w:val="a3"/>
              <w:spacing w:before="0" w:beforeAutospacing="0" w:after="0" w:afterAutospacing="0"/>
              <w:jc w:val="right"/>
              <w:rPr>
                <w:sz w:val="20"/>
                <w:szCs w:val="20"/>
              </w:rPr>
            </w:pPr>
            <w:r>
              <w:rPr>
                <w:sz w:val="20"/>
                <w:szCs w:val="20"/>
              </w:rPr>
              <w:t>35,37</w:t>
            </w:r>
            <w:r>
              <w:rPr>
                <w:sz w:val="20"/>
                <w:szCs w:val="20"/>
              </w:rPr>
              <w:t>8</w:t>
            </w:r>
          </w:p>
        </w:tc>
        <w:tc>
          <w:tcPr>
            <w:tcW w:w="0" w:type="auto"/>
            <w:noWrap/>
            <w:vAlign w:val="bottom"/>
            <w:hideMark/>
          </w:tcPr>
          <w:p w14:paraId="41B3B795" w14:textId="77777777" w:rsidR="00000000" w:rsidRDefault="003C49E9">
            <w:pPr>
              <w:pStyle w:val="a3"/>
              <w:spacing w:before="0" w:beforeAutospacing="0" w:after="0" w:afterAutospacing="0"/>
              <w:rPr>
                <w:sz w:val="20"/>
                <w:szCs w:val="20"/>
              </w:rPr>
            </w:pPr>
            <w:r>
              <w:rPr>
                <w:sz w:val="20"/>
                <w:szCs w:val="20"/>
              </w:rPr>
              <w:t> </w:t>
            </w:r>
          </w:p>
        </w:tc>
      </w:tr>
      <w:tr w:rsidR="00000000" w14:paraId="389B47DB" w14:textId="77777777">
        <w:trPr>
          <w:divId w:val="1692997683"/>
          <w:trHeight w:val="200"/>
          <w:tblCellSpacing w:w="15" w:type="dxa"/>
        </w:trPr>
        <w:tc>
          <w:tcPr>
            <w:tcW w:w="0" w:type="auto"/>
            <w:vAlign w:val="bottom"/>
            <w:hideMark/>
          </w:tcPr>
          <w:p w14:paraId="7DD158C5" w14:textId="77777777" w:rsidR="00000000" w:rsidRDefault="003C49E9">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14:paraId="6347784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7DEE9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DBD4B46"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1FD8D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727760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FE6AA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F391B06" w14:textId="77777777" w:rsidR="00000000" w:rsidRDefault="003C49E9">
            <w:pPr>
              <w:pStyle w:val="a3"/>
              <w:spacing w:before="0" w:beforeAutospacing="0" w:after="0" w:afterAutospacing="0"/>
              <w:jc w:val="right"/>
              <w:rPr>
                <w:sz w:val="20"/>
                <w:szCs w:val="20"/>
              </w:rPr>
            </w:pPr>
            <w:r>
              <w:rPr>
                <w:sz w:val="20"/>
                <w:szCs w:val="20"/>
              </w:rPr>
              <w:t>791,09</w:t>
            </w:r>
            <w:r>
              <w:rPr>
                <w:sz w:val="20"/>
                <w:szCs w:val="20"/>
              </w:rPr>
              <w:t>3</w:t>
            </w:r>
          </w:p>
        </w:tc>
        <w:tc>
          <w:tcPr>
            <w:tcW w:w="0" w:type="auto"/>
            <w:noWrap/>
            <w:vAlign w:val="bottom"/>
            <w:hideMark/>
          </w:tcPr>
          <w:p w14:paraId="0CCE7A7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3DE7E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9F732C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631725"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37B91A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906C4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D9665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BD5EE3" w14:textId="77777777" w:rsidR="00000000" w:rsidRDefault="003C49E9">
            <w:pPr>
              <w:pStyle w:val="a3"/>
              <w:spacing w:before="0" w:beforeAutospacing="0" w:after="0" w:afterAutospacing="0"/>
              <w:jc w:val="right"/>
              <w:rPr>
                <w:sz w:val="20"/>
                <w:szCs w:val="20"/>
              </w:rPr>
            </w:pPr>
            <w:r>
              <w:rPr>
                <w:sz w:val="20"/>
                <w:szCs w:val="20"/>
              </w:rPr>
              <w:t>791,09</w:t>
            </w:r>
            <w:r>
              <w:rPr>
                <w:sz w:val="20"/>
                <w:szCs w:val="20"/>
              </w:rPr>
              <w:t>3</w:t>
            </w:r>
          </w:p>
        </w:tc>
        <w:tc>
          <w:tcPr>
            <w:tcW w:w="0" w:type="auto"/>
            <w:noWrap/>
            <w:vAlign w:val="bottom"/>
            <w:hideMark/>
          </w:tcPr>
          <w:p w14:paraId="04EDF9F8" w14:textId="77777777" w:rsidR="00000000" w:rsidRDefault="003C49E9">
            <w:pPr>
              <w:pStyle w:val="a3"/>
              <w:spacing w:before="0" w:beforeAutospacing="0" w:after="0" w:afterAutospacing="0"/>
              <w:rPr>
                <w:sz w:val="20"/>
                <w:szCs w:val="20"/>
              </w:rPr>
            </w:pPr>
            <w:r>
              <w:rPr>
                <w:sz w:val="20"/>
                <w:szCs w:val="20"/>
              </w:rPr>
              <w:t> </w:t>
            </w:r>
          </w:p>
        </w:tc>
      </w:tr>
      <w:tr w:rsidR="00000000" w14:paraId="68270CF5" w14:textId="77777777">
        <w:trPr>
          <w:divId w:val="1692997683"/>
          <w:trHeight w:val="200"/>
          <w:tblCellSpacing w:w="15" w:type="dxa"/>
        </w:trPr>
        <w:tc>
          <w:tcPr>
            <w:tcW w:w="0" w:type="auto"/>
            <w:vAlign w:val="bottom"/>
            <w:hideMark/>
          </w:tcPr>
          <w:p w14:paraId="38206F35" w14:textId="77777777" w:rsidR="00000000" w:rsidRDefault="003C49E9">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14:paraId="4F570524"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86D1B7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CC3282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5E73E8D"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357627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A6A494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A88EF0C"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2476E3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95ADE3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E0B8EFD"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C797AC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683786" w14:textId="77777777" w:rsidR="00000000" w:rsidRDefault="003C49E9">
            <w:pPr>
              <w:pStyle w:val="a3"/>
              <w:spacing w:before="0" w:beforeAutospacing="0" w:after="0" w:afterAutospacing="0"/>
              <w:jc w:val="right"/>
              <w:rPr>
                <w:sz w:val="20"/>
                <w:szCs w:val="20"/>
              </w:rPr>
            </w:pPr>
            <w:r>
              <w:rPr>
                <w:sz w:val="20"/>
                <w:szCs w:val="20"/>
              </w:rPr>
              <w:t> </w:t>
            </w:r>
          </w:p>
        </w:tc>
      </w:tr>
      <w:tr w:rsidR="00000000" w14:paraId="73456296" w14:textId="77777777">
        <w:trPr>
          <w:divId w:val="1692997683"/>
          <w:trHeight w:val="200"/>
          <w:tblCellSpacing w:w="15" w:type="dxa"/>
        </w:trPr>
        <w:tc>
          <w:tcPr>
            <w:tcW w:w="0" w:type="auto"/>
            <w:vAlign w:val="bottom"/>
            <w:hideMark/>
          </w:tcPr>
          <w:p w14:paraId="3D2907D1" w14:textId="77777777" w:rsidR="00000000" w:rsidRDefault="003C49E9">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14:paraId="6A1DBD9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1FEE31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5B64D0"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F376FE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CCBEF5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6AAC0D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B3D954"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31A56FB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BA9CA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18E4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04B0F1"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2904DE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D7A86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E63D5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FE986C"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002A5682" w14:textId="77777777" w:rsidR="00000000" w:rsidRDefault="003C49E9">
            <w:pPr>
              <w:pStyle w:val="a3"/>
              <w:spacing w:before="0" w:beforeAutospacing="0" w:after="0" w:afterAutospacing="0"/>
              <w:rPr>
                <w:sz w:val="20"/>
                <w:szCs w:val="20"/>
              </w:rPr>
            </w:pPr>
            <w:r>
              <w:rPr>
                <w:sz w:val="20"/>
                <w:szCs w:val="20"/>
              </w:rPr>
              <w:t> </w:t>
            </w:r>
          </w:p>
        </w:tc>
      </w:tr>
      <w:tr w:rsidR="00000000" w14:paraId="7D84175C" w14:textId="77777777">
        <w:trPr>
          <w:divId w:val="1692997683"/>
          <w:trHeight w:val="200"/>
          <w:tblCellSpacing w:w="15" w:type="dxa"/>
        </w:trPr>
        <w:tc>
          <w:tcPr>
            <w:tcW w:w="0" w:type="auto"/>
            <w:vAlign w:val="bottom"/>
            <w:hideMark/>
          </w:tcPr>
          <w:p w14:paraId="47E3F886" w14:textId="77777777" w:rsidR="00000000" w:rsidRDefault="003C49E9">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0FC2016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0BD76C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F82BBBD" w14:textId="77777777" w:rsidR="00000000" w:rsidRDefault="003C49E9">
            <w:pPr>
              <w:pStyle w:val="a3"/>
              <w:spacing w:before="0" w:beforeAutospacing="0" w:after="0" w:afterAutospacing="0"/>
              <w:jc w:val="right"/>
              <w:rPr>
                <w:sz w:val="20"/>
                <w:szCs w:val="20"/>
              </w:rPr>
            </w:pPr>
            <w:r>
              <w:rPr>
                <w:sz w:val="20"/>
                <w:szCs w:val="20"/>
              </w:rPr>
              <w:t>17,73</w:t>
            </w:r>
            <w:r>
              <w:rPr>
                <w:sz w:val="20"/>
                <w:szCs w:val="20"/>
              </w:rPr>
              <w:t>8</w:t>
            </w:r>
          </w:p>
        </w:tc>
        <w:tc>
          <w:tcPr>
            <w:tcW w:w="0" w:type="auto"/>
            <w:noWrap/>
            <w:vAlign w:val="bottom"/>
            <w:hideMark/>
          </w:tcPr>
          <w:p w14:paraId="7568F6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C1EF3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901E49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8AA909B" w14:textId="77777777" w:rsidR="00000000" w:rsidRDefault="003C49E9">
            <w:pPr>
              <w:pStyle w:val="a3"/>
              <w:spacing w:before="0" w:beforeAutospacing="0" w:after="0" w:afterAutospacing="0"/>
              <w:jc w:val="right"/>
              <w:rPr>
                <w:sz w:val="20"/>
                <w:szCs w:val="20"/>
              </w:rPr>
            </w:pPr>
            <w:r>
              <w:rPr>
                <w:sz w:val="20"/>
                <w:szCs w:val="20"/>
              </w:rPr>
              <w:t>1,106,06</w:t>
            </w:r>
            <w:r>
              <w:rPr>
                <w:sz w:val="20"/>
                <w:szCs w:val="20"/>
              </w:rPr>
              <w:t>8</w:t>
            </w:r>
          </w:p>
        </w:tc>
        <w:tc>
          <w:tcPr>
            <w:tcW w:w="0" w:type="auto"/>
            <w:noWrap/>
            <w:vAlign w:val="bottom"/>
            <w:hideMark/>
          </w:tcPr>
          <w:p w14:paraId="127A3C7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66D5C0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C7002A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022D4F3"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3505A0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9A79A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D3A2E4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C0EF4A5" w14:textId="77777777" w:rsidR="00000000" w:rsidRDefault="003C49E9">
            <w:pPr>
              <w:pStyle w:val="a3"/>
              <w:spacing w:before="0" w:beforeAutospacing="0" w:after="0" w:afterAutospacing="0"/>
              <w:jc w:val="right"/>
              <w:rPr>
                <w:sz w:val="20"/>
                <w:szCs w:val="20"/>
              </w:rPr>
            </w:pPr>
            <w:r>
              <w:rPr>
                <w:sz w:val="20"/>
                <w:szCs w:val="20"/>
              </w:rPr>
              <w:t>1,123,80</w:t>
            </w:r>
            <w:r>
              <w:rPr>
                <w:sz w:val="20"/>
                <w:szCs w:val="20"/>
              </w:rPr>
              <w:t>6</w:t>
            </w:r>
          </w:p>
        </w:tc>
        <w:tc>
          <w:tcPr>
            <w:tcW w:w="0" w:type="auto"/>
            <w:noWrap/>
            <w:vAlign w:val="bottom"/>
            <w:hideMark/>
          </w:tcPr>
          <w:p w14:paraId="14CC5275" w14:textId="77777777" w:rsidR="00000000" w:rsidRDefault="003C49E9">
            <w:pPr>
              <w:pStyle w:val="a3"/>
              <w:spacing w:before="0" w:beforeAutospacing="0" w:after="0" w:afterAutospacing="0"/>
              <w:rPr>
                <w:sz w:val="20"/>
                <w:szCs w:val="20"/>
              </w:rPr>
            </w:pPr>
            <w:r>
              <w:rPr>
                <w:sz w:val="20"/>
                <w:szCs w:val="20"/>
              </w:rPr>
              <w:t> </w:t>
            </w:r>
          </w:p>
        </w:tc>
      </w:tr>
    </w:tbl>
    <w:p w14:paraId="4F8121DA" w14:textId="77777777" w:rsidR="00000000" w:rsidRDefault="003C49E9">
      <w:pPr>
        <w:pStyle w:val="a3"/>
        <w:spacing w:before="0" w:beforeAutospacing="0" w:after="0" w:afterAutospacing="0"/>
        <w:divId w:val="1692997683"/>
        <w:rPr>
          <w:sz w:val="20"/>
          <w:szCs w:val="20"/>
        </w:rPr>
      </w:pPr>
      <w:r>
        <w:rPr>
          <w:sz w:val="20"/>
          <w:szCs w:val="20"/>
        </w:rPr>
        <w:t> </w:t>
      </w:r>
    </w:p>
    <w:p w14:paraId="27FC84BC" w14:textId="77777777" w:rsidR="00000000" w:rsidRDefault="003C49E9">
      <w:pPr>
        <w:pStyle w:val="a3"/>
        <w:spacing w:before="240" w:beforeAutospacing="0" w:after="0" w:afterAutospacing="0"/>
        <w:jc w:val="center"/>
        <w:divId w:val="1692997683"/>
        <w:rPr>
          <w:sz w:val="20"/>
          <w:szCs w:val="20"/>
        </w:rPr>
      </w:pPr>
      <w:r>
        <w:rPr>
          <w:sz w:val="20"/>
          <w:szCs w:val="20"/>
        </w:rPr>
        <w:t>1</w:t>
      </w:r>
      <w:r>
        <w:rPr>
          <w:sz w:val="20"/>
          <w:szCs w:val="20"/>
        </w:rPr>
        <w:t>3</w:t>
      </w:r>
    </w:p>
    <w:p w14:paraId="1D7CE04A" w14:textId="77777777" w:rsidR="00000000" w:rsidRDefault="003C49E9">
      <w:pPr>
        <w:divId w:val="1692997683"/>
        <w:rPr>
          <w:rFonts w:eastAsia="Times New Roman"/>
          <w:sz w:val="20"/>
          <w:szCs w:val="20"/>
        </w:rPr>
      </w:pPr>
      <w:r>
        <w:rPr>
          <w:rFonts w:eastAsia="Times New Roman"/>
          <w:sz w:val="20"/>
          <w:szCs w:val="20"/>
        </w:rPr>
        <w:pict w14:anchorId="6B3FD77A">
          <v:rect id="_x0000_i1037" style="width:0;height:1.5pt" o:hralign="center" o:hrstd="t" o:hr="t" fillcolor="#a0a0a0" stroked="f"/>
        </w:pict>
      </w:r>
    </w:p>
    <w:p w14:paraId="5AB52F01" w14:textId="77777777" w:rsidR="00000000" w:rsidRDefault="003C49E9">
      <w:pPr>
        <w:pStyle w:val="a3"/>
        <w:spacing w:before="0" w:beforeAutospacing="0" w:after="0" w:afterAutospacing="0"/>
        <w:divId w:val="1692997683"/>
        <w:rPr>
          <w:sz w:val="20"/>
          <w:szCs w:val="20"/>
        </w:rPr>
      </w:pPr>
      <w:r>
        <w:rPr>
          <w:sz w:val="20"/>
          <w:szCs w:val="20"/>
        </w:rPr>
        <w:t> </w:t>
      </w:r>
    </w:p>
    <w:p w14:paraId="73D91513" w14:textId="77777777" w:rsidR="00000000" w:rsidRDefault="003C49E9">
      <w:pPr>
        <w:pStyle w:val="a3"/>
        <w:spacing w:before="200" w:beforeAutospacing="0" w:after="0" w:afterAutospacing="0"/>
        <w:divId w:val="169299768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38"/>
        <w:gridCol w:w="110"/>
        <w:gridCol w:w="160"/>
        <w:gridCol w:w="710"/>
        <w:gridCol w:w="110"/>
        <w:gridCol w:w="110"/>
        <w:gridCol w:w="160"/>
        <w:gridCol w:w="860"/>
        <w:gridCol w:w="110"/>
        <w:gridCol w:w="110"/>
        <w:gridCol w:w="161"/>
        <w:gridCol w:w="371"/>
        <w:gridCol w:w="110"/>
        <w:gridCol w:w="110"/>
        <w:gridCol w:w="160"/>
        <w:gridCol w:w="860"/>
        <w:gridCol w:w="125"/>
      </w:tblGrid>
      <w:tr w:rsidR="00000000" w14:paraId="4C357BB9" w14:textId="77777777">
        <w:trPr>
          <w:divId w:val="1692997683"/>
          <w:tblCellSpacing w:w="15" w:type="dxa"/>
        </w:trPr>
        <w:tc>
          <w:tcPr>
            <w:tcW w:w="2410" w:type="pct"/>
            <w:vAlign w:val="center"/>
            <w:hideMark/>
          </w:tcPr>
          <w:p w14:paraId="6A0A6054" w14:textId="77777777" w:rsidR="00000000" w:rsidRDefault="003C49E9">
            <w:pPr>
              <w:rPr>
                <w:sz w:val="20"/>
                <w:szCs w:val="20"/>
              </w:rPr>
            </w:pPr>
          </w:p>
        </w:tc>
        <w:tc>
          <w:tcPr>
            <w:tcW w:w="68" w:type="pct"/>
            <w:vAlign w:val="center"/>
            <w:hideMark/>
          </w:tcPr>
          <w:p w14:paraId="2B1E5C0C" w14:textId="77777777" w:rsidR="00000000" w:rsidRDefault="003C49E9">
            <w:pPr>
              <w:rPr>
                <w:rFonts w:eastAsia="Times New Roman"/>
                <w:sz w:val="20"/>
                <w:szCs w:val="20"/>
              </w:rPr>
            </w:pPr>
          </w:p>
        </w:tc>
        <w:tc>
          <w:tcPr>
            <w:tcW w:w="50" w:type="pct"/>
            <w:vAlign w:val="center"/>
            <w:hideMark/>
          </w:tcPr>
          <w:p w14:paraId="46BDF08E" w14:textId="77777777" w:rsidR="00000000" w:rsidRDefault="003C49E9">
            <w:pPr>
              <w:rPr>
                <w:rFonts w:eastAsia="Times New Roman"/>
                <w:sz w:val="20"/>
                <w:szCs w:val="20"/>
              </w:rPr>
            </w:pPr>
          </w:p>
        </w:tc>
        <w:tc>
          <w:tcPr>
            <w:tcW w:w="437" w:type="pct"/>
            <w:vAlign w:val="center"/>
            <w:hideMark/>
          </w:tcPr>
          <w:p w14:paraId="7FC25A43" w14:textId="77777777" w:rsidR="00000000" w:rsidRDefault="003C49E9">
            <w:pPr>
              <w:rPr>
                <w:rFonts w:eastAsia="Times New Roman"/>
                <w:sz w:val="20"/>
                <w:szCs w:val="20"/>
              </w:rPr>
            </w:pPr>
          </w:p>
        </w:tc>
        <w:tc>
          <w:tcPr>
            <w:tcW w:w="50" w:type="pct"/>
            <w:vAlign w:val="center"/>
            <w:hideMark/>
          </w:tcPr>
          <w:p w14:paraId="5E0DC502" w14:textId="77777777" w:rsidR="00000000" w:rsidRDefault="003C49E9">
            <w:pPr>
              <w:rPr>
                <w:rFonts w:eastAsia="Times New Roman"/>
                <w:sz w:val="20"/>
                <w:szCs w:val="20"/>
              </w:rPr>
            </w:pPr>
          </w:p>
        </w:tc>
        <w:tc>
          <w:tcPr>
            <w:tcW w:w="62" w:type="pct"/>
            <w:vAlign w:val="center"/>
            <w:hideMark/>
          </w:tcPr>
          <w:p w14:paraId="514BC38E" w14:textId="77777777" w:rsidR="00000000" w:rsidRDefault="003C49E9">
            <w:pPr>
              <w:rPr>
                <w:rFonts w:eastAsia="Times New Roman"/>
                <w:sz w:val="20"/>
                <w:szCs w:val="20"/>
              </w:rPr>
            </w:pPr>
          </w:p>
        </w:tc>
        <w:tc>
          <w:tcPr>
            <w:tcW w:w="50" w:type="pct"/>
            <w:vAlign w:val="center"/>
            <w:hideMark/>
          </w:tcPr>
          <w:p w14:paraId="6299F2A7" w14:textId="77777777" w:rsidR="00000000" w:rsidRDefault="003C49E9">
            <w:pPr>
              <w:rPr>
                <w:rFonts w:eastAsia="Times New Roman"/>
                <w:sz w:val="20"/>
                <w:szCs w:val="20"/>
              </w:rPr>
            </w:pPr>
          </w:p>
        </w:tc>
        <w:tc>
          <w:tcPr>
            <w:tcW w:w="438" w:type="pct"/>
            <w:vAlign w:val="center"/>
            <w:hideMark/>
          </w:tcPr>
          <w:p w14:paraId="46FEE93A" w14:textId="77777777" w:rsidR="00000000" w:rsidRDefault="003C49E9">
            <w:pPr>
              <w:rPr>
                <w:rFonts w:eastAsia="Times New Roman"/>
                <w:sz w:val="20"/>
                <w:szCs w:val="20"/>
              </w:rPr>
            </w:pPr>
          </w:p>
        </w:tc>
        <w:tc>
          <w:tcPr>
            <w:tcW w:w="50" w:type="pct"/>
            <w:vAlign w:val="center"/>
            <w:hideMark/>
          </w:tcPr>
          <w:p w14:paraId="3C4639E0" w14:textId="77777777" w:rsidR="00000000" w:rsidRDefault="003C49E9">
            <w:pPr>
              <w:rPr>
                <w:rFonts w:eastAsia="Times New Roman"/>
                <w:sz w:val="20"/>
                <w:szCs w:val="20"/>
              </w:rPr>
            </w:pPr>
          </w:p>
        </w:tc>
        <w:tc>
          <w:tcPr>
            <w:tcW w:w="62" w:type="pct"/>
            <w:vAlign w:val="center"/>
            <w:hideMark/>
          </w:tcPr>
          <w:p w14:paraId="6D271E1D" w14:textId="77777777" w:rsidR="00000000" w:rsidRDefault="003C49E9">
            <w:pPr>
              <w:rPr>
                <w:rFonts w:eastAsia="Times New Roman"/>
                <w:sz w:val="20"/>
                <w:szCs w:val="20"/>
              </w:rPr>
            </w:pPr>
          </w:p>
        </w:tc>
        <w:tc>
          <w:tcPr>
            <w:tcW w:w="50" w:type="pct"/>
            <w:vAlign w:val="center"/>
            <w:hideMark/>
          </w:tcPr>
          <w:p w14:paraId="10BB3347" w14:textId="77777777" w:rsidR="00000000" w:rsidRDefault="003C49E9">
            <w:pPr>
              <w:rPr>
                <w:rFonts w:eastAsia="Times New Roman"/>
                <w:sz w:val="20"/>
                <w:szCs w:val="20"/>
              </w:rPr>
            </w:pPr>
          </w:p>
        </w:tc>
        <w:tc>
          <w:tcPr>
            <w:tcW w:w="527" w:type="pct"/>
            <w:vAlign w:val="center"/>
            <w:hideMark/>
          </w:tcPr>
          <w:p w14:paraId="78AADE44" w14:textId="77777777" w:rsidR="00000000" w:rsidRDefault="003C49E9">
            <w:pPr>
              <w:rPr>
                <w:rFonts w:eastAsia="Times New Roman"/>
                <w:sz w:val="20"/>
                <w:szCs w:val="20"/>
              </w:rPr>
            </w:pPr>
          </w:p>
        </w:tc>
        <w:tc>
          <w:tcPr>
            <w:tcW w:w="50" w:type="pct"/>
            <w:vAlign w:val="center"/>
            <w:hideMark/>
          </w:tcPr>
          <w:p w14:paraId="4E1DCEBD" w14:textId="77777777" w:rsidR="00000000" w:rsidRDefault="003C49E9">
            <w:pPr>
              <w:rPr>
                <w:rFonts w:eastAsia="Times New Roman"/>
                <w:sz w:val="20"/>
                <w:szCs w:val="20"/>
              </w:rPr>
            </w:pPr>
          </w:p>
        </w:tc>
        <w:tc>
          <w:tcPr>
            <w:tcW w:w="62" w:type="pct"/>
            <w:vAlign w:val="center"/>
            <w:hideMark/>
          </w:tcPr>
          <w:p w14:paraId="68910233" w14:textId="77777777" w:rsidR="00000000" w:rsidRDefault="003C49E9">
            <w:pPr>
              <w:rPr>
                <w:rFonts w:eastAsia="Times New Roman"/>
                <w:sz w:val="20"/>
                <w:szCs w:val="20"/>
              </w:rPr>
            </w:pPr>
          </w:p>
        </w:tc>
        <w:tc>
          <w:tcPr>
            <w:tcW w:w="50" w:type="pct"/>
            <w:vAlign w:val="center"/>
            <w:hideMark/>
          </w:tcPr>
          <w:p w14:paraId="1E0E3AB1" w14:textId="77777777" w:rsidR="00000000" w:rsidRDefault="003C49E9">
            <w:pPr>
              <w:rPr>
                <w:rFonts w:eastAsia="Times New Roman"/>
                <w:sz w:val="20"/>
                <w:szCs w:val="20"/>
              </w:rPr>
            </w:pPr>
          </w:p>
        </w:tc>
        <w:tc>
          <w:tcPr>
            <w:tcW w:w="528" w:type="pct"/>
            <w:vAlign w:val="center"/>
            <w:hideMark/>
          </w:tcPr>
          <w:p w14:paraId="22EE5BD0" w14:textId="77777777" w:rsidR="00000000" w:rsidRDefault="003C49E9">
            <w:pPr>
              <w:rPr>
                <w:rFonts w:eastAsia="Times New Roman"/>
                <w:sz w:val="20"/>
                <w:szCs w:val="20"/>
              </w:rPr>
            </w:pPr>
          </w:p>
        </w:tc>
        <w:tc>
          <w:tcPr>
            <w:tcW w:w="50" w:type="pct"/>
            <w:vAlign w:val="center"/>
            <w:hideMark/>
          </w:tcPr>
          <w:p w14:paraId="2D45074A" w14:textId="77777777" w:rsidR="00000000" w:rsidRDefault="003C49E9">
            <w:pPr>
              <w:rPr>
                <w:rFonts w:eastAsia="Times New Roman"/>
                <w:sz w:val="20"/>
                <w:szCs w:val="20"/>
              </w:rPr>
            </w:pPr>
          </w:p>
        </w:tc>
      </w:tr>
      <w:tr w:rsidR="00000000" w14:paraId="42795B46" w14:textId="77777777">
        <w:trPr>
          <w:divId w:val="1692997683"/>
          <w:trHeight w:val="160"/>
          <w:tblCellSpacing w:w="15" w:type="dxa"/>
        </w:trPr>
        <w:tc>
          <w:tcPr>
            <w:tcW w:w="0" w:type="auto"/>
            <w:vAlign w:val="bottom"/>
            <w:hideMark/>
          </w:tcPr>
          <w:p w14:paraId="3AD839E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4314621" w14:textId="77777777" w:rsidR="00000000" w:rsidRDefault="003C49E9">
            <w:pPr>
              <w:pStyle w:val="a3"/>
              <w:spacing w:before="0" w:beforeAutospacing="0" w:after="0" w:afterAutospacing="0"/>
              <w:rPr>
                <w:sz w:val="16"/>
                <w:szCs w:val="16"/>
              </w:rPr>
            </w:pPr>
            <w:r>
              <w:rPr>
                <w:sz w:val="16"/>
                <w:szCs w:val="16"/>
              </w:rPr>
              <w:t> </w:t>
            </w:r>
          </w:p>
        </w:tc>
        <w:tc>
          <w:tcPr>
            <w:tcW w:w="0" w:type="auto"/>
            <w:gridSpan w:val="14"/>
            <w:vAlign w:val="bottom"/>
            <w:hideMark/>
          </w:tcPr>
          <w:p w14:paraId="415C2E37"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0865BFBD"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96F966D" w14:textId="77777777">
        <w:trPr>
          <w:divId w:val="1692997683"/>
          <w:trHeight w:val="160"/>
          <w:tblCellSpacing w:w="15" w:type="dxa"/>
        </w:trPr>
        <w:tc>
          <w:tcPr>
            <w:tcW w:w="0" w:type="auto"/>
            <w:vAlign w:val="bottom"/>
            <w:hideMark/>
          </w:tcPr>
          <w:p w14:paraId="44AF6D5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9016A96"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662ABC5"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14:paraId="7264960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7DBA4B8"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04AE02A"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14:paraId="33868360"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A6AC4BA"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D09FF04" w14:textId="77777777" w:rsidR="00000000" w:rsidRDefault="003C49E9">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14:paraId="0389286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FE0ADB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74662C" w14:textId="77777777" w:rsidR="00000000" w:rsidRDefault="003C49E9">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71807E0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5B672AB" w14:textId="77777777">
        <w:trPr>
          <w:divId w:val="1692997683"/>
          <w:trHeight w:val="160"/>
          <w:tblCellSpacing w:w="15" w:type="dxa"/>
        </w:trPr>
        <w:tc>
          <w:tcPr>
            <w:tcW w:w="0" w:type="auto"/>
            <w:vAlign w:val="bottom"/>
            <w:hideMark/>
          </w:tcPr>
          <w:p w14:paraId="78EAC350"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153CD98" w14:textId="77777777" w:rsidR="00000000" w:rsidRDefault="003C49E9">
            <w:pPr>
              <w:pStyle w:val="a3"/>
              <w:spacing w:before="0" w:beforeAutospacing="0" w:after="0" w:afterAutospacing="0"/>
              <w:rPr>
                <w:sz w:val="16"/>
                <w:szCs w:val="16"/>
              </w:rPr>
            </w:pPr>
            <w:r>
              <w:rPr>
                <w:sz w:val="16"/>
                <w:szCs w:val="16"/>
              </w:rPr>
              <w:t> </w:t>
            </w:r>
          </w:p>
        </w:tc>
        <w:tc>
          <w:tcPr>
            <w:tcW w:w="0" w:type="auto"/>
            <w:gridSpan w:val="14"/>
            <w:vAlign w:val="bottom"/>
            <w:hideMark/>
          </w:tcPr>
          <w:p w14:paraId="67033208"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0A359B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F9F7B4E" w14:textId="77777777">
        <w:trPr>
          <w:divId w:val="1692997683"/>
          <w:trHeight w:val="200"/>
          <w:tblCellSpacing w:w="15" w:type="dxa"/>
        </w:trPr>
        <w:tc>
          <w:tcPr>
            <w:tcW w:w="0" w:type="auto"/>
            <w:vAlign w:val="bottom"/>
            <w:hideMark/>
          </w:tcPr>
          <w:p w14:paraId="1359B6C8" w14:textId="77777777" w:rsidR="00000000" w:rsidRDefault="003C49E9">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14:paraId="73C5DF85"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91CF71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740736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E97A017"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9E5673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0B6D45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0FE1D5A"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FB8BB31"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CF23B2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3D4978C"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DC68EE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5643058"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D6A3097" w14:textId="77777777">
        <w:trPr>
          <w:divId w:val="1692997683"/>
          <w:trHeight w:val="200"/>
          <w:tblCellSpacing w:w="15" w:type="dxa"/>
        </w:trPr>
        <w:tc>
          <w:tcPr>
            <w:tcW w:w="0" w:type="auto"/>
            <w:vAlign w:val="bottom"/>
            <w:hideMark/>
          </w:tcPr>
          <w:p w14:paraId="044A494A" w14:textId="77777777" w:rsidR="00000000" w:rsidRDefault="003C49E9">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14:paraId="30EA493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70798B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979DD12" w14:textId="77777777" w:rsidR="00000000" w:rsidRDefault="003C49E9">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14:paraId="0322F7C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88208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4558ED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15612A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0E16086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4E185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50873C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04F9AA7"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08ECB2F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9A6D5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E61B95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6108E15" w14:textId="77777777" w:rsidR="00000000" w:rsidRDefault="003C49E9">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14:paraId="3427941F" w14:textId="77777777" w:rsidR="00000000" w:rsidRDefault="003C49E9">
            <w:pPr>
              <w:pStyle w:val="a3"/>
              <w:spacing w:before="0" w:beforeAutospacing="0" w:after="0" w:afterAutospacing="0"/>
              <w:rPr>
                <w:sz w:val="20"/>
                <w:szCs w:val="20"/>
              </w:rPr>
            </w:pPr>
            <w:r>
              <w:rPr>
                <w:sz w:val="20"/>
                <w:szCs w:val="20"/>
              </w:rPr>
              <w:t> </w:t>
            </w:r>
          </w:p>
        </w:tc>
      </w:tr>
      <w:tr w:rsidR="00000000" w14:paraId="6723DF42" w14:textId="77777777">
        <w:trPr>
          <w:divId w:val="1692997683"/>
          <w:trHeight w:val="200"/>
          <w:tblCellSpacing w:w="15" w:type="dxa"/>
        </w:trPr>
        <w:tc>
          <w:tcPr>
            <w:tcW w:w="0" w:type="auto"/>
            <w:vAlign w:val="bottom"/>
            <w:hideMark/>
          </w:tcPr>
          <w:p w14:paraId="1DD70E10" w14:textId="77777777" w:rsidR="00000000" w:rsidRDefault="003C49E9">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14:paraId="5E43435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57C58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E6B2AAD"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050EE6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D6270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1A31F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9F9EFDE" w14:textId="77777777" w:rsidR="00000000" w:rsidRDefault="003C49E9">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14:paraId="6473EBD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2C83C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CC86B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C61BD5"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E26A81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C0AB7B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237E1F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E3C64D" w14:textId="77777777" w:rsidR="00000000" w:rsidRDefault="003C49E9">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14:paraId="513B3317" w14:textId="77777777" w:rsidR="00000000" w:rsidRDefault="003C49E9">
            <w:pPr>
              <w:pStyle w:val="a3"/>
              <w:spacing w:before="0" w:beforeAutospacing="0" w:after="0" w:afterAutospacing="0"/>
              <w:rPr>
                <w:sz w:val="20"/>
                <w:szCs w:val="20"/>
              </w:rPr>
            </w:pPr>
            <w:r>
              <w:rPr>
                <w:sz w:val="20"/>
                <w:szCs w:val="20"/>
              </w:rPr>
              <w:t> </w:t>
            </w:r>
          </w:p>
        </w:tc>
      </w:tr>
      <w:tr w:rsidR="00000000" w14:paraId="4BD02828" w14:textId="77777777">
        <w:trPr>
          <w:divId w:val="1692997683"/>
          <w:trHeight w:val="200"/>
          <w:tblCellSpacing w:w="15" w:type="dxa"/>
        </w:trPr>
        <w:tc>
          <w:tcPr>
            <w:tcW w:w="0" w:type="auto"/>
            <w:vAlign w:val="bottom"/>
            <w:hideMark/>
          </w:tcPr>
          <w:p w14:paraId="6638C203" w14:textId="77777777" w:rsidR="00000000" w:rsidRDefault="003C49E9">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14:paraId="2A77E18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413DC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F44AEE"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EEB463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F220F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DE8AF4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990C10" w14:textId="77777777" w:rsidR="00000000" w:rsidRDefault="003C49E9">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14:paraId="547090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60FAB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8002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E8BF86"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D08418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C7E88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030A4A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29DFF5" w14:textId="77777777" w:rsidR="00000000" w:rsidRDefault="003C49E9">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14:paraId="52817772" w14:textId="77777777" w:rsidR="00000000" w:rsidRDefault="003C49E9">
            <w:pPr>
              <w:pStyle w:val="a3"/>
              <w:spacing w:before="0" w:beforeAutospacing="0" w:after="0" w:afterAutospacing="0"/>
              <w:rPr>
                <w:sz w:val="20"/>
                <w:szCs w:val="20"/>
              </w:rPr>
            </w:pPr>
            <w:r>
              <w:rPr>
                <w:sz w:val="20"/>
                <w:szCs w:val="20"/>
              </w:rPr>
              <w:t> </w:t>
            </w:r>
          </w:p>
        </w:tc>
      </w:tr>
      <w:tr w:rsidR="00000000" w14:paraId="4D253584" w14:textId="77777777">
        <w:trPr>
          <w:divId w:val="1692997683"/>
          <w:trHeight w:val="200"/>
          <w:tblCellSpacing w:w="15" w:type="dxa"/>
        </w:trPr>
        <w:tc>
          <w:tcPr>
            <w:tcW w:w="0" w:type="auto"/>
            <w:vAlign w:val="bottom"/>
            <w:hideMark/>
          </w:tcPr>
          <w:p w14:paraId="0BA154E9" w14:textId="77777777" w:rsidR="00000000" w:rsidRDefault="003C49E9">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14:paraId="474321F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57B113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4F6670"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A197DE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FED42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11D33C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585D3E" w14:textId="77777777" w:rsidR="00000000" w:rsidRDefault="003C49E9">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14:paraId="60FDE8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C7432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266DD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F4188D5"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02B24E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33946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FCFF44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7DB139F" w14:textId="77777777" w:rsidR="00000000" w:rsidRDefault="003C49E9">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14:paraId="0A8C8DB6" w14:textId="77777777" w:rsidR="00000000" w:rsidRDefault="003C49E9">
            <w:pPr>
              <w:pStyle w:val="a3"/>
              <w:spacing w:before="0" w:beforeAutospacing="0" w:after="0" w:afterAutospacing="0"/>
              <w:rPr>
                <w:sz w:val="20"/>
                <w:szCs w:val="20"/>
              </w:rPr>
            </w:pPr>
            <w:r>
              <w:rPr>
                <w:sz w:val="20"/>
                <w:szCs w:val="20"/>
              </w:rPr>
              <w:t> </w:t>
            </w:r>
          </w:p>
        </w:tc>
      </w:tr>
      <w:tr w:rsidR="00000000" w14:paraId="1539D10F" w14:textId="77777777">
        <w:trPr>
          <w:divId w:val="1692997683"/>
          <w:trHeight w:val="200"/>
          <w:tblCellSpacing w:w="15" w:type="dxa"/>
        </w:trPr>
        <w:tc>
          <w:tcPr>
            <w:tcW w:w="0" w:type="auto"/>
            <w:vAlign w:val="bottom"/>
            <w:hideMark/>
          </w:tcPr>
          <w:p w14:paraId="2782DDD9" w14:textId="77777777" w:rsidR="00000000" w:rsidRDefault="003C49E9">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14:paraId="62859FF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B5630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8E942E"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CD79D1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6B1BF3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C0073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654205" w14:textId="77777777" w:rsidR="00000000" w:rsidRDefault="003C49E9">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14:paraId="5FA2BFA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9EB9F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15011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B618B0"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FDDF45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F2EC9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26A5D6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8E1362" w14:textId="77777777" w:rsidR="00000000" w:rsidRDefault="003C49E9">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14:paraId="568A5DB5" w14:textId="77777777" w:rsidR="00000000" w:rsidRDefault="003C49E9">
            <w:pPr>
              <w:pStyle w:val="a3"/>
              <w:spacing w:before="0" w:beforeAutospacing="0" w:after="0" w:afterAutospacing="0"/>
              <w:rPr>
                <w:sz w:val="20"/>
                <w:szCs w:val="20"/>
              </w:rPr>
            </w:pPr>
            <w:r>
              <w:rPr>
                <w:sz w:val="20"/>
                <w:szCs w:val="20"/>
              </w:rPr>
              <w:t> </w:t>
            </w:r>
          </w:p>
        </w:tc>
      </w:tr>
      <w:tr w:rsidR="00000000" w14:paraId="1A346FC8" w14:textId="77777777">
        <w:trPr>
          <w:divId w:val="1692997683"/>
          <w:trHeight w:val="200"/>
          <w:tblCellSpacing w:w="15" w:type="dxa"/>
        </w:trPr>
        <w:tc>
          <w:tcPr>
            <w:tcW w:w="0" w:type="auto"/>
            <w:vAlign w:val="bottom"/>
            <w:hideMark/>
          </w:tcPr>
          <w:p w14:paraId="6615D9EE" w14:textId="77777777" w:rsidR="00000000" w:rsidRDefault="003C49E9">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14:paraId="6F56631D"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0253FB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009B31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F280C89"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E75D0C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8D7BA3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7107C5D"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E80038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0153D8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9E5F679"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62D740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8C8CB85" w14:textId="77777777" w:rsidR="00000000" w:rsidRDefault="003C49E9">
            <w:pPr>
              <w:pStyle w:val="a3"/>
              <w:spacing w:before="0" w:beforeAutospacing="0" w:after="0" w:afterAutospacing="0"/>
              <w:jc w:val="right"/>
              <w:rPr>
                <w:sz w:val="20"/>
                <w:szCs w:val="20"/>
              </w:rPr>
            </w:pPr>
            <w:r>
              <w:rPr>
                <w:sz w:val="20"/>
                <w:szCs w:val="20"/>
              </w:rPr>
              <w:t> </w:t>
            </w:r>
          </w:p>
        </w:tc>
      </w:tr>
      <w:tr w:rsidR="00000000" w14:paraId="6221E9E1" w14:textId="77777777">
        <w:trPr>
          <w:divId w:val="1692997683"/>
          <w:trHeight w:val="200"/>
          <w:tblCellSpacing w:w="15" w:type="dxa"/>
        </w:trPr>
        <w:tc>
          <w:tcPr>
            <w:tcW w:w="0" w:type="auto"/>
            <w:vAlign w:val="bottom"/>
            <w:hideMark/>
          </w:tcPr>
          <w:p w14:paraId="68B1038D" w14:textId="77777777" w:rsidR="00000000" w:rsidRDefault="003C49E9">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14:paraId="69E2256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3C160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91433A"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BCCEA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428AF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6D9DBC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D0539A"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792428A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37F26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C5BE0C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CB913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2B8E605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012CB6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C11706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1103CC"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1BCB5253" w14:textId="77777777" w:rsidR="00000000" w:rsidRDefault="003C49E9">
            <w:pPr>
              <w:pStyle w:val="a3"/>
              <w:spacing w:before="0" w:beforeAutospacing="0" w:after="0" w:afterAutospacing="0"/>
              <w:rPr>
                <w:sz w:val="20"/>
                <w:szCs w:val="20"/>
              </w:rPr>
            </w:pPr>
            <w:r>
              <w:rPr>
                <w:sz w:val="20"/>
                <w:szCs w:val="20"/>
              </w:rPr>
              <w:t> </w:t>
            </w:r>
          </w:p>
        </w:tc>
      </w:tr>
      <w:tr w:rsidR="00000000" w14:paraId="2C21C3AA" w14:textId="77777777">
        <w:trPr>
          <w:divId w:val="1692997683"/>
          <w:trHeight w:val="200"/>
          <w:tblCellSpacing w:w="15" w:type="dxa"/>
        </w:trPr>
        <w:tc>
          <w:tcPr>
            <w:tcW w:w="0" w:type="auto"/>
            <w:vAlign w:val="bottom"/>
            <w:hideMark/>
          </w:tcPr>
          <w:p w14:paraId="4A1651A0" w14:textId="77777777" w:rsidR="00000000" w:rsidRDefault="003C49E9">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55464EC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547FD9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5D905B1" w14:textId="77777777" w:rsidR="00000000" w:rsidRDefault="003C49E9">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14:paraId="61BC1DB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CD854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F7D947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FB52CCA" w14:textId="77777777" w:rsidR="00000000" w:rsidRDefault="003C49E9">
            <w:pPr>
              <w:pStyle w:val="a3"/>
              <w:spacing w:before="0" w:beforeAutospacing="0" w:after="0" w:afterAutospacing="0"/>
              <w:jc w:val="right"/>
              <w:rPr>
                <w:sz w:val="20"/>
                <w:szCs w:val="20"/>
              </w:rPr>
            </w:pPr>
            <w:r>
              <w:rPr>
                <w:sz w:val="20"/>
                <w:szCs w:val="20"/>
              </w:rPr>
              <w:t>1,001,97</w:t>
            </w:r>
            <w:r>
              <w:rPr>
                <w:sz w:val="20"/>
                <w:szCs w:val="20"/>
              </w:rPr>
              <w:t>8</w:t>
            </w:r>
          </w:p>
        </w:tc>
        <w:tc>
          <w:tcPr>
            <w:tcW w:w="0" w:type="auto"/>
            <w:noWrap/>
            <w:vAlign w:val="bottom"/>
            <w:hideMark/>
          </w:tcPr>
          <w:p w14:paraId="0484048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7AE329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D6ACC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6AE5E46"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A638E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5BD41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5E5921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3223440" w14:textId="77777777" w:rsidR="00000000" w:rsidRDefault="003C49E9">
            <w:pPr>
              <w:pStyle w:val="a3"/>
              <w:spacing w:before="0" w:beforeAutospacing="0" w:after="0" w:afterAutospacing="0"/>
              <w:jc w:val="right"/>
              <w:rPr>
                <w:sz w:val="20"/>
                <w:szCs w:val="20"/>
              </w:rPr>
            </w:pPr>
            <w:r>
              <w:rPr>
                <w:sz w:val="20"/>
                <w:szCs w:val="20"/>
              </w:rPr>
              <w:t>1,127,91</w:t>
            </w:r>
            <w:r>
              <w:rPr>
                <w:sz w:val="20"/>
                <w:szCs w:val="20"/>
              </w:rPr>
              <w:t>8</w:t>
            </w:r>
          </w:p>
        </w:tc>
        <w:tc>
          <w:tcPr>
            <w:tcW w:w="0" w:type="auto"/>
            <w:noWrap/>
            <w:vAlign w:val="bottom"/>
            <w:hideMark/>
          </w:tcPr>
          <w:p w14:paraId="323B686C" w14:textId="77777777" w:rsidR="00000000" w:rsidRDefault="003C49E9">
            <w:pPr>
              <w:pStyle w:val="a3"/>
              <w:spacing w:before="0" w:beforeAutospacing="0" w:after="0" w:afterAutospacing="0"/>
              <w:rPr>
                <w:sz w:val="20"/>
                <w:szCs w:val="20"/>
              </w:rPr>
            </w:pPr>
            <w:r>
              <w:rPr>
                <w:sz w:val="20"/>
                <w:szCs w:val="20"/>
              </w:rPr>
              <w:t> </w:t>
            </w:r>
          </w:p>
        </w:tc>
      </w:tr>
    </w:tbl>
    <w:p w14:paraId="265C0EBA" w14:textId="77777777" w:rsidR="00000000" w:rsidRDefault="003C49E9">
      <w:pPr>
        <w:pStyle w:val="a3"/>
        <w:spacing w:before="200" w:beforeAutospacing="0" w:after="0" w:afterAutospacing="0"/>
        <w:ind w:firstLine="555"/>
        <w:divId w:val="2089577374"/>
        <w:rPr>
          <w:sz w:val="20"/>
          <w:szCs w:val="20"/>
        </w:rPr>
      </w:pPr>
      <w:r>
        <w:rPr>
          <w:sz w:val="20"/>
          <w:szCs w:val="20"/>
        </w:rPr>
        <w:t>The Company considers all highly liquid investments purchased with an original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on the consolidated balance sheets. At June 30, 2022 and December 31, 2021, Level 2 securities were priced by pricing vendors. These pricing vendors utilize the most recent observable marke</w:t>
      </w:r>
      <w:r>
        <w:rPr>
          <w:sz w:val="20"/>
          <w:szCs w:val="20"/>
        </w:rPr>
        <w:t>t information in pricing these securities or, if specific prices are not available for these securities, use other observable inputs like market transactions involving identical or comparable securities</w:t>
      </w:r>
      <w:r>
        <w:rPr>
          <w:sz w:val="20"/>
          <w:szCs w:val="20"/>
        </w:rPr>
        <w:t>.</w:t>
      </w:r>
      <w:r>
        <w:rPr>
          <w:sz w:val="20"/>
          <w:szCs w:val="20"/>
        </w:rPr>
        <w:t xml:space="preserve"> </w:t>
      </w:r>
    </w:p>
    <w:p w14:paraId="34ADB15D" w14:textId="77777777" w:rsidR="00000000" w:rsidRDefault="003C49E9">
      <w:pPr>
        <w:pStyle w:val="a3"/>
        <w:spacing w:before="200" w:beforeAutospacing="0" w:after="0" w:afterAutospacing="0"/>
        <w:ind w:firstLine="555"/>
        <w:divId w:val="2089577374"/>
        <w:rPr>
          <w:sz w:val="20"/>
          <w:szCs w:val="20"/>
        </w:rPr>
      </w:pPr>
      <w:r>
        <w:rPr>
          <w:sz w:val="20"/>
          <w:szCs w:val="20"/>
        </w:rPr>
        <w:t>As of June 30, 2022, the fair value of the 2025 Not</w:t>
      </w:r>
      <w:r>
        <w:rPr>
          <w:sz w:val="20"/>
          <w:szCs w:val="20"/>
        </w:rPr>
        <w:t>es was</w:t>
      </w:r>
      <w:r>
        <w:rPr>
          <w:sz w:val="20"/>
          <w:szCs w:val="20"/>
        </w:rPr>
        <w:t xml:space="preserve"> </w:t>
      </w:r>
      <w:r>
        <w:rPr>
          <w:sz w:val="20"/>
          <w:szCs w:val="20"/>
        </w:rPr>
        <w:t>$</w:t>
      </w:r>
      <w:r>
        <w:rPr>
          <w:sz w:val="20"/>
          <w:szCs w:val="20"/>
        </w:rPr>
        <w:t>606.</w:t>
      </w:r>
      <w:r>
        <w:rPr>
          <w:sz w:val="20"/>
          <w:szCs w:val="20"/>
        </w:rPr>
        <w:t>2</w:t>
      </w:r>
      <w:r>
        <w:rPr>
          <w:sz w:val="20"/>
          <w:szCs w:val="20"/>
        </w:rPr>
        <w:t xml:space="preserve"> millio</w:t>
      </w:r>
      <w:r>
        <w:rPr>
          <w:sz w:val="20"/>
          <w:szCs w:val="20"/>
        </w:rPr>
        <w:t>n</w:t>
      </w:r>
      <w:r>
        <w:rPr>
          <w:sz w:val="20"/>
          <w:szCs w:val="20"/>
        </w:rPr>
        <w:t>. The fair value was determined based on the quoted price of the 2025 Notes in an inactive market on the last trading day of the reporting period and has been classified as Level 2 within the fair value hierarchy. Upon maturity and set</w:t>
      </w:r>
      <w:r>
        <w:rPr>
          <w:sz w:val="20"/>
          <w:szCs w:val="20"/>
        </w:rPr>
        <w:t>tlement of the 2022 Notes on</w:t>
      </w:r>
      <w:r>
        <w:rPr>
          <w:sz w:val="20"/>
          <w:szCs w:val="20"/>
        </w:rPr>
        <w:t xml:space="preserve"> </w:t>
      </w:r>
      <w:r>
        <w:rPr>
          <w:sz w:val="20"/>
          <w:szCs w:val="20"/>
        </w:rPr>
        <w:t>June 1, 202</w:t>
      </w:r>
      <w:r>
        <w:rPr>
          <w:sz w:val="20"/>
          <w:szCs w:val="20"/>
        </w:rPr>
        <w:t>2</w:t>
      </w:r>
      <w:r>
        <w:rPr>
          <w:sz w:val="20"/>
          <w:szCs w:val="20"/>
        </w:rPr>
        <w:t>, the 2022 Notes are</w:t>
      </w:r>
      <w:r>
        <w:rPr>
          <w:sz w:val="20"/>
          <w:szCs w:val="20"/>
        </w:rPr>
        <w:t xml:space="preserve"> </w:t>
      </w:r>
      <w:r>
        <w:rPr>
          <w:sz w:val="20"/>
          <w:szCs w:val="20"/>
        </w:rPr>
        <w:t>n</w:t>
      </w:r>
      <w:r>
        <w:rPr>
          <w:sz w:val="20"/>
          <w:szCs w:val="20"/>
        </w:rPr>
        <w:t>o</w:t>
      </w:r>
      <w:r>
        <w:rPr>
          <w:sz w:val="20"/>
          <w:szCs w:val="20"/>
        </w:rPr>
        <w:t xml:space="preserve"> longer outstanding as of June 30, 2022</w:t>
      </w:r>
      <w:r>
        <w:rPr>
          <w:sz w:val="20"/>
          <w:szCs w:val="20"/>
        </w:rPr>
        <w:t>.</w:t>
      </w:r>
      <w:r>
        <w:rPr>
          <w:sz w:val="20"/>
          <w:szCs w:val="20"/>
        </w:rPr>
        <w:t xml:space="preserve"> </w:t>
      </w:r>
    </w:p>
    <w:p w14:paraId="067A14AE" w14:textId="77777777" w:rsidR="00000000" w:rsidRDefault="003C49E9">
      <w:pPr>
        <w:pStyle w:val="a3"/>
        <w:spacing w:before="200" w:beforeAutospacing="0" w:after="0" w:afterAutospacing="0"/>
        <w:ind w:firstLine="555"/>
        <w:divId w:val="2089577374"/>
        <w:rPr>
          <w:sz w:val="20"/>
          <w:szCs w:val="20"/>
        </w:rPr>
      </w:pPr>
      <w:r>
        <w:rPr>
          <w:sz w:val="20"/>
          <w:szCs w:val="20"/>
        </w:rPr>
        <w:t>For certain other financial instruments, including accounts receivable, accounts payable, and other current liabilities, the carrying amounts approxim</w:t>
      </w:r>
      <w:r>
        <w:rPr>
          <w:sz w:val="20"/>
          <w:szCs w:val="20"/>
        </w:rPr>
        <w:t>ate their fair value due to the relatively short maturity of these balances</w:t>
      </w:r>
      <w:r>
        <w:rPr>
          <w:sz w:val="20"/>
          <w:szCs w:val="20"/>
        </w:rPr>
        <w:t>.</w:t>
      </w:r>
    </w:p>
    <w:p w14:paraId="14780D2A" w14:textId="77777777" w:rsidR="00000000" w:rsidRDefault="003C49E9">
      <w:pPr>
        <w:pStyle w:val="a3"/>
        <w:spacing w:before="200" w:beforeAutospacing="0" w:after="0" w:afterAutospacing="0"/>
        <w:ind w:firstLine="555"/>
        <w:divId w:val="2089577374"/>
        <w:rPr>
          <w:sz w:val="20"/>
          <w:szCs w:val="20"/>
        </w:rPr>
      </w:pPr>
      <w:r>
        <w:rPr>
          <w:sz w:val="20"/>
          <w:szCs w:val="20"/>
        </w:rPr>
        <w:t>Restricted cash is comprised of money market funds related to landlord guarantees for leased facilities. These restricted cash balances have been excluded from our cash and cash e</w:t>
      </w:r>
      <w:r>
        <w:rPr>
          <w:sz w:val="20"/>
          <w:szCs w:val="20"/>
        </w:rPr>
        <w:t>quivalents balance on our consolidated balance sheets</w:t>
      </w:r>
      <w:r>
        <w:rPr>
          <w:sz w:val="20"/>
          <w:szCs w:val="20"/>
        </w:rPr>
        <w:t>.</w:t>
      </w:r>
    </w:p>
    <w:p w14:paraId="5C9DAF57" w14:textId="77777777" w:rsidR="00000000" w:rsidRDefault="003C49E9">
      <w:pPr>
        <w:pStyle w:val="a3"/>
        <w:spacing w:before="200" w:beforeAutospacing="0" w:after="0" w:afterAutospacing="0"/>
        <w:ind w:firstLine="555"/>
        <w:divId w:val="2089577374"/>
        <w:rPr>
          <w:sz w:val="20"/>
          <w:szCs w:val="20"/>
        </w:rPr>
      </w:pPr>
      <w:r>
        <w:rPr>
          <w:sz w:val="20"/>
          <w:szCs w:val="20"/>
        </w:rPr>
        <w:t xml:space="preserve">Strategic investments consist of non-controlling equity investments in privately held companies. The Company elected the measurement alternative for these investments without readily determinable fair </w:t>
      </w:r>
      <w:r>
        <w:rPr>
          <w:sz w:val="20"/>
          <w:szCs w:val="20"/>
        </w:rPr>
        <w:t xml:space="preserve">values and for which the Company does not have the ability to exercise significant influence. These investments are accounted for under the cost method of accounting. Under the cost method of accounting, the non-marketable equity securities are carried at </w:t>
      </w:r>
      <w:r>
        <w:rPr>
          <w:sz w:val="20"/>
          <w:szCs w:val="20"/>
        </w:rPr>
        <w:t>cost less any impairment, plus or minus adjustments resulting from observable price changes in orderly transactions for the identical or a similar investment of the same issuer, which is recorded within the statement of operations. The Company holds</w:t>
      </w:r>
      <w:r>
        <w:rPr>
          <w:sz w:val="20"/>
          <w:szCs w:val="20"/>
        </w:rPr>
        <w:t xml:space="preserve"> </w:t>
      </w:r>
      <w:r>
        <w:rPr>
          <w:sz w:val="20"/>
          <w:szCs w:val="20"/>
        </w:rPr>
        <w:t>$</w:t>
      </w:r>
      <w:r>
        <w:rPr>
          <w:sz w:val="20"/>
          <w:szCs w:val="20"/>
        </w:rPr>
        <w:t>37.</w:t>
      </w:r>
      <w:r>
        <w:rPr>
          <w:sz w:val="20"/>
          <w:szCs w:val="20"/>
        </w:rPr>
        <w:t>0</w:t>
      </w:r>
      <w:r>
        <w:rPr>
          <w:sz w:val="20"/>
          <w:szCs w:val="20"/>
        </w:rPr>
        <w:t xml:space="preserve"> </w:t>
      </w:r>
      <w:r>
        <w:rPr>
          <w:sz w:val="20"/>
          <w:szCs w:val="20"/>
        </w:rPr>
        <w:t>million of strategic investments without readily determinable fair values at June 30, 2022 and</w:t>
      </w:r>
      <w:r>
        <w:rPr>
          <w:sz w:val="20"/>
          <w:szCs w:val="20"/>
        </w:rPr>
        <w:t xml:space="preserve"> </w:t>
      </w:r>
      <w:r>
        <w:rPr>
          <w:sz w:val="20"/>
          <w:szCs w:val="20"/>
        </w:rPr>
        <w:t>$</w:t>
      </w:r>
      <w:r>
        <w:rPr>
          <w:sz w:val="20"/>
          <w:szCs w:val="20"/>
        </w:rPr>
        <w:t>17.</w:t>
      </w:r>
      <w:r>
        <w:rPr>
          <w:sz w:val="20"/>
          <w:szCs w:val="20"/>
        </w:rPr>
        <w:t>8</w:t>
      </w:r>
      <w:r>
        <w:rPr>
          <w:sz w:val="20"/>
          <w:szCs w:val="20"/>
        </w:rPr>
        <w:t xml:space="preserve"> million of strategic investments without readily determinable fair values at December 31, 2021. These investments are included in prepaid and other current</w:t>
      </w:r>
      <w:r>
        <w:rPr>
          <w:sz w:val="20"/>
          <w:szCs w:val="20"/>
        </w:rPr>
        <w:t xml:space="preserve"> assets and other assets on the consolidated balance sheets. During the six months ended June 30, 202</w:t>
      </w:r>
      <w:r>
        <w:rPr>
          <w:sz w:val="20"/>
          <w:szCs w:val="20"/>
        </w:rPr>
        <w:t>2</w:t>
      </w:r>
      <w:r>
        <w:rPr>
          <w:sz w:val="20"/>
          <w:szCs w:val="20"/>
        </w:rPr>
        <w:t>, an acquisition of an entity in which the Company held a strategic investment was completed, which resulted in an observable price change. In the first q</w:t>
      </w:r>
      <w:r>
        <w:rPr>
          <w:sz w:val="20"/>
          <w:szCs w:val="20"/>
        </w:rPr>
        <w:t xml:space="preserve">uarter of 2022, the Company adjusted the fair value of its investment and recognized a gain of </w:t>
      </w:r>
      <w:r>
        <w:rPr>
          <w:sz w:val="20"/>
          <w:szCs w:val="20"/>
        </w:rPr>
        <w:t>$</w:t>
      </w:r>
      <w:r>
        <w:rPr>
          <w:sz w:val="20"/>
          <w:szCs w:val="20"/>
        </w:rPr>
        <w:t>4.</w:t>
      </w:r>
      <w:r>
        <w:rPr>
          <w:sz w:val="20"/>
          <w:szCs w:val="20"/>
        </w:rPr>
        <w:t>2</w:t>
      </w:r>
      <w:r>
        <w:rPr>
          <w:sz w:val="20"/>
          <w:szCs w:val="20"/>
        </w:rPr>
        <w:t xml:space="preserve"> million reported in the consolidated statements of operations as other income. There were no other adjustments to the carrying value of the strategic invest</w:t>
      </w:r>
      <w:r>
        <w:rPr>
          <w:sz w:val="20"/>
          <w:szCs w:val="20"/>
        </w:rPr>
        <w:t>ments resulting from impairments or observable price changes in the</w:t>
      </w:r>
      <w:r>
        <w:rPr>
          <w:sz w:val="20"/>
          <w:szCs w:val="20"/>
        </w:rPr>
        <w:t xml:space="preserve"> </w:t>
      </w:r>
      <w:r>
        <w:rPr>
          <w:sz w:val="20"/>
          <w:szCs w:val="20"/>
        </w:rPr>
        <w:t>six months ended June 30, 2022</w:t>
      </w:r>
      <w:r>
        <w:rPr>
          <w:sz w:val="20"/>
          <w:szCs w:val="20"/>
        </w:rPr>
        <w:t>.</w:t>
      </w:r>
    </w:p>
    <w:p w14:paraId="285C8774" w14:textId="77777777" w:rsidR="00000000" w:rsidRDefault="003C49E9">
      <w:pPr>
        <w:pStyle w:val="a3"/>
        <w:spacing w:before="200" w:beforeAutospacing="0" w:after="0" w:afterAutospacing="0"/>
        <w:ind w:firstLine="555"/>
        <w:divId w:val="1783260887"/>
        <w:rPr>
          <w:sz w:val="20"/>
          <w:szCs w:val="20"/>
        </w:rPr>
      </w:pPr>
      <w:r>
        <w:rPr>
          <w:sz w:val="20"/>
          <w:szCs w:val="20"/>
        </w:rPr>
        <w:t>The following tables summarize the composition of our short- and long-term investments at</w:t>
      </w:r>
      <w:r>
        <w:rPr>
          <w:sz w:val="20"/>
          <w:szCs w:val="20"/>
        </w:rPr>
        <w:t xml:space="preserve"> </w:t>
      </w:r>
      <w:r>
        <w:rPr>
          <w:sz w:val="20"/>
          <w:szCs w:val="20"/>
        </w:rPr>
        <w:t>June 30, 2022 and December 31, 2021</w:t>
      </w:r>
      <w:r>
        <w:rPr>
          <w:sz w:val="20"/>
          <w:szCs w:val="20"/>
        </w:rPr>
        <w:t>.</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82"/>
        <w:gridCol w:w="310"/>
        <w:gridCol w:w="160"/>
        <w:gridCol w:w="860"/>
        <w:gridCol w:w="110"/>
        <w:gridCol w:w="110"/>
        <w:gridCol w:w="161"/>
        <w:gridCol w:w="712"/>
        <w:gridCol w:w="110"/>
        <w:gridCol w:w="110"/>
        <w:gridCol w:w="161"/>
        <w:gridCol w:w="707"/>
        <w:gridCol w:w="127"/>
        <w:gridCol w:w="110"/>
        <w:gridCol w:w="160"/>
        <w:gridCol w:w="860"/>
        <w:gridCol w:w="125"/>
      </w:tblGrid>
      <w:tr w:rsidR="00000000" w14:paraId="2381E120" w14:textId="77777777">
        <w:trPr>
          <w:divId w:val="1783260887"/>
          <w:tblCellSpacing w:w="15" w:type="dxa"/>
        </w:trPr>
        <w:tc>
          <w:tcPr>
            <w:tcW w:w="2374" w:type="pct"/>
            <w:vAlign w:val="center"/>
            <w:hideMark/>
          </w:tcPr>
          <w:p w14:paraId="00C547BC" w14:textId="77777777" w:rsidR="00000000" w:rsidRDefault="003C49E9">
            <w:pPr>
              <w:rPr>
                <w:sz w:val="20"/>
                <w:szCs w:val="20"/>
              </w:rPr>
            </w:pPr>
          </w:p>
        </w:tc>
        <w:tc>
          <w:tcPr>
            <w:tcW w:w="103" w:type="pct"/>
            <w:vAlign w:val="center"/>
            <w:hideMark/>
          </w:tcPr>
          <w:p w14:paraId="2B5D9B90" w14:textId="77777777" w:rsidR="00000000" w:rsidRDefault="003C49E9">
            <w:pPr>
              <w:rPr>
                <w:rFonts w:eastAsia="Times New Roman"/>
                <w:sz w:val="20"/>
                <w:szCs w:val="20"/>
              </w:rPr>
            </w:pPr>
          </w:p>
        </w:tc>
        <w:tc>
          <w:tcPr>
            <w:tcW w:w="50" w:type="pct"/>
            <w:vAlign w:val="center"/>
            <w:hideMark/>
          </w:tcPr>
          <w:p w14:paraId="4125B9DB" w14:textId="77777777" w:rsidR="00000000" w:rsidRDefault="003C49E9">
            <w:pPr>
              <w:rPr>
                <w:rFonts w:eastAsia="Times New Roman"/>
                <w:sz w:val="20"/>
                <w:szCs w:val="20"/>
              </w:rPr>
            </w:pPr>
          </w:p>
        </w:tc>
        <w:tc>
          <w:tcPr>
            <w:tcW w:w="401" w:type="pct"/>
            <w:vAlign w:val="center"/>
            <w:hideMark/>
          </w:tcPr>
          <w:p w14:paraId="5F57E408" w14:textId="77777777" w:rsidR="00000000" w:rsidRDefault="003C49E9">
            <w:pPr>
              <w:rPr>
                <w:rFonts w:eastAsia="Times New Roman"/>
                <w:sz w:val="20"/>
                <w:szCs w:val="20"/>
              </w:rPr>
            </w:pPr>
          </w:p>
        </w:tc>
        <w:tc>
          <w:tcPr>
            <w:tcW w:w="50" w:type="pct"/>
            <w:vAlign w:val="center"/>
            <w:hideMark/>
          </w:tcPr>
          <w:p w14:paraId="49D3E46B" w14:textId="77777777" w:rsidR="00000000" w:rsidRDefault="003C49E9">
            <w:pPr>
              <w:rPr>
                <w:rFonts w:eastAsia="Times New Roman"/>
                <w:sz w:val="20"/>
                <w:szCs w:val="20"/>
              </w:rPr>
            </w:pPr>
          </w:p>
        </w:tc>
        <w:tc>
          <w:tcPr>
            <w:tcW w:w="53" w:type="pct"/>
            <w:vAlign w:val="center"/>
            <w:hideMark/>
          </w:tcPr>
          <w:p w14:paraId="60EEAAB8" w14:textId="77777777" w:rsidR="00000000" w:rsidRDefault="003C49E9">
            <w:pPr>
              <w:rPr>
                <w:rFonts w:eastAsia="Times New Roman"/>
                <w:sz w:val="20"/>
                <w:szCs w:val="20"/>
              </w:rPr>
            </w:pPr>
          </w:p>
        </w:tc>
        <w:tc>
          <w:tcPr>
            <w:tcW w:w="50" w:type="pct"/>
            <w:vAlign w:val="center"/>
            <w:hideMark/>
          </w:tcPr>
          <w:p w14:paraId="3F184A7B" w14:textId="77777777" w:rsidR="00000000" w:rsidRDefault="003C49E9">
            <w:pPr>
              <w:rPr>
                <w:rFonts w:eastAsia="Times New Roman"/>
                <w:sz w:val="20"/>
                <w:szCs w:val="20"/>
              </w:rPr>
            </w:pPr>
          </w:p>
        </w:tc>
        <w:tc>
          <w:tcPr>
            <w:tcW w:w="532" w:type="pct"/>
            <w:vAlign w:val="center"/>
            <w:hideMark/>
          </w:tcPr>
          <w:p w14:paraId="21EE3145" w14:textId="77777777" w:rsidR="00000000" w:rsidRDefault="003C49E9">
            <w:pPr>
              <w:rPr>
                <w:rFonts w:eastAsia="Times New Roman"/>
                <w:sz w:val="20"/>
                <w:szCs w:val="20"/>
              </w:rPr>
            </w:pPr>
          </w:p>
        </w:tc>
        <w:tc>
          <w:tcPr>
            <w:tcW w:w="50" w:type="pct"/>
            <w:vAlign w:val="center"/>
            <w:hideMark/>
          </w:tcPr>
          <w:p w14:paraId="49E4DCB6" w14:textId="77777777" w:rsidR="00000000" w:rsidRDefault="003C49E9">
            <w:pPr>
              <w:rPr>
                <w:rFonts w:eastAsia="Times New Roman"/>
                <w:sz w:val="20"/>
                <w:szCs w:val="20"/>
              </w:rPr>
            </w:pPr>
          </w:p>
        </w:tc>
        <w:tc>
          <w:tcPr>
            <w:tcW w:w="53" w:type="pct"/>
            <w:vAlign w:val="center"/>
            <w:hideMark/>
          </w:tcPr>
          <w:p w14:paraId="6BF4183E" w14:textId="77777777" w:rsidR="00000000" w:rsidRDefault="003C49E9">
            <w:pPr>
              <w:rPr>
                <w:rFonts w:eastAsia="Times New Roman"/>
                <w:sz w:val="20"/>
                <w:szCs w:val="20"/>
              </w:rPr>
            </w:pPr>
          </w:p>
        </w:tc>
        <w:tc>
          <w:tcPr>
            <w:tcW w:w="50" w:type="pct"/>
            <w:vAlign w:val="center"/>
            <w:hideMark/>
          </w:tcPr>
          <w:p w14:paraId="0E52F278" w14:textId="77777777" w:rsidR="00000000" w:rsidRDefault="003C49E9">
            <w:pPr>
              <w:rPr>
                <w:rFonts w:eastAsia="Times New Roman"/>
                <w:sz w:val="20"/>
                <w:szCs w:val="20"/>
              </w:rPr>
            </w:pPr>
          </w:p>
        </w:tc>
        <w:tc>
          <w:tcPr>
            <w:tcW w:w="485" w:type="pct"/>
            <w:vAlign w:val="center"/>
            <w:hideMark/>
          </w:tcPr>
          <w:p w14:paraId="1F2CA775" w14:textId="77777777" w:rsidR="00000000" w:rsidRDefault="003C49E9">
            <w:pPr>
              <w:rPr>
                <w:rFonts w:eastAsia="Times New Roman"/>
                <w:sz w:val="20"/>
                <w:szCs w:val="20"/>
              </w:rPr>
            </w:pPr>
          </w:p>
        </w:tc>
        <w:tc>
          <w:tcPr>
            <w:tcW w:w="50" w:type="pct"/>
            <w:vAlign w:val="center"/>
            <w:hideMark/>
          </w:tcPr>
          <w:p w14:paraId="0F210062" w14:textId="77777777" w:rsidR="00000000" w:rsidRDefault="003C49E9">
            <w:pPr>
              <w:rPr>
                <w:rFonts w:eastAsia="Times New Roman"/>
                <w:sz w:val="20"/>
                <w:szCs w:val="20"/>
              </w:rPr>
            </w:pPr>
          </w:p>
        </w:tc>
        <w:tc>
          <w:tcPr>
            <w:tcW w:w="53" w:type="pct"/>
            <w:vAlign w:val="center"/>
            <w:hideMark/>
          </w:tcPr>
          <w:p w14:paraId="00187105" w14:textId="77777777" w:rsidR="00000000" w:rsidRDefault="003C49E9">
            <w:pPr>
              <w:rPr>
                <w:rFonts w:eastAsia="Times New Roman"/>
                <w:sz w:val="20"/>
                <w:szCs w:val="20"/>
              </w:rPr>
            </w:pPr>
          </w:p>
        </w:tc>
        <w:tc>
          <w:tcPr>
            <w:tcW w:w="50" w:type="pct"/>
            <w:vAlign w:val="center"/>
            <w:hideMark/>
          </w:tcPr>
          <w:p w14:paraId="44B46FE2" w14:textId="77777777" w:rsidR="00000000" w:rsidRDefault="003C49E9">
            <w:pPr>
              <w:rPr>
                <w:rFonts w:eastAsia="Times New Roman"/>
                <w:sz w:val="20"/>
                <w:szCs w:val="20"/>
              </w:rPr>
            </w:pPr>
          </w:p>
        </w:tc>
        <w:tc>
          <w:tcPr>
            <w:tcW w:w="544" w:type="pct"/>
            <w:vAlign w:val="center"/>
            <w:hideMark/>
          </w:tcPr>
          <w:p w14:paraId="59350B3E" w14:textId="77777777" w:rsidR="00000000" w:rsidRDefault="003C49E9">
            <w:pPr>
              <w:rPr>
                <w:rFonts w:eastAsia="Times New Roman"/>
                <w:sz w:val="20"/>
                <w:szCs w:val="20"/>
              </w:rPr>
            </w:pPr>
          </w:p>
        </w:tc>
        <w:tc>
          <w:tcPr>
            <w:tcW w:w="50" w:type="pct"/>
            <w:vAlign w:val="center"/>
            <w:hideMark/>
          </w:tcPr>
          <w:p w14:paraId="62FD1E57" w14:textId="77777777" w:rsidR="00000000" w:rsidRDefault="003C49E9">
            <w:pPr>
              <w:rPr>
                <w:rFonts w:eastAsia="Times New Roman"/>
                <w:sz w:val="20"/>
                <w:szCs w:val="20"/>
              </w:rPr>
            </w:pPr>
          </w:p>
        </w:tc>
      </w:tr>
      <w:tr w:rsidR="00000000" w14:paraId="4829C1FB" w14:textId="77777777">
        <w:trPr>
          <w:divId w:val="1783260887"/>
          <w:trHeight w:val="160"/>
          <w:tblCellSpacing w:w="15" w:type="dxa"/>
        </w:trPr>
        <w:tc>
          <w:tcPr>
            <w:tcW w:w="0" w:type="auto"/>
            <w:vAlign w:val="bottom"/>
            <w:hideMark/>
          </w:tcPr>
          <w:p w14:paraId="48A6433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D6D96D5"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60403AE6"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1B207B6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15AA98E" w14:textId="77777777">
        <w:trPr>
          <w:divId w:val="1783260887"/>
          <w:trHeight w:val="160"/>
          <w:tblCellSpacing w:w="15" w:type="dxa"/>
        </w:trPr>
        <w:tc>
          <w:tcPr>
            <w:tcW w:w="0" w:type="auto"/>
            <w:vAlign w:val="bottom"/>
            <w:hideMark/>
          </w:tcPr>
          <w:p w14:paraId="0503853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3195575"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2DF04D3C" w14:textId="77777777" w:rsidR="00000000" w:rsidRDefault="003C49E9">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14:paraId="76CFC7A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C2ADE69"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3A31120" w14:textId="77777777" w:rsidR="00000000" w:rsidRDefault="003C49E9">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14:paraId="11D4CE3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BF7184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16B138A" w14:textId="77777777" w:rsidR="00000000" w:rsidRDefault="003C49E9">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14:paraId="43D9745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8520ED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F0F4B81" w14:textId="77777777" w:rsidR="00000000" w:rsidRDefault="003C49E9">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18D07D11"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F71DE8F" w14:textId="77777777">
        <w:trPr>
          <w:divId w:val="1783260887"/>
          <w:trHeight w:val="160"/>
          <w:tblCellSpacing w:w="15" w:type="dxa"/>
        </w:trPr>
        <w:tc>
          <w:tcPr>
            <w:tcW w:w="0" w:type="auto"/>
            <w:vAlign w:val="bottom"/>
            <w:hideMark/>
          </w:tcPr>
          <w:p w14:paraId="5E275EC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76C39AF"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7DEDC14B"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51D487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D82ABEF" w14:textId="77777777">
        <w:trPr>
          <w:divId w:val="1783260887"/>
          <w:trHeight w:val="200"/>
          <w:tblCellSpacing w:w="15" w:type="dxa"/>
        </w:trPr>
        <w:tc>
          <w:tcPr>
            <w:tcW w:w="0" w:type="auto"/>
            <w:vAlign w:val="bottom"/>
            <w:hideMark/>
          </w:tcPr>
          <w:p w14:paraId="7E741246" w14:textId="77777777" w:rsidR="00000000" w:rsidRDefault="003C49E9">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14:paraId="45EE113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917930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870F6F1" w14:textId="77777777" w:rsidR="00000000" w:rsidRDefault="003C49E9">
            <w:pPr>
              <w:pStyle w:val="a3"/>
              <w:spacing w:before="0" w:beforeAutospacing="0" w:after="0" w:afterAutospacing="0"/>
              <w:jc w:val="right"/>
              <w:rPr>
                <w:sz w:val="20"/>
                <w:szCs w:val="20"/>
              </w:rPr>
            </w:pPr>
            <w:r>
              <w:rPr>
                <w:sz w:val="20"/>
                <w:szCs w:val="20"/>
              </w:rPr>
              <w:t>25,62</w:t>
            </w:r>
            <w:r>
              <w:rPr>
                <w:sz w:val="20"/>
                <w:szCs w:val="20"/>
              </w:rPr>
              <w:t>9</w:t>
            </w:r>
          </w:p>
        </w:tc>
        <w:tc>
          <w:tcPr>
            <w:tcW w:w="0" w:type="auto"/>
            <w:noWrap/>
            <w:vAlign w:val="bottom"/>
            <w:hideMark/>
          </w:tcPr>
          <w:p w14:paraId="20BE759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B2B77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435293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67C27A2"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409524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A68B9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460E3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E9C8FE7"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274959A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40203A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C524A2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BF27329" w14:textId="77777777" w:rsidR="00000000" w:rsidRDefault="003C49E9">
            <w:pPr>
              <w:pStyle w:val="a3"/>
              <w:spacing w:before="0" w:beforeAutospacing="0" w:after="0" w:afterAutospacing="0"/>
              <w:jc w:val="right"/>
              <w:rPr>
                <w:sz w:val="20"/>
                <w:szCs w:val="20"/>
              </w:rPr>
            </w:pPr>
            <w:r>
              <w:rPr>
                <w:sz w:val="20"/>
                <w:szCs w:val="20"/>
              </w:rPr>
              <w:t>25,62</w:t>
            </w:r>
            <w:r>
              <w:rPr>
                <w:sz w:val="20"/>
                <w:szCs w:val="20"/>
              </w:rPr>
              <w:t>9</w:t>
            </w:r>
          </w:p>
        </w:tc>
        <w:tc>
          <w:tcPr>
            <w:tcW w:w="0" w:type="auto"/>
            <w:noWrap/>
            <w:vAlign w:val="bottom"/>
            <w:hideMark/>
          </w:tcPr>
          <w:p w14:paraId="3F38B4F3" w14:textId="77777777" w:rsidR="00000000" w:rsidRDefault="003C49E9">
            <w:pPr>
              <w:pStyle w:val="a3"/>
              <w:spacing w:before="0" w:beforeAutospacing="0" w:after="0" w:afterAutospacing="0"/>
              <w:rPr>
                <w:sz w:val="20"/>
                <w:szCs w:val="20"/>
              </w:rPr>
            </w:pPr>
            <w:r>
              <w:rPr>
                <w:sz w:val="20"/>
                <w:szCs w:val="20"/>
              </w:rPr>
              <w:t> </w:t>
            </w:r>
          </w:p>
        </w:tc>
      </w:tr>
      <w:tr w:rsidR="00000000" w14:paraId="37481279" w14:textId="77777777">
        <w:trPr>
          <w:divId w:val="1783260887"/>
          <w:trHeight w:val="200"/>
          <w:tblCellSpacing w:w="15" w:type="dxa"/>
        </w:trPr>
        <w:tc>
          <w:tcPr>
            <w:tcW w:w="0" w:type="auto"/>
            <w:vAlign w:val="bottom"/>
            <w:hideMark/>
          </w:tcPr>
          <w:p w14:paraId="190AF1FA" w14:textId="77777777" w:rsidR="00000000" w:rsidRDefault="003C49E9">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14:paraId="53F1CAE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E02CE6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B4F2E6" w14:textId="77777777" w:rsidR="00000000" w:rsidRDefault="003C49E9">
            <w:pPr>
              <w:pStyle w:val="a3"/>
              <w:spacing w:before="0" w:beforeAutospacing="0" w:after="0" w:afterAutospacing="0"/>
              <w:jc w:val="right"/>
              <w:rPr>
                <w:sz w:val="20"/>
                <w:szCs w:val="20"/>
              </w:rPr>
            </w:pPr>
            <w:r>
              <w:rPr>
                <w:sz w:val="20"/>
                <w:szCs w:val="20"/>
              </w:rPr>
              <w:t>254,86</w:t>
            </w:r>
            <w:r>
              <w:rPr>
                <w:sz w:val="20"/>
                <w:szCs w:val="20"/>
              </w:rPr>
              <w:t>1</w:t>
            </w:r>
          </w:p>
        </w:tc>
        <w:tc>
          <w:tcPr>
            <w:tcW w:w="0" w:type="auto"/>
            <w:noWrap/>
            <w:vAlign w:val="bottom"/>
            <w:hideMark/>
          </w:tcPr>
          <w:p w14:paraId="54D7454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189D24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F5559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60A757" w14:textId="77777777" w:rsidR="00000000" w:rsidRDefault="003C49E9">
            <w:pPr>
              <w:pStyle w:val="a3"/>
              <w:spacing w:before="0" w:beforeAutospacing="0" w:after="0" w:afterAutospacing="0"/>
              <w:jc w:val="right"/>
              <w:rPr>
                <w:sz w:val="20"/>
                <w:szCs w:val="20"/>
              </w:rPr>
            </w:pPr>
            <w:r>
              <w:rPr>
                <w:sz w:val="20"/>
                <w:szCs w:val="20"/>
              </w:rPr>
              <w:t>9</w:t>
            </w:r>
          </w:p>
        </w:tc>
        <w:tc>
          <w:tcPr>
            <w:tcW w:w="0" w:type="auto"/>
            <w:noWrap/>
            <w:vAlign w:val="bottom"/>
            <w:hideMark/>
          </w:tcPr>
          <w:p w14:paraId="7F007BD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9C9D2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345F9A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872148" w14:textId="77777777" w:rsidR="00000000" w:rsidRDefault="003C49E9">
            <w:pPr>
              <w:pStyle w:val="a3"/>
              <w:spacing w:before="0" w:beforeAutospacing="0" w:after="0" w:afterAutospacing="0"/>
              <w:jc w:val="right"/>
              <w:rPr>
                <w:sz w:val="20"/>
                <w:szCs w:val="20"/>
              </w:rPr>
            </w:pPr>
            <w:r>
              <w:rPr>
                <w:sz w:val="20"/>
                <w:szCs w:val="20"/>
              </w:rPr>
              <w:t>(</w:t>
            </w:r>
            <w:r>
              <w:rPr>
                <w:sz w:val="20"/>
                <w:szCs w:val="20"/>
              </w:rPr>
              <w:t>3,93</w:t>
            </w:r>
            <w:r>
              <w:rPr>
                <w:sz w:val="20"/>
                <w:szCs w:val="20"/>
              </w:rPr>
              <w:t>1</w:t>
            </w:r>
          </w:p>
        </w:tc>
        <w:tc>
          <w:tcPr>
            <w:tcW w:w="0" w:type="auto"/>
            <w:noWrap/>
            <w:vAlign w:val="bottom"/>
            <w:hideMark/>
          </w:tcPr>
          <w:p w14:paraId="3114A80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07F5C2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0FF19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8E0BA4" w14:textId="77777777" w:rsidR="00000000" w:rsidRDefault="003C49E9">
            <w:pPr>
              <w:pStyle w:val="a3"/>
              <w:spacing w:before="0" w:beforeAutospacing="0" w:after="0" w:afterAutospacing="0"/>
              <w:jc w:val="right"/>
              <w:rPr>
                <w:sz w:val="20"/>
                <w:szCs w:val="20"/>
              </w:rPr>
            </w:pPr>
            <w:r>
              <w:rPr>
                <w:sz w:val="20"/>
                <w:szCs w:val="20"/>
              </w:rPr>
              <w:t>250,93</w:t>
            </w:r>
            <w:r>
              <w:rPr>
                <w:sz w:val="20"/>
                <w:szCs w:val="20"/>
              </w:rPr>
              <w:t>9</w:t>
            </w:r>
          </w:p>
        </w:tc>
        <w:tc>
          <w:tcPr>
            <w:tcW w:w="0" w:type="auto"/>
            <w:noWrap/>
            <w:vAlign w:val="bottom"/>
            <w:hideMark/>
          </w:tcPr>
          <w:p w14:paraId="75617811" w14:textId="77777777" w:rsidR="00000000" w:rsidRDefault="003C49E9">
            <w:pPr>
              <w:pStyle w:val="a3"/>
              <w:spacing w:before="0" w:beforeAutospacing="0" w:after="0" w:afterAutospacing="0"/>
              <w:rPr>
                <w:sz w:val="20"/>
                <w:szCs w:val="20"/>
              </w:rPr>
            </w:pPr>
            <w:r>
              <w:rPr>
                <w:sz w:val="20"/>
                <w:szCs w:val="20"/>
              </w:rPr>
              <w:t> </w:t>
            </w:r>
          </w:p>
        </w:tc>
      </w:tr>
      <w:tr w:rsidR="00000000" w14:paraId="6C9050D9" w14:textId="77777777">
        <w:trPr>
          <w:divId w:val="1783260887"/>
          <w:trHeight w:val="200"/>
          <w:tblCellSpacing w:w="15" w:type="dxa"/>
        </w:trPr>
        <w:tc>
          <w:tcPr>
            <w:tcW w:w="0" w:type="auto"/>
            <w:vAlign w:val="bottom"/>
            <w:hideMark/>
          </w:tcPr>
          <w:p w14:paraId="62F96DD1" w14:textId="77777777" w:rsidR="00000000" w:rsidRDefault="003C49E9">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14:paraId="15F6DE2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AB5D90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53F7B2" w14:textId="77777777" w:rsidR="00000000" w:rsidRDefault="003C49E9">
            <w:pPr>
              <w:pStyle w:val="a3"/>
              <w:spacing w:before="0" w:beforeAutospacing="0" w:after="0" w:afterAutospacing="0"/>
              <w:jc w:val="right"/>
              <w:rPr>
                <w:sz w:val="20"/>
                <w:szCs w:val="20"/>
              </w:rPr>
            </w:pPr>
            <w:r>
              <w:rPr>
                <w:sz w:val="20"/>
                <w:szCs w:val="20"/>
              </w:rPr>
              <w:t>35,98</w:t>
            </w:r>
            <w:r>
              <w:rPr>
                <w:sz w:val="20"/>
                <w:szCs w:val="20"/>
              </w:rPr>
              <w:t>6</w:t>
            </w:r>
          </w:p>
        </w:tc>
        <w:tc>
          <w:tcPr>
            <w:tcW w:w="0" w:type="auto"/>
            <w:noWrap/>
            <w:vAlign w:val="bottom"/>
            <w:hideMark/>
          </w:tcPr>
          <w:p w14:paraId="4952682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97300E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BF5879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605DCA" w14:textId="77777777" w:rsidR="00000000" w:rsidRDefault="003C49E9">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14:paraId="7CFADA5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97DC4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2EB70E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583712" w14:textId="77777777" w:rsidR="00000000" w:rsidRDefault="003C49E9">
            <w:pPr>
              <w:pStyle w:val="a3"/>
              <w:spacing w:before="0" w:beforeAutospacing="0" w:after="0" w:afterAutospacing="0"/>
              <w:jc w:val="right"/>
              <w:rPr>
                <w:sz w:val="20"/>
                <w:szCs w:val="20"/>
              </w:rPr>
            </w:pPr>
            <w:r>
              <w:rPr>
                <w:sz w:val="20"/>
                <w:szCs w:val="20"/>
              </w:rPr>
              <w:t>(</w:t>
            </w:r>
            <w:r>
              <w:rPr>
                <w:sz w:val="20"/>
                <w:szCs w:val="20"/>
              </w:rPr>
              <w:t>62</w:t>
            </w:r>
            <w:r>
              <w:rPr>
                <w:sz w:val="20"/>
                <w:szCs w:val="20"/>
              </w:rPr>
              <w:t>1</w:t>
            </w:r>
          </w:p>
        </w:tc>
        <w:tc>
          <w:tcPr>
            <w:tcW w:w="0" w:type="auto"/>
            <w:noWrap/>
            <w:vAlign w:val="bottom"/>
            <w:hideMark/>
          </w:tcPr>
          <w:p w14:paraId="3C459AD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552C45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343E0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07871B" w14:textId="77777777" w:rsidR="00000000" w:rsidRDefault="003C49E9">
            <w:pPr>
              <w:pStyle w:val="a3"/>
              <w:spacing w:before="0" w:beforeAutospacing="0" w:after="0" w:afterAutospacing="0"/>
              <w:jc w:val="right"/>
              <w:rPr>
                <w:sz w:val="20"/>
                <w:szCs w:val="20"/>
              </w:rPr>
            </w:pPr>
            <w:r>
              <w:rPr>
                <w:sz w:val="20"/>
                <w:szCs w:val="20"/>
              </w:rPr>
              <w:t>35,37</w:t>
            </w:r>
            <w:r>
              <w:rPr>
                <w:sz w:val="20"/>
                <w:szCs w:val="20"/>
              </w:rPr>
              <w:t>8</w:t>
            </w:r>
          </w:p>
        </w:tc>
        <w:tc>
          <w:tcPr>
            <w:tcW w:w="0" w:type="auto"/>
            <w:noWrap/>
            <w:vAlign w:val="bottom"/>
            <w:hideMark/>
          </w:tcPr>
          <w:p w14:paraId="41D6E808" w14:textId="77777777" w:rsidR="00000000" w:rsidRDefault="003C49E9">
            <w:pPr>
              <w:pStyle w:val="a3"/>
              <w:spacing w:before="0" w:beforeAutospacing="0" w:after="0" w:afterAutospacing="0"/>
              <w:rPr>
                <w:sz w:val="20"/>
                <w:szCs w:val="20"/>
              </w:rPr>
            </w:pPr>
            <w:r>
              <w:rPr>
                <w:sz w:val="20"/>
                <w:szCs w:val="20"/>
              </w:rPr>
              <w:t> </w:t>
            </w:r>
          </w:p>
        </w:tc>
      </w:tr>
      <w:tr w:rsidR="00000000" w14:paraId="77FED1F1" w14:textId="77777777">
        <w:trPr>
          <w:divId w:val="1783260887"/>
          <w:trHeight w:val="200"/>
          <w:tblCellSpacing w:w="15" w:type="dxa"/>
        </w:trPr>
        <w:tc>
          <w:tcPr>
            <w:tcW w:w="0" w:type="auto"/>
            <w:vAlign w:val="bottom"/>
            <w:hideMark/>
          </w:tcPr>
          <w:p w14:paraId="777A7BC8" w14:textId="77777777" w:rsidR="00000000" w:rsidRDefault="003C49E9">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14:paraId="30EB97A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926909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864C19" w14:textId="77777777" w:rsidR="00000000" w:rsidRDefault="003C49E9">
            <w:pPr>
              <w:pStyle w:val="a3"/>
              <w:spacing w:before="0" w:beforeAutospacing="0" w:after="0" w:afterAutospacing="0"/>
              <w:jc w:val="right"/>
              <w:rPr>
                <w:sz w:val="20"/>
                <w:szCs w:val="20"/>
              </w:rPr>
            </w:pPr>
            <w:r>
              <w:rPr>
                <w:sz w:val="20"/>
                <w:szCs w:val="20"/>
              </w:rPr>
              <w:t>793,99</w:t>
            </w:r>
            <w:r>
              <w:rPr>
                <w:sz w:val="20"/>
                <w:szCs w:val="20"/>
              </w:rPr>
              <w:t>8</w:t>
            </w:r>
          </w:p>
        </w:tc>
        <w:tc>
          <w:tcPr>
            <w:tcW w:w="0" w:type="auto"/>
            <w:noWrap/>
            <w:vAlign w:val="bottom"/>
            <w:hideMark/>
          </w:tcPr>
          <w:p w14:paraId="362220F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5875C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AAC4F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694E46" w14:textId="77777777" w:rsidR="00000000" w:rsidRDefault="003C49E9">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14:paraId="65ECAF3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40ABE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B364A3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C9AB39" w14:textId="77777777" w:rsidR="00000000" w:rsidRDefault="003C49E9">
            <w:pPr>
              <w:pStyle w:val="a3"/>
              <w:spacing w:before="0" w:beforeAutospacing="0" w:after="0" w:afterAutospacing="0"/>
              <w:jc w:val="right"/>
              <w:rPr>
                <w:sz w:val="20"/>
                <w:szCs w:val="20"/>
              </w:rPr>
            </w:pPr>
            <w:r>
              <w:rPr>
                <w:sz w:val="20"/>
                <w:szCs w:val="20"/>
              </w:rPr>
              <w:t>(</w:t>
            </w:r>
            <w:r>
              <w:rPr>
                <w:sz w:val="20"/>
                <w:szCs w:val="20"/>
              </w:rPr>
              <w:t>2,94</w:t>
            </w:r>
            <w:r>
              <w:rPr>
                <w:sz w:val="20"/>
                <w:szCs w:val="20"/>
              </w:rPr>
              <w:t>3</w:t>
            </w:r>
          </w:p>
        </w:tc>
        <w:tc>
          <w:tcPr>
            <w:tcW w:w="0" w:type="auto"/>
            <w:noWrap/>
            <w:vAlign w:val="bottom"/>
            <w:hideMark/>
          </w:tcPr>
          <w:p w14:paraId="7FBA66C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05953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A395BE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889F37" w14:textId="77777777" w:rsidR="00000000" w:rsidRDefault="003C49E9">
            <w:pPr>
              <w:pStyle w:val="a3"/>
              <w:spacing w:before="0" w:beforeAutospacing="0" w:after="0" w:afterAutospacing="0"/>
              <w:jc w:val="right"/>
              <w:rPr>
                <w:sz w:val="20"/>
                <w:szCs w:val="20"/>
              </w:rPr>
            </w:pPr>
            <w:r>
              <w:rPr>
                <w:sz w:val="20"/>
                <w:szCs w:val="20"/>
              </w:rPr>
              <w:t>791,09</w:t>
            </w:r>
            <w:r>
              <w:rPr>
                <w:sz w:val="20"/>
                <w:szCs w:val="20"/>
              </w:rPr>
              <w:t>3</w:t>
            </w:r>
          </w:p>
        </w:tc>
        <w:tc>
          <w:tcPr>
            <w:tcW w:w="0" w:type="auto"/>
            <w:noWrap/>
            <w:vAlign w:val="bottom"/>
            <w:hideMark/>
          </w:tcPr>
          <w:p w14:paraId="3550CE15" w14:textId="77777777" w:rsidR="00000000" w:rsidRDefault="003C49E9">
            <w:pPr>
              <w:pStyle w:val="a3"/>
              <w:spacing w:before="0" w:beforeAutospacing="0" w:after="0" w:afterAutospacing="0"/>
              <w:rPr>
                <w:sz w:val="20"/>
                <w:szCs w:val="20"/>
              </w:rPr>
            </w:pPr>
            <w:r>
              <w:rPr>
                <w:sz w:val="20"/>
                <w:szCs w:val="20"/>
              </w:rPr>
              <w:t> </w:t>
            </w:r>
          </w:p>
        </w:tc>
      </w:tr>
      <w:tr w:rsidR="00000000" w14:paraId="4560BEC7" w14:textId="77777777">
        <w:trPr>
          <w:divId w:val="1783260887"/>
          <w:trHeight w:val="200"/>
          <w:tblCellSpacing w:w="15" w:type="dxa"/>
        </w:trPr>
        <w:tc>
          <w:tcPr>
            <w:tcW w:w="0" w:type="auto"/>
            <w:vAlign w:val="bottom"/>
            <w:hideMark/>
          </w:tcPr>
          <w:p w14:paraId="05C91459"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14:paraId="0E1E4F4F" w14:textId="77777777" w:rsidR="00000000" w:rsidRDefault="003C49E9">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14:paraId="3BD54D4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102BD38" w14:textId="77777777" w:rsidR="00000000" w:rsidRDefault="003C49E9">
            <w:pPr>
              <w:pStyle w:val="a3"/>
              <w:spacing w:before="0" w:beforeAutospacing="0" w:after="0" w:afterAutospacing="0"/>
              <w:jc w:val="right"/>
              <w:rPr>
                <w:sz w:val="20"/>
                <w:szCs w:val="20"/>
              </w:rPr>
            </w:pPr>
            <w:r>
              <w:rPr>
                <w:sz w:val="20"/>
                <w:szCs w:val="20"/>
              </w:rPr>
              <w:t>1,110,47</w:t>
            </w:r>
            <w:r>
              <w:rPr>
                <w:sz w:val="20"/>
                <w:szCs w:val="20"/>
              </w:rPr>
              <w:t>4</w:t>
            </w:r>
          </w:p>
        </w:tc>
        <w:tc>
          <w:tcPr>
            <w:tcW w:w="0" w:type="auto"/>
            <w:noWrap/>
            <w:vAlign w:val="bottom"/>
            <w:hideMark/>
          </w:tcPr>
          <w:p w14:paraId="6121BCB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50F11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A3D473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BE2A0C4" w14:textId="77777777" w:rsidR="00000000" w:rsidRDefault="003C49E9">
            <w:pPr>
              <w:pStyle w:val="a3"/>
              <w:spacing w:before="0" w:beforeAutospacing="0" w:after="0" w:afterAutospacing="0"/>
              <w:jc w:val="right"/>
              <w:rPr>
                <w:sz w:val="20"/>
                <w:szCs w:val="20"/>
              </w:rPr>
            </w:pPr>
            <w:r>
              <w:rPr>
                <w:sz w:val="20"/>
                <w:szCs w:val="20"/>
              </w:rPr>
              <w:t>6</w:t>
            </w:r>
            <w:r>
              <w:rPr>
                <w:sz w:val="20"/>
                <w:szCs w:val="20"/>
              </w:rPr>
              <w:t>0</w:t>
            </w:r>
          </w:p>
        </w:tc>
        <w:tc>
          <w:tcPr>
            <w:tcW w:w="0" w:type="auto"/>
            <w:noWrap/>
            <w:vAlign w:val="bottom"/>
            <w:hideMark/>
          </w:tcPr>
          <w:p w14:paraId="303E3C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953E9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E8EEBB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BF5A28B" w14:textId="77777777" w:rsidR="00000000" w:rsidRDefault="003C49E9">
            <w:pPr>
              <w:pStyle w:val="a3"/>
              <w:spacing w:before="0" w:beforeAutospacing="0" w:after="0" w:afterAutospacing="0"/>
              <w:jc w:val="right"/>
              <w:rPr>
                <w:sz w:val="20"/>
                <w:szCs w:val="20"/>
              </w:rPr>
            </w:pPr>
            <w:r>
              <w:rPr>
                <w:sz w:val="20"/>
                <w:szCs w:val="20"/>
              </w:rPr>
              <w:t>(</w:t>
            </w:r>
            <w:r>
              <w:rPr>
                <w:sz w:val="20"/>
                <w:szCs w:val="20"/>
              </w:rPr>
              <w:t>7,49</w:t>
            </w:r>
            <w:r>
              <w:rPr>
                <w:sz w:val="20"/>
                <w:szCs w:val="20"/>
              </w:rPr>
              <w:t>5</w:t>
            </w:r>
          </w:p>
        </w:tc>
        <w:tc>
          <w:tcPr>
            <w:tcW w:w="0" w:type="auto"/>
            <w:noWrap/>
            <w:vAlign w:val="bottom"/>
            <w:hideMark/>
          </w:tcPr>
          <w:p w14:paraId="4969B13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6C196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BB2CE9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5AB8DE2" w14:textId="77777777" w:rsidR="00000000" w:rsidRDefault="003C49E9">
            <w:pPr>
              <w:pStyle w:val="a3"/>
              <w:spacing w:before="0" w:beforeAutospacing="0" w:after="0" w:afterAutospacing="0"/>
              <w:jc w:val="right"/>
              <w:rPr>
                <w:sz w:val="20"/>
                <w:szCs w:val="20"/>
              </w:rPr>
            </w:pPr>
            <w:r>
              <w:rPr>
                <w:sz w:val="20"/>
                <w:szCs w:val="20"/>
              </w:rPr>
              <w:t>1,103,03</w:t>
            </w:r>
            <w:r>
              <w:rPr>
                <w:sz w:val="20"/>
                <w:szCs w:val="20"/>
              </w:rPr>
              <w:t>9</w:t>
            </w:r>
          </w:p>
        </w:tc>
        <w:tc>
          <w:tcPr>
            <w:tcW w:w="0" w:type="auto"/>
            <w:noWrap/>
            <w:vAlign w:val="bottom"/>
            <w:hideMark/>
          </w:tcPr>
          <w:p w14:paraId="716EDEA8" w14:textId="77777777" w:rsidR="00000000" w:rsidRDefault="003C49E9">
            <w:pPr>
              <w:pStyle w:val="a3"/>
              <w:spacing w:before="0" w:beforeAutospacing="0" w:after="0" w:afterAutospacing="0"/>
              <w:rPr>
                <w:sz w:val="20"/>
                <w:szCs w:val="20"/>
              </w:rPr>
            </w:pPr>
            <w:r>
              <w:rPr>
                <w:sz w:val="20"/>
                <w:szCs w:val="20"/>
              </w:rPr>
              <w:t> </w:t>
            </w:r>
          </w:p>
        </w:tc>
      </w:tr>
    </w:tbl>
    <w:p w14:paraId="2B83B9ED" w14:textId="77777777" w:rsidR="00000000" w:rsidRDefault="003C49E9">
      <w:pPr>
        <w:pStyle w:val="a3"/>
        <w:spacing w:before="0" w:beforeAutospacing="0" w:after="0" w:afterAutospacing="0"/>
        <w:divId w:val="1783260887"/>
        <w:rPr>
          <w:sz w:val="20"/>
          <w:szCs w:val="20"/>
        </w:rPr>
      </w:pPr>
      <w:r>
        <w:rPr>
          <w:sz w:val="20"/>
          <w:szCs w:val="20"/>
        </w:rPr>
        <w:t> </w:t>
      </w:r>
    </w:p>
    <w:p w14:paraId="77808692" w14:textId="77777777" w:rsidR="00000000" w:rsidRDefault="003C49E9">
      <w:pPr>
        <w:pStyle w:val="a3"/>
        <w:spacing w:before="240" w:beforeAutospacing="0" w:after="0" w:afterAutospacing="0"/>
        <w:jc w:val="center"/>
        <w:divId w:val="1783260887"/>
        <w:rPr>
          <w:sz w:val="20"/>
          <w:szCs w:val="20"/>
        </w:rPr>
      </w:pPr>
      <w:r>
        <w:rPr>
          <w:sz w:val="20"/>
          <w:szCs w:val="20"/>
        </w:rPr>
        <w:t>1</w:t>
      </w:r>
      <w:r>
        <w:rPr>
          <w:sz w:val="20"/>
          <w:szCs w:val="20"/>
        </w:rPr>
        <w:t>4</w:t>
      </w:r>
    </w:p>
    <w:p w14:paraId="18B78833" w14:textId="77777777" w:rsidR="00000000" w:rsidRDefault="003C49E9">
      <w:pPr>
        <w:divId w:val="1783260887"/>
        <w:rPr>
          <w:rFonts w:eastAsia="Times New Roman"/>
          <w:sz w:val="20"/>
          <w:szCs w:val="20"/>
        </w:rPr>
      </w:pPr>
      <w:r>
        <w:rPr>
          <w:rFonts w:eastAsia="Times New Roman"/>
          <w:sz w:val="20"/>
          <w:szCs w:val="20"/>
        </w:rPr>
        <w:pict w14:anchorId="0B3A52D1">
          <v:rect id="_x0000_i1038" style="width:0;height:1.5pt" o:hralign="center" o:hrstd="t" o:hr="t" fillcolor="#a0a0a0" stroked="f"/>
        </w:pict>
      </w:r>
    </w:p>
    <w:p w14:paraId="53F0DB6D" w14:textId="77777777" w:rsidR="00000000" w:rsidRDefault="003C49E9">
      <w:pPr>
        <w:pStyle w:val="a3"/>
        <w:spacing w:before="0" w:beforeAutospacing="0" w:after="0" w:afterAutospacing="0"/>
        <w:divId w:val="1783260887"/>
        <w:rPr>
          <w:sz w:val="20"/>
          <w:szCs w:val="20"/>
        </w:rPr>
      </w:pPr>
      <w:r>
        <w:rPr>
          <w:sz w:val="20"/>
          <w:szCs w:val="20"/>
        </w:rPr>
        <w:t> </w:t>
      </w:r>
    </w:p>
    <w:p w14:paraId="5A1EC8B3" w14:textId="77777777" w:rsidR="00000000" w:rsidRDefault="003C49E9">
      <w:pPr>
        <w:pStyle w:val="a3"/>
        <w:spacing w:before="200" w:beforeAutospacing="0" w:after="0" w:afterAutospacing="0"/>
        <w:divId w:val="178326088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86"/>
        <w:gridCol w:w="310"/>
        <w:gridCol w:w="160"/>
        <w:gridCol w:w="710"/>
        <w:gridCol w:w="110"/>
        <w:gridCol w:w="110"/>
        <w:gridCol w:w="161"/>
        <w:gridCol w:w="708"/>
        <w:gridCol w:w="110"/>
        <w:gridCol w:w="110"/>
        <w:gridCol w:w="161"/>
        <w:gridCol w:w="707"/>
        <w:gridCol w:w="127"/>
        <w:gridCol w:w="110"/>
        <w:gridCol w:w="160"/>
        <w:gridCol w:w="710"/>
        <w:gridCol w:w="125"/>
      </w:tblGrid>
      <w:tr w:rsidR="00000000" w14:paraId="02AC199C" w14:textId="77777777">
        <w:trPr>
          <w:divId w:val="1783260887"/>
          <w:tblCellSpacing w:w="15" w:type="dxa"/>
        </w:trPr>
        <w:tc>
          <w:tcPr>
            <w:tcW w:w="2352" w:type="pct"/>
            <w:vAlign w:val="center"/>
            <w:hideMark/>
          </w:tcPr>
          <w:p w14:paraId="6A066EA4" w14:textId="77777777" w:rsidR="00000000" w:rsidRDefault="003C49E9">
            <w:pPr>
              <w:rPr>
                <w:sz w:val="20"/>
                <w:szCs w:val="20"/>
              </w:rPr>
            </w:pPr>
          </w:p>
        </w:tc>
        <w:tc>
          <w:tcPr>
            <w:tcW w:w="103" w:type="pct"/>
            <w:vAlign w:val="center"/>
            <w:hideMark/>
          </w:tcPr>
          <w:p w14:paraId="13CF6DD6" w14:textId="77777777" w:rsidR="00000000" w:rsidRDefault="003C49E9">
            <w:pPr>
              <w:rPr>
                <w:rFonts w:eastAsia="Times New Roman"/>
                <w:sz w:val="20"/>
                <w:szCs w:val="20"/>
              </w:rPr>
            </w:pPr>
          </w:p>
        </w:tc>
        <w:tc>
          <w:tcPr>
            <w:tcW w:w="50" w:type="pct"/>
            <w:vAlign w:val="center"/>
            <w:hideMark/>
          </w:tcPr>
          <w:p w14:paraId="17B55F92" w14:textId="77777777" w:rsidR="00000000" w:rsidRDefault="003C49E9">
            <w:pPr>
              <w:rPr>
                <w:rFonts w:eastAsia="Times New Roman"/>
                <w:sz w:val="20"/>
                <w:szCs w:val="20"/>
              </w:rPr>
            </w:pPr>
          </w:p>
        </w:tc>
        <w:tc>
          <w:tcPr>
            <w:tcW w:w="402" w:type="pct"/>
            <w:vAlign w:val="center"/>
            <w:hideMark/>
          </w:tcPr>
          <w:p w14:paraId="242019B1" w14:textId="77777777" w:rsidR="00000000" w:rsidRDefault="003C49E9">
            <w:pPr>
              <w:rPr>
                <w:rFonts w:eastAsia="Times New Roman"/>
                <w:sz w:val="20"/>
                <w:szCs w:val="20"/>
              </w:rPr>
            </w:pPr>
          </w:p>
        </w:tc>
        <w:tc>
          <w:tcPr>
            <w:tcW w:w="50" w:type="pct"/>
            <w:vAlign w:val="center"/>
            <w:hideMark/>
          </w:tcPr>
          <w:p w14:paraId="7E8650DF" w14:textId="77777777" w:rsidR="00000000" w:rsidRDefault="003C49E9">
            <w:pPr>
              <w:rPr>
                <w:rFonts w:eastAsia="Times New Roman"/>
                <w:sz w:val="20"/>
                <w:szCs w:val="20"/>
              </w:rPr>
            </w:pPr>
          </w:p>
        </w:tc>
        <w:tc>
          <w:tcPr>
            <w:tcW w:w="56" w:type="pct"/>
            <w:vAlign w:val="center"/>
            <w:hideMark/>
          </w:tcPr>
          <w:p w14:paraId="01D97659" w14:textId="77777777" w:rsidR="00000000" w:rsidRDefault="003C49E9">
            <w:pPr>
              <w:rPr>
                <w:rFonts w:eastAsia="Times New Roman"/>
                <w:sz w:val="20"/>
                <w:szCs w:val="20"/>
              </w:rPr>
            </w:pPr>
          </w:p>
        </w:tc>
        <w:tc>
          <w:tcPr>
            <w:tcW w:w="50" w:type="pct"/>
            <w:vAlign w:val="center"/>
            <w:hideMark/>
          </w:tcPr>
          <w:p w14:paraId="0E9DE736" w14:textId="77777777" w:rsidR="00000000" w:rsidRDefault="003C49E9">
            <w:pPr>
              <w:rPr>
                <w:rFonts w:eastAsia="Times New Roman"/>
                <w:sz w:val="20"/>
                <w:szCs w:val="20"/>
              </w:rPr>
            </w:pPr>
          </w:p>
        </w:tc>
        <w:tc>
          <w:tcPr>
            <w:tcW w:w="495" w:type="pct"/>
            <w:vAlign w:val="center"/>
            <w:hideMark/>
          </w:tcPr>
          <w:p w14:paraId="5ABBC2E8" w14:textId="77777777" w:rsidR="00000000" w:rsidRDefault="003C49E9">
            <w:pPr>
              <w:rPr>
                <w:rFonts w:eastAsia="Times New Roman"/>
                <w:sz w:val="20"/>
                <w:szCs w:val="20"/>
              </w:rPr>
            </w:pPr>
          </w:p>
        </w:tc>
        <w:tc>
          <w:tcPr>
            <w:tcW w:w="50" w:type="pct"/>
            <w:vAlign w:val="center"/>
            <w:hideMark/>
          </w:tcPr>
          <w:p w14:paraId="70312947" w14:textId="77777777" w:rsidR="00000000" w:rsidRDefault="003C49E9">
            <w:pPr>
              <w:rPr>
                <w:rFonts w:eastAsia="Times New Roman"/>
                <w:sz w:val="20"/>
                <w:szCs w:val="20"/>
              </w:rPr>
            </w:pPr>
          </w:p>
        </w:tc>
        <w:tc>
          <w:tcPr>
            <w:tcW w:w="56" w:type="pct"/>
            <w:vAlign w:val="center"/>
            <w:hideMark/>
          </w:tcPr>
          <w:p w14:paraId="29097152" w14:textId="77777777" w:rsidR="00000000" w:rsidRDefault="003C49E9">
            <w:pPr>
              <w:rPr>
                <w:rFonts w:eastAsia="Times New Roman"/>
                <w:sz w:val="20"/>
                <w:szCs w:val="20"/>
              </w:rPr>
            </w:pPr>
          </w:p>
        </w:tc>
        <w:tc>
          <w:tcPr>
            <w:tcW w:w="50" w:type="pct"/>
            <w:vAlign w:val="center"/>
            <w:hideMark/>
          </w:tcPr>
          <w:p w14:paraId="6A4D1940" w14:textId="77777777" w:rsidR="00000000" w:rsidRDefault="003C49E9">
            <w:pPr>
              <w:rPr>
                <w:rFonts w:eastAsia="Times New Roman"/>
                <w:sz w:val="20"/>
                <w:szCs w:val="20"/>
              </w:rPr>
            </w:pPr>
          </w:p>
        </w:tc>
        <w:tc>
          <w:tcPr>
            <w:tcW w:w="489" w:type="pct"/>
            <w:vAlign w:val="center"/>
            <w:hideMark/>
          </w:tcPr>
          <w:p w14:paraId="2ACE8A83" w14:textId="77777777" w:rsidR="00000000" w:rsidRDefault="003C49E9">
            <w:pPr>
              <w:rPr>
                <w:rFonts w:eastAsia="Times New Roman"/>
                <w:sz w:val="20"/>
                <w:szCs w:val="20"/>
              </w:rPr>
            </w:pPr>
          </w:p>
        </w:tc>
        <w:tc>
          <w:tcPr>
            <w:tcW w:w="50" w:type="pct"/>
            <w:vAlign w:val="center"/>
            <w:hideMark/>
          </w:tcPr>
          <w:p w14:paraId="50A48A65" w14:textId="77777777" w:rsidR="00000000" w:rsidRDefault="003C49E9">
            <w:pPr>
              <w:rPr>
                <w:rFonts w:eastAsia="Times New Roman"/>
                <w:sz w:val="20"/>
                <w:szCs w:val="20"/>
              </w:rPr>
            </w:pPr>
          </w:p>
        </w:tc>
        <w:tc>
          <w:tcPr>
            <w:tcW w:w="56" w:type="pct"/>
            <w:vAlign w:val="center"/>
            <w:hideMark/>
          </w:tcPr>
          <w:p w14:paraId="535E377B" w14:textId="77777777" w:rsidR="00000000" w:rsidRDefault="003C49E9">
            <w:pPr>
              <w:rPr>
                <w:rFonts w:eastAsia="Times New Roman"/>
                <w:sz w:val="20"/>
                <w:szCs w:val="20"/>
              </w:rPr>
            </w:pPr>
          </w:p>
        </w:tc>
        <w:tc>
          <w:tcPr>
            <w:tcW w:w="50" w:type="pct"/>
            <w:vAlign w:val="center"/>
            <w:hideMark/>
          </w:tcPr>
          <w:p w14:paraId="60834E03" w14:textId="77777777" w:rsidR="00000000" w:rsidRDefault="003C49E9">
            <w:pPr>
              <w:rPr>
                <w:rFonts w:eastAsia="Times New Roman"/>
                <w:sz w:val="20"/>
                <w:szCs w:val="20"/>
              </w:rPr>
            </w:pPr>
          </w:p>
        </w:tc>
        <w:tc>
          <w:tcPr>
            <w:tcW w:w="589" w:type="pct"/>
            <w:vAlign w:val="center"/>
            <w:hideMark/>
          </w:tcPr>
          <w:p w14:paraId="2854AB3F" w14:textId="77777777" w:rsidR="00000000" w:rsidRDefault="003C49E9">
            <w:pPr>
              <w:rPr>
                <w:rFonts w:eastAsia="Times New Roman"/>
                <w:sz w:val="20"/>
                <w:szCs w:val="20"/>
              </w:rPr>
            </w:pPr>
          </w:p>
        </w:tc>
        <w:tc>
          <w:tcPr>
            <w:tcW w:w="50" w:type="pct"/>
            <w:vAlign w:val="center"/>
            <w:hideMark/>
          </w:tcPr>
          <w:p w14:paraId="533A67C7" w14:textId="77777777" w:rsidR="00000000" w:rsidRDefault="003C49E9">
            <w:pPr>
              <w:rPr>
                <w:rFonts w:eastAsia="Times New Roman"/>
                <w:sz w:val="20"/>
                <w:szCs w:val="20"/>
              </w:rPr>
            </w:pPr>
          </w:p>
        </w:tc>
      </w:tr>
      <w:tr w:rsidR="00000000" w14:paraId="2665F3E7" w14:textId="77777777">
        <w:trPr>
          <w:divId w:val="1783260887"/>
          <w:trHeight w:val="160"/>
          <w:tblCellSpacing w:w="15" w:type="dxa"/>
        </w:trPr>
        <w:tc>
          <w:tcPr>
            <w:tcW w:w="0" w:type="auto"/>
            <w:vAlign w:val="bottom"/>
            <w:hideMark/>
          </w:tcPr>
          <w:p w14:paraId="1F5F20C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F7876F7"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6B78ACF5"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0F901AEF"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E27F563" w14:textId="77777777">
        <w:trPr>
          <w:divId w:val="1783260887"/>
          <w:trHeight w:val="160"/>
          <w:tblCellSpacing w:w="15" w:type="dxa"/>
        </w:trPr>
        <w:tc>
          <w:tcPr>
            <w:tcW w:w="0" w:type="auto"/>
            <w:vAlign w:val="bottom"/>
            <w:hideMark/>
          </w:tcPr>
          <w:p w14:paraId="304ABDC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E5F8BD4"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72842C9D" w14:textId="77777777" w:rsidR="00000000" w:rsidRDefault="003C49E9">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14:paraId="53B072C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32F295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35280B2" w14:textId="77777777" w:rsidR="00000000" w:rsidRDefault="003C49E9">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14:paraId="7F1FF11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770398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75B986D" w14:textId="77777777" w:rsidR="00000000" w:rsidRDefault="003C49E9">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14:paraId="0FF38A2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D06E9A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D3DB6EE" w14:textId="77777777" w:rsidR="00000000" w:rsidRDefault="003C49E9">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239FA27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E72F212" w14:textId="77777777">
        <w:trPr>
          <w:divId w:val="1783260887"/>
          <w:trHeight w:val="160"/>
          <w:tblCellSpacing w:w="15" w:type="dxa"/>
        </w:trPr>
        <w:tc>
          <w:tcPr>
            <w:tcW w:w="0" w:type="auto"/>
            <w:vAlign w:val="bottom"/>
            <w:hideMark/>
          </w:tcPr>
          <w:p w14:paraId="1DFDA81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7272F83" w14:textId="77777777" w:rsidR="00000000" w:rsidRDefault="003C49E9">
            <w:pPr>
              <w:pStyle w:val="a3"/>
              <w:spacing w:before="0" w:beforeAutospacing="0" w:after="0" w:afterAutospacing="0"/>
              <w:jc w:val="right"/>
              <w:rPr>
                <w:sz w:val="16"/>
                <w:szCs w:val="16"/>
              </w:rPr>
            </w:pPr>
            <w:r>
              <w:rPr>
                <w:sz w:val="16"/>
                <w:szCs w:val="16"/>
              </w:rPr>
              <w:t> </w:t>
            </w:r>
          </w:p>
        </w:tc>
        <w:tc>
          <w:tcPr>
            <w:tcW w:w="0" w:type="auto"/>
            <w:gridSpan w:val="14"/>
            <w:vAlign w:val="bottom"/>
            <w:hideMark/>
          </w:tcPr>
          <w:p w14:paraId="2556794D"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178481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354E7E4" w14:textId="77777777">
        <w:trPr>
          <w:divId w:val="1783260887"/>
          <w:trHeight w:val="200"/>
          <w:tblCellSpacing w:w="15" w:type="dxa"/>
        </w:trPr>
        <w:tc>
          <w:tcPr>
            <w:tcW w:w="0" w:type="auto"/>
            <w:vAlign w:val="bottom"/>
            <w:hideMark/>
          </w:tcPr>
          <w:p w14:paraId="1ABD9A92" w14:textId="77777777" w:rsidR="00000000" w:rsidRDefault="003C49E9">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14:paraId="76DFA5F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CEF914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DA658BF" w14:textId="77777777" w:rsidR="00000000" w:rsidRDefault="003C49E9">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14:paraId="41A7512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AE1471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F713C3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61FAAF2"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7EE03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FA83D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9FD4A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FAEABF7"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2B0808A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4009E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9C83DE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1FBAB40" w14:textId="77777777" w:rsidR="00000000" w:rsidRDefault="003C49E9">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14:paraId="2EE5720B" w14:textId="77777777" w:rsidR="00000000" w:rsidRDefault="003C49E9">
            <w:pPr>
              <w:pStyle w:val="a3"/>
              <w:spacing w:before="0" w:beforeAutospacing="0" w:after="0" w:afterAutospacing="0"/>
              <w:rPr>
                <w:sz w:val="20"/>
                <w:szCs w:val="20"/>
              </w:rPr>
            </w:pPr>
            <w:r>
              <w:rPr>
                <w:sz w:val="20"/>
                <w:szCs w:val="20"/>
              </w:rPr>
              <w:t> </w:t>
            </w:r>
          </w:p>
        </w:tc>
      </w:tr>
      <w:tr w:rsidR="00000000" w14:paraId="14EF776F" w14:textId="77777777">
        <w:trPr>
          <w:divId w:val="1783260887"/>
          <w:trHeight w:val="200"/>
          <w:tblCellSpacing w:w="15" w:type="dxa"/>
        </w:trPr>
        <w:tc>
          <w:tcPr>
            <w:tcW w:w="0" w:type="auto"/>
            <w:vAlign w:val="bottom"/>
            <w:hideMark/>
          </w:tcPr>
          <w:p w14:paraId="5B50E2C7" w14:textId="77777777" w:rsidR="00000000" w:rsidRDefault="003C49E9">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14:paraId="4918DB0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997D3F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AA9F11" w14:textId="77777777" w:rsidR="00000000" w:rsidRDefault="003C49E9">
            <w:pPr>
              <w:pStyle w:val="a3"/>
              <w:spacing w:before="0" w:beforeAutospacing="0" w:after="0" w:afterAutospacing="0"/>
              <w:jc w:val="right"/>
              <w:rPr>
                <w:sz w:val="20"/>
                <w:szCs w:val="20"/>
              </w:rPr>
            </w:pPr>
            <w:r>
              <w:rPr>
                <w:sz w:val="20"/>
                <w:szCs w:val="20"/>
              </w:rPr>
              <w:t>250,44</w:t>
            </w:r>
            <w:r>
              <w:rPr>
                <w:sz w:val="20"/>
                <w:szCs w:val="20"/>
              </w:rPr>
              <w:t>3</w:t>
            </w:r>
          </w:p>
        </w:tc>
        <w:tc>
          <w:tcPr>
            <w:tcW w:w="0" w:type="auto"/>
            <w:noWrap/>
            <w:vAlign w:val="bottom"/>
            <w:hideMark/>
          </w:tcPr>
          <w:p w14:paraId="1CA512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D0766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5B45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B816CA9" w14:textId="77777777" w:rsidR="00000000" w:rsidRDefault="003C49E9">
            <w:pPr>
              <w:pStyle w:val="a3"/>
              <w:spacing w:before="0" w:beforeAutospacing="0" w:after="0" w:afterAutospacing="0"/>
              <w:jc w:val="right"/>
              <w:rPr>
                <w:sz w:val="20"/>
                <w:szCs w:val="20"/>
              </w:rPr>
            </w:pPr>
            <w:r>
              <w:rPr>
                <w:sz w:val="20"/>
                <w:szCs w:val="20"/>
              </w:rPr>
              <w:t>9</w:t>
            </w:r>
          </w:p>
        </w:tc>
        <w:tc>
          <w:tcPr>
            <w:tcW w:w="0" w:type="auto"/>
            <w:noWrap/>
            <w:vAlign w:val="bottom"/>
            <w:hideMark/>
          </w:tcPr>
          <w:p w14:paraId="4F3261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ADC816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85D1BE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04D580" w14:textId="77777777" w:rsidR="00000000" w:rsidRDefault="003C49E9">
            <w:pPr>
              <w:pStyle w:val="a3"/>
              <w:spacing w:before="0" w:beforeAutospacing="0" w:after="0" w:afterAutospacing="0"/>
              <w:jc w:val="right"/>
              <w:rPr>
                <w:sz w:val="20"/>
                <w:szCs w:val="20"/>
              </w:rPr>
            </w:pPr>
            <w:r>
              <w:rPr>
                <w:sz w:val="20"/>
                <w:szCs w:val="20"/>
              </w:rPr>
              <w:t>(</w:t>
            </w:r>
            <w:r>
              <w:rPr>
                <w:sz w:val="20"/>
                <w:szCs w:val="20"/>
              </w:rPr>
              <w:t>60</w:t>
            </w:r>
            <w:r>
              <w:rPr>
                <w:sz w:val="20"/>
                <w:szCs w:val="20"/>
              </w:rPr>
              <w:t>6</w:t>
            </w:r>
          </w:p>
        </w:tc>
        <w:tc>
          <w:tcPr>
            <w:tcW w:w="0" w:type="auto"/>
            <w:noWrap/>
            <w:vAlign w:val="bottom"/>
            <w:hideMark/>
          </w:tcPr>
          <w:p w14:paraId="5F7F3BC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F254EE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550FFA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6CC704" w14:textId="77777777" w:rsidR="00000000" w:rsidRDefault="003C49E9">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14:paraId="1B1BCF61" w14:textId="77777777" w:rsidR="00000000" w:rsidRDefault="003C49E9">
            <w:pPr>
              <w:pStyle w:val="a3"/>
              <w:spacing w:before="0" w:beforeAutospacing="0" w:after="0" w:afterAutospacing="0"/>
              <w:rPr>
                <w:sz w:val="20"/>
                <w:szCs w:val="20"/>
              </w:rPr>
            </w:pPr>
            <w:r>
              <w:rPr>
                <w:sz w:val="20"/>
                <w:szCs w:val="20"/>
              </w:rPr>
              <w:t> </w:t>
            </w:r>
          </w:p>
        </w:tc>
      </w:tr>
      <w:tr w:rsidR="00000000" w14:paraId="5C11E836" w14:textId="77777777">
        <w:trPr>
          <w:divId w:val="1783260887"/>
          <w:trHeight w:val="200"/>
          <w:tblCellSpacing w:w="15" w:type="dxa"/>
        </w:trPr>
        <w:tc>
          <w:tcPr>
            <w:tcW w:w="0" w:type="auto"/>
            <w:vAlign w:val="bottom"/>
            <w:hideMark/>
          </w:tcPr>
          <w:p w14:paraId="41C5A3D5" w14:textId="77777777" w:rsidR="00000000" w:rsidRDefault="003C49E9">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14:paraId="562AF94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9AAA70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D7CB1C" w14:textId="77777777" w:rsidR="00000000" w:rsidRDefault="003C49E9">
            <w:pPr>
              <w:pStyle w:val="a3"/>
              <w:spacing w:before="0" w:beforeAutospacing="0" w:after="0" w:afterAutospacing="0"/>
              <w:jc w:val="right"/>
              <w:rPr>
                <w:sz w:val="20"/>
                <w:szCs w:val="20"/>
              </w:rPr>
            </w:pPr>
            <w:r>
              <w:rPr>
                <w:sz w:val="20"/>
                <w:szCs w:val="20"/>
              </w:rPr>
              <w:t>22,50</w:t>
            </w:r>
            <w:r>
              <w:rPr>
                <w:sz w:val="20"/>
                <w:szCs w:val="20"/>
              </w:rPr>
              <w:t>4</w:t>
            </w:r>
          </w:p>
        </w:tc>
        <w:tc>
          <w:tcPr>
            <w:tcW w:w="0" w:type="auto"/>
            <w:noWrap/>
            <w:vAlign w:val="bottom"/>
            <w:hideMark/>
          </w:tcPr>
          <w:p w14:paraId="1B97B0C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65F10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2DC637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E1E3B0"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3E8CDF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33A19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8CB755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61C075" w14:textId="77777777" w:rsidR="00000000" w:rsidRDefault="003C49E9">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noWrap/>
            <w:vAlign w:val="bottom"/>
            <w:hideMark/>
          </w:tcPr>
          <w:p w14:paraId="01211C4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E46861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293FA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0A5270" w14:textId="77777777" w:rsidR="00000000" w:rsidRDefault="003C49E9">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14:paraId="010947BE" w14:textId="77777777" w:rsidR="00000000" w:rsidRDefault="003C49E9">
            <w:pPr>
              <w:pStyle w:val="a3"/>
              <w:spacing w:before="0" w:beforeAutospacing="0" w:after="0" w:afterAutospacing="0"/>
              <w:rPr>
                <w:sz w:val="20"/>
                <w:szCs w:val="20"/>
              </w:rPr>
            </w:pPr>
            <w:r>
              <w:rPr>
                <w:sz w:val="20"/>
                <w:szCs w:val="20"/>
              </w:rPr>
              <w:t> </w:t>
            </w:r>
          </w:p>
        </w:tc>
      </w:tr>
      <w:tr w:rsidR="00000000" w14:paraId="31CDC54F" w14:textId="77777777">
        <w:trPr>
          <w:divId w:val="1783260887"/>
          <w:trHeight w:val="200"/>
          <w:tblCellSpacing w:w="15" w:type="dxa"/>
        </w:trPr>
        <w:tc>
          <w:tcPr>
            <w:tcW w:w="0" w:type="auto"/>
            <w:vAlign w:val="bottom"/>
            <w:hideMark/>
          </w:tcPr>
          <w:p w14:paraId="3606558E" w14:textId="77777777" w:rsidR="00000000" w:rsidRDefault="003C49E9">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14:paraId="2C0D0A2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B4AF3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7D8831" w14:textId="77777777" w:rsidR="00000000" w:rsidRDefault="003C49E9">
            <w:pPr>
              <w:pStyle w:val="a3"/>
              <w:spacing w:before="0" w:beforeAutospacing="0" w:after="0" w:afterAutospacing="0"/>
              <w:jc w:val="right"/>
              <w:rPr>
                <w:sz w:val="20"/>
                <w:szCs w:val="20"/>
              </w:rPr>
            </w:pPr>
            <w:r>
              <w:rPr>
                <w:sz w:val="20"/>
                <w:szCs w:val="20"/>
              </w:rPr>
              <w:t>698,44</w:t>
            </w:r>
            <w:r>
              <w:rPr>
                <w:sz w:val="20"/>
                <w:szCs w:val="20"/>
              </w:rPr>
              <w:t>6</w:t>
            </w:r>
          </w:p>
        </w:tc>
        <w:tc>
          <w:tcPr>
            <w:tcW w:w="0" w:type="auto"/>
            <w:noWrap/>
            <w:vAlign w:val="bottom"/>
            <w:hideMark/>
          </w:tcPr>
          <w:p w14:paraId="4BDEB49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9C3CBB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76A2B4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0B24CD" w14:textId="77777777" w:rsidR="00000000" w:rsidRDefault="003C49E9">
            <w:pPr>
              <w:pStyle w:val="a3"/>
              <w:spacing w:before="0" w:beforeAutospacing="0" w:after="0" w:afterAutospacing="0"/>
              <w:jc w:val="right"/>
              <w:rPr>
                <w:sz w:val="20"/>
                <w:szCs w:val="20"/>
              </w:rPr>
            </w:pPr>
            <w:r>
              <w:rPr>
                <w:sz w:val="20"/>
                <w:szCs w:val="20"/>
              </w:rPr>
              <w:t>2</w:t>
            </w:r>
          </w:p>
        </w:tc>
        <w:tc>
          <w:tcPr>
            <w:tcW w:w="0" w:type="auto"/>
            <w:noWrap/>
            <w:vAlign w:val="bottom"/>
            <w:hideMark/>
          </w:tcPr>
          <w:p w14:paraId="598F96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8AB82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C780D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A79040" w14:textId="77777777" w:rsidR="00000000" w:rsidRDefault="003C49E9">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14:paraId="7F55CBA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972AEC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FA8759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B40582" w14:textId="77777777" w:rsidR="00000000" w:rsidRDefault="003C49E9">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14:paraId="01443C66" w14:textId="77777777" w:rsidR="00000000" w:rsidRDefault="003C49E9">
            <w:pPr>
              <w:pStyle w:val="a3"/>
              <w:spacing w:before="0" w:beforeAutospacing="0" w:after="0" w:afterAutospacing="0"/>
              <w:rPr>
                <w:sz w:val="20"/>
                <w:szCs w:val="20"/>
              </w:rPr>
            </w:pPr>
            <w:r>
              <w:rPr>
                <w:sz w:val="20"/>
                <w:szCs w:val="20"/>
              </w:rPr>
              <w:t> </w:t>
            </w:r>
          </w:p>
        </w:tc>
      </w:tr>
      <w:tr w:rsidR="00000000" w14:paraId="47C928C9" w14:textId="77777777">
        <w:trPr>
          <w:divId w:val="1783260887"/>
          <w:trHeight w:val="200"/>
          <w:tblCellSpacing w:w="15" w:type="dxa"/>
        </w:trPr>
        <w:tc>
          <w:tcPr>
            <w:tcW w:w="0" w:type="auto"/>
            <w:vAlign w:val="bottom"/>
            <w:hideMark/>
          </w:tcPr>
          <w:p w14:paraId="3E1740A4"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14:paraId="1D17A9DC" w14:textId="77777777" w:rsidR="00000000" w:rsidRDefault="003C49E9">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14:paraId="2FDC29A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C369F25" w14:textId="77777777" w:rsidR="00000000" w:rsidRDefault="003C49E9">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14:paraId="4684201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D0D1E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7123F5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2141EE8" w14:textId="77777777" w:rsidR="00000000" w:rsidRDefault="003C49E9">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78F2764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AFA2D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507A68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18BF291" w14:textId="77777777" w:rsidR="00000000" w:rsidRDefault="003C49E9">
            <w:pPr>
              <w:pStyle w:val="a3"/>
              <w:spacing w:before="0" w:beforeAutospacing="0" w:after="0" w:afterAutospacing="0"/>
              <w:jc w:val="right"/>
              <w:rPr>
                <w:sz w:val="20"/>
                <w:szCs w:val="20"/>
              </w:rPr>
            </w:pPr>
            <w:r>
              <w:rPr>
                <w:sz w:val="20"/>
                <w:szCs w:val="20"/>
              </w:rPr>
              <w:t>(</w:t>
            </w:r>
            <w:r>
              <w:rPr>
                <w:sz w:val="20"/>
                <w:szCs w:val="20"/>
              </w:rPr>
              <w:t>79</w:t>
            </w:r>
            <w:r>
              <w:rPr>
                <w:sz w:val="20"/>
                <w:szCs w:val="20"/>
              </w:rPr>
              <w:t>2</w:t>
            </w:r>
          </w:p>
        </w:tc>
        <w:tc>
          <w:tcPr>
            <w:tcW w:w="0" w:type="auto"/>
            <w:noWrap/>
            <w:vAlign w:val="bottom"/>
            <w:hideMark/>
          </w:tcPr>
          <w:p w14:paraId="10E56BA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C5F003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3981A1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2CE115" w14:textId="77777777" w:rsidR="00000000" w:rsidRDefault="003C49E9">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14:paraId="2DC3B37A" w14:textId="77777777" w:rsidR="00000000" w:rsidRDefault="003C49E9">
            <w:pPr>
              <w:pStyle w:val="a3"/>
              <w:spacing w:before="0" w:beforeAutospacing="0" w:after="0" w:afterAutospacing="0"/>
              <w:rPr>
                <w:sz w:val="20"/>
                <w:szCs w:val="20"/>
              </w:rPr>
            </w:pPr>
            <w:r>
              <w:rPr>
                <w:sz w:val="20"/>
                <w:szCs w:val="20"/>
              </w:rPr>
              <w:t> </w:t>
            </w:r>
          </w:p>
        </w:tc>
      </w:tr>
    </w:tbl>
    <w:p w14:paraId="0B2E7C37" w14:textId="77777777" w:rsidR="00000000" w:rsidRDefault="003C49E9">
      <w:pPr>
        <w:pStyle w:val="a3"/>
        <w:spacing w:before="200" w:beforeAutospacing="0" w:after="0" w:afterAutospacing="0"/>
        <w:ind w:firstLine="555"/>
        <w:divId w:val="2089577374"/>
        <w:rPr>
          <w:sz w:val="20"/>
          <w:szCs w:val="20"/>
        </w:rPr>
      </w:pPr>
      <w:r>
        <w:rPr>
          <w:sz w:val="20"/>
          <w:szCs w:val="20"/>
        </w:rPr>
        <w:t>For all of our securities for which the amortized cost basis was greater than the fair value at June 30, 2022, the Company has concluded that there is no plan to sell the security nor is it more likely than not that the Company would be required to sell th</w:t>
      </w:r>
      <w:r>
        <w:rPr>
          <w:sz w:val="20"/>
          <w:szCs w:val="20"/>
        </w:rPr>
        <w:t>e security before its anticipated recovery. In making the determination as to whether the unrealized loss is other-than-temporary, the Company considered the length of time and extent the investment has been in an unrealized loss position, the financial co</w:t>
      </w:r>
      <w:r>
        <w:rPr>
          <w:sz w:val="20"/>
          <w:szCs w:val="20"/>
        </w:rPr>
        <w:t>ndition and near-term prospects of the issuers, the issuers’ credit rating and the time to maturity</w:t>
      </w:r>
      <w:r>
        <w:rPr>
          <w:sz w:val="20"/>
          <w:szCs w:val="20"/>
        </w:rPr>
        <w:t>.</w:t>
      </w:r>
    </w:p>
    <w:p w14:paraId="1160119D" w14:textId="77777777" w:rsidR="00000000" w:rsidRDefault="003C49E9">
      <w:pPr>
        <w:pStyle w:val="a3"/>
        <w:spacing w:before="200" w:beforeAutospacing="0" w:after="0" w:afterAutospacing="0"/>
        <w:ind w:left="476"/>
        <w:divId w:val="2089577374"/>
        <w:rPr>
          <w:sz w:val="20"/>
          <w:szCs w:val="20"/>
        </w:rPr>
      </w:pPr>
      <w:r>
        <w:rPr>
          <w:b/>
          <w:bCs/>
          <w:i/>
          <w:iCs/>
          <w:sz w:val="20"/>
          <w:szCs w:val="20"/>
        </w:rPr>
        <w:t>Contractual Maturitie</w:t>
      </w:r>
      <w:r>
        <w:rPr>
          <w:b/>
          <w:bCs/>
          <w:i/>
          <w:iCs/>
          <w:sz w:val="20"/>
          <w:szCs w:val="20"/>
        </w:rPr>
        <w:t>s</w:t>
      </w:r>
    </w:p>
    <w:p w14:paraId="2D908063" w14:textId="77777777" w:rsidR="00000000" w:rsidRDefault="003C49E9">
      <w:pPr>
        <w:pStyle w:val="a3"/>
        <w:spacing w:before="200" w:beforeAutospacing="0" w:after="0" w:afterAutospacing="0"/>
        <w:ind w:firstLine="555"/>
        <w:divId w:val="1939555516"/>
        <w:rPr>
          <w:sz w:val="20"/>
          <w:szCs w:val="20"/>
        </w:rPr>
      </w:pPr>
      <w:r>
        <w:rPr>
          <w:sz w:val="20"/>
          <w:szCs w:val="20"/>
        </w:rPr>
        <w:t>The contractual maturities of short-term and long-term investments held at</w:t>
      </w:r>
      <w:r>
        <w:rPr>
          <w:sz w:val="20"/>
          <w:szCs w:val="20"/>
        </w:rPr>
        <w:t xml:space="preserve"> </w:t>
      </w:r>
      <w:r>
        <w:rPr>
          <w:sz w:val="20"/>
          <w:szCs w:val="20"/>
        </w:rPr>
        <w:t>June 30, 2022 and December 31, 2021 are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0"/>
        <w:gridCol w:w="110"/>
        <w:gridCol w:w="160"/>
        <w:gridCol w:w="860"/>
        <w:gridCol w:w="110"/>
        <w:gridCol w:w="110"/>
        <w:gridCol w:w="160"/>
        <w:gridCol w:w="860"/>
        <w:gridCol w:w="110"/>
        <w:gridCol w:w="110"/>
        <w:gridCol w:w="160"/>
        <w:gridCol w:w="710"/>
        <w:gridCol w:w="110"/>
        <w:gridCol w:w="110"/>
        <w:gridCol w:w="160"/>
        <w:gridCol w:w="710"/>
        <w:gridCol w:w="125"/>
      </w:tblGrid>
      <w:tr w:rsidR="00000000" w14:paraId="1934086F" w14:textId="77777777">
        <w:trPr>
          <w:divId w:val="1939555516"/>
          <w:tblCellSpacing w:w="15" w:type="dxa"/>
        </w:trPr>
        <w:tc>
          <w:tcPr>
            <w:tcW w:w="2157" w:type="pct"/>
            <w:vAlign w:val="center"/>
            <w:hideMark/>
          </w:tcPr>
          <w:p w14:paraId="1B9A3354" w14:textId="77777777" w:rsidR="00000000" w:rsidRDefault="003C49E9">
            <w:pPr>
              <w:rPr>
                <w:sz w:val="20"/>
                <w:szCs w:val="20"/>
              </w:rPr>
            </w:pPr>
          </w:p>
        </w:tc>
        <w:tc>
          <w:tcPr>
            <w:tcW w:w="65" w:type="pct"/>
            <w:vAlign w:val="center"/>
            <w:hideMark/>
          </w:tcPr>
          <w:p w14:paraId="05AFDD6F" w14:textId="77777777" w:rsidR="00000000" w:rsidRDefault="003C49E9">
            <w:pPr>
              <w:rPr>
                <w:rFonts w:eastAsia="Times New Roman"/>
                <w:sz w:val="20"/>
                <w:szCs w:val="20"/>
              </w:rPr>
            </w:pPr>
          </w:p>
        </w:tc>
        <w:tc>
          <w:tcPr>
            <w:tcW w:w="50" w:type="pct"/>
            <w:vAlign w:val="center"/>
            <w:hideMark/>
          </w:tcPr>
          <w:p w14:paraId="46CE9C7A" w14:textId="77777777" w:rsidR="00000000" w:rsidRDefault="003C49E9">
            <w:pPr>
              <w:rPr>
                <w:rFonts w:eastAsia="Times New Roman"/>
                <w:sz w:val="20"/>
                <w:szCs w:val="20"/>
              </w:rPr>
            </w:pPr>
          </w:p>
        </w:tc>
        <w:tc>
          <w:tcPr>
            <w:tcW w:w="595" w:type="pct"/>
            <w:vAlign w:val="center"/>
            <w:hideMark/>
          </w:tcPr>
          <w:p w14:paraId="7F55D426" w14:textId="77777777" w:rsidR="00000000" w:rsidRDefault="003C49E9">
            <w:pPr>
              <w:rPr>
                <w:rFonts w:eastAsia="Times New Roman"/>
                <w:sz w:val="20"/>
                <w:szCs w:val="20"/>
              </w:rPr>
            </w:pPr>
          </w:p>
        </w:tc>
        <w:tc>
          <w:tcPr>
            <w:tcW w:w="50" w:type="pct"/>
            <w:vAlign w:val="center"/>
            <w:hideMark/>
          </w:tcPr>
          <w:p w14:paraId="1AB8C239" w14:textId="77777777" w:rsidR="00000000" w:rsidRDefault="003C49E9">
            <w:pPr>
              <w:rPr>
                <w:rFonts w:eastAsia="Times New Roman"/>
                <w:sz w:val="20"/>
                <w:szCs w:val="20"/>
              </w:rPr>
            </w:pPr>
          </w:p>
        </w:tc>
        <w:tc>
          <w:tcPr>
            <w:tcW w:w="55" w:type="pct"/>
            <w:vAlign w:val="center"/>
            <w:hideMark/>
          </w:tcPr>
          <w:p w14:paraId="3CFFC778" w14:textId="77777777" w:rsidR="00000000" w:rsidRDefault="003C49E9">
            <w:pPr>
              <w:rPr>
                <w:rFonts w:eastAsia="Times New Roman"/>
                <w:sz w:val="20"/>
                <w:szCs w:val="20"/>
              </w:rPr>
            </w:pPr>
          </w:p>
        </w:tc>
        <w:tc>
          <w:tcPr>
            <w:tcW w:w="50" w:type="pct"/>
            <w:vAlign w:val="center"/>
            <w:hideMark/>
          </w:tcPr>
          <w:p w14:paraId="3B941A5D" w14:textId="77777777" w:rsidR="00000000" w:rsidRDefault="003C49E9">
            <w:pPr>
              <w:rPr>
                <w:rFonts w:eastAsia="Times New Roman"/>
                <w:sz w:val="20"/>
                <w:szCs w:val="20"/>
              </w:rPr>
            </w:pPr>
          </w:p>
        </w:tc>
        <w:tc>
          <w:tcPr>
            <w:tcW w:w="557" w:type="pct"/>
            <w:vAlign w:val="center"/>
            <w:hideMark/>
          </w:tcPr>
          <w:p w14:paraId="3BC43E79" w14:textId="77777777" w:rsidR="00000000" w:rsidRDefault="003C49E9">
            <w:pPr>
              <w:rPr>
                <w:rFonts w:eastAsia="Times New Roman"/>
                <w:sz w:val="20"/>
                <w:szCs w:val="20"/>
              </w:rPr>
            </w:pPr>
          </w:p>
        </w:tc>
        <w:tc>
          <w:tcPr>
            <w:tcW w:w="50" w:type="pct"/>
            <w:vAlign w:val="center"/>
            <w:hideMark/>
          </w:tcPr>
          <w:p w14:paraId="729D75E1" w14:textId="77777777" w:rsidR="00000000" w:rsidRDefault="003C49E9">
            <w:pPr>
              <w:rPr>
                <w:rFonts w:eastAsia="Times New Roman"/>
                <w:sz w:val="20"/>
                <w:szCs w:val="20"/>
              </w:rPr>
            </w:pPr>
          </w:p>
        </w:tc>
        <w:tc>
          <w:tcPr>
            <w:tcW w:w="65" w:type="pct"/>
            <w:vAlign w:val="center"/>
            <w:hideMark/>
          </w:tcPr>
          <w:p w14:paraId="1DC03559" w14:textId="77777777" w:rsidR="00000000" w:rsidRDefault="003C49E9">
            <w:pPr>
              <w:rPr>
                <w:rFonts w:eastAsia="Times New Roman"/>
                <w:sz w:val="20"/>
                <w:szCs w:val="20"/>
              </w:rPr>
            </w:pPr>
          </w:p>
        </w:tc>
        <w:tc>
          <w:tcPr>
            <w:tcW w:w="50" w:type="pct"/>
            <w:vAlign w:val="center"/>
            <w:hideMark/>
          </w:tcPr>
          <w:p w14:paraId="71CB4D81" w14:textId="77777777" w:rsidR="00000000" w:rsidRDefault="003C49E9">
            <w:pPr>
              <w:rPr>
                <w:rFonts w:eastAsia="Times New Roman"/>
                <w:sz w:val="20"/>
                <w:szCs w:val="20"/>
              </w:rPr>
            </w:pPr>
          </w:p>
        </w:tc>
        <w:tc>
          <w:tcPr>
            <w:tcW w:w="479" w:type="pct"/>
            <w:vAlign w:val="center"/>
            <w:hideMark/>
          </w:tcPr>
          <w:p w14:paraId="1F693438" w14:textId="77777777" w:rsidR="00000000" w:rsidRDefault="003C49E9">
            <w:pPr>
              <w:rPr>
                <w:rFonts w:eastAsia="Times New Roman"/>
                <w:sz w:val="20"/>
                <w:szCs w:val="20"/>
              </w:rPr>
            </w:pPr>
          </w:p>
        </w:tc>
        <w:tc>
          <w:tcPr>
            <w:tcW w:w="50" w:type="pct"/>
            <w:vAlign w:val="center"/>
            <w:hideMark/>
          </w:tcPr>
          <w:p w14:paraId="2205009E" w14:textId="77777777" w:rsidR="00000000" w:rsidRDefault="003C49E9">
            <w:pPr>
              <w:rPr>
                <w:rFonts w:eastAsia="Times New Roman"/>
                <w:sz w:val="20"/>
                <w:szCs w:val="20"/>
              </w:rPr>
            </w:pPr>
          </w:p>
        </w:tc>
        <w:tc>
          <w:tcPr>
            <w:tcW w:w="65" w:type="pct"/>
            <w:vAlign w:val="center"/>
            <w:hideMark/>
          </w:tcPr>
          <w:p w14:paraId="34F570AF" w14:textId="77777777" w:rsidR="00000000" w:rsidRDefault="003C49E9">
            <w:pPr>
              <w:rPr>
                <w:rFonts w:eastAsia="Times New Roman"/>
                <w:sz w:val="20"/>
                <w:szCs w:val="20"/>
              </w:rPr>
            </w:pPr>
          </w:p>
        </w:tc>
        <w:tc>
          <w:tcPr>
            <w:tcW w:w="50" w:type="pct"/>
            <w:vAlign w:val="center"/>
            <w:hideMark/>
          </w:tcPr>
          <w:p w14:paraId="46F0C7C2" w14:textId="77777777" w:rsidR="00000000" w:rsidRDefault="003C49E9">
            <w:pPr>
              <w:rPr>
                <w:rFonts w:eastAsia="Times New Roman"/>
                <w:sz w:val="20"/>
                <w:szCs w:val="20"/>
              </w:rPr>
            </w:pPr>
          </w:p>
        </w:tc>
        <w:tc>
          <w:tcPr>
            <w:tcW w:w="557" w:type="pct"/>
            <w:vAlign w:val="center"/>
            <w:hideMark/>
          </w:tcPr>
          <w:p w14:paraId="1E2C43AE" w14:textId="77777777" w:rsidR="00000000" w:rsidRDefault="003C49E9">
            <w:pPr>
              <w:rPr>
                <w:rFonts w:eastAsia="Times New Roman"/>
                <w:sz w:val="20"/>
                <w:szCs w:val="20"/>
              </w:rPr>
            </w:pPr>
          </w:p>
        </w:tc>
        <w:tc>
          <w:tcPr>
            <w:tcW w:w="50" w:type="pct"/>
            <w:vAlign w:val="center"/>
            <w:hideMark/>
          </w:tcPr>
          <w:p w14:paraId="232D3AC3" w14:textId="77777777" w:rsidR="00000000" w:rsidRDefault="003C49E9">
            <w:pPr>
              <w:rPr>
                <w:rFonts w:eastAsia="Times New Roman"/>
                <w:sz w:val="20"/>
                <w:szCs w:val="20"/>
              </w:rPr>
            </w:pPr>
          </w:p>
        </w:tc>
      </w:tr>
      <w:tr w:rsidR="00000000" w14:paraId="3F1BF350" w14:textId="77777777">
        <w:trPr>
          <w:divId w:val="1939555516"/>
          <w:trHeight w:val="160"/>
          <w:tblCellSpacing w:w="15" w:type="dxa"/>
        </w:trPr>
        <w:tc>
          <w:tcPr>
            <w:tcW w:w="0" w:type="auto"/>
            <w:vAlign w:val="bottom"/>
            <w:hideMark/>
          </w:tcPr>
          <w:p w14:paraId="7C3449A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CF9DEB5"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8E1C68F"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288B18B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B400A3B"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2D56CE5"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30BF89F3"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876F9D6" w14:textId="77777777">
        <w:trPr>
          <w:divId w:val="1939555516"/>
          <w:trHeight w:val="160"/>
          <w:tblCellSpacing w:w="15" w:type="dxa"/>
        </w:trPr>
        <w:tc>
          <w:tcPr>
            <w:tcW w:w="0" w:type="auto"/>
            <w:vAlign w:val="bottom"/>
            <w:hideMark/>
          </w:tcPr>
          <w:p w14:paraId="2E521B3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EEA7D3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4D3AE2F" w14:textId="77777777" w:rsidR="00000000" w:rsidRDefault="003C49E9">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14:paraId="67CE01C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528600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8F7DF3A" w14:textId="77777777" w:rsidR="00000000" w:rsidRDefault="003C49E9">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383B9E3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232991F"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A2929FB" w14:textId="77777777" w:rsidR="00000000" w:rsidRDefault="003C49E9">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14:paraId="283C555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DA34F5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D286B50" w14:textId="77777777" w:rsidR="00000000" w:rsidRDefault="003C49E9">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42A9D5AC"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51EB1C7" w14:textId="77777777">
        <w:trPr>
          <w:divId w:val="1939555516"/>
          <w:trHeight w:val="160"/>
          <w:tblCellSpacing w:w="15" w:type="dxa"/>
        </w:trPr>
        <w:tc>
          <w:tcPr>
            <w:tcW w:w="0" w:type="auto"/>
            <w:vAlign w:val="bottom"/>
            <w:hideMark/>
          </w:tcPr>
          <w:p w14:paraId="575B2BC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FAA80F9"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2B22C5F2"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7010A78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9F90033"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0898A0D"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78219A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2280881" w14:textId="77777777">
        <w:trPr>
          <w:divId w:val="1939555516"/>
          <w:trHeight w:val="200"/>
          <w:tblCellSpacing w:w="15" w:type="dxa"/>
        </w:trPr>
        <w:tc>
          <w:tcPr>
            <w:tcW w:w="0" w:type="auto"/>
            <w:vAlign w:val="bottom"/>
            <w:hideMark/>
          </w:tcPr>
          <w:p w14:paraId="0596C2D0" w14:textId="77777777" w:rsidR="00000000" w:rsidRDefault="003C49E9">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14:paraId="03BC5CC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C405FD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CA98641" w14:textId="77777777" w:rsidR="00000000" w:rsidRDefault="003C49E9">
            <w:pPr>
              <w:pStyle w:val="a3"/>
              <w:spacing w:before="0" w:beforeAutospacing="0" w:after="0" w:afterAutospacing="0"/>
              <w:jc w:val="right"/>
              <w:rPr>
                <w:sz w:val="20"/>
                <w:szCs w:val="20"/>
              </w:rPr>
            </w:pPr>
            <w:r>
              <w:rPr>
                <w:sz w:val="20"/>
                <w:szCs w:val="20"/>
              </w:rPr>
              <w:t>944,39</w:t>
            </w:r>
            <w:r>
              <w:rPr>
                <w:sz w:val="20"/>
                <w:szCs w:val="20"/>
              </w:rPr>
              <w:t>8</w:t>
            </w:r>
          </w:p>
        </w:tc>
        <w:tc>
          <w:tcPr>
            <w:tcW w:w="0" w:type="auto"/>
            <w:noWrap/>
            <w:vAlign w:val="bottom"/>
            <w:hideMark/>
          </w:tcPr>
          <w:p w14:paraId="0E90730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98F64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52C165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621C0A" w14:textId="77777777" w:rsidR="00000000" w:rsidRDefault="003C49E9">
            <w:pPr>
              <w:pStyle w:val="a3"/>
              <w:spacing w:before="0" w:beforeAutospacing="0" w:after="0" w:afterAutospacing="0"/>
              <w:jc w:val="right"/>
              <w:rPr>
                <w:sz w:val="20"/>
                <w:szCs w:val="20"/>
              </w:rPr>
            </w:pPr>
            <w:r>
              <w:rPr>
                <w:sz w:val="20"/>
                <w:szCs w:val="20"/>
              </w:rPr>
              <w:t>940,37</w:t>
            </w:r>
            <w:r>
              <w:rPr>
                <w:sz w:val="20"/>
                <w:szCs w:val="20"/>
              </w:rPr>
              <w:t>9</w:t>
            </w:r>
          </w:p>
        </w:tc>
        <w:tc>
          <w:tcPr>
            <w:tcW w:w="0" w:type="auto"/>
            <w:noWrap/>
            <w:vAlign w:val="bottom"/>
            <w:hideMark/>
          </w:tcPr>
          <w:p w14:paraId="19DA7E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452FE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F4AB16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F841D7A" w14:textId="77777777" w:rsidR="00000000" w:rsidRDefault="003C49E9">
            <w:pPr>
              <w:pStyle w:val="a3"/>
              <w:spacing w:before="0" w:beforeAutospacing="0" w:after="0" w:afterAutospacing="0"/>
              <w:jc w:val="right"/>
              <w:rPr>
                <w:sz w:val="20"/>
                <w:szCs w:val="20"/>
              </w:rPr>
            </w:pPr>
            <w:r>
              <w:rPr>
                <w:sz w:val="20"/>
                <w:szCs w:val="20"/>
              </w:rPr>
              <w:t>821,10</w:t>
            </w:r>
            <w:r>
              <w:rPr>
                <w:sz w:val="20"/>
                <w:szCs w:val="20"/>
              </w:rPr>
              <w:t>1</w:t>
            </w:r>
          </w:p>
        </w:tc>
        <w:tc>
          <w:tcPr>
            <w:tcW w:w="0" w:type="auto"/>
            <w:noWrap/>
            <w:vAlign w:val="bottom"/>
            <w:hideMark/>
          </w:tcPr>
          <w:p w14:paraId="2A6B843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9BB58D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34B1DE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3C7B20A" w14:textId="77777777" w:rsidR="00000000" w:rsidRDefault="003C49E9">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14:paraId="6F05F229" w14:textId="77777777" w:rsidR="00000000" w:rsidRDefault="003C49E9">
            <w:pPr>
              <w:pStyle w:val="a3"/>
              <w:spacing w:before="0" w:beforeAutospacing="0" w:after="0" w:afterAutospacing="0"/>
              <w:rPr>
                <w:sz w:val="20"/>
                <w:szCs w:val="20"/>
              </w:rPr>
            </w:pPr>
            <w:r>
              <w:rPr>
                <w:sz w:val="20"/>
                <w:szCs w:val="20"/>
              </w:rPr>
              <w:t> </w:t>
            </w:r>
          </w:p>
        </w:tc>
      </w:tr>
      <w:tr w:rsidR="00000000" w14:paraId="53748F29" w14:textId="77777777">
        <w:trPr>
          <w:divId w:val="1939555516"/>
          <w:trHeight w:val="200"/>
          <w:tblCellSpacing w:w="15" w:type="dxa"/>
        </w:trPr>
        <w:tc>
          <w:tcPr>
            <w:tcW w:w="0" w:type="auto"/>
            <w:vAlign w:val="bottom"/>
            <w:hideMark/>
          </w:tcPr>
          <w:p w14:paraId="64DB0F35" w14:textId="77777777" w:rsidR="00000000" w:rsidRDefault="003C49E9">
            <w:pPr>
              <w:pStyle w:val="a3"/>
              <w:spacing w:before="0" w:beforeAutospacing="0" w:after="0" w:afterAutospacing="0"/>
              <w:rPr>
                <w:sz w:val="20"/>
                <w:szCs w:val="20"/>
              </w:rPr>
            </w:pPr>
            <w:r>
              <w:rPr>
                <w:sz w:val="20"/>
                <w:szCs w:val="20"/>
              </w:rPr>
              <w:t>Due after 1 year through 2 year</w:t>
            </w:r>
            <w:r>
              <w:rPr>
                <w:sz w:val="20"/>
                <w:szCs w:val="20"/>
              </w:rPr>
              <w:t>s</w:t>
            </w:r>
          </w:p>
        </w:tc>
        <w:tc>
          <w:tcPr>
            <w:tcW w:w="0" w:type="auto"/>
            <w:vAlign w:val="bottom"/>
            <w:hideMark/>
          </w:tcPr>
          <w:p w14:paraId="42E355F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666E72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4BDF8D7" w14:textId="77777777" w:rsidR="00000000" w:rsidRDefault="003C49E9">
            <w:pPr>
              <w:pStyle w:val="a3"/>
              <w:spacing w:before="0" w:beforeAutospacing="0" w:after="0" w:afterAutospacing="0"/>
              <w:jc w:val="right"/>
              <w:rPr>
                <w:sz w:val="20"/>
                <w:szCs w:val="20"/>
              </w:rPr>
            </w:pPr>
            <w:r>
              <w:rPr>
                <w:sz w:val="20"/>
                <w:szCs w:val="20"/>
              </w:rPr>
              <w:t>166,07</w:t>
            </w:r>
            <w:r>
              <w:rPr>
                <w:sz w:val="20"/>
                <w:szCs w:val="20"/>
              </w:rPr>
              <w:t>6</w:t>
            </w:r>
          </w:p>
        </w:tc>
        <w:tc>
          <w:tcPr>
            <w:tcW w:w="0" w:type="auto"/>
            <w:noWrap/>
            <w:vAlign w:val="bottom"/>
            <w:hideMark/>
          </w:tcPr>
          <w:p w14:paraId="170022C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4206F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F13706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7CB09F0" w14:textId="77777777" w:rsidR="00000000" w:rsidRDefault="003C49E9">
            <w:pPr>
              <w:pStyle w:val="a3"/>
              <w:spacing w:before="0" w:beforeAutospacing="0" w:after="0" w:afterAutospacing="0"/>
              <w:jc w:val="right"/>
              <w:rPr>
                <w:sz w:val="20"/>
                <w:szCs w:val="20"/>
              </w:rPr>
            </w:pPr>
            <w:r>
              <w:rPr>
                <w:sz w:val="20"/>
                <w:szCs w:val="20"/>
              </w:rPr>
              <w:t>162,66</w:t>
            </w:r>
            <w:r>
              <w:rPr>
                <w:sz w:val="20"/>
                <w:szCs w:val="20"/>
              </w:rPr>
              <w:t>0</w:t>
            </w:r>
          </w:p>
        </w:tc>
        <w:tc>
          <w:tcPr>
            <w:tcW w:w="0" w:type="auto"/>
            <w:noWrap/>
            <w:vAlign w:val="bottom"/>
            <w:hideMark/>
          </w:tcPr>
          <w:p w14:paraId="634907B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B9D4E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B2A02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A54B02" w14:textId="77777777" w:rsidR="00000000" w:rsidRDefault="003C49E9">
            <w:pPr>
              <w:pStyle w:val="a3"/>
              <w:spacing w:before="0" w:beforeAutospacing="0" w:after="0" w:afterAutospacing="0"/>
              <w:jc w:val="right"/>
              <w:rPr>
                <w:sz w:val="20"/>
                <w:szCs w:val="20"/>
              </w:rPr>
            </w:pPr>
            <w:r>
              <w:rPr>
                <w:sz w:val="20"/>
                <w:szCs w:val="20"/>
              </w:rPr>
              <w:t>175,53</w:t>
            </w:r>
            <w:r>
              <w:rPr>
                <w:sz w:val="20"/>
                <w:szCs w:val="20"/>
              </w:rPr>
              <w:t>7</w:t>
            </w:r>
          </w:p>
        </w:tc>
        <w:tc>
          <w:tcPr>
            <w:tcW w:w="0" w:type="auto"/>
            <w:noWrap/>
            <w:vAlign w:val="bottom"/>
            <w:hideMark/>
          </w:tcPr>
          <w:p w14:paraId="113B6B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A8925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10381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8920AB" w14:textId="77777777" w:rsidR="00000000" w:rsidRDefault="003C49E9">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14:paraId="5DB71384" w14:textId="77777777" w:rsidR="00000000" w:rsidRDefault="003C49E9">
            <w:pPr>
              <w:pStyle w:val="a3"/>
              <w:spacing w:before="0" w:beforeAutospacing="0" w:after="0" w:afterAutospacing="0"/>
              <w:rPr>
                <w:sz w:val="20"/>
                <w:szCs w:val="20"/>
              </w:rPr>
            </w:pPr>
            <w:r>
              <w:rPr>
                <w:sz w:val="20"/>
                <w:szCs w:val="20"/>
              </w:rPr>
              <w:t> </w:t>
            </w:r>
          </w:p>
        </w:tc>
      </w:tr>
      <w:tr w:rsidR="00000000" w14:paraId="6AD3B143" w14:textId="77777777">
        <w:trPr>
          <w:divId w:val="1939555516"/>
          <w:trHeight w:val="200"/>
          <w:tblCellSpacing w:w="15" w:type="dxa"/>
        </w:trPr>
        <w:tc>
          <w:tcPr>
            <w:tcW w:w="0" w:type="auto"/>
            <w:vAlign w:val="bottom"/>
            <w:hideMark/>
          </w:tcPr>
          <w:p w14:paraId="39A4FA6D"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14:paraId="0927FBF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FA20C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FC92BCB" w14:textId="77777777" w:rsidR="00000000" w:rsidRDefault="003C49E9">
            <w:pPr>
              <w:pStyle w:val="a3"/>
              <w:spacing w:before="0" w:beforeAutospacing="0" w:after="0" w:afterAutospacing="0"/>
              <w:jc w:val="right"/>
              <w:rPr>
                <w:sz w:val="20"/>
                <w:szCs w:val="20"/>
              </w:rPr>
            </w:pPr>
            <w:r>
              <w:rPr>
                <w:sz w:val="20"/>
                <w:szCs w:val="20"/>
              </w:rPr>
              <w:t>1,110,47</w:t>
            </w:r>
            <w:r>
              <w:rPr>
                <w:sz w:val="20"/>
                <w:szCs w:val="20"/>
              </w:rPr>
              <w:t>4</w:t>
            </w:r>
          </w:p>
        </w:tc>
        <w:tc>
          <w:tcPr>
            <w:tcW w:w="0" w:type="auto"/>
            <w:noWrap/>
            <w:vAlign w:val="bottom"/>
            <w:hideMark/>
          </w:tcPr>
          <w:p w14:paraId="43A1E3F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4B4213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D6A758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82B60E8" w14:textId="77777777" w:rsidR="00000000" w:rsidRDefault="003C49E9">
            <w:pPr>
              <w:pStyle w:val="a3"/>
              <w:spacing w:before="0" w:beforeAutospacing="0" w:after="0" w:afterAutospacing="0"/>
              <w:jc w:val="right"/>
              <w:rPr>
                <w:sz w:val="20"/>
                <w:szCs w:val="20"/>
              </w:rPr>
            </w:pPr>
            <w:r>
              <w:rPr>
                <w:sz w:val="20"/>
                <w:szCs w:val="20"/>
              </w:rPr>
              <w:t>1,103,03</w:t>
            </w:r>
            <w:r>
              <w:rPr>
                <w:sz w:val="20"/>
                <w:szCs w:val="20"/>
              </w:rPr>
              <w:t>9</w:t>
            </w:r>
          </w:p>
        </w:tc>
        <w:tc>
          <w:tcPr>
            <w:tcW w:w="0" w:type="auto"/>
            <w:noWrap/>
            <w:vAlign w:val="bottom"/>
            <w:hideMark/>
          </w:tcPr>
          <w:p w14:paraId="33318C3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DCA4B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1A7198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28B3A37" w14:textId="77777777" w:rsidR="00000000" w:rsidRDefault="003C49E9">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14:paraId="7245389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98757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DFE94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405B484" w14:textId="77777777" w:rsidR="00000000" w:rsidRDefault="003C49E9">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14:paraId="19EB16BB" w14:textId="77777777" w:rsidR="00000000" w:rsidRDefault="003C49E9">
            <w:pPr>
              <w:pStyle w:val="a3"/>
              <w:spacing w:before="0" w:beforeAutospacing="0" w:after="0" w:afterAutospacing="0"/>
              <w:rPr>
                <w:sz w:val="20"/>
                <w:szCs w:val="20"/>
              </w:rPr>
            </w:pPr>
            <w:r>
              <w:rPr>
                <w:sz w:val="20"/>
                <w:szCs w:val="20"/>
              </w:rPr>
              <w:t> </w:t>
            </w:r>
          </w:p>
        </w:tc>
      </w:tr>
    </w:tbl>
    <w:p w14:paraId="5644536C" w14:textId="77777777" w:rsidR="00000000" w:rsidRDefault="003C49E9">
      <w:pPr>
        <w:pStyle w:val="a3"/>
        <w:spacing w:before="200" w:beforeAutospacing="0" w:after="0" w:afterAutospacing="0"/>
        <w:divId w:val="2089577374"/>
        <w:rPr>
          <w:sz w:val="20"/>
          <w:szCs w:val="20"/>
        </w:rPr>
      </w:pPr>
      <w:r>
        <w:rPr>
          <w:sz w:val="20"/>
          <w:szCs w:val="20"/>
        </w:rPr>
        <w:t> </w:t>
      </w:r>
    </w:p>
    <w:p w14:paraId="16412849" w14:textId="77777777" w:rsidR="00000000" w:rsidRDefault="003C49E9">
      <w:pPr>
        <w:pStyle w:val="a3"/>
        <w:spacing w:before="200" w:beforeAutospacing="0" w:after="0" w:afterAutospacing="0"/>
        <w:ind w:firstLine="816"/>
        <w:rPr>
          <w:sz w:val="20"/>
          <w:szCs w:val="20"/>
        </w:rPr>
      </w:pPr>
      <w:r>
        <w:rPr>
          <w:sz w:val="20"/>
          <w:szCs w:val="20"/>
        </w:rPr>
        <w:t> </w:t>
      </w:r>
    </w:p>
    <w:p w14:paraId="5CB32806" w14:textId="77777777" w:rsidR="00000000" w:rsidRDefault="003C49E9">
      <w:pPr>
        <w:pStyle w:val="a3"/>
        <w:spacing w:before="200" w:beforeAutospacing="0" w:after="0" w:afterAutospacing="0"/>
        <w:divId w:val="159739568"/>
        <w:rPr>
          <w:sz w:val="20"/>
          <w:szCs w:val="20"/>
        </w:rPr>
      </w:pPr>
      <w:r>
        <w:rPr>
          <w:b/>
          <w:bCs/>
          <w:sz w:val="20"/>
          <w:szCs w:val="20"/>
        </w:rPr>
        <w:t>5. Restricted cas</w:t>
      </w:r>
      <w:r>
        <w:rPr>
          <w:b/>
          <w:bCs/>
          <w:sz w:val="20"/>
          <w:szCs w:val="20"/>
        </w:rPr>
        <w:t>h</w:t>
      </w:r>
    </w:p>
    <w:p w14:paraId="60134E29" w14:textId="77777777" w:rsidR="00000000" w:rsidRDefault="003C49E9">
      <w:pPr>
        <w:pStyle w:val="a3"/>
        <w:spacing w:before="200" w:beforeAutospacing="0" w:after="0" w:afterAutospacing="0"/>
        <w:ind w:firstLine="555"/>
        <w:divId w:val="1740399693"/>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thre</w:t>
      </w:r>
      <w:r>
        <w:rPr>
          <w:sz w:val="20"/>
          <w:szCs w:val="20"/>
        </w:rPr>
        <w:t>e months ended</w:t>
      </w:r>
      <w:r>
        <w:rPr>
          <w:sz w:val="20"/>
          <w:szCs w:val="20"/>
        </w:rPr>
        <w:t xml:space="preserve"> </w:t>
      </w:r>
      <w:r>
        <w:rPr>
          <w:sz w:val="20"/>
          <w:szCs w:val="20"/>
        </w:rPr>
        <w:t>June 30, 2022 and 2021</w:t>
      </w:r>
      <w:r>
        <w:rPr>
          <w:sz w:val="20"/>
          <w:szCs w:val="20"/>
        </w:rPr>
        <w:t>.</w:t>
      </w:r>
    </w:p>
    <w:p w14:paraId="5FAA6EE2" w14:textId="77777777" w:rsidR="00000000" w:rsidRDefault="003C49E9">
      <w:pPr>
        <w:pStyle w:val="a3"/>
        <w:spacing w:before="0" w:beforeAutospacing="0" w:after="0" w:afterAutospacing="0"/>
        <w:divId w:val="1740399693"/>
        <w:rPr>
          <w:sz w:val="20"/>
          <w:szCs w:val="20"/>
        </w:rPr>
      </w:pPr>
      <w:r>
        <w:rPr>
          <w:sz w:val="20"/>
          <w:szCs w:val="20"/>
        </w:rPr>
        <w:t> </w:t>
      </w:r>
    </w:p>
    <w:tbl>
      <w:tblPr>
        <w:tblW w:w="4600" w:type="pct"/>
        <w:tblCellSpacing w:w="15" w:type="dxa"/>
        <w:tblCellMar>
          <w:top w:w="15" w:type="dxa"/>
          <w:left w:w="15" w:type="dxa"/>
          <w:bottom w:w="15" w:type="dxa"/>
          <w:right w:w="15" w:type="dxa"/>
        </w:tblCellMar>
        <w:tblLook w:val="04A0" w:firstRow="1" w:lastRow="0" w:firstColumn="1" w:lastColumn="0" w:noHBand="0" w:noVBand="1"/>
      </w:tblPr>
      <w:tblGrid>
        <w:gridCol w:w="3788"/>
        <w:gridCol w:w="110"/>
        <w:gridCol w:w="160"/>
        <w:gridCol w:w="934"/>
        <w:gridCol w:w="110"/>
        <w:gridCol w:w="110"/>
        <w:gridCol w:w="160"/>
        <w:gridCol w:w="772"/>
        <w:gridCol w:w="110"/>
        <w:gridCol w:w="110"/>
        <w:gridCol w:w="160"/>
        <w:gridCol w:w="993"/>
        <w:gridCol w:w="125"/>
      </w:tblGrid>
      <w:tr w:rsidR="00000000" w14:paraId="16B3CE1D" w14:textId="77777777">
        <w:trPr>
          <w:divId w:val="1740399693"/>
          <w:tblCellSpacing w:w="15" w:type="dxa"/>
        </w:trPr>
        <w:tc>
          <w:tcPr>
            <w:tcW w:w="2625" w:type="pct"/>
            <w:vAlign w:val="center"/>
            <w:hideMark/>
          </w:tcPr>
          <w:p w14:paraId="286CB4D6" w14:textId="77777777" w:rsidR="00000000" w:rsidRDefault="003C49E9">
            <w:pPr>
              <w:rPr>
                <w:sz w:val="20"/>
                <w:szCs w:val="20"/>
              </w:rPr>
            </w:pPr>
          </w:p>
        </w:tc>
        <w:tc>
          <w:tcPr>
            <w:tcW w:w="54" w:type="pct"/>
            <w:vAlign w:val="center"/>
            <w:hideMark/>
          </w:tcPr>
          <w:p w14:paraId="6D623C52" w14:textId="77777777" w:rsidR="00000000" w:rsidRDefault="003C49E9">
            <w:pPr>
              <w:rPr>
                <w:rFonts w:eastAsia="Times New Roman"/>
                <w:sz w:val="20"/>
                <w:szCs w:val="20"/>
              </w:rPr>
            </w:pPr>
          </w:p>
        </w:tc>
        <w:tc>
          <w:tcPr>
            <w:tcW w:w="50" w:type="pct"/>
            <w:vAlign w:val="center"/>
            <w:hideMark/>
          </w:tcPr>
          <w:p w14:paraId="6CB11A09" w14:textId="77777777" w:rsidR="00000000" w:rsidRDefault="003C49E9">
            <w:pPr>
              <w:rPr>
                <w:rFonts w:eastAsia="Times New Roman"/>
                <w:sz w:val="20"/>
                <w:szCs w:val="20"/>
              </w:rPr>
            </w:pPr>
          </w:p>
        </w:tc>
        <w:tc>
          <w:tcPr>
            <w:tcW w:w="661" w:type="pct"/>
            <w:vAlign w:val="center"/>
            <w:hideMark/>
          </w:tcPr>
          <w:p w14:paraId="6140BC09" w14:textId="77777777" w:rsidR="00000000" w:rsidRDefault="003C49E9">
            <w:pPr>
              <w:rPr>
                <w:rFonts w:eastAsia="Times New Roman"/>
                <w:sz w:val="20"/>
                <w:szCs w:val="20"/>
              </w:rPr>
            </w:pPr>
          </w:p>
        </w:tc>
        <w:tc>
          <w:tcPr>
            <w:tcW w:w="50" w:type="pct"/>
            <w:vAlign w:val="center"/>
            <w:hideMark/>
          </w:tcPr>
          <w:p w14:paraId="0B7A8D59" w14:textId="77777777" w:rsidR="00000000" w:rsidRDefault="003C49E9">
            <w:pPr>
              <w:rPr>
                <w:rFonts w:eastAsia="Times New Roman"/>
                <w:sz w:val="20"/>
                <w:szCs w:val="20"/>
              </w:rPr>
            </w:pPr>
          </w:p>
        </w:tc>
        <w:tc>
          <w:tcPr>
            <w:tcW w:w="54" w:type="pct"/>
            <w:vAlign w:val="center"/>
            <w:hideMark/>
          </w:tcPr>
          <w:p w14:paraId="778D4E45" w14:textId="77777777" w:rsidR="00000000" w:rsidRDefault="003C49E9">
            <w:pPr>
              <w:rPr>
                <w:rFonts w:eastAsia="Times New Roman"/>
                <w:sz w:val="20"/>
                <w:szCs w:val="20"/>
              </w:rPr>
            </w:pPr>
          </w:p>
        </w:tc>
        <w:tc>
          <w:tcPr>
            <w:tcW w:w="50" w:type="pct"/>
            <w:vAlign w:val="center"/>
            <w:hideMark/>
          </w:tcPr>
          <w:p w14:paraId="03009D17" w14:textId="77777777" w:rsidR="00000000" w:rsidRDefault="003C49E9">
            <w:pPr>
              <w:rPr>
                <w:rFonts w:eastAsia="Times New Roman"/>
                <w:sz w:val="20"/>
                <w:szCs w:val="20"/>
              </w:rPr>
            </w:pPr>
          </w:p>
        </w:tc>
        <w:tc>
          <w:tcPr>
            <w:tcW w:w="548" w:type="pct"/>
            <w:vAlign w:val="center"/>
            <w:hideMark/>
          </w:tcPr>
          <w:p w14:paraId="49971DBF" w14:textId="77777777" w:rsidR="00000000" w:rsidRDefault="003C49E9">
            <w:pPr>
              <w:rPr>
                <w:rFonts w:eastAsia="Times New Roman"/>
                <w:sz w:val="20"/>
                <w:szCs w:val="20"/>
              </w:rPr>
            </w:pPr>
          </w:p>
        </w:tc>
        <w:tc>
          <w:tcPr>
            <w:tcW w:w="50" w:type="pct"/>
            <w:vAlign w:val="center"/>
            <w:hideMark/>
          </w:tcPr>
          <w:p w14:paraId="455D108A" w14:textId="77777777" w:rsidR="00000000" w:rsidRDefault="003C49E9">
            <w:pPr>
              <w:rPr>
                <w:rFonts w:eastAsia="Times New Roman"/>
                <w:sz w:val="20"/>
                <w:szCs w:val="20"/>
              </w:rPr>
            </w:pPr>
          </w:p>
        </w:tc>
        <w:tc>
          <w:tcPr>
            <w:tcW w:w="54" w:type="pct"/>
            <w:vAlign w:val="center"/>
            <w:hideMark/>
          </w:tcPr>
          <w:p w14:paraId="1E505B0C" w14:textId="77777777" w:rsidR="00000000" w:rsidRDefault="003C49E9">
            <w:pPr>
              <w:rPr>
                <w:rFonts w:eastAsia="Times New Roman"/>
                <w:sz w:val="20"/>
                <w:szCs w:val="20"/>
              </w:rPr>
            </w:pPr>
          </w:p>
        </w:tc>
        <w:tc>
          <w:tcPr>
            <w:tcW w:w="50" w:type="pct"/>
            <w:vAlign w:val="center"/>
            <w:hideMark/>
          </w:tcPr>
          <w:p w14:paraId="0BC197D4" w14:textId="77777777" w:rsidR="00000000" w:rsidRDefault="003C49E9">
            <w:pPr>
              <w:rPr>
                <w:rFonts w:eastAsia="Times New Roman"/>
                <w:sz w:val="20"/>
                <w:szCs w:val="20"/>
              </w:rPr>
            </w:pPr>
          </w:p>
        </w:tc>
        <w:tc>
          <w:tcPr>
            <w:tcW w:w="701" w:type="pct"/>
            <w:vAlign w:val="center"/>
            <w:hideMark/>
          </w:tcPr>
          <w:p w14:paraId="1CEA69E6" w14:textId="77777777" w:rsidR="00000000" w:rsidRDefault="003C49E9">
            <w:pPr>
              <w:rPr>
                <w:rFonts w:eastAsia="Times New Roman"/>
                <w:sz w:val="20"/>
                <w:szCs w:val="20"/>
              </w:rPr>
            </w:pPr>
          </w:p>
        </w:tc>
        <w:tc>
          <w:tcPr>
            <w:tcW w:w="50" w:type="pct"/>
            <w:vAlign w:val="center"/>
            <w:hideMark/>
          </w:tcPr>
          <w:p w14:paraId="67ED53C6" w14:textId="77777777" w:rsidR="00000000" w:rsidRDefault="003C49E9">
            <w:pPr>
              <w:rPr>
                <w:rFonts w:eastAsia="Times New Roman"/>
                <w:sz w:val="20"/>
                <w:szCs w:val="20"/>
              </w:rPr>
            </w:pPr>
          </w:p>
        </w:tc>
      </w:tr>
      <w:tr w:rsidR="00000000" w14:paraId="36FF0EEB" w14:textId="77777777">
        <w:trPr>
          <w:divId w:val="1740399693"/>
          <w:trHeight w:val="160"/>
          <w:tblCellSpacing w:w="15" w:type="dxa"/>
        </w:trPr>
        <w:tc>
          <w:tcPr>
            <w:tcW w:w="0" w:type="auto"/>
            <w:vAlign w:val="bottom"/>
            <w:hideMark/>
          </w:tcPr>
          <w:p w14:paraId="0AF6F9B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FD5B5E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4AFEDAF"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6C3DFDB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13BE0C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129FC4C"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1</w:t>
            </w:r>
          </w:p>
        </w:tc>
        <w:tc>
          <w:tcPr>
            <w:tcW w:w="0" w:type="auto"/>
            <w:vAlign w:val="bottom"/>
            <w:hideMark/>
          </w:tcPr>
          <w:p w14:paraId="12C09B3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20F823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80468A1"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4C2EB5B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B36CEAA" w14:textId="77777777">
        <w:trPr>
          <w:divId w:val="1740399693"/>
          <w:trHeight w:val="160"/>
          <w:tblCellSpacing w:w="15" w:type="dxa"/>
        </w:trPr>
        <w:tc>
          <w:tcPr>
            <w:tcW w:w="0" w:type="auto"/>
            <w:vAlign w:val="bottom"/>
            <w:hideMark/>
          </w:tcPr>
          <w:p w14:paraId="71EC1F7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A81019D" w14:textId="77777777" w:rsidR="00000000" w:rsidRDefault="003C49E9">
            <w:pPr>
              <w:pStyle w:val="a3"/>
              <w:spacing w:before="0" w:beforeAutospacing="0" w:after="0" w:afterAutospacing="0"/>
              <w:rPr>
                <w:sz w:val="16"/>
                <w:szCs w:val="16"/>
              </w:rPr>
            </w:pPr>
            <w:r>
              <w:rPr>
                <w:sz w:val="16"/>
                <w:szCs w:val="16"/>
              </w:rPr>
              <w:t> </w:t>
            </w:r>
          </w:p>
        </w:tc>
        <w:tc>
          <w:tcPr>
            <w:tcW w:w="0" w:type="auto"/>
            <w:gridSpan w:val="10"/>
            <w:vAlign w:val="bottom"/>
            <w:hideMark/>
          </w:tcPr>
          <w:p w14:paraId="1227999D"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143CCAA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4DFB087" w14:textId="77777777">
        <w:trPr>
          <w:divId w:val="1740399693"/>
          <w:trHeight w:val="200"/>
          <w:tblCellSpacing w:w="15" w:type="dxa"/>
        </w:trPr>
        <w:tc>
          <w:tcPr>
            <w:tcW w:w="0" w:type="auto"/>
            <w:vAlign w:val="bottom"/>
            <w:hideMark/>
          </w:tcPr>
          <w:p w14:paraId="00A34ED7" w14:textId="77777777" w:rsidR="00000000" w:rsidRDefault="003C49E9">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14:paraId="141443F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880BEA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E1F53DE" w14:textId="77777777" w:rsidR="00000000" w:rsidRDefault="003C49E9">
            <w:pPr>
              <w:pStyle w:val="a3"/>
              <w:spacing w:before="0" w:beforeAutospacing="0" w:after="0" w:afterAutospacing="0"/>
              <w:jc w:val="right"/>
              <w:rPr>
                <w:sz w:val="20"/>
                <w:szCs w:val="20"/>
              </w:rPr>
            </w:pPr>
            <w:r>
              <w:rPr>
                <w:sz w:val="20"/>
                <w:szCs w:val="20"/>
              </w:rPr>
              <w:t>305,66</w:t>
            </w:r>
            <w:r>
              <w:rPr>
                <w:sz w:val="20"/>
                <w:szCs w:val="20"/>
              </w:rPr>
              <w:t>4</w:t>
            </w:r>
          </w:p>
        </w:tc>
        <w:tc>
          <w:tcPr>
            <w:tcW w:w="0" w:type="auto"/>
            <w:noWrap/>
            <w:vAlign w:val="bottom"/>
            <w:hideMark/>
          </w:tcPr>
          <w:p w14:paraId="02E12E3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B5A64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AB9C10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32EE6FD" w14:textId="77777777" w:rsidR="00000000" w:rsidRDefault="003C49E9">
            <w:pPr>
              <w:pStyle w:val="a3"/>
              <w:spacing w:before="0" w:beforeAutospacing="0" w:after="0" w:afterAutospacing="0"/>
              <w:jc w:val="right"/>
              <w:rPr>
                <w:sz w:val="20"/>
                <w:szCs w:val="20"/>
              </w:rPr>
            </w:pPr>
            <w:r>
              <w:rPr>
                <w:sz w:val="20"/>
                <w:szCs w:val="20"/>
              </w:rPr>
              <w:t>338,33</w:t>
            </w:r>
            <w:r>
              <w:rPr>
                <w:sz w:val="20"/>
                <w:szCs w:val="20"/>
              </w:rPr>
              <w:t>6</w:t>
            </w:r>
          </w:p>
        </w:tc>
        <w:tc>
          <w:tcPr>
            <w:tcW w:w="0" w:type="auto"/>
            <w:noWrap/>
            <w:vAlign w:val="bottom"/>
            <w:hideMark/>
          </w:tcPr>
          <w:p w14:paraId="396029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91CCA4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08836A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4A61F28" w14:textId="77777777" w:rsidR="00000000" w:rsidRDefault="003C49E9">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14:paraId="1405FDA0" w14:textId="77777777" w:rsidR="00000000" w:rsidRDefault="003C49E9">
            <w:pPr>
              <w:pStyle w:val="a3"/>
              <w:spacing w:before="0" w:beforeAutospacing="0" w:after="0" w:afterAutospacing="0"/>
              <w:rPr>
                <w:sz w:val="20"/>
                <w:szCs w:val="20"/>
              </w:rPr>
            </w:pPr>
            <w:r>
              <w:rPr>
                <w:sz w:val="20"/>
                <w:szCs w:val="20"/>
              </w:rPr>
              <w:t> </w:t>
            </w:r>
          </w:p>
        </w:tc>
      </w:tr>
      <w:tr w:rsidR="00000000" w14:paraId="4724D8F1" w14:textId="77777777">
        <w:trPr>
          <w:divId w:val="1740399693"/>
          <w:trHeight w:val="200"/>
          <w:tblCellSpacing w:w="15" w:type="dxa"/>
        </w:trPr>
        <w:tc>
          <w:tcPr>
            <w:tcW w:w="0" w:type="auto"/>
            <w:vAlign w:val="bottom"/>
            <w:hideMark/>
          </w:tcPr>
          <w:p w14:paraId="5483F6DF" w14:textId="77777777" w:rsidR="00000000" w:rsidRDefault="003C49E9">
            <w:pPr>
              <w:pStyle w:val="a3"/>
              <w:spacing w:before="0" w:beforeAutospacing="0" w:after="0" w:afterAutospacing="0"/>
              <w:rPr>
                <w:sz w:val="20"/>
                <w:szCs w:val="20"/>
              </w:rPr>
            </w:pPr>
            <w:r>
              <w:rPr>
                <w:sz w:val="20"/>
                <w:szCs w:val="20"/>
              </w:rPr>
              <w:t>Restricted cash, included in</w:t>
            </w:r>
            <w:r>
              <w:rPr>
                <w:sz w:val="20"/>
                <w:szCs w:val="20"/>
              </w:rPr>
              <w:t xml:space="preserve"> </w:t>
            </w:r>
            <w:r>
              <w:rPr>
                <w:sz w:val="20"/>
                <w:szCs w:val="20"/>
              </w:rPr>
              <w:t>other asset</w:t>
            </w:r>
            <w:r>
              <w:rPr>
                <w:sz w:val="20"/>
                <w:szCs w:val="20"/>
              </w:rPr>
              <w:t>s</w:t>
            </w:r>
          </w:p>
        </w:tc>
        <w:tc>
          <w:tcPr>
            <w:tcW w:w="0" w:type="auto"/>
            <w:vAlign w:val="bottom"/>
            <w:hideMark/>
          </w:tcPr>
          <w:p w14:paraId="65A29BF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A45E2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194E19"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23D5E73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1392B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F0C56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4D30153"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3DE6AA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228A2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919CD6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E907AF"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14:paraId="4FD8B1AB" w14:textId="77777777" w:rsidR="00000000" w:rsidRDefault="003C49E9">
            <w:pPr>
              <w:pStyle w:val="a3"/>
              <w:spacing w:before="0" w:beforeAutospacing="0" w:after="0" w:afterAutospacing="0"/>
              <w:rPr>
                <w:sz w:val="20"/>
                <w:szCs w:val="20"/>
              </w:rPr>
            </w:pPr>
            <w:r>
              <w:rPr>
                <w:sz w:val="20"/>
                <w:szCs w:val="20"/>
              </w:rPr>
              <w:t> </w:t>
            </w:r>
          </w:p>
        </w:tc>
      </w:tr>
      <w:tr w:rsidR="00000000" w14:paraId="4E881D79" w14:textId="77777777">
        <w:trPr>
          <w:divId w:val="1740399693"/>
          <w:trHeight w:val="200"/>
          <w:tblCellSpacing w:w="15" w:type="dxa"/>
        </w:trPr>
        <w:tc>
          <w:tcPr>
            <w:tcW w:w="0" w:type="auto"/>
            <w:vAlign w:val="bottom"/>
            <w:hideMark/>
          </w:tcPr>
          <w:p w14:paraId="6BA37E00" w14:textId="77777777" w:rsidR="00000000" w:rsidRDefault="003C49E9">
            <w:pPr>
              <w:pStyle w:val="a3"/>
              <w:spacing w:before="0" w:beforeAutospacing="0" w:after="0" w:afterAutospacing="0"/>
              <w:ind w:left="100"/>
              <w:rPr>
                <w:sz w:val="20"/>
                <w:szCs w:val="20"/>
              </w:rPr>
            </w:pPr>
            <w:r>
              <w:rPr>
                <w:sz w:val="20"/>
                <w:szCs w:val="20"/>
              </w:rPr>
              <w:t>Total cash, cash equivalents, and restricted cas</w:t>
            </w:r>
            <w:r>
              <w:rPr>
                <w:sz w:val="20"/>
                <w:szCs w:val="20"/>
              </w:rPr>
              <w:t>h</w:t>
            </w:r>
          </w:p>
        </w:tc>
        <w:tc>
          <w:tcPr>
            <w:tcW w:w="0" w:type="auto"/>
            <w:vAlign w:val="bottom"/>
            <w:hideMark/>
          </w:tcPr>
          <w:p w14:paraId="7A25A7C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A27F2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1F4800A" w14:textId="77777777" w:rsidR="00000000" w:rsidRDefault="003C49E9">
            <w:pPr>
              <w:pStyle w:val="a3"/>
              <w:spacing w:before="0" w:beforeAutospacing="0" w:after="0" w:afterAutospacing="0"/>
              <w:jc w:val="right"/>
              <w:rPr>
                <w:sz w:val="20"/>
                <w:szCs w:val="20"/>
              </w:rPr>
            </w:pPr>
            <w:r>
              <w:rPr>
                <w:sz w:val="20"/>
                <w:szCs w:val="20"/>
              </w:rPr>
              <w:t>308,69</w:t>
            </w:r>
            <w:r>
              <w:rPr>
                <w:sz w:val="20"/>
                <w:szCs w:val="20"/>
              </w:rPr>
              <w:t>3</w:t>
            </w:r>
          </w:p>
        </w:tc>
        <w:tc>
          <w:tcPr>
            <w:tcW w:w="0" w:type="auto"/>
            <w:noWrap/>
            <w:vAlign w:val="bottom"/>
            <w:hideMark/>
          </w:tcPr>
          <w:p w14:paraId="3BE0D20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E7356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2F9AEB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FAFFEE4" w14:textId="77777777" w:rsidR="00000000" w:rsidRDefault="003C49E9">
            <w:pPr>
              <w:pStyle w:val="a3"/>
              <w:spacing w:before="0" w:beforeAutospacing="0" w:after="0" w:afterAutospacing="0"/>
              <w:jc w:val="right"/>
              <w:rPr>
                <w:sz w:val="20"/>
                <w:szCs w:val="20"/>
              </w:rPr>
            </w:pPr>
            <w:r>
              <w:rPr>
                <w:sz w:val="20"/>
                <w:szCs w:val="20"/>
              </w:rPr>
              <w:t>341,36</w:t>
            </w:r>
            <w:r>
              <w:rPr>
                <w:sz w:val="20"/>
                <w:szCs w:val="20"/>
              </w:rPr>
              <w:t>5</w:t>
            </w:r>
          </w:p>
        </w:tc>
        <w:tc>
          <w:tcPr>
            <w:tcW w:w="0" w:type="auto"/>
            <w:noWrap/>
            <w:vAlign w:val="bottom"/>
            <w:hideMark/>
          </w:tcPr>
          <w:p w14:paraId="2DD23F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5EC464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5145C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CEE7C18" w14:textId="77777777" w:rsidR="00000000" w:rsidRDefault="003C49E9">
            <w:pPr>
              <w:pStyle w:val="a3"/>
              <w:spacing w:before="0" w:beforeAutospacing="0" w:after="0" w:afterAutospacing="0"/>
              <w:jc w:val="right"/>
              <w:rPr>
                <w:sz w:val="20"/>
                <w:szCs w:val="20"/>
              </w:rPr>
            </w:pPr>
            <w:r>
              <w:rPr>
                <w:sz w:val="20"/>
                <w:szCs w:val="20"/>
              </w:rPr>
              <w:t>380,04</w:t>
            </w:r>
            <w:r>
              <w:rPr>
                <w:sz w:val="20"/>
                <w:szCs w:val="20"/>
              </w:rPr>
              <w:t>2</w:t>
            </w:r>
          </w:p>
        </w:tc>
        <w:tc>
          <w:tcPr>
            <w:tcW w:w="0" w:type="auto"/>
            <w:noWrap/>
            <w:vAlign w:val="bottom"/>
            <w:hideMark/>
          </w:tcPr>
          <w:p w14:paraId="241B8348" w14:textId="77777777" w:rsidR="00000000" w:rsidRDefault="003C49E9">
            <w:pPr>
              <w:pStyle w:val="a3"/>
              <w:spacing w:before="0" w:beforeAutospacing="0" w:after="0" w:afterAutospacing="0"/>
              <w:rPr>
                <w:sz w:val="20"/>
                <w:szCs w:val="20"/>
              </w:rPr>
            </w:pPr>
            <w:r>
              <w:rPr>
                <w:sz w:val="20"/>
                <w:szCs w:val="20"/>
              </w:rPr>
              <w:t> </w:t>
            </w:r>
          </w:p>
        </w:tc>
      </w:tr>
    </w:tbl>
    <w:p w14:paraId="56DF8D43" w14:textId="77777777" w:rsidR="00000000" w:rsidRDefault="003C49E9">
      <w:pPr>
        <w:pStyle w:val="a3"/>
        <w:spacing w:before="0" w:beforeAutospacing="0" w:after="0" w:afterAutospacing="0"/>
        <w:rPr>
          <w:sz w:val="20"/>
          <w:szCs w:val="20"/>
        </w:rPr>
      </w:pPr>
      <w:r>
        <w:rPr>
          <w:sz w:val="20"/>
          <w:szCs w:val="20"/>
        </w:rPr>
        <w:t> </w:t>
      </w:r>
    </w:p>
    <w:p w14:paraId="593B292B" w14:textId="77777777" w:rsidR="00000000" w:rsidRDefault="003C49E9">
      <w:pPr>
        <w:pStyle w:val="a3"/>
        <w:spacing w:before="200" w:beforeAutospacing="0" w:after="0" w:afterAutospacing="0"/>
        <w:divId w:val="1091707167"/>
        <w:rPr>
          <w:sz w:val="20"/>
          <w:szCs w:val="20"/>
        </w:rPr>
      </w:pPr>
      <w:r>
        <w:rPr>
          <w:b/>
          <w:bCs/>
          <w:sz w:val="20"/>
          <w:szCs w:val="20"/>
        </w:rPr>
        <w:t>6. Property and Equipment, Ne</w:t>
      </w:r>
      <w:r>
        <w:rPr>
          <w:b/>
          <w:bCs/>
          <w:sz w:val="20"/>
          <w:szCs w:val="20"/>
        </w:rPr>
        <w:t>t</w:t>
      </w:r>
    </w:p>
    <w:p w14:paraId="4DA72AB1" w14:textId="77777777" w:rsidR="00000000" w:rsidRDefault="003C49E9">
      <w:pPr>
        <w:pStyle w:val="a3"/>
        <w:spacing w:before="200" w:beforeAutospacing="0" w:after="0" w:afterAutospacing="0"/>
        <w:ind w:left="476"/>
        <w:divId w:val="126747600"/>
        <w:rPr>
          <w:sz w:val="20"/>
          <w:szCs w:val="20"/>
        </w:rPr>
      </w:pPr>
      <w:r>
        <w:rPr>
          <w:sz w:val="20"/>
          <w:szCs w:val="20"/>
        </w:rPr>
        <w:t>Property and equipment, net consists of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50"/>
        <w:gridCol w:w="110"/>
        <w:gridCol w:w="160"/>
        <w:gridCol w:w="1051"/>
        <w:gridCol w:w="127"/>
        <w:gridCol w:w="110"/>
        <w:gridCol w:w="160"/>
        <w:gridCol w:w="1135"/>
        <w:gridCol w:w="142"/>
      </w:tblGrid>
      <w:tr w:rsidR="00000000" w14:paraId="4FA0ED93" w14:textId="77777777">
        <w:trPr>
          <w:divId w:val="126747600"/>
          <w:tblCellSpacing w:w="15" w:type="dxa"/>
        </w:trPr>
        <w:tc>
          <w:tcPr>
            <w:tcW w:w="2871" w:type="pct"/>
            <w:vAlign w:val="center"/>
            <w:hideMark/>
          </w:tcPr>
          <w:p w14:paraId="211D9A80" w14:textId="77777777" w:rsidR="00000000" w:rsidRDefault="003C49E9">
            <w:pPr>
              <w:rPr>
                <w:sz w:val="20"/>
                <w:szCs w:val="20"/>
              </w:rPr>
            </w:pPr>
          </w:p>
        </w:tc>
        <w:tc>
          <w:tcPr>
            <w:tcW w:w="76" w:type="pct"/>
            <w:vAlign w:val="center"/>
            <w:hideMark/>
          </w:tcPr>
          <w:p w14:paraId="07BCDDF2" w14:textId="77777777" w:rsidR="00000000" w:rsidRDefault="003C49E9">
            <w:pPr>
              <w:rPr>
                <w:rFonts w:eastAsia="Times New Roman"/>
                <w:sz w:val="20"/>
                <w:szCs w:val="20"/>
              </w:rPr>
            </w:pPr>
          </w:p>
        </w:tc>
        <w:tc>
          <w:tcPr>
            <w:tcW w:w="50" w:type="pct"/>
            <w:vAlign w:val="center"/>
            <w:hideMark/>
          </w:tcPr>
          <w:p w14:paraId="739B3E4A" w14:textId="77777777" w:rsidR="00000000" w:rsidRDefault="003C49E9">
            <w:pPr>
              <w:rPr>
                <w:rFonts w:eastAsia="Times New Roman"/>
                <w:sz w:val="20"/>
                <w:szCs w:val="20"/>
              </w:rPr>
            </w:pPr>
          </w:p>
        </w:tc>
        <w:tc>
          <w:tcPr>
            <w:tcW w:w="855" w:type="pct"/>
            <w:vAlign w:val="center"/>
            <w:hideMark/>
          </w:tcPr>
          <w:p w14:paraId="25B1919F" w14:textId="77777777" w:rsidR="00000000" w:rsidRDefault="003C49E9">
            <w:pPr>
              <w:rPr>
                <w:rFonts w:eastAsia="Times New Roman"/>
                <w:sz w:val="20"/>
                <w:szCs w:val="20"/>
              </w:rPr>
            </w:pPr>
          </w:p>
        </w:tc>
        <w:tc>
          <w:tcPr>
            <w:tcW w:w="50" w:type="pct"/>
            <w:vAlign w:val="center"/>
            <w:hideMark/>
          </w:tcPr>
          <w:p w14:paraId="282C5A9A" w14:textId="77777777" w:rsidR="00000000" w:rsidRDefault="003C49E9">
            <w:pPr>
              <w:rPr>
                <w:rFonts w:eastAsia="Times New Roman"/>
                <w:sz w:val="20"/>
                <w:szCs w:val="20"/>
              </w:rPr>
            </w:pPr>
          </w:p>
        </w:tc>
        <w:tc>
          <w:tcPr>
            <w:tcW w:w="76" w:type="pct"/>
            <w:vAlign w:val="center"/>
            <w:hideMark/>
          </w:tcPr>
          <w:p w14:paraId="489C979E" w14:textId="77777777" w:rsidR="00000000" w:rsidRDefault="003C49E9">
            <w:pPr>
              <w:rPr>
                <w:rFonts w:eastAsia="Times New Roman"/>
                <w:sz w:val="20"/>
                <w:szCs w:val="20"/>
              </w:rPr>
            </w:pPr>
          </w:p>
        </w:tc>
        <w:tc>
          <w:tcPr>
            <w:tcW w:w="50" w:type="pct"/>
            <w:vAlign w:val="center"/>
            <w:hideMark/>
          </w:tcPr>
          <w:p w14:paraId="3A7161CA" w14:textId="77777777" w:rsidR="00000000" w:rsidRDefault="003C49E9">
            <w:pPr>
              <w:rPr>
                <w:rFonts w:eastAsia="Times New Roman"/>
                <w:sz w:val="20"/>
                <w:szCs w:val="20"/>
              </w:rPr>
            </w:pPr>
          </w:p>
        </w:tc>
        <w:tc>
          <w:tcPr>
            <w:tcW w:w="920" w:type="pct"/>
            <w:vAlign w:val="center"/>
            <w:hideMark/>
          </w:tcPr>
          <w:p w14:paraId="2AC1509C" w14:textId="77777777" w:rsidR="00000000" w:rsidRDefault="003C49E9">
            <w:pPr>
              <w:rPr>
                <w:rFonts w:eastAsia="Times New Roman"/>
                <w:sz w:val="20"/>
                <w:szCs w:val="20"/>
              </w:rPr>
            </w:pPr>
          </w:p>
        </w:tc>
        <w:tc>
          <w:tcPr>
            <w:tcW w:w="50" w:type="pct"/>
            <w:vAlign w:val="center"/>
            <w:hideMark/>
          </w:tcPr>
          <w:p w14:paraId="553E3C6C" w14:textId="77777777" w:rsidR="00000000" w:rsidRDefault="003C49E9">
            <w:pPr>
              <w:rPr>
                <w:rFonts w:eastAsia="Times New Roman"/>
                <w:sz w:val="20"/>
                <w:szCs w:val="20"/>
              </w:rPr>
            </w:pPr>
          </w:p>
        </w:tc>
      </w:tr>
      <w:tr w:rsidR="00000000" w14:paraId="353D5544" w14:textId="77777777">
        <w:trPr>
          <w:divId w:val="126747600"/>
          <w:trHeight w:val="160"/>
          <w:tblCellSpacing w:w="15" w:type="dxa"/>
        </w:trPr>
        <w:tc>
          <w:tcPr>
            <w:tcW w:w="0" w:type="auto"/>
            <w:vAlign w:val="bottom"/>
            <w:hideMark/>
          </w:tcPr>
          <w:p w14:paraId="6BC7014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C89220A"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3EBAF47"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43B001D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244A20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E07B99C"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796866D1"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C89F8DB" w14:textId="77777777">
        <w:trPr>
          <w:divId w:val="126747600"/>
          <w:trHeight w:val="160"/>
          <w:tblCellSpacing w:w="15" w:type="dxa"/>
        </w:trPr>
        <w:tc>
          <w:tcPr>
            <w:tcW w:w="0" w:type="auto"/>
            <w:vAlign w:val="bottom"/>
            <w:hideMark/>
          </w:tcPr>
          <w:p w14:paraId="0CFCD691"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AC02961"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9004AA1"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3B3BB48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1AF36AB" w14:textId="77777777">
        <w:trPr>
          <w:divId w:val="126747600"/>
          <w:trHeight w:val="200"/>
          <w:tblCellSpacing w:w="15" w:type="dxa"/>
        </w:trPr>
        <w:tc>
          <w:tcPr>
            <w:tcW w:w="0" w:type="auto"/>
            <w:vAlign w:val="bottom"/>
            <w:hideMark/>
          </w:tcPr>
          <w:p w14:paraId="541CEAE2" w14:textId="77777777" w:rsidR="00000000" w:rsidRDefault="003C49E9">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14:paraId="746BCD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6C0021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F1CAB61" w14:textId="77777777" w:rsidR="00000000" w:rsidRDefault="003C49E9">
            <w:pPr>
              <w:pStyle w:val="a3"/>
              <w:spacing w:before="0" w:beforeAutospacing="0" w:after="0" w:afterAutospacing="0"/>
              <w:jc w:val="right"/>
              <w:rPr>
                <w:sz w:val="20"/>
                <w:szCs w:val="20"/>
              </w:rPr>
            </w:pPr>
            <w:r>
              <w:rPr>
                <w:sz w:val="20"/>
                <w:szCs w:val="20"/>
              </w:rPr>
              <w:t>16,43</w:t>
            </w:r>
            <w:r>
              <w:rPr>
                <w:sz w:val="20"/>
                <w:szCs w:val="20"/>
              </w:rPr>
              <w:t>6</w:t>
            </w:r>
          </w:p>
        </w:tc>
        <w:tc>
          <w:tcPr>
            <w:tcW w:w="0" w:type="auto"/>
            <w:noWrap/>
            <w:vAlign w:val="bottom"/>
            <w:hideMark/>
          </w:tcPr>
          <w:p w14:paraId="39E79A9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2200C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85749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ED5AC14" w14:textId="77777777" w:rsidR="00000000" w:rsidRDefault="003C49E9">
            <w:pPr>
              <w:pStyle w:val="a3"/>
              <w:spacing w:before="0" w:beforeAutospacing="0" w:after="0" w:afterAutospacing="0"/>
              <w:jc w:val="right"/>
              <w:rPr>
                <w:sz w:val="20"/>
                <w:szCs w:val="20"/>
              </w:rPr>
            </w:pPr>
            <w:r>
              <w:rPr>
                <w:sz w:val="20"/>
                <w:szCs w:val="20"/>
              </w:rPr>
              <w:t>15,52</w:t>
            </w:r>
            <w:r>
              <w:rPr>
                <w:sz w:val="20"/>
                <w:szCs w:val="20"/>
              </w:rPr>
              <w:t>4</w:t>
            </w:r>
          </w:p>
        </w:tc>
        <w:tc>
          <w:tcPr>
            <w:tcW w:w="0" w:type="auto"/>
            <w:noWrap/>
            <w:vAlign w:val="bottom"/>
            <w:hideMark/>
          </w:tcPr>
          <w:p w14:paraId="36374718" w14:textId="77777777" w:rsidR="00000000" w:rsidRDefault="003C49E9">
            <w:pPr>
              <w:pStyle w:val="a3"/>
              <w:spacing w:before="0" w:beforeAutospacing="0" w:after="0" w:afterAutospacing="0"/>
              <w:rPr>
                <w:sz w:val="20"/>
                <w:szCs w:val="20"/>
              </w:rPr>
            </w:pPr>
            <w:r>
              <w:rPr>
                <w:sz w:val="20"/>
                <w:szCs w:val="20"/>
              </w:rPr>
              <w:t> </w:t>
            </w:r>
          </w:p>
        </w:tc>
      </w:tr>
      <w:tr w:rsidR="00000000" w14:paraId="1832AA52" w14:textId="77777777">
        <w:trPr>
          <w:divId w:val="126747600"/>
          <w:trHeight w:val="200"/>
          <w:tblCellSpacing w:w="15" w:type="dxa"/>
        </w:trPr>
        <w:tc>
          <w:tcPr>
            <w:tcW w:w="0" w:type="auto"/>
            <w:vAlign w:val="bottom"/>
            <w:hideMark/>
          </w:tcPr>
          <w:p w14:paraId="39D0F485" w14:textId="77777777" w:rsidR="00000000" w:rsidRDefault="003C49E9">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14:paraId="2041673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216B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2F2BCC" w14:textId="77777777" w:rsidR="00000000" w:rsidRDefault="003C49E9">
            <w:pPr>
              <w:pStyle w:val="a3"/>
              <w:spacing w:before="0" w:beforeAutospacing="0" w:after="0" w:afterAutospacing="0"/>
              <w:jc w:val="right"/>
              <w:rPr>
                <w:sz w:val="20"/>
                <w:szCs w:val="20"/>
              </w:rPr>
            </w:pPr>
            <w:r>
              <w:rPr>
                <w:sz w:val="20"/>
                <w:szCs w:val="20"/>
              </w:rPr>
              <w:t>38,12</w:t>
            </w:r>
            <w:r>
              <w:rPr>
                <w:sz w:val="20"/>
                <w:szCs w:val="20"/>
              </w:rPr>
              <w:t>1</w:t>
            </w:r>
          </w:p>
        </w:tc>
        <w:tc>
          <w:tcPr>
            <w:tcW w:w="0" w:type="auto"/>
            <w:noWrap/>
            <w:vAlign w:val="bottom"/>
            <w:hideMark/>
          </w:tcPr>
          <w:p w14:paraId="7DAFE76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4E5B3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90F7C7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27CA3D" w14:textId="77777777" w:rsidR="00000000" w:rsidRDefault="003C49E9">
            <w:pPr>
              <w:pStyle w:val="a3"/>
              <w:spacing w:before="0" w:beforeAutospacing="0" w:after="0" w:afterAutospacing="0"/>
              <w:jc w:val="right"/>
              <w:rPr>
                <w:sz w:val="20"/>
                <w:szCs w:val="20"/>
              </w:rPr>
            </w:pPr>
            <w:r>
              <w:rPr>
                <w:sz w:val="20"/>
                <w:szCs w:val="20"/>
              </w:rPr>
              <w:t>32,23</w:t>
            </w:r>
            <w:r>
              <w:rPr>
                <w:sz w:val="20"/>
                <w:szCs w:val="20"/>
              </w:rPr>
              <w:t>0</w:t>
            </w:r>
          </w:p>
        </w:tc>
        <w:tc>
          <w:tcPr>
            <w:tcW w:w="0" w:type="auto"/>
            <w:noWrap/>
            <w:vAlign w:val="bottom"/>
            <w:hideMark/>
          </w:tcPr>
          <w:p w14:paraId="6B863F2E" w14:textId="77777777" w:rsidR="00000000" w:rsidRDefault="003C49E9">
            <w:pPr>
              <w:pStyle w:val="a3"/>
              <w:spacing w:before="0" w:beforeAutospacing="0" w:after="0" w:afterAutospacing="0"/>
              <w:rPr>
                <w:sz w:val="20"/>
                <w:szCs w:val="20"/>
              </w:rPr>
            </w:pPr>
            <w:r>
              <w:rPr>
                <w:sz w:val="20"/>
                <w:szCs w:val="20"/>
              </w:rPr>
              <w:t> </w:t>
            </w:r>
          </w:p>
        </w:tc>
      </w:tr>
      <w:tr w:rsidR="00000000" w14:paraId="0090E9C3" w14:textId="77777777">
        <w:trPr>
          <w:divId w:val="126747600"/>
          <w:trHeight w:val="200"/>
          <w:tblCellSpacing w:w="15" w:type="dxa"/>
        </w:trPr>
        <w:tc>
          <w:tcPr>
            <w:tcW w:w="0" w:type="auto"/>
            <w:vAlign w:val="bottom"/>
            <w:hideMark/>
          </w:tcPr>
          <w:p w14:paraId="6ABCC0C3" w14:textId="77777777" w:rsidR="00000000" w:rsidRDefault="003C49E9">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14:paraId="663BE2C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278331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4C5BFB" w14:textId="77777777" w:rsidR="00000000" w:rsidRDefault="003C49E9">
            <w:pPr>
              <w:pStyle w:val="a3"/>
              <w:spacing w:before="0" w:beforeAutospacing="0" w:after="0" w:afterAutospacing="0"/>
              <w:jc w:val="right"/>
              <w:rPr>
                <w:sz w:val="20"/>
                <w:szCs w:val="20"/>
              </w:rPr>
            </w:pPr>
            <w:r>
              <w:rPr>
                <w:sz w:val="20"/>
                <w:szCs w:val="20"/>
              </w:rPr>
              <w:t>19,98</w:t>
            </w:r>
            <w:r>
              <w:rPr>
                <w:sz w:val="20"/>
                <w:szCs w:val="20"/>
              </w:rPr>
              <w:t>5</w:t>
            </w:r>
          </w:p>
        </w:tc>
        <w:tc>
          <w:tcPr>
            <w:tcW w:w="0" w:type="auto"/>
            <w:noWrap/>
            <w:vAlign w:val="bottom"/>
            <w:hideMark/>
          </w:tcPr>
          <w:p w14:paraId="2471A49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C4312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F9ED8D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F1C657" w14:textId="77777777" w:rsidR="00000000" w:rsidRDefault="003C49E9">
            <w:pPr>
              <w:pStyle w:val="a3"/>
              <w:spacing w:before="0" w:beforeAutospacing="0" w:after="0" w:afterAutospacing="0"/>
              <w:jc w:val="right"/>
              <w:rPr>
                <w:sz w:val="20"/>
                <w:szCs w:val="20"/>
              </w:rPr>
            </w:pPr>
            <w:r>
              <w:rPr>
                <w:sz w:val="20"/>
                <w:szCs w:val="20"/>
              </w:rPr>
              <w:t>20,18</w:t>
            </w:r>
            <w:r>
              <w:rPr>
                <w:sz w:val="20"/>
                <w:szCs w:val="20"/>
              </w:rPr>
              <w:t>0</w:t>
            </w:r>
          </w:p>
        </w:tc>
        <w:tc>
          <w:tcPr>
            <w:tcW w:w="0" w:type="auto"/>
            <w:noWrap/>
            <w:vAlign w:val="bottom"/>
            <w:hideMark/>
          </w:tcPr>
          <w:p w14:paraId="7552B259" w14:textId="77777777" w:rsidR="00000000" w:rsidRDefault="003C49E9">
            <w:pPr>
              <w:pStyle w:val="a3"/>
              <w:spacing w:before="0" w:beforeAutospacing="0" w:after="0" w:afterAutospacing="0"/>
              <w:rPr>
                <w:sz w:val="20"/>
                <w:szCs w:val="20"/>
              </w:rPr>
            </w:pPr>
            <w:r>
              <w:rPr>
                <w:sz w:val="20"/>
                <w:szCs w:val="20"/>
              </w:rPr>
              <w:t> </w:t>
            </w:r>
          </w:p>
        </w:tc>
      </w:tr>
      <w:tr w:rsidR="00000000" w14:paraId="4689325A" w14:textId="77777777">
        <w:trPr>
          <w:divId w:val="126747600"/>
          <w:trHeight w:val="200"/>
          <w:tblCellSpacing w:w="15" w:type="dxa"/>
        </w:trPr>
        <w:tc>
          <w:tcPr>
            <w:tcW w:w="0" w:type="auto"/>
            <w:vAlign w:val="bottom"/>
            <w:hideMark/>
          </w:tcPr>
          <w:p w14:paraId="526480D5" w14:textId="77777777" w:rsidR="00000000" w:rsidRDefault="003C49E9">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14:paraId="74AF3E8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1FF7DF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19139F0" w14:textId="77777777" w:rsidR="00000000" w:rsidRDefault="003C49E9">
            <w:pPr>
              <w:pStyle w:val="a3"/>
              <w:spacing w:before="0" w:beforeAutospacing="0" w:after="0" w:afterAutospacing="0"/>
              <w:jc w:val="right"/>
              <w:rPr>
                <w:sz w:val="20"/>
                <w:szCs w:val="20"/>
              </w:rPr>
            </w:pPr>
            <w:r>
              <w:rPr>
                <w:sz w:val="20"/>
                <w:szCs w:val="20"/>
              </w:rPr>
              <w:t>99,16</w:t>
            </w:r>
            <w:r>
              <w:rPr>
                <w:sz w:val="20"/>
                <w:szCs w:val="20"/>
              </w:rPr>
              <w:t>6</w:t>
            </w:r>
          </w:p>
        </w:tc>
        <w:tc>
          <w:tcPr>
            <w:tcW w:w="0" w:type="auto"/>
            <w:noWrap/>
            <w:vAlign w:val="bottom"/>
            <w:hideMark/>
          </w:tcPr>
          <w:p w14:paraId="7B687CA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83536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22B75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E024E6" w14:textId="77777777" w:rsidR="00000000" w:rsidRDefault="003C49E9">
            <w:pPr>
              <w:pStyle w:val="a3"/>
              <w:spacing w:before="0" w:beforeAutospacing="0" w:after="0" w:afterAutospacing="0"/>
              <w:jc w:val="right"/>
              <w:rPr>
                <w:sz w:val="20"/>
                <w:szCs w:val="20"/>
              </w:rPr>
            </w:pPr>
            <w:r>
              <w:rPr>
                <w:sz w:val="20"/>
                <w:szCs w:val="20"/>
              </w:rPr>
              <w:t>90,07</w:t>
            </w:r>
            <w:r>
              <w:rPr>
                <w:sz w:val="20"/>
                <w:szCs w:val="20"/>
              </w:rPr>
              <w:t>0</w:t>
            </w:r>
          </w:p>
        </w:tc>
        <w:tc>
          <w:tcPr>
            <w:tcW w:w="0" w:type="auto"/>
            <w:noWrap/>
            <w:vAlign w:val="bottom"/>
            <w:hideMark/>
          </w:tcPr>
          <w:p w14:paraId="12F47069" w14:textId="77777777" w:rsidR="00000000" w:rsidRDefault="003C49E9">
            <w:pPr>
              <w:pStyle w:val="a3"/>
              <w:spacing w:before="0" w:beforeAutospacing="0" w:after="0" w:afterAutospacing="0"/>
              <w:rPr>
                <w:sz w:val="20"/>
                <w:szCs w:val="20"/>
              </w:rPr>
            </w:pPr>
            <w:r>
              <w:rPr>
                <w:sz w:val="20"/>
                <w:szCs w:val="20"/>
              </w:rPr>
              <w:t> </w:t>
            </w:r>
          </w:p>
        </w:tc>
      </w:tr>
      <w:tr w:rsidR="00000000" w14:paraId="2EBE6BCA" w14:textId="77777777">
        <w:trPr>
          <w:divId w:val="126747600"/>
          <w:trHeight w:val="200"/>
          <w:tblCellSpacing w:w="15" w:type="dxa"/>
        </w:trPr>
        <w:tc>
          <w:tcPr>
            <w:tcW w:w="0" w:type="auto"/>
            <w:vAlign w:val="bottom"/>
            <w:hideMark/>
          </w:tcPr>
          <w:p w14:paraId="185D881B" w14:textId="77777777" w:rsidR="00000000" w:rsidRDefault="003C49E9">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14:paraId="573B2C6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42264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726AC2" w14:textId="77777777" w:rsidR="00000000" w:rsidRDefault="003C49E9">
            <w:pPr>
              <w:pStyle w:val="a3"/>
              <w:spacing w:before="0" w:beforeAutospacing="0" w:after="0" w:afterAutospacing="0"/>
              <w:jc w:val="right"/>
              <w:rPr>
                <w:sz w:val="20"/>
                <w:szCs w:val="20"/>
              </w:rPr>
            </w:pPr>
            <w:r>
              <w:rPr>
                <w:sz w:val="20"/>
                <w:szCs w:val="20"/>
              </w:rPr>
              <w:t>25,77</w:t>
            </w:r>
            <w:r>
              <w:rPr>
                <w:sz w:val="20"/>
                <w:szCs w:val="20"/>
              </w:rPr>
              <w:t>1</w:t>
            </w:r>
          </w:p>
        </w:tc>
        <w:tc>
          <w:tcPr>
            <w:tcW w:w="0" w:type="auto"/>
            <w:noWrap/>
            <w:vAlign w:val="bottom"/>
            <w:hideMark/>
          </w:tcPr>
          <w:p w14:paraId="6E7655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C6F56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7C0B54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F818C1" w14:textId="77777777" w:rsidR="00000000" w:rsidRDefault="003C49E9">
            <w:pPr>
              <w:pStyle w:val="a3"/>
              <w:spacing w:before="0" w:beforeAutospacing="0" w:after="0" w:afterAutospacing="0"/>
              <w:jc w:val="right"/>
              <w:rPr>
                <w:sz w:val="20"/>
                <w:szCs w:val="20"/>
              </w:rPr>
            </w:pPr>
            <w:r>
              <w:rPr>
                <w:sz w:val="20"/>
                <w:szCs w:val="20"/>
              </w:rPr>
              <w:t>20,61</w:t>
            </w:r>
            <w:r>
              <w:rPr>
                <w:sz w:val="20"/>
                <w:szCs w:val="20"/>
              </w:rPr>
              <w:t>6</w:t>
            </w:r>
          </w:p>
        </w:tc>
        <w:tc>
          <w:tcPr>
            <w:tcW w:w="0" w:type="auto"/>
            <w:noWrap/>
            <w:vAlign w:val="bottom"/>
            <w:hideMark/>
          </w:tcPr>
          <w:p w14:paraId="76DA460E" w14:textId="77777777" w:rsidR="00000000" w:rsidRDefault="003C49E9">
            <w:pPr>
              <w:pStyle w:val="a3"/>
              <w:spacing w:before="0" w:beforeAutospacing="0" w:after="0" w:afterAutospacing="0"/>
              <w:rPr>
                <w:sz w:val="20"/>
                <w:szCs w:val="20"/>
              </w:rPr>
            </w:pPr>
            <w:r>
              <w:rPr>
                <w:sz w:val="20"/>
                <w:szCs w:val="20"/>
              </w:rPr>
              <w:t> </w:t>
            </w:r>
          </w:p>
        </w:tc>
      </w:tr>
      <w:tr w:rsidR="00000000" w14:paraId="240D2986" w14:textId="77777777">
        <w:trPr>
          <w:divId w:val="126747600"/>
          <w:trHeight w:val="200"/>
          <w:tblCellSpacing w:w="15" w:type="dxa"/>
        </w:trPr>
        <w:tc>
          <w:tcPr>
            <w:tcW w:w="0" w:type="auto"/>
            <w:vAlign w:val="bottom"/>
            <w:hideMark/>
          </w:tcPr>
          <w:p w14:paraId="5A3A0304" w14:textId="77777777" w:rsidR="00000000" w:rsidRDefault="003C49E9">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14:paraId="7E929A1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92EB5A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FAC7C3" w14:textId="77777777" w:rsidR="00000000" w:rsidRDefault="003C49E9">
            <w:pPr>
              <w:pStyle w:val="a3"/>
              <w:spacing w:before="0" w:beforeAutospacing="0" w:after="0" w:afterAutospacing="0"/>
              <w:jc w:val="right"/>
              <w:rPr>
                <w:sz w:val="20"/>
                <w:szCs w:val="20"/>
              </w:rPr>
            </w:pPr>
            <w:r>
              <w:rPr>
                <w:sz w:val="20"/>
                <w:szCs w:val="20"/>
              </w:rPr>
              <w:t>38</w:t>
            </w:r>
            <w:r>
              <w:rPr>
                <w:sz w:val="20"/>
                <w:szCs w:val="20"/>
              </w:rPr>
              <w:t>3</w:t>
            </w:r>
          </w:p>
        </w:tc>
        <w:tc>
          <w:tcPr>
            <w:tcW w:w="0" w:type="auto"/>
            <w:noWrap/>
            <w:vAlign w:val="bottom"/>
            <w:hideMark/>
          </w:tcPr>
          <w:p w14:paraId="02CE81B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534FA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22485E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31C889" w14:textId="77777777" w:rsidR="00000000" w:rsidRDefault="003C49E9">
            <w:pPr>
              <w:pStyle w:val="a3"/>
              <w:spacing w:before="0" w:beforeAutospacing="0" w:after="0" w:afterAutospacing="0"/>
              <w:jc w:val="right"/>
              <w:rPr>
                <w:sz w:val="20"/>
                <w:szCs w:val="20"/>
              </w:rPr>
            </w:pPr>
            <w:r>
              <w:rPr>
                <w:sz w:val="20"/>
                <w:szCs w:val="20"/>
              </w:rPr>
              <w:t>4,14</w:t>
            </w:r>
            <w:r>
              <w:rPr>
                <w:sz w:val="20"/>
                <w:szCs w:val="20"/>
              </w:rPr>
              <w:t>1</w:t>
            </w:r>
          </w:p>
        </w:tc>
        <w:tc>
          <w:tcPr>
            <w:tcW w:w="0" w:type="auto"/>
            <w:noWrap/>
            <w:vAlign w:val="bottom"/>
            <w:hideMark/>
          </w:tcPr>
          <w:p w14:paraId="46E6EC89" w14:textId="77777777" w:rsidR="00000000" w:rsidRDefault="003C49E9">
            <w:pPr>
              <w:pStyle w:val="a3"/>
              <w:spacing w:before="0" w:beforeAutospacing="0" w:after="0" w:afterAutospacing="0"/>
              <w:rPr>
                <w:sz w:val="20"/>
                <w:szCs w:val="20"/>
              </w:rPr>
            </w:pPr>
            <w:r>
              <w:rPr>
                <w:sz w:val="20"/>
                <w:szCs w:val="20"/>
              </w:rPr>
              <w:t> </w:t>
            </w:r>
          </w:p>
        </w:tc>
      </w:tr>
      <w:tr w:rsidR="00000000" w14:paraId="05B88BF5" w14:textId="77777777">
        <w:trPr>
          <w:divId w:val="126747600"/>
          <w:trHeight w:val="200"/>
          <w:tblCellSpacing w:w="15" w:type="dxa"/>
        </w:trPr>
        <w:tc>
          <w:tcPr>
            <w:tcW w:w="0" w:type="auto"/>
            <w:vAlign w:val="bottom"/>
            <w:hideMark/>
          </w:tcPr>
          <w:p w14:paraId="27FEC6C8" w14:textId="77777777" w:rsidR="00000000" w:rsidRDefault="003C49E9">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14:paraId="741CBCF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D8A7FE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5902CE" w14:textId="77777777" w:rsidR="00000000" w:rsidRDefault="003C49E9">
            <w:pPr>
              <w:pStyle w:val="a3"/>
              <w:spacing w:before="0" w:beforeAutospacing="0" w:after="0" w:afterAutospacing="0"/>
              <w:jc w:val="right"/>
              <w:rPr>
                <w:sz w:val="20"/>
                <w:szCs w:val="20"/>
              </w:rPr>
            </w:pPr>
            <w:r>
              <w:rPr>
                <w:sz w:val="20"/>
                <w:szCs w:val="20"/>
              </w:rPr>
              <w:t>199,86</w:t>
            </w:r>
            <w:r>
              <w:rPr>
                <w:sz w:val="20"/>
                <w:szCs w:val="20"/>
              </w:rPr>
              <w:t>2</w:t>
            </w:r>
          </w:p>
        </w:tc>
        <w:tc>
          <w:tcPr>
            <w:tcW w:w="0" w:type="auto"/>
            <w:noWrap/>
            <w:vAlign w:val="bottom"/>
            <w:hideMark/>
          </w:tcPr>
          <w:p w14:paraId="12CD5C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5F6EE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2F762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D594C3" w14:textId="77777777" w:rsidR="00000000" w:rsidRDefault="003C49E9">
            <w:pPr>
              <w:pStyle w:val="a3"/>
              <w:spacing w:before="0" w:beforeAutospacing="0" w:after="0" w:afterAutospacing="0"/>
              <w:jc w:val="right"/>
              <w:rPr>
                <w:sz w:val="20"/>
                <w:szCs w:val="20"/>
              </w:rPr>
            </w:pPr>
            <w:r>
              <w:rPr>
                <w:sz w:val="20"/>
                <w:szCs w:val="20"/>
              </w:rPr>
              <w:t>182,76</w:t>
            </w:r>
            <w:r>
              <w:rPr>
                <w:sz w:val="20"/>
                <w:szCs w:val="20"/>
              </w:rPr>
              <w:t>1</w:t>
            </w:r>
          </w:p>
        </w:tc>
        <w:tc>
          <w:tcPr>
            <w:tcW w:w="0" w:type="auto"/>
            <w:noWrap/>
            <w:vAlign w:val="bottom"/>
            <w:hideMark/>
          </w:tcPr>
          <w:p w14:paraId="56B8AC58" w14:textId="77777777" w:rsidR="00000000" w:rsidRDefault="003C49E9">
            <w:pPr>
              <w:pStyle w:val="a3"/>
              <w:spacing w:before="0" w:beforeAutospacing="0" w:after="0" w:afterAutospacing="0"/>
              <w:rPr>
                <w:sz w:val="20"/>
                <w:szCs w:val="20"/>
              </w:rPr>
            </w:pPr>
            <w:r>
              <w:rPr>
                <w:sz w:val="20"/>
                <w:szCs w:val="20"/>
              </w:rPr>
              <w:t> </w:t>
            </w:r>
          </w:p>
        </w:tc>
      </w:tr>
      <w:tr w:rsidR="00000000" w14:paraId="57466231" w14:textId="77777777">
        <w:trPr>
          <w:divId w:val="126747600"/>
          <w:trHeight w:val="200"/>
          <w:tblCellSpacing w:w="15" w:type="dxa"/>
        </w:trPr>
        <w:tc>
          <w:tcPr>
            <w:tcW w:w="0" w:type="auto"/>
            <w:vAlign w:val="bottom"/>
            <w:hideMark/>
          </w:tcPr>
          <w:p w14:paraId="13DDF446" w14:textId="77777777" w:rsidR="00000000" w:rsidRDefault="003C49E9">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14:paraId="44F0D2B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D13DB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7390034" w14:textId="77777777" w:rsidR="00000000" w:rsidRDefault="003C49E9">
            <w:pPr>
              <w:pStyle w:val="a3"/>
              <w:spacing w:before="0" w:beforeAutospacing="0" w:after="0" w:afterAutospacing="0"/>
              <w:jc w:val="right"/>
              <w:rPr>
                <w:sz w:val="20"/>
                <w:szCs w:val="20"/>
              </w:rPr>
            </w:pPr>
            <w:r>
              <w:rPr>
                <w:sz w:val="20"/>
                <w:szCs w:val="20"/>
              </w:rPr>
              <w:t>(</w:t>
            </w:r>
            <w:r>
              <w:rPr>
                <w:sz w:val="20"/>
                <w:szCs w:val="20"/>
              </w:rPr>
              <w:t>97,30</w:t>
            </w:r>
            <w:r>
              <w:rPr>
                <w:sz w:val="20"/>
                <w:szCs w:val="20"/>
              </w:rPr>
              <w:t>6</w:t>
            </w:r>
          </w:p>
        </w:tc>
        <w:tc>
          <w:tcPr>
            <w:tcW w:w="0" w:type="auto"/>
            <w:noWrap/>
            <w:vAlign w:val="bottom"/>
            <w:hideMark/>
          </w:tcPr>
          <w:p w14:paraId="50C98E4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F63126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6C5DB7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F828E6D" w14:textId="77777777" w:rsidR="00000000" w:rsidRDefault="003C49E9">
            <w:pPr>
              <w:pStyle w:val="a3"/>
              <w:spacing w:before="0" w:beforeAutospacing="0" w:after="0" w:afterAutospacing="0"/>
              <w:jc w:val="right"/>
              <w:rPr>
                <w:sz w:val="20"/>
                <w:szCs w:val="20"/>
              </w:rPr>
            </w:pPr>
            <w:r>
              <w:rPr>
                <w:sz w:val="20"/>
                <w:szCs w:val="20"/>
              </w:rPr>
              <w:t>(</w:t>
            </w:r>
            <w:r>
              <w:rPr>
                <w:sz w:val="20"/>
                <w:szCs w:val="20"/>
              </w:rPr>
              <w:t>86,62</w:t>
            </w:r>
            <w:r>
              <w:rPr>
                <w:sz w:val="20"/>
                <w:szCs w:val="20"/>
              </w:rPr>
              <w:t>7</w:t>
            </w:r>
          </w:p>
        </w:tc>
        <w:tc>
          <w:tcPr>
            <w:tcW w:w="0" w:type="auto"/>
            <w:noWrap/>
            <w:vAlign w:val="bottom"/>
            <w:hideMark/>
          </w:tcPr>
          <w:p w14:paraId="6E9EA5AA" w14:textId="77777777" w:rsidR="00000000" w:rsidRDefault="003C49E9">
            <w:pPr>
              <w:pStyle w:val="a3"/>
              <w:spacing w:before="0" w:beforeAutospacing="0" w:after="0" w:afterAutospacing="0"/>
              <w:rPr>
                <w:sz w:val="20"/>
                <w:szCs w:val="20"/>
              </w:rPr>
            </w:pPr>
            <w:r>
              <w:rPr>
                <w:sz w:val="20"/>
                <w:szCs w:val="20"/>
              </w:rPr>
              <w:t>)</w:t>
            </w:r>
          </w:p>
        </w:tc>
      </w:tr>
      <w:tr w:rsidR="00000000" w14:paraId="3FF53760" w14:textId="77777777">
        <w:trPr>
          <w:divId w:val="126747600"/>
          <w:trHeight w:val="200"/>
          <w:tblCellSpacing w:w="15" w:type="dxa"/>
        </w:trPr>
        <w:tc>
          <w:tcPr>
            <w:tcW w:w="0" w:type="auto"/>
            <w:vAlign w:val="bottom"/>
            <w:hideMark/>
          </w:tcPr>
          <w:p w14:paraId="4231E052" w14:textId="77777777" w:rsidR="00000000" w:rsidRDefault="003C49E9">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14:paraId="0E77808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98BAE7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EB0CDC5" w14:textId="77777777" w:rsidR="00000000" w:rsidRDefault="003C49E9">
            <w:pPr>
              <w:pStyle w:val="a3"/>
              <w:spacing w:before="0" w:beforeAutospacing="0" w:after="0" w:afterAutospacing="0"/>
              <w:jc w:val="right"/>
              <w:rPr>
                <w:sz w:val="20"/>
                <w:szCs w:val="20"/>
              </w:rPr>
            </w:pPr>
            <w:r>
              <w:rPr>
                <w:sz w:val="20"/>
                <w:szCs w:val="20"/>
              </w:rPr>
              <w:t>102,55</w:t>
            </w:r>
            <w:r>
              <w:rPr>
                <w:sz w:val="20"/>
                <w:szCs w:val="20"/>
              </w:rPr>
              <w:t>6</w:t>
            </w:r>
          </w:p>
        </w:tc>
        <w:tc>
          <w:tcPr>
            <w:tcW w:w="0" w:type="auto"/>
            <w:noWrap/>
            <w:vAlign w:val="bottom"/>
            <w:hideMark/>
          </w:tcPr>
          <w:p w14:paraId="7FD2BD6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BA0E0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6B8560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8C9AC61" w14:textId="77777777" w:rsidR="00000000" w:rsidRDefault="003C49E9">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14:paraId="5BE6CA8C" w14:textId="77777777" w:rsidR="00000000" w:rsidRDefault="003C49E9">
            <w:pPr>
              <w:pStyle w:val="a3"/>
              <w:spacing w:before="0" w:beforeAutospacing="0" w:after="0" w:afterAutospacing="0"/>
              <w:rPr>
                <w:sz w:val="20"/>
                <w:szCs w:val="20"/>
              </w:rPr>
            </w:pPr>
            <w:r>
              <w:rPr>
                <w:sz w:val="20"/>
                <w:szCs w:val="20"/>
              </w:rPr>
              <w:t> </w:t>
            </w:r>
          </w:p>
        </w:tc>
      </w:tr>
    </w:tbl>
    <w:p w14:paraId="3D5A2189" w14:textId="77777777" w:rsidR="00000000" w:rsidRDefault="003C49E9">
      <w:pPr>
        <w:pStyle w:val="a3"/>
        <w:spacing w:before="0" w:beforeAutospacing="0" w:after="0" w:afterAutospacing="0"/>
        <w:divId w:val="126747600"/>
        <w:rPr>
          <w:sz w:val="20"/>
          <w:szCs w:val="20"/>
        </w:rPr>
      </w:pPr>
      <w:r>
        <w:rPr>
          <w:sz w:val="20"/>
          <w:szCs w:val="20"/>
        </w:rPr>
        <w:t> </w:t>
      </w:r>
    </w:p>
    <w:p w14:paraId="45C55F6F" w14:textId="77777777" w:rsidR="00000000" w:rsidRDefault="003C49E9">
      <w:pPr>
        <w:pStyle w:val="a3"/>
        <w:spacing w:before="240" w:beforeAutospacing="0" w:after="0" w:afterAutospacing="0"/>
        <w:jc w:val="center"/>
        <w:divId w:val="126747600"/>
        <w:rPr>
          <w:sz w:val="20"/>
          <w:szCs w:val="20"/>
        </w:rPr>
      </w:pPr>
      <w:r>
        <w:rPr>
          <w:sz w:val="20"/>
          <w:szCs w:val="20"/>
        </w:rPr>
        <w:t>1</w:t>
      </w:r>
      <w:r>
        <w:rPr>
          <w:sz w:val="20"/>
          <w:szCs w:val="20"/>
        </w:rPr>
        <w:t>5</w:t>
      </w:r>
    </w:p>
    <w:p w14:paraId="3FEAF6EC" w14:textId="77777777" w:rsidR="00000000" w:rsidRDefault="003C49E9">
      <w:pPr>
        <w:divId w:val="126747600"/>
        <w:rPr>
          <w:rFonts w:eastAsia="Times New Roman"/>
          <w:sz w:val="20"/>
          <w:szCs w:val="20"/>
        </w:rPr>
      </w:pPr>
      <w:r>
        <w:rPr>
          <w:rFonts w:eastAsia="Times New Roman"/>
          <w:sz w:val="20"/>
          <w:szCs w:val="20"/>
        </w:rPr>
        <w:pict w14:anchorId="5787DA31">
          <v:rect id="_x0000_i1039" style="width:0;height:1.5pt" o:hralign="center" o:hrstd="t" o:hr="t" fillcolor="#a0a0a0" stroked="f"/>
        </w:pict>
      </w:r>
    </w:p>
    <w:p w14:paraId="340F8E28" w14:textId="77777777" w:rsidR="00000000" w:rsidRDefault="003C49E9">
      <w:pPr>
        <w:pStyle w:val="a3"/>
        <w:spacing w:before="0" w:beforeAutospacing="0" w:after="0" w:afterAutospacing="0"/>
        <w:divId w:val="126747600"/>
        <w:rPr>
          <w:sz w:val="20"/>
          <w:szCs w:val="20"/>
        </w:rPr>
      </w:pPr>
      <w:r>
        <w:rPr>
          <w:sz w:val="20"/>
          <w:szCs w:val="20"/>
        </w:rPr>
        <w:t> </w:t>
      </w:r>
    </w:p>
    <w:p w14:paraId="53CD66E0" w14:textId="77777777" w:rsidR="00000000" w:rsidRDefault="003C49E9">
      <w:pPr>
        <w:pStyle w:val="a3"/>
        <w:spacing w:before="200" w:beforeAutospacing="0" w:after="0" w:afterAutospacing="0"/>
        <w:ind w:firstLine="555"/>
        <w:divId w:val="1091707167"/>
        <w:rPr>
          <w:sz w:val="20"/>
          <w:szCs w:val="20"/>
        </w:rPr>
      </w:pPr>
      <w:r>
        <w:rPr>
          <w:sz w:val="20"/>
          <w:szCs w:val="20"/>
        </w:rPr>
        <w:t>Depreciation and amortization expense on property and equipment was</w:t>
      </w:r>
      <w:r>
        <w:rPr>
          <w:sz w:val="20"/>
          <w:szCs w:val="20"/>
        </w:rPr>
        <w:t xml:space="preserve"> </w:t>
      </w:r>
      <w:r>
        <w:rPr>
          <w:sz w:val="20"/>
          <w:szCs w:val="20"/>
        </w:rPr>
        <w:t>$</w:t>
      </w:r>
      <w:r>
        <w:rPr>
          <w:sz w:val="20"/>
          <w:szCs w:val="20"/>
        </w:rPr>
        <w:t>6.</w:t>
      </w:r>
      <w:r>
        <w:rPr>
          <w:sz w:val="20"/>
          <w:szCs w:val="20"/>
        </w:rPr>
        <w:t>9</w:t>
      </w:r>
      <w:r>
        <w:rPr>
          <w:sz w:val="20"/>
          <w:szCs w:val="20"/>
        </w:rPr>
        <w:t xml:space="preserve"> million for the three months ended June 30, 2022,</w:t>
      </w:r>
      <w:r>
        <w:rPr>
          <w:sz w:val="20"/>
          <w:szCs w:val="20"/>
        </w:rPr>
        <w:t xml:space="preserve"> </w:t>
      </w:r>
      <w:r>
        <w:rPr>
          <w:sz w:val="20"/>
          <w:szCs w:val="20"/>
        </w:rPr>
        <w:t>$</w:t>
      </w:r>
      <w:r>
        <w:rPr>
          <w:sz w:val="20"/>
          <w:szCs w:val="20"/>
        </w:rPr>
        <w:t>13.</w:t>
      </w:r>
      <w:r>
        <w:rPr>
          <w:sz w:val="20"/>
          <w:szCs w:val="20"/>
        </w:rPr>
        <w:t>2</w:t>
      </w:r>
      <w:r>
        <w:rPr>
          <w:sz w:val="20"/>
          <w:szCs w:val="20"/>
        </w:rPr>
        <w:t xml:space="preserve"> millio</w:t>
      </w:r>
      <w:r>
        <w:rPr>
          <w:sz w:val="20"/>
          <w:szCs w:val="20"/>
        </w:rPr>
        <w:t>n</w:t>
      </w:r>
      <w:r>
        <w:rPr>
          <w:sz w:val="20"/>
          <w:szCs w:val="20"/>
        </w:rPr>
        <w:t xml:space="preserve"> for the six months ended June 30, 2022,</w:t>
      </w:r>
      <w:r>
        <w:rPr>
          <w:sz w:val="20"/>
          <w:szCs w:val="20"/>
        </w:rPr>
        <w:t xml:space="preserve"> </w:t>
      </w:r>
      <w:r>
        <w:rPr>
          <w:sz w:val="20"/>
          <w:szCs w:val="20"/>
        </w:rPr>
        <w:t>$</w:t>
      </w:r>
      <w:r>
        <w:rPr>
          <w:sz w:val="20"/>
          <w:szCs w:val="20"/>
        </w:rPr>
        <w:t>6.</w:t>
      </w:r>
      <w:r>
        <w:rPr>
          <w:sz w:val="20"/>
          <w:szCs w:val="20"/>
        </w:rPr>
        <w:t>1</w:t>
      </w:r>
      <w:r>
        <w:rPr>
          <w:sz w:val="20"/>
          <w:szCs w:val="20"/>
        </w:rPr>
        <w:t xml:space="preserve"> million for the three months ended J</w:t>
      </w:r>
      <w:r>
        <w:rPr>
          <w:sz w:val="20"/>
          <w:szCs w:val="20"/>
        </w:rPr>
        <w:t>une 30, 2021, and</w:t>
      </w:r>
      <w:r>
        <w:rPr>
          <w:sz w:val="20"/>
          <w:szCs w:val="20"/>
        </w:rPr>
        <w:t xml:space="preserve"> </w:t>
      </w:r>
      <w:r>
        <w:rPr>
          <w:sz w:val="20"/>
          <w:szCs w:val="20"/>
        </w:rPr>
        <w:t>$</w:t>
      </w:r>
      <w:r>
        <w:rPr>
          <w:sz w:val="20"/>
          <w:szCs w:val="20"/>
        </w:rPr>
        <w:t>12.</w:t>
      </w:r>
      <w:r>
        <w:rPr>
          <w:sz w:val="20"/>
          <w:szCs w:val="20"/>
        </w:rPr>
        <w:t>1</w:t>
      </w:r>
      <w:r>
        <w:rPr>
          <w:sz w:val="20"/>
          <w:szCs w:val="20"/>
        </w:rPr>
        <w:t xml:space="preserve"> million for the six months ended June 30, 202</w:t>
      </w:r>
      <w:r>
        <w:rPr>
          <w:sz w:val="20"/>
          <w:szCs w:val="20"/>
        </w:rPr>
        <w:t>1</w:t>
      </w:r>
      <w:r>
        <w:rPr>
          <w:sz w:val="20"/>
          <w:szCs w:val="20"/>
        </w:rPr>
        <w:t>.</w:t>
      </w:r>
    </w:p>
    <w:p w14:paraId="09F0911F" w14:textId="77777777" w:rsidR="00000000" w:rsidRDefault="003C49E9">
      <w:pPr>
        <w:pStyle w:val="a3"/>
        <w:spacing w:before="200" w:beforeAutospacing="0" w:after="0" w:afterAutospacing="0"/>
        <w:divId w:val="318460364"/>
        <w:rPr>
          <w:sz w:val="20"/>
          <w:szCs w:val="20"/>
        </w:rPr>
      </w:pPr>
      <w:r>
        <w:rPr>
          <w:b/>
          <w:bCs/>
          <w:sz w:val="20"/>
          <w:szCs w:val="20"/>
        </w:rPr>
        <w:t>7. Capitalized Software Development Cost</w:t>
      </w:r>
      <w:r>
        <w:rPr>
          <w:b/>
          <w:bCs/>
          <w:sz w:val="20"/>
          <w:szCs w:val="20"/>
        </w:rPr>
        <w:t>s</w:t>
      </w:r>
    </w:p>
    <w:p w14:paraId="6CFBFB65" w14:textId="77777777" w:rsidR="00000000" w:rsidRDefault="003C49E9">
      <w:pPr>
        <w:pStyle w:val="a3"/>
        <w:spacing w:before="200" w:beforeAutospacing="0" w:after="0" w:afterAutospacing="0"/>
        <w:ind w:firstLine="555"/>
        <w:divId w:val="1472557955"/>
        <w:rPr>
          <w:sz w:val="20"/>
          <w:szCs w:val="20"/>
        </w:rPr>
      </w:pPr>
      <w:r>
        <w:rPr>
          <w:sz w:val="20"/>
          <w:szCs w:val="20"/>
        </w:rPr>
        <w:t xml:space="preserve">Capitalized software development costs, exclusive of those recorded within property and equipment, consisted of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47"/>
        <w:gridCol w:w="110"/>
        <w:gridCol w:w="160"/>
        <w:gridCol w:w="956"/>
        <w:gridCol w:w="127"/>
        <w:gridCol w:w="110"/>
        <w:gridCol w:w="160"/>
        <w:gridCol w:w="1133"/>
        <w:gridCol w:w="142"/>
      </w:tblGrid>
      <w:tr w:rsidR="00000000" w14:paraId="212791D2" w14:textId="77777777">
        <w:trPr>
          <w:divId w:val="1472557955"/>
          <w:tblCellSpacing w:w="15" w:type="dxa"/>
        </w:trPr>
        <w:tc>
          <w:tcPr>
            <w:tcW w:w="2959" w:type="pct"/>
            <w:vAlign w:val="center"/>
            <w:hideMark/>
          </w:tcPr>
          <w:p w14:paraId="19E8472E" w14:textId="77777777" w:rsidR="00000000" w:rsidRDefault="003C49E9">
            <w:pPr>
              <w:rPr>
                <w:sz w:val="20"/>
                <w:szCs w:val="20"/>
              </w:rPr>
            </w:pPr>
          </w:p>
        </w:tc>
        <w:tc>
          <w:tcPr>
            <w:tcW w:w="83" w:type="pct"/>
            <w:vAlign w:val="center"/>
            <w:hideMark/>
          </w:tcPr>
          <w:p w14:paraId="7EFF825A" w14:textId="77777777" w:rsidR="00000000" w:rsidRDefault="003C49E9">
            <w:pPr>
              <w:rPr>
                <w:rFonts w:eastAsia="Times New Roman"/>
                <w:sz w:val="20"/>
                <w:szCs w:val="20"/>
              </w:rPr>
            </w:pPr>
          </w:p>
        </w:tc>
        <w:tc>
          <w:tcPr>
            <w:tcW w:w="50" w:type="pct"/>
            <w:vAlign w:val="center"/>
            <w:hideMark/>
          </w:tcPr>
          <w:p w14:paraId="2B38C450" w14:textId="77777777" w:rsidR="00000000" w:rsidRDefault="003C49E9">
            <w:pPr>
              <w:rPr>
                <w:rFonts w:eastAsia="Times New Roman"/>
                <w:sz w:val="20"/>
                <w:szCs w:val="20"/>
              </w:rPr>
            </w:pPr>
          </w:p>
        </w:tc>
        <w:tc>
          <w:tcPr>
            <w:tcW w:w="795" w:type="pct"/>
            <w:vAlign w:val="center"/>
            <w:hideMark/>
          </w:tcPr>
          <w:p w14:paraId="3BCFF03A" w14:textId="77777777" w:rsidR="00000000" w:rsidRDefault="003C49E9">
            <w:pPr>
              <w:rPr>
                <w:rFonts w:eastAsia="Times New Roman"/>
                <w:sz w:val="20"/>
                <w:szCs w:val="20"/>
              </w:rPr>
            </w:pPr>
          </w:p>
        </w:tc>
        <w:tc>
          <w:tcPr>
            <w:tcW w:w="50" w:type="pct"/>
            <w:vAlign w:val="center"/>
            <w:hideMark/>
          </w:tcPr>
          <w:p w14:paraId="333FBFA2" w14:textId="77777777" w:rsidR="00000000" w:rsidRDefault="003C49E9">
            <w:pPr>
              <w:rPr>
                <w:rFonts w:eastAsia="Times New Roman"/>
                <w:sz w:val="20"/>
                <w:szCs w:val="20"/>
              </w:rPr>
            </w:pPr>
          </w:p>
        </w:tc>
        <w:tc>
          <w:tcPr>
            <w:tcW w:w="49" w:type="pct"/>
            <w:vAlign w:val="center"/>
            <w:hideMark/>
          </w:tcPr>
          <w:p w14:paraId="2FA7662C" w14:textId="77777777" w:rsidR="00000000" w:rsidRDefault="003C49E9">
            <w:pPr>
              <w:rPr>
                <w:rFonts w:eastAsia="Times New Roman"/>
                <w:sz w:val="20"/>
                <w:szCs w:val="20"/>
              </w:rPr>
            </w:pPr>
          </w:p>
        </w:tc>
        <w:tc>
          <w:tcPr>
            <w:tcW w:w="50" w:type="pct"/>
            <w:vAlign w:val="center"/>
            <w:hideMark/>
          </w:tcPr>
          <w:p w14:paraId="440761ED" w14:textId="77777777" w:rsidR="00000000" w:rsidRDefault="003C49E9">
            <w:pPr>
              <w:rPr>
                <w:rFonts w:eastAsia="Times New Roman"/>
                <w:sz w:val="20"/>
                <w:szCs w:val="20"/>
              </w:rPr>
            </w:pPr>
          </w:p>
        </w:tc>
        <w:tc>
          <w:tcPr>
            <w:tcW w:w="912" w:type="pct"/>
            <w:vAlign w:val="center"/>
            <w:hideMark/>
          </w:tcPr>
          <w:p w14:paraId="6A44A6EC" w14:textId="77777777" w:rsidR="00000000" w:rsidRDefault="003C49E9">
            <w:pPr>
              <w:rPr>
                <w:rFonts w:eastAsia="Times New Roman"/>
                <w:sz w:val="20"/>
                <w:szCs w:val="20"/>
              </w:rPr>
            </w:pPr>
          </w:p>
        </w:tc>
        <w:tc>
          <w:tcPr>
            <w:tcW w:w="50" w:type="pct"/>
            <w:vAlign w:val="center"/>
            <w:hideMark/>
          </w:tcPr>
          <w:p w14:paraId="66C4A62A" w14:textId="77777777" w:rsidR="00000000" w:rsidRDefault="003C49E9">
            <w:pPr>
              <w:rPr>
                <w:rFonts w:eastAsia="Times New Roman"/>
                <w:sz w:val="20"/>
                <w:szCs w:val="20"/>
              </w:rPr>
            </w:pPr>
          </w:p>
        </w:tc>
      </w:tr>
      <w:tr w:rsidR="00000000" w14:paraId="0A3ECAC8" w14:textId="77777777">
        <w:trPr>
          <w:divId w:val="1472557955"/>
          <w:trHeight w:val="160"/>
          <w:tblCellSpacing w:w="15" w:type="dxa"/>
        </w:trPr>
        <w:tc>
          <w:tcPr>
            <w:tcW w:w="0" w:type="auto"/>
            <w:vAlign w:val="bottom"/>
            <w:hideMark/>
          </w:tcPr>
          <w:p w14:paraId="0611E2B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733F7AC"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FB1763A" w14:textId="77777777" w:rsidR="00000000" w:rsidRDefault="003C49E9">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7611428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F32C689"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9F728F2" w14:textId="77777777" w:rsidR="00000000" w:rsidRDefault="003C49E9">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09EAA81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B324CE2" w14:textId="77777777">
        <w:trPr>
          <w:divId w:val="1472557955"/>
          <w:trHeight w:val="160"/>
          <w:tblCellSpacing w:w="15" w:type="dxa"/>
        </w:trPr>
        <w:tc>
          <w:tcPr>
            <w:tcW w:w="0" w:type="auto"/>
            <w:vAlign w:val="bottom"/>
            <w:hideMark/>
          </w:tcPr>
          <w:p w14:paraId="25F6010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991F6A7"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FB05CB5"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BE13EC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CBA99E4" w14:textId="77777777">
        <w:trPr>
          <w:divId w:val="1472557955"/>
          <w:trHeight w:val="200"/>
          <w:tblCellSpacing w:w="15" w:type="dxa"/>
        </w:trPr>
        <w:tc>
          <w:tcPr>
            <w:tcW w:w="0" w:type="auto"/>
            <w:vAlign w:val="bottom"/>
            <w:hideMark/>
          </w:tcPr>
          <w:p w14:paraId="73BC45DA" w14:textId="77777777" w:rsidR="00000000" w:rsidRDefault="003C49E9">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14:paraId="18D0AE8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C49EC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0D00EE" w14:textId="77777777" w:rsidR="00000000" w:rsidRDefault="003C49E9">
            <w:pPr>
              <w:pStyle w:val="a3"/>
              <w:spacing w:before="0" w:beforeAutospacing="0" w:after="0" w:afterAutospacing="0"/>
              <w:jc w:val="right"/>
              <w:rPr>
                <w:sz w:val="20"/>
                <w:szCs w:val="20"/>
              </w:rPr>
            </w:pPr>
            <w:r>
              <w:rPr>
                <w:sz w:val="20"/>
                <w:szCs w:val="20"/>
              </w:rPr>
              <w:t>145,60</w:t>
            </w:r>
            <w:r>
              <w:rPr>
                <w:sz w:val="20"/>
                <w:szCs w:val="20"/>
              </w:rPr>
              <w:t>2</w:t>
            </w:r>
          </w:p>
        </w:tc>
        <w:tc>
          <w:tcPr>
            <w:tcW w:w="0" w:type="auto"/>
            <w:noWrap/>
            <w:vAlign w:val="bottom"/>
            <w:hideMark/>
          </w:tcPr>
          <w:p w14:paraId="6FE977D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A8251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FA49C7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913F771" w14:textId="77777777" w:rsidR="00000000" w:rsidRDefault="003C49E9">
            <w:pPr>
              <w:pStyle w:val="a3"/>
              <w:spacing w:before="0" w:beforeAutospacing="0" w:after="0" w:afterAutospacing="0"/>
              <w:jc w:val="right"/>
              <w:rPr>
                <w:sz w:val="20"/>
                <w:szCs w:val="20"/>
              </w:rPr>
            </w:pPr>
            <w:r>
              <w:rPr>
                <w:sz w:val="20"/>
                <w:szCs w:val="20"/>
              </w:rPr>
              <w:t>122,59</w:t>
            </w:r>
            <w:r>
              <w:rPr>
                <w:sz w:val="20"/>
                <w:szCs w:val="20"/>
              </w:rPr>
              <w:t>2</w:t>
            </w:r>
          </w:p>
        </w:tc>
        <w:tc>
          <w:tcPr>
            <w:tcW w:w="0" w:type="auto"/>
            <w:noWrap/>
            <w:vAlign w:val="bottom"/>
            <w:hideMark/>
          </w:tcPr>
          <w:p w14:paraId="0E08A550" w14:textId="77777777" w:rsidR="00000000" w:rsidRDefault="003C49E9">
            <w:pPr>
              <w:pStyle w:val="a3"/>
              <w:spacing w:before="0" w:beforeAutospacing="0" w:after="0" w:afterAutospacing="0"/>
              <w:rPr>
                <w:sz w:val="20"/>
                <w:szCs w:val="20"/>
              </w:rPr>
            </w:pPr>
            <w:r>
              <w:rPr>
                <w:sz w:val="20"/>
                <w:szCs w:val="20"/>
              </w:rPr>
              <w:t> </w:t>
            </w:r>
          </w:p>
        </w:tc>
      </w:tr>
      <w:tr w:rsidR="00000000" w14:paraId="1E0013D1" w14:textId="77777777">
        <w:trPr>
          <w:divId w:val="1472557955"/>
          <w:trHeight w:val="200"/>
          <w:tblCellSpacing w:w="15" w:type="dxa"/>
        </w:trPr>
        <w:tc>
          <w:tcPr>
            <w:tcW w:w="0" w:type="auto"/>
            <w:vAlign w:val="bottom"/>
            <w:hideMark/>
          </w:tcPr>
          <w:p w14:paraId="1DAECA00" w14:textId="77777777" w:rsidR="00000000" w:rsidRDefault="003C49E9">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14:paraId="558813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5C3E9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DDAE6B9" w14:textId="77777777" w:rsidR="00000000" w:rsidRDefault="003C49E9">
            <w:pPr>
              <w:pStyle w:val="a3"/>
              <w:spacing w:before="0" w:beforeAutospacing="0" w:after="0" w:afterAutospacing="0"/>
              <w:jc w:val="right"/>
              <w:rPr>
                <w:sz w:val="20"/>
                <w:szCs w:val="20"/>
              </w:rPr>
            </w:pPr>
            <w:r>
              <w:rPr>
                <w:sz w:val="20"/>
                <w:szCs w:val="20"/>
              </w:rPr>
              <w:t>(</w:t>
            </w:r>
            <w:r>
              <w:rPr>
                <w:sz w:val="20"/>
                <w:szCs w:val="20"/>
              </w:rPr>
              <w:t>95,37</w:t>
            </w:r>
            <w:r>
              <w:rPr>
                <w:sz w:val="20"/>
                <w:szCs w:val="20"/>
              </w:rPr>
              <w:t>4</w:t>
            </w:r>
          </w:p>
        </w:tc>
        <w:tc>
          <w:tcPr>
            <w:tcW w:w="0" w:type="auto"/>
            <w:noWrap/>
            <w:vAlign w:val="bottom"/>
            <w:hideMark/>
          </w:tcPr>
          <w:p w14:paraId="61D2314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7BA5EF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3DA1D9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AD3CD7" w14:textId="77777777" w:rsidR="00000000" w:rsidRDefault="003C49E9">
            <w:pPr>
              <w:pStyle w:val="a3"/>
              <w:spacing w:before="0" w:beforeAutospacing="0" w:after="0" w:afterAutospacing="0"/>
              <w:jc w:val="right"/>
              <w:rPr>
                <w:sz w:val="20"/>
                <w:szCs w:val="20"/>
              </w:rPr>
            </w:pPr>
            <w:r>
              <w:rPr>
                <w:sz w:val="20"/>
                <w:szCs w:val="20"/>
              </w:rPr>
              <w:t>(</w:t>
            </w:r>
            <w:r>
              <w:rPr>
                <w:sz w:val="20"/>
                <w:szCs w:val="20"/>
              </w:rPr>
              <w:t>82,73</w:t>
            </w:r>
            <w:r>
              <w:rPr>
                <w:sz w:val="20"/>
                <w:szCs w:val="20"/>
              </w:rPr>
              <w:t>4</w:t>
            </w:r>
          </w:p>
        </w:tc>
        <w:tc>
          <w:tcPr>
            <w:tcW w:w="0" w:type="auto"/>
            <w:noWrap/>
            <w:vAlign w:val="bottom"/>
            <w:hideMark/>
          </w:tcPr>
          <w:p w14:paraId="6E03AC90" w14:textId="77777777" w:rsidR="00000000" w:rsidRDefault="003C49E9">
            <w:pPr>
              <w:pStyle w:val="a3"/>
              <w:spacing w:before="0" w:beforeAutospacing="0" w:after="0" w:afterAutospacing="0"/>
              <w:rPr>
                <w:sz w:val="20"/>
                <w:szCs w:val="20"/>
              </w:rPr>
            </w:pPr>
            <w:r>
              <w:rPr>
                <w:sz w:val="20"/>
                <w:szCs w:val="20"/>
              </w:rPr>
              <w:t>)</w:t>
            </w:r>
          </w:p>
        </w:tc>
      </w:tr>
      <w:tr w:rsidR="00000000" w14:paraId="28C1B692" w14:textId="77777777">
        <w:trPr>
          <w:divId w:val="1472557955"/>
          <w:trHeight w:val="200"/>
          <w:tblCellSpacing w:w="15" w:type="dxa"/>
        </w:trPr>
        <w:tc>
          <w:tcPr>
            <w:tcW w:w="0" w:type="auto"/>
            <w:vAlign w:val="bottom"/>
            <w:hideMark/>
          </w:tcPr>
          <w:p w14:paraId="0404FAF1" w14:textId="77777777" w:rsidR="00000000" w:rsidRDefault="003C49E9">
            <w:pPr>
              <w:pStyle w:val="a3"/>
              <w:spacing w:before="0" w:beforeAutospacing="0" w:after="0" w:afterAutospacing="0"/>
              <w:ind w:left="200"/>
              <w:rPr>
                <w:sz w:val="20"/>
                <w:szCs w:val="20"/>
              </w:rPr>
            </w:pPr>
            <w:r>
              <w:rPr>
                <w:sz w:val="20"/>
                <w:szCs w:val="20"/>
              </w:rPr>
              <w:t>Capitalized software development costs, ne</w:t>
            </w:r>
            <w:r>
              <w:rPr>
                <w:sz w:val="20"/>
                <w:szCs w:val="20"/>
              </w:rPr>
              <w:t>t</w:t>
            </w:r>
          </w:p>
        </w:tc>
        <w:tc>
          <w:tcPr>
            <w:tcW w:w="0" w:type="auto"/>
            <w:vAlign w:val="bottom"/>
            <w:hideMark/>
          </w:tcPr>
          <w:p w14:paraId="4E1BA40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56F738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FB018F2" w14:textId="77777777" w:rsidR="00000000" w:rsidRDefault="003C49E9">
            <w:pPr>
              <w:pStyle w:val="a3"/>
              <w:spacing w:before="0" w:beforeAutospacing="0" w:after="0" w:afterAutospacing="0"/>
              <w:jc w:val="right"/>
              <w:rPr>
                <w:sz w:val="20"/>
                <w:szCs w:val="20"/>
              </w:rPr>
            </w:pPr>
            <w:r>
              <w:rPr>
                <w:sz w:val="20"/>
                <w:szCs w:val="20"/>
              </w:rPr>
              <w:t>50,22</w:t>
            </w:r>
            <w:r>
              <w:rPr>
                <w:sz w:val="20"/>
                <w:szCs w:val="20"/>
              </w:rPr>
              <w:t>8</w:t>
            </w:r>
          </w:p>
        </w:tc>
        <w:tc>
          <w:tcPr>
            <w:tcW w:w="0" w:type="auto"/>
            <w:noWrap/>
            <w:vAlign w:val="bottom"/>
            <w:hideMark/>
          </w:tcPr>
          <w:p w14:paraId="51B9F5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07284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BA14C2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5F2CFD4" w14:textId="77777777" w:rsidR="00000000" w:rsidRDefault="003C49E9">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14:paraId="3F1BCE2F" w14:textId="77777777" w:rsidR="00000000" w:rsidRDefault="003C49E9">
            <w:pPr>
              <w:pStyle w:val="a3"/>
              <w:spacing w:before="0" w:beforeAutospacing="0" w:after="0" w:afterAutospacing="0"/>
              <w:rPr>
                <w:sz w:val="20"/>
                <w:szCs w:val="20"/>
              </w:rPr>
            </w:pPr>
            <w:r>
              <w:rPr>
                <w:sz w:val="20"/>
                <w:szCs w:val="20"/>
              </w:rPr>
              <w:t> </w:t>
            </w:r>
          </w:p>
        </w:tc>
      </w:tr>
    </w:tbl>
    <w:p w14:paraId="2A85BC2F" w14:textId="77777777" w:rsidR="00000000" w:rsidRDefault="003C49E9">
      <w:pPr>
        <w:pStyle w:val="a3"/>
        <w:spacing w:before="200" w:beforeAutospacing="0" w:after="0" w:afterAutospacing="0"/>
        <w:ind w:firstLine="555"/>
        <w:divId w:val="318460364"/>
        <w:rPr>
          <w:sz w:val="20"/>
          <w:szCs w:val="20"/>
        </w:rPr>
      </w:pPr>
      <w:r>
        <w:rPr>
          <w:sz w:val="20"/>
          <w:szCs w:val="20"/>
        </w:rPr>
        <w:t>These capitalized software development costs are associated with software developed for customer purchase. Capitalized software development costs recorded within property and equipment are associated with software developed for Company use</w:t>
      </w:r>
      <w:r>
        <w:rPr>
          <w:sz w:val="20"/>
          <w:szCs w:val="20"/>
        </w:rPr>
        <w:t>.</w:t>
      </w:r>
      <w:r>
        <w:rPr>
          <w:sz w:val="20"/>
          <w:szCs w:val="20"/>
        </w:rPr>
        <w:t xml:space="preserve"> </w:t>
      </w:r>
    </w:p>
    <w:p w14:paraId="679112F1" w14:textId="77777777" w:rsidR="00000000" w:rsidRDefault="003C49E9">
      <w:pPr>
        <w:pStyle w:val="a3"/>
        <w:spacing w:before="200" w:beforeAutospacing="0" w:after="0" w:afterAutospacing="0"/>
        <w:ind w:firstLine="555"/>
        <w:divId w:val="318460364"/>
        <w:rPr>
          <w:sz w:val="20"/>
          <w:szCs w:val="20"/>
        </w:rPr>
      </w:pPr>
      <w:r>
        <w:rPr>
          <w:sz w:val="20"/>
          <w:szCs w:val="20"/>
        </w:rPr>
        <w:t>Amortization o</w:t>
      </w:r>
      <w:r>
        <w:rPr>
          <w:sz w:val="20"/>
          <w:szCs w:val="20"/>
        </w:rPr>
        <w:t>f capitalized software development costs, exclusive of costs recorded within property and equipment, was</w:t>
      </w:r>
      <w:r>
        <w:rPr>
          <w:sz w:val="20"/>
          <w:szCs w:val="20"/>
        </w:rPr>
        <w:t xml:space="preserve"> </w:t>
      </w:r>
      <w:r>
        <w:rPr>
          <w:sz w:val="20"/>
          <w:szCs w:val="20"/>
        </w:rPr>
        <w:t>$</w:t>
      </w:r>
      <w:r>
        <w:rPr>
          <w:sz w:val="20"/>
          <w:szCs w:val="20"/>
        </w:rPr>
        <w:t>7.</w:t>
      </w:r>
      <w:r>
        <w:rPr>
          <w:sz w:val="20"/>
          <w:szCs w:val="20"/>
        </w:rPr>
        <w:t>5</w:t>
      </w:r>
      <w:r>
        <w:rPr>
          <w:sz w:val="20"/>
          <w:szCs w:val="20"/>
        </w:rPr>
        <w:t xml:space="preserve"> million three months ended June 30, 2022,</w:t>
      </w:r>
      <w:r>
        <w:rPr>
          <w:sz w:val="20"/>
          <w:szCs w:val="20"/>
        </w:rPr>
        <w:t xml:space="preserve"> </w:t>
      </w:r>
      <w:r>
        <w:rPr>
          <w:sz w:val="20"/>
          <w:szCs w:val="20"/>
        </w:rPr>
        <w:t>$</w:t>
      </w:r>
      <w:r>
        <w:rPr>
          <w:sz w:val="20"/>
          <w:szCs w:val="20"/>
        </w:rPr>
        <w:t>14.</w:t>
      </w:r>
      <w:r>
        <w:rPr>
          <w:sz w:val="20"/>
          <w:szCs w:val="20"/>
        </w:rPr>
        <w:t>6</w:t>
      </w:r>
      <w:r>
        <w:rPr>
          <w:sz w:val="20"/>
          <w:szCs w:val="20"/>
        </w:rPr>
        <w:t xml:space="preserve"> millio</w:t>
      </w:r>
      <w:r>
        <w:rPr>
          <w:sz w:val="20"/>
          <w:szCs w:val="20"/>
        </w:rPr>
        <w:t>n</w:t>
      </w:r>
      <w:r>
        <w:rPr>
          <w:sz w:val="20"/>
          <w:szCs w:val="20"/>
        </w:rPr>
        <w:t xml:space="preserve"> for the six months ended June 30, 2022,</w:t>
      </w:r>
      <w:r>
        <w:rPr>
          <w:sz w:val="20"/>
          <w:szCs w:val="20"/>
        </w:rPr>
        <w:t xml:space="preserve"> </w:t>
      </w:r>
      <w:r>
        <w:rPr>
          <w:sz w:val="20"/>
          <w:szCs w:val="20"/>
        </w:rPr>
        <w:t>$</w:t>
      </w:r>
      <w:r>
        <w:rPr>
          <w:sz w:val="20"/>
          <w:szCs w:val="20"/>
        </w:rPr>
        <w:t>5.</w:t>
      </w:r>
      <w:r>
        <w:rPr>
          <w:sz w:val="20"/>
          <w:szCs w:val="20"/>
        </w:rPr>
        <w:t>3</w:t>
      </w:r>
      <w:r>
        <w:rPr>
          <w:sz w:val="20"/>
          <w:szCs w:val="20"/>
        </w:rPr>
        <w:t xml:space="preserve"> millio</w:t>
      </w:r>
      <w:r>
        <w:rPr>
          <w:sz w:val="20"/>
          <w:szCs w:val="20"/>
        </w:rPr>
        <w:t>n</w:t>
      </w:r>
      <w:r>
        <w:rPr>
          <w:sz w:val="20"/>
          <w:szCs w:val="20"/>
        </w:rPr>
        <w:t xml:space="preserve"> for the three months ended June 30, 2</w:t>
      </w:r>
      <w:r>
        <w:rPr>
          <w:sz w:val="20"/>
          <w:szCs w:val="20"/>
        </w:rPr>
        <w:t>021, and</w:t>
      </w:r>
      <w:r>
        <w:rPr>
          <w:sz w:val="20"/>
          <w:szCs w:val="20"/>
        </w:rPr>
        <w:t xml:space="preserve"> </w:t>
      </w:r>
      <w:r>
        <w:rPr>
          <w:sz w:val="20"/>
          <w:szCs w:val="20"/>
        </w:rPr>
        <w:t>$</w:t>
      </w:r>
      <w:r>
        <w:rPr>
          <w:sz w:val="20"/>
          <w:szCs w:val="20"/>
        </w:rPr>
        <w:t>10.</w:t>
      </w:r>
      <w:r>
        <w:rPr>
          <w:sz w:val="20"/>
          <w:szCs w:val="20"/>
        </w:rPr>
        <w:t>2</w:t>
      </w:r>
      <w:r>
        <w:rPr>
          <w:sz w:val="20"/>
          <w:szCs w:val="20"/>
        </w:rPr>
        <w:t xml:space="preserve"> millio</w:t>
      </w:r>
      <w:r>
        <w:rPr>
          <w:sz w:val="20"/>
          <w:szCs w:val="20"/>
        </w:rPr>
        <w:t>n</w:t>
      </w:r>
      <w:r>
        <w:rPr>
          <w:sz w:val="20"/>
          <w:szCs w:val="20"/>
        </w:rPr>
        <w:t xml:space="preserve"> for the six months ended June 30, 202</w:t>
      </w:r>
      <w:r>
        <w:rPr>
          <w:sz w:val="20"/>
          <w:szCs w:val="20"/>
        </w:rPr>
        <w:t>1</w:t>
      </w:r>
      <w:r>
        <w:rPr>
          <w:sz w:val="20"/>
          <w:szCs w:val="20"/>
        </w:rPr>
        <w:t>.</w:t>
      </w:r>
    </w:p>
    <w:p w14:paraId="43908669" w14:textId="77777777" w:rsidR="00000000" w:rsidRDefault="003C49E9">
      <w:pPr>
        <w:pStyle w:val="a3"/>
        <w:spacing w:before="40" w:beforeAutospacing="0" w:after="0" w:afterAutospacing="0"/>
        <w:ind w:firstLine="555"/>
        <w:rPr>
          <w:sz w:val="20"/>
          <w:szCs w:val="20"/>
        </w:rPr>
      </w:pPr>
      <w:r>
        <w:rPr>
          <w:sz w:val="20"/>
          <w:szCs w:val="20"/>
        </w:rPr>
        <w:t> </w:t>
      </w:r>
    </w:p>
    <w:p w14:paraId="1A814256" w14:textId="77777777" w:rsidR="00000000" w:rsidRDefault="003C49E9">
      <w:pPr>
        <w:pStyle w:val="a3"/>
        <w:spacing w:before="200" w:beforeAutospacing="0" w:after="0" w:afterAutospacing="0"/>
        <w:divId w:val="1159610284"/>
        <w:rPr>
          <w:sz w:val="20"/>
          <w:szCs w:val="20"/>
        </w:rPr>
      </w:pPr>
      <w:r>
        <w:rPr>
          <w:b/>
          <w:bCs/>
          <w:sz w:val="20"/>
          <w:szCs w:val="20"/>
        </w:rPr>
        <w:t>8. Convertible Senior Note</w:t>
      </w:r>
      <w:r>
        <w:rPr>
          <w:b/>
          <w:bCs/>
          <w:sz w:val="20"/>
          <w:szCs w:val="20"/>
        </w:rPr>
        <w:t>s</w:t>
      </w:r>
    </w:p>
    <w:p w14:paraId="6BDAAF10" w14:textId="77777777" w:rsidR="00000000" w:rsidRDefault="003C49E9">
      <w:pPr>
        <w:pStyle w:val="a3"/>
        <w:spacing w:before="200" w:beforeAutospacing="0" w:after="0" w:afterAutospacing="0"/>
        <w:ind w:firstLine="555"/>
        <w:divId w:val="1159610284"/>
        <w:rPr>
          <w:sz w:val="20"/>
          <w:szCs w:val="20"/>
        </w:rPr>
      </w:pPr>
      <w:r>
        <w:rPr>
          <w:b/>
          <w:bCs/>
          <w:i/>
          <w:iCs/>
          <w:sz w:val="20"/>
          <w:szCs w:val="20"/>
        </w:rPr>
        <w:t>Adoption of Updated Debt Guidanc</w:t>
      </w:r>
      <w:r>
        <w:rPr>
          <w:b/>
          <w:bCs/>
          <w:i/>
          <w:iCs/>
          <w:sz w:val="20"/>
          <w:szCs w:val="20"/>
        </w:rPr>
        <w:t>e</w:t>
      </w:r>
      <w:r>
        <w:rPr>
          <w:b/>
          <w:bCs/>
          <w:i/>
          <w:iCs/>
          <w:sz w:val="20"/>
          <w:szCs w:val="20"/>
        </w:rPr>
        <w:t xml:space="preserve"> </w:t>
      </w:r>
    </w:p>
    <w:p w14:paraId="3F7AE024" w14:textId="77777777" w:rsidR="00000000" w:rsidRDefault="003C49E9">
      <w:pPr>
        <w:pStyle w:val="a3"/>
        <w:spacing w:before="200" w:beforeAutospacing="0" w:after="0" w:afterAutospacing="0"/>
        <w:ind w:firstLine="555"/>
        <w:divId w:val="1159610284"/>
        <w:rPr>
          <w:sz w:val="20"/>
          <w:szCs w:val="20"/>
        </w:rPr>
      </w:pPr>
      <w:r>
        <w:rPr>
          <w:sz w:val="20"/>
          <w:szCs w:val="20"/>
        </w:rPr>
        <w:t>On January 1, 2022, the Company adopted the new guidance for convertible instruments using a modified retrospective method. Resu</w:t>
      </w:r>
      <w:r>
        <w:rPr>
          <w:sz w:val="20"/>
          <w:szCs w:val="20"/>
        </w:rPr>
        <w:t>lts for reporting periods beginning after December 31, 2021 are presented under the new guidance, while prior period comparative amounts are not adjusted and continue to be reported in accordance with historical guidance</w:t>
      </w:r>
      <w:r>
        <w:rPr>
          <w:sz w:val="20"/>
          <w:szCs w:val="20"/>
        </w:rPr>
        <w:t>.</w:t>
      </w:r>
      <w:r>
        <w:rPr>
          <w:sz w:val="20"/>
          <w:szCs w:val="20"/>
        </w:rPr>
        <w:t xml:space="preserve"> </w:t>
      </w:r>
    </w:p>
    <w:p w14:paraId="67F58B22" w14:textId="77777777" w:rsidR="00000000" w:rsidRDefault="003C49E9">
      <w:pPr>
        <w:pStyle w:val="a3"/>
        <w:spacing w:before="200" w:beforeAutospacing="0" w:after="0" w:afterAutospacing="0"/>
        <w:ind w:firstLine="555"/>
        <w:divId w:val="1159610284"/>
        <w:rPr>
          <w:sz w:val="20"/>
          <w:szCs w:val="20"/>
        </w:rPr>
      </w:pPr>
      <w:r>
        <w:rPr>
          <w:sz w:val="20"/>
          <w:szCs w:val="20"/>
        </w:rPr>
        <w:t>The new guidance eliminates the b</w:t>
      </w:r>
      <w:r>
        <w:rPr>
          <w:sz w:val="20"/>
          <w:szCs w:val="20"/>
        </w:rPr>
        <w:t>ifurcation and separate recognition of the embedded cash conversion feature from the host contract and allows for the entire amount attributable to the debt to be presented as a liability. The carrying amount of the debt liability will be reduced by the is</w:t>
      </w:r>
      <w:r>
        <w:rPr>
          <w:sz w:val="20"/>
          <w:szCs w:val="20"/>
        </w:rPr>
        <w:t>suance costs associated with the debt issuance as a contra-liability. As there is no longer an equity component of the convertible debt, the discount created by accretion of a component of the convertible debt in equity is eliminated and interest expense i</w:t>
      </w:r>
      <w:r>
        <w:rPr>
          <w:sz w:val="20"/>
          <w:szCs w:val="20"/>
        </w:rPr>
        <w:t>s reduced. The deferred tax liability recognized as a result of a difference between the carrying amount and tax basis of the 2022 Notes that was recorded to additional paid-in capital as a component of equity was also reversed. There is no change in the a</w:t>
      </w:r>
      <w:r>
        <w:rPr>
          <w:sz w:val="20"/>
          <w:szCs w:val="20"/>
        </w:rPr>
        <w:t>ccounting for the Capped Call Options, Warrants, or Convertible Note Hedges as they are classified as equity under both the historical and new guidance</w:t>
      </w:r>
      <w:r>
        <w:rPr>
          <w:sz w:val="20"/>
          <w:szCs w:val="20"/>
        </w:rPr>
        <w:t>.</w:t>
      </w:r>
      <w:r>
        <w:rPr>
          <w:sz w:val="20"/>
          <w:szCs w:val="20"/>
        </w:rPr>
        <w:t xml:space="preserve"> </w:t>
      </w:r>
    </w:p>
    <w:p w14:paraId="51E7912F" w14:textId="77777777" w:rsidR="00000000" w:rsidRDefault="003C49E9">
      <w:pPr>
        <w:pStyle w:val="a3"/>
        <w:spacing w:before="200" w:beforeAutospacing="0" w:after="0" w:afterAutospacing="0"/>
        <w:ind w:firstLine="555"/>
        <w:divId w:val="1159610284"/>
        <w:rPr>
          <w:sz w:val="20"/>
          <w:szCs w:val="20"/>
        </w:rPr>
      </w:pPr>
      <w:r>
        <w:rPr>
          <w:sz w:val="20"/>
          <w:szCs w:val="20"/>
        </w:rPr>
        <w:t>As a result of the impact of applying the new guidance, the Company recorded an increase to opening re</w:t>
      </w:r>
      <w:r>
        <w:rPr>
          <w:sz w:val="20"/>
          <w:szCs w:val="20"/>
        </w:rPr>
        <w:t xml:space="preserve">tained earnings of </w:t>
      </w:r>
      <w:r>
        <w:rPr>
          <w:sz w:val="20"/>
          <w:szCs w:val="20"/>
        </w:rPr>
        <w:t>$</w:t>
      </w:r>
      <w:r>
        <w:rPr>
          <w:sz w:val="20"/>
          <w:szCs w:val="20"/>
        </w:rPr>
        <w:t>31.</w:t>
      </w:r>
      <w:r>
        <w:rPr>
          <w:sz w:val="20"/>
          <w:szCs w:val="20"/>
        </w:rPr>
        <w:t>4</w:t>
      </w:r>
      <w:r>
        <w:rPr>
          <w:sz w:val="20"/>
          <w:szCs w:val="20"/>
        </w:rPr>
        <w:t xml:space="preserve"> million as of January 1, 2022, related to the difference in interest expense due to the amortization of the convertible debt discount and reversal of the deferred tax liability under the historical guidance. The resulting impact on</w:t>
      </w:r>
      <w:r>
        <w:rPr>
          <w:sz w:val="20"/>
          <w:szCs w:val="20"/>
        </w:rPr>
        <w:t xml:space="preserve"> the consolidated balance sheet to derecognize the debt issuance cost and conversion option that was allocated to the equity component and to derecognize the remaining convertible debt discount was an increase to debt liability of </w:t>
      </w:r>
      <w:r>
        <w:rPr>
          <w:sz w:val="20"/>
          <w:szCs w:val="20"/>
        </w:rPr>
        <w:t>$</w:t>
      </w:r>
      <w:r>
        <w:rPr>
          <w:sz w:val="20"/>
          <w:szCs w:val="20"/>
        </w:rPr>
        <w:t>69.</w:t>
      </w:r>
      <w:r>
        <w:rPr>
          <w:sz w:val="20"/>
          <w:szCs w:val="20"/>
        </w:rPr>
        <w:t>8</w:t>
      </w:r>
      <w:r>
        <w:rPr>
          <w:sz w:val="20"/>
          <w:szCs w:val="20"/>
        </w:rPr>
        <w:t xml:space="preserve"> million, of which </w:t>
      </w:r>
      <w:r>
        <w:rPr>
          <w:sz w:val="20"/>
          <w:szCs w:val="20"/>
        </w:rPr>
        <w:t>$</w:t>
      </w:r>
      <w:r>
        <w:rPr>
          <w:sz w:val="20"/>
          <w:szCs w:val="20"/>
        </w:rPr>
        <w:t>0.</w:t>
      </w:r>
      <w:r>
        <w:rPr>
          <w:sz w:val="20"/>
          <w:szCs w:val="20"/>
        </w:rPr>
        <w:t>5</w:t>
      </w:r>
      <w:r>
        <w:rPr>
          <w:sz w:val="20"/>
          <w:szCs w:val="20"/>
        </w:rPr>
        <w:t xml:space="preserve"> million was recorded to short term debt and </w:t>
      </w:r>
      <w:r>
        <w:rPr>
          <w:sz w:val="20"/>
          <w:szCs w:val="20"/>
        </w:rPr>
        <w:t>$</w:t>
      </w:r>
      <w:r>
        <w:rPr>
          <w:sz w:val="20"/>
          <w:szCs w:val="20"/>
        </w:rPr>
        <w:t>69.</w:t>
      </w:r>
      <w:r>
        <w:rPr>
          <w:sz w:val="20"/>
          <w:szCs w:val="20"/>
        </w:rPr>
        <w:t>3</w:t>
      </w:r>
      <w:r>
        <w:rPr>
          <w:sz w:val="20"/>
          <w:szCs w:val="20"/>
        </w:rPr>
        <w:t xml:space="preserve"> million was recorded to long-term debt, and a decrease in additional paid-in capital of </w:t>
      </w:r>
      <w:r>
        <w:rPr>
          <w:sz w:val="20"/>
          <w:szCs w:val="20"/>
        </w:rPr>
        <w:t>$</w:t>
      </w:r>
      <w:r>
        <w:rPr>
          <w:sz w:val="20"/>
          <w:szCs w:val="20"/>
        </w:rPr>
        <w:t>101.</w:t>
      </w:r>
      <w:r>
        <w:rPr>
          <w:sz w:val="20"/>
          <w:szCs w:val="20"/>
        </w:rPr>
        <w:t>2</w:t>
      </w:r>
      <w:r>
        <w:rPr>
          <w:sz w:val="20"/>
          <w:szCs w:val="20"/>
        </w:rPr>
        <w:t xml:space="preserve"> million</w:t>
      </w:r>
      <w:r>
        <w:rPr>
          <w:sz w:val="20"/>
          <w:szCs w:val="20"/>
        </w:rPr>
        <w:t>.</w:t>
      </w:r>
      <w:r>
        <w:rPr>
          <w:sz w:val="20"/>
          <w:szCs w:val="20"/>
        </w:rPr>
        <w:t xml:space="preserve"> </w:t>
      </w:r>
    </w:p>
    <w:p w14:paraId="3BB99F40" w14:textId="77777777" w:rsidR="00000000" w:rsidRDefault="003C49E9">
      <w:pPr>
        <w:pStyle w:val="a3"/>
        <w:spacing w:before="200" w:beforeAutospacing="0" w:after="0" w:afterAutospacing="0"/>
        <w:ind w:firstLine="555"/>
        <w:divId w:val="1159610284"/>
        <w:rPr>
          <w:sz w:val="20"/>
          <w:szCs w:val="20"/>
        </w:rPr>
      </w:pPr>
      <w:r>
        <w:rPr>
          <w:b/>
          <w:bCs/>
          <w:i/>
          <w:iCs/>
          <w:sz w:val="20"/>
          <w:szCs w:val="20"/>
        </w:rPr>
        <w:t>2025 Convertible Senior Notes and Capped Call Option</w:t>
      </w:r>
      <w:r>
        <w:rPr>
          <w:b/>
          <w:bCs/>
          <w:i/>
          <w:iCs/>
          <w:sz w:val="20"/>
          <w:szCs w:val="20"/>
        </w:rPr>
        <w:t>s</w:t>
      </w:r>
      <w:r>
        <w:rPr>
          <w:b/>
          <w:bCs/>
          <w:i/>
          <w:iCs/>
          <w:sz w:val="20"/>
          <w:szCs w:val="20"/>
        </w:rPr>
        <w:t xml:space="preserve"> </w:t>
      </w:r>
    </w:p>
    <w:p w14:paraId="5B1F38A9" w14:textId="77777777" w:rsidR="00000000" w:rsidRDefault="003C49E9">
      <w:pPr>
        <w:pStyle w:val="a3"/>
        <w:spacing w:before="200" w:beforeAutospacing="0" w:after="0" w:afterAutospacing="0"/>
        <w:ind w:firstLine="555"/>
        <w:divId w:val="1159610284"/>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w:t>
      </w:r>
      <w:r>
        <w:rPr>
          <w:sz w:val="20"/>
          <w:szCs w:val="20"/>
        </w:rPr>
        <w:t>ion aggregate principal amount of</w:t>
      </w:r>
      <w:r>
        <w:rPr>
          <w:sz w:val="20"/>
          <w:szCs w:val="20"/>
        </w:rPr>
        <w:t xml:space="preserve"> </w:t>
      </w:r>
      <w:r>
        <w:rPr>
          <w:sz w:val="20"/>
          <w:szCs w:val="20"/>
        </w:rPr>
        <w:t>0.37</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amount of the 2025 Notes pursuant to the exercise in full of the over-allotment op</w:t>
      </w:r>
      <w:r>
        <w:rPr>
          <w:sz w:val="20"/>
          <w:szCs w:val="20"/>
        </w:rPr>
        <w:t>tions of the initial purchasers.</w:t>
      </w:r>
      <w:r>
        <w:rPr>
          <w:sz w:val="20"/>
          <w:szCs w:val="20"/>
        </w:rPr>
        <w:t xml:space="preserve"> </w:t>
      </w:r>
      <w:r>
        <w:rPr>
          <w:sz w:val="20"/>
          <w:szCs w:val="20"/>
        </w:rPr>
        <w:t>The interest rate is fixed at</w:t>
      </w:r>
      <w:r>
        <w:rPr>
          <w:sz w:val="20"/>
          <w:szCs w:val="20"/>
        </w:rPr>
        <w:t xml:space="preserve"> </w:t>
      </w:r>
      <w:r>
        <w:rPr>
          <w:sz w:val="20"/>
          <w:szCs w:val="20"/>
        </w:rPr>
        <w:t>0.37</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proceeds from the debt offering, after deducting initial purchase discounts and deb</w:t>
      </w:r>
      <w:r>
        <w:rPr>
          <w:sz w:val="20"/>
          <w:szCs w:val="20"/>
        </w:rPr>
        <w:t xml:space="preserve">t issuance costs, were approximately </w:t>
      </w:r>
      <w:r>
        <w:rPr>
          <w:sz w:val="20"/>
          <w:szCs w:val="20"/>
        </w:rPr>
        <w:t>$</w:t>
      </w:r>
      <w:r>
        <w:rPr>
          <w:sz w:val="20"/>
          <w:szCs w:val="20"/>
        </w:rPr>
        <w:t>450.</w:t>
      </w:r>
      <w:r>
        <w:rPr>
          <w:sz w:val="20"/>
          <w:szCs w:val="20"/>
        </w:rPr>
        <w:t>1</w:t>
      </w:r>
      <w:r>
        <w:rPr>
          <w:sz w:val="20"/>
          <w:szCs w:val="20"/>
        </w:rPr>
        <w:t xml:space="preserve"> million</w:t>
      </w:r>
      <w:r>
        <w:rPr>
          <w:sz w:val="20"/>
          <w:szCs w:val="20"/>
        </w:rPr>
        <w:t>.</w:t>
      </w:r>
    </w:p>
    <w:p w14:paraId="57CD8023" w14:textId="77777777" w:rsidR="00000000" w:rsidRDefault="003C49E9">
      <w:pPr>
        <w:pStyle w:val="a3"/>
        <w:spacing w:before="200" w:beforeAutospacing="0" w:after="0" w:afterAutospacing="0"/>
        <w:ind w:firstLine="555"/>
        <w:divId w:val="1159610284"/>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of principal amount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2025 Notes”), which is equivalent to an ini</w:t>
      </w:r>
      <w:r>
        <w:rPr>
          <w:sz w:val="20"/>
          <w:szCs w:val="20"/>
        </w:rPr>
        <w:t xml:space="preserve">tial conversion price of approximately </w:t>
      </w:r>
      <w:r>
        <w:rPr>
          <w:sz w:val="20"/>
          <w:szCs w:val="20"/>
        </w:rPr>
        <w:t>$</w:t>
      </w:r>
      <w:r>
        <w:rPr>
          <w:sz w:val="20"/>
          <w:szCs w:val="20"/>
        </w:rPr>
        <w:t>282.5</w:t>
      </w:r>
      <w:r>
        <w:rPr>
          <w:sz w:val="20"/>
          <w:szCs w:val="20"/>
        </w:rPr>
        <w:t>2</w:t>
      </w:r>
      <w:r>
        <w:rPr>
          <w:sz w:val="20"/>
          <w:szCs w:val="20"/>
        </w:rPr>
        <w:t xml:space="preserve"> per</w:t>
      </w:r>
      <w:r>
        <w:rPr>
          <w:sz w:val="20"/>
          <w:szCs w:val="20"/>
        </w:rPr>
        <w:t xml:space="preserve"> </w:t>
      </w:r>
      <w:r>
        <w:rPr>
          <w:sz w:val="20"/>
          <w:szCs w:val="20"/>
        </w:rPr>
        <w:t>share, subject to adjustment upon the occurrence of certain specified events. On or after March 1, 2025 until the close of business on the second scheduled trading day immediately preceding the maturity da</w:t>
      </w:r>
      <w:r>
        <w:rPr>
          <w:sz w:val="20"/>
          <w:szCs w:val="20"/>
        </w:rPr>
        <w:t>te, holders may convert their 2025 Notes at any time. The 2025 Notes will be convertible at the option of the holders prior to the close of business on the business day immediately preceding March 1, 2025 under certain circumstances as described in the ind</w:t>
      </w:r>
      <w:r>
        <w:rPr>
          <w:sz w:val="20"/>
          <w:szCs w:val="20"/>
        </w:rPr>
        <w:t>enture governing the 2025 Notes (the “Indenture”). Upon conversion, the Company will pay or deliver, as the case may be, cash, shares of the Company’s common stock or a combination o</w:t>
      </w:r>
      <w:r>
        <w:rPr>
          <w:sz w:val="20"/>
          <w:szCs w:val="20"/>
        </w:rPr>
        <w:t>f</w:t>
      </w:r>
      <w:r>
        <w:rPr>
          <w:sz w:val="20"/>
          <w:szCs w:val="20"/>
        </w:rPr>
        <w:t xml:space="preserve"> </w:t>
      </w:r>
    </w:p>
    <w:p w14:paraId="01B9A944" w14:textId="77777777" w:rsidR="00000000" w:rsidRDefault="003C49E9">
      <w:pPr>
        <w:pStyle w:val="a3"/>
        <w:spacing w:before="240" w:beforeAutospacing="0" w:after="0" w:afterAutospacing="0"/>
        <w:jc w:val="center"/>
        <w:divId w:val="1159610284"/>
        <w:rPr>
          <w:sz w:val="20"/>
          <w:szCs w:val="20"/>
        </w:rPr>
      </w:pPr>
      <w:r>
        <w:rPr>
          <w:sz w:val="20"/>
          <w:szCs w:val="20"/>
        </w:rPr>
        <w:t>1</w:t>
      </w:r>
      <w:r>
        <w:rPr>
          <w:sz w:val="20"/>
          <w:szCs w:val="20"/>
        </w:rPr>
        <w:t>6</w:t>
      </w:r>
    </w:p>
    <w:p w14:paraId="4A9F546B" w14:textId="77777777" w:rsidR="00000000" w:rsidRDefault="003C49E9">
      <w:pPr>
        <w:divId w:val="1159610284"/>
        <w:rPr>
          <w:rFonts w:eastAsia="Times New Roman"/>
          <w:sz w:val="20"/>
          <w:szCs w:val="20"/>
        </w:rPr>
      </w:pPr>
      <w:r>
        <w:rPr>
          <w:rFonts w:eastAsia="Times New Roman"/>
          <w:sz w:val="20"/>
          <w:szCs w:val="20"/>
        </w:rPr>
        <w:pict w14:anchorId="11CA6178">
          <v:rect id="_x0000_i1040" style="width:0;height:1.5pt" o:hralign="center" o:hrstd="t" o:hr="t" fillcolor="#a0a0a0" stroked="f"/>
        </w:pict>
      </w:r>
    </w:p>
    <w:p w14:paraId="5D7667FC" w14:textId="77777777" w:rsidR="00000000" w:rsidRDefault="003C49E9">
      <w:pPr>
        <w:pStyle w:val="a3"/>
        <w:spacing w:before="0" w:beforeAutospacing="0" w:after="0" w:afterAutospacing="0"/>
        <w:divId w:val="1159610284"/>
        <w:rPr>
          <w:sz w:val="20"/>
          <w:szCs w:val="20"/>
        </w:rPr>
      </w:pPr>
      <w:r>
        <w:rPr>
          <w:sz w:val="20"/>
          <w:szCs w:val="20"/>
        </w:rPr>
        <w:t> </w:t>
      </w:r>
    </w:p>
    <w:p w14:paraId="22801A98" w14:textId="77777777" w:rsidR="00000000" w:rsidRDefault="003C49E9">
      <w:pPr>
        <w:pStyle w:val="a3"/>
        <w:spacing w:before="200" w:beforeAutospacing="0" w:after="0" w:afterAutospacing="0"/>
        <w:divId w:val="1159610284"/>
        <w:rPr>
          <w:sz w:val="20"/>
          <w:szCs w:val="20"/>
        </w:rPr>
      </w:pPr>
      <w:r>
        <w:rPr>
          <w:sz w:val="20"/>
          <w:szCs w:val="20"/>
        </w:rPr>
        <w:t>cash</w:t>
      </w:r>
      <w:r>
        <w:rPr>
          <w:sz w:val="20"/>
          <w:szCs w:val="20"/>
        </w:rPr>
        <w:t xml:space="preserve"> </w:t>
      </w:r>
      <w:r>
        <w:rPr>
          <w:sz w:val="20"/>
          <w:szCs w:val="20"/>
        </w:rPr>
        <w:t>and shares of the Company</w:t>
      </w:r>
      <w:r>
        <w:rPr>
          <w:sz w:val="20"/>
          <w:szCs w:val="20"/>
        </w:rPr>
        <w:t>’s common stock, at the Company’s election.</w:t>
      </w:r>
      <w:r>
        <w:rPr>
          <w:sz w:val="20"/>
          <w:szCs w:val="20"/>
        </w:rPr>
        <w:t xml:space="preserve"> </w:t>
      </w:r>
      <w:r>
        <w:rPr>
          <w:sz w:val="20"/>
          <w:szCs w:val="20"/>
        </w:rPr>
        <w:t>The Company expects to settle the principal amount of the 2025 Notes in cash</w:t>
      </w:r>
      <w:r>
        <w:rPr>
          <w:sz w:val="20"/>
          <w:szCs w:val="20"/>
        </w:rPr>
        <w:t>.</w:t>
      </w:r>
      <w:r>
        <w:rPr>
          <w:sz w:val="20"/>
          <w:szCs w:val="20"/>
        </w:rPr>
        <w:t xml:space="preserve"> In the quarter ended June 30, 2022, the 2025 Notes did not meet the Conversion Option and are not convertible</w:t>
      </w:r>
      <w:r>
        <w:rPr>
          <w:sz w:val="20"/>
          <w:szCs w:val="20"/>
        </w:rPr>
        <w:t>.</w:t>
      </w:r>
      <w:r>
        <w:rPr>
          <w:sz w:val="20"/>
          <w:szCs w:val="20"/>
        </w:rPr>
        <w:t xml:space="preserve"> </w:t>
      </w:r>
    </w:p>
    <w:p w14:paraId="27891036" w14:textId="77777777" w:rsidR="00000000" w:rsidRDefault="003C49E9">
      <w:pPr>
        <w:pStyle w:val="a3"/>
        <w:spacing w:before="200" w:beforeAutospacing="0" w:after="0" w:afterAutospacing="0"/>
        <w:ind w:firstLine="555"/>
        <w:divId w:val="1159610284"/>
        <w:rPr>
          <w:sz w:val="20"/>
          <w:szCs w:val="20"/>
        </w:rPr>
      </w:pPr>
      <w:r>
        <w:rPr>
          <w:sz w:val="20"/>
          <w:szCs w:val="20"/>
        </w:rPr>
        <w:t>In accordance with GAA</w:t>
      </w:r>
      <w:r>
        <w:rPr>
          <w:sz w:val="20"/>
          <w:szCs w:val="20"/>
        </w:rPr>
        <w:t xml:space="preserve">P relating to the embedded conversion feature, the Company bifurcated the conversion feature associated with the 2025 Notes and recorded </w:t>
      </w:r>
      <w:r>
        <w:rPr>
          <w:sz w:val="20"/>
          <w:szCs w:val="20"/>
        </w:rPr>
        <w:t>$</w:t>
      </w:r>
      <w:r>
        <w:rPr>
          <w:sz w:val="20"/>
          <w:szCs w:val="20"/>
        </w:rPr>
        <w:t>96.</w:t>
      </w:r>
      <w:r>
        <w:rPr>
          <w:sz w:val="20"/>
          <w:szCs w:val="20"/>
        </w:rPr>
        <w:t>6</w:t>
      </w:r>
      <w:r>
        <w:rPr>
          <w:sz w:val="20"/>
          <w:szCs w:val="20"/>
        </w:rPr>
        <w:t xml:space="preserve"> million to additional paid-in capital for the conversion feature and the resulting debt discount was being amorti</w:t>
      </w:r>
      <w:r>
        <w:rPr>
          <w:sz w:val="20"/>
          <w:szCs w:val="20"/>
        </w:rPr>
        <w:t>zed to interest expense. As there is no longer an equity component of the convertible debt under the new standard, the debt issuance cost and conversion option that was allocated to the equity component was derecognized through an adjustment to opening ret</w:t>
      </w:r>
      <w:r>
        <w:rPr>
          <w:sz w:val="20"/>
          <w:szCs w:val="20"/>
        </w:rPr>
        <w:t>ained earnings upon adoption of the new standard on January 1, 2022</w:t>
      </w:r>
      <w:r>
        <w:rPr>
          <w:sz w:val="20"/>
          <w:szCs w:val="20"/>
        </w:rPr>
        <w:t>.</w:t>
      </w:r>
      <w:r>
        <w:rPr>
          <w:sz w:val="20"/>
          <w:szCs w:val="20"/>
        </w:rPr>
        <w:t xml:space="preserve"> </w:t>
      </w:r>
    </w:p>
    <w:p w14:paraId="503FBD09" w14:textId="77777777" w:rsidR="00000000" w:rsidRDefault="003C49E9">
      <w:pPr>
        <w:pStyle w:val="a3"/>
        <w:spacing w:before="200" w:beforeAutospacing="0" w:after="0" w:afterAutospacing="0"/>
        <w:ind w:firstLine="555"/>
        <w:divId w:val="697851297"/>
        <w:rPr>
          <w:sz w:val="20"/>
          <w:szCs w:val="20"/>
        </w:rPr>
      </w:pPr>
      <w:r>
        <w:rPr>
          <w:sz w:val="20"/>
          <w:szCs w:val="20"/>
        </w:rPr>
        <w:t>The net carrying amount of the liability component of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37"/>
        <w:gridCol w:w="110"/>
        <w:gridCol w:w="160"/>
        <w:gridCol w:w="1058"/>
        <w:gridCol w:w="127"/>
        <w:gridCol w:w="110"/>
        <w:gridCol w:w="160"/>
        <w:gridCol w:w="1141"/>
        <w:gridCol w:w="142"/>
      </w:tblGrid>
      <w:tr w:rsidR="00000000" w14:paraId="49A6CFDE" w14:textId="77777777">
        <w:trPr>
          <w:divId w:val="697851297"/>
          <w:tblCellSpacing w:w="15" w:type="dxa"/>
        </w:trPr>
        <w:tc>
          <w:tcPr>
            <w:tcW w:w="2869" w:type="pct"/>
            <w:vAlign w:val="center"/>
            <w:hideMark/>
          </w:tcPr>
          <w:p w14:paraId="3843DECF" w14:textId="77777777" w:rsidR="00000000" w:rsidRDefault="003C49E9">
            <w:pPr>
              <w:rPr>
                <w:sz w:val="20"/>
                <w:szCs w:val="20"/>
              </w:rPr>
            </w:pPr>
          </w:p>
        </w:tc>
        <w:tc>
          <w:tcPr>
            <w:tcW w:w="97" w:type="pct"/>
            <w:vAlign w:val="center"/>
            <w:hideMark/>
          </w:tcPr>
          <w:p w14:paraId="1EC76B31" w14:textId="77777777" w:rsidR="00000000" w:rsidRDefault="003C49E9">
            <w:pPr>
              <w:rPr>
                <w:rFonts w:eastAsia="Times New Roman"/>
                <w:sz w:val="20"/>
                <w:szCs w:val="20"/>
              </w:rPr>
            </w:pPr>
          </w:p>
        </w:tc>
        <w:tc>
          <w:tcPr>
            <w:tcW w:w="50" w:type="pct"/>
            <w:vAlign w:val="center"/>
            <w:hideMark/>
          </w:tcPr>
          <w:p w14:paraId="6367EEEC" w14:textId="77777777" w:rsidR="00000000" w:rsidRDefault="003C49E9">
            <w:pPr>
              <w:rPr>
                <w:rFonts w:eastAsia="Times New Roman"/>
                <w:sz w:val="20"/>
                <w:szCs w:val="20"/>
              </w:rPr>
            </w:pPr>
          </w:p>
        </w:tc>
        <w:tc>
          <w:tcPr>
            <w:tcW w:w="855" w:type="pct"/>
            <w:vAlign w:val="center"/>
            <w:hideMark/>
          </w:tcPr>
          <w:p w14:paraId="2545AF73" w14:textId="77777777" w:rsidR="00000000" w:rsidRDefault="003C49E9">
            <w:pPr>
              <w:rPr>
                <w:rFonts w:eastAsia="Times New Roman"/>
                <w:sz w:val="20"/>
                <w:szCs w:val="20"/>
              </w:rPr>
            </w:pPr>
          </w:p>
        </w:tc>
        <w:tc>
          <w:tcPr>
            <w:tcW w:w="50" w:type="pct"/>
            <w:vAlign w:val="center"/>
            <w:hideMark/>
          </w:tcPr>
          <w:p w14:paraId="7D688ED6" w14:textId="77777777" w:rsidR="00000000" w:rsidRDefault="003C49E9">
            <w:pPr>
              <w:rPr>
                <w:rFonts w:eastAsia="Times New Roman"/>
                <w:sz w:val="20"/>
                <w:szCs w:val="20"/>
              </w:rPr>
            </w:pPr>
          </w:p>
        </w:tc>
        <w:tc>
          <w:tcPr>
            <w:tcW w:w="62" w:type="pct"/>
            <w:vAlign w:val="center"/>
            <w:hideMark/>
          </w:tcPr>
          <w:p w14:paraId="2F3CB38F" w14:textId="77777777" w:rsidR="00000000" w:rsidRDefault="003C49E9">
            <w:pPr>
              <w:rPr>
                <w:rFonts w:eastAsia="Times New Roman"/>
                <w:sz w:val="20"/>
                <w:szCs w:val="20"/>
              </w:rPr>
            </w:pPr>
          </w:p>
        </w:tc>
        <w:tc>
          <w:tcPr>
            <w:tcW w:w="50" w:type="pct"/>
            <w:vAlign w:val="center"/>
            <w:hideMark/>
          </w:tcPr>
          <w:p w14:paraId="46C14CB1" w14:textId="77777777" w:rsidR="00000000" w:rsidRDefault="003C49E9">
            <w:pPr>
              <w:rPr>
                <w:rFonts w:eastAsia="Times New Roman"/>
                <w:sz w:val="20"/>
                <w:szCs w:val="20"/>
              </w:rPr>
            </w:pPr>
          </w:p>
        </w:tc>
        <w:tc>
          <w:tcPr>
            <w:tcW w:w="915" w:type="pct"/>
            <w:vAlign w:val="center"/>
            <w:hideMark/>
          </w:tcPr>
          <w:p w14:paraId="00A7F0AE" w14:textId="77777777" w:rsidR="00000000" w:rsidRDefault="003C49E9">
            <w:pPr>
              <w:rPr>
                <w:rFonts w:eastAsia="Times New Roman"/>
                <w:sz w:val="20"/>
                <w:szCs w:val="20"/>
              </w:rPr>
            </w:pPr>
          </w:p>
        </w:tc>
        <w:tc>
          <w:tcPr>
            <w:tcW w:w="50" w:type="pct"/>
            <w:vAlign w:val="center"/>
            <w:hideMark/>
          </w:tcPr>
          <w:p w14:paraId="45C8F689" w14:textId="77777777" w:rsidR="00000000" w:rsidRDefault="003C49E9">
            <w:pPr>
              <w:rPr>
                <w:rFonts w:eastAsia="Times New Roman"/>
                <w:sz w:val="20"/>
                <w:szCs w:val="20"/>
              </w:rPr>
            </w:pPr>
          </w:p>
        </w:tc>
      </w:tr>
      <w:tr w:rsidR="00000000" w14:paraId="793A5919" w14:textId="77777777">
        <w:trPr>
          <w:divId w:val="697851297"/>
          <w:trHeight w:val="160"/>
          <w:tblCellSpacing w:w="15" w:type="dxa"/>
        </w:trPr>
        <w:tc>
          <w:tcPr>
            <w:tcW w:w="0" w:type="auto"/>
            <w:vAlign w:val="bottom"/>
            <w:hideMark/>
          </w:tcPr>
          <w:p w14:paraId="1F8164B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202B8D8"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D7A1EEA" w14:textId="77777777" w:rsidR="00000000" w:rsidRDefault="003C49E9">
            <w:pPr>
              <w:pStyle w:val="a3"/>
              <w:spacing w:before="0" w:beforeAutospacing="0" w:after="0" w:afterAutospacing="0"/>
              <w:jc w:val="center"/>
              <w:rPr>
                <w:sz w:val="16"/>
                <w:szCs w:val="16"/>
              </w:rPr>
            </w:pPr>
            <w:r>
              <w:rPr>
                <w:b/>
                <w:bCs/>
                <w:sz w:val="16"/>
                <w:szCs w:val="16"/>
              </w:rPr>
              <w:t>As of June 30, 202</w:t>
            </w:r>
            <w:r>
              <w:rPr>
                <w:b/>
                <w:bCs/>
                <w:sz w:val="16"/>
                <w:szCs w:val="16"/>
              </w:rPr>
              <w:t>2</w:t>
            </w:r>
          </w:p>
        </w:tc>
        <w:tc>
          <w:tcPr>
            <w:tcW w:w="0" w:type="auto"/>
            <w:vAlign w:val="bottom"/>
            <w:hideMark/>
          </w:tcPr>
          <w:p w14:paraId="5100FF2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E4956A8"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E8E3C8D" w14:textId="77777777" w:rsidR="00000000" w:rsidRDefault="003C49E9">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14:paraId="41B5DF0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0DCFA70" w14:textId="77777777">
        <w:trPr>
          <w:divId w:val="697851297"/>
          <w:trHeight w:val="160"/>
          <w:tblCellSpacing w:w="15" w:type="dxa"/>
        </w:trPr>
        <w:tc>
          <w:tcPr>
            <w:tcW w:w="0" w:type="auto"/>
            <w:vAlign w:val="bottom"/>
            <w:hideMark/>
          </w:tcPr>
          <w:p w14:paraId="4E79057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3D2DFE0"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BE358B6"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7BCF0AC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A13F605" w14:textId="77777777">
        <w:trPr>
          <w:divId w:val="697851297"/>
          <w:trHeight w:val="200"/>
          <w:tblCellSpacing w:w="15" w:type="dxa"/>
        </w:trPr>
        <w:tc>
          <w:tcPr>
            <w:tcW w:w="0" w:type="auto"/>
            <w:vAlign w:val="bottom"/>
            <w:hideMark/>
          </w:tcPr>
          <w:p w14:paraId="488070A1" w14:textId="77777777" w:rsidR="00000000" w:rsidRDefault="003C49E9">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14:paraId="026DB77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623338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F7DAFB2" w14:textId="77777777" w:rsidR="00000000" w:rsidRDefault="003C49E9">
            <w:pPr>
              <w:pStyle w:val="a3"/>
              <w:spacing w:before="0" w:beforeAutospacing="0" w:after="0" w:afterAutospacing="0"/>
              <w:jc w:val="right"/>
              <w:rPr>
                <w:sz w:val="20"/>
                <w:szCs w:val="20"/>
              </w:rPr>
            </w:pPr>
            <w:r>
              <w:rPr>
                <w:sz w:val="20"/>
                <w:szCs w:val="20"/>
              </w:rPr>
              <w:t>459,08</w:t>
            </w:r>
            <w:r>
              <w:rPr>
                <w:sz w:val="20"/>
                <w:szCs w:val="20"/>
              </w:rPr>
              <w:t>3</w:t>
            </w:r>
          </w:p>
        </w:tc>
        <w:tc>
          <w:tcPr>
            <w:tcW w:w="0" w:type="auto"/>
            <w:noWrap/>
            <w:vAlign w:val="bottom"/>
            <w:hideMark/>
          </w:tcPr>
          <w:p w14:paraId="23CA19B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B49DB2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B690DD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84473BB" w14:textId="77777777" w:rsidR="00000000" w:rsidRDefault="003C49E9">
            <w:pPr>
              <w:pStyle w:val="a3"/>
              <w:spacing w:before="0" w:beforeAutospacing="0" w:after="0" w:afterAutospacing="0"/>
              <w:jc w:val="right"/>
              <w:rPr>
                <w:sz w:val="20"/>
                <w:szCs w:val="20"/>
              </w:rPr>
            </w:pPr>
            <w:r>
              <w:rPr>
                <w:sz w:val="20"/>
                <w:szCs w:val="20"/>
              </w:rPr>
              <w:t>459,99</w:t>
            </w:r>
            <w:r>
              <w:rPr>
                <w:sz w:val="20"/>
                <w:szCs w:val="20"/>
              </w:rPr>
              <w:t>9</w:t>
            </w:r>
          </w:p>
        </w:tc>
        <w:tc>
          <w:tcPr>
            <w:tcW w:w="0" w:type="auto"/>
            <w:noWrap/>
            <w:vAlign w:val="bottom"/>
            <w:hideMark/>
          </w:tcPr>
          <w:p w14:paraId="45188E32" w14:textId="77777777" w:rsidR="00000000" w:rsidRDefault="003C49E9">
            <w:pPr>
              <w:pStyle w:val="a3"/>
              <w:spacing w:before="0" w:beforeAutospacing="0" w:after="0" w:afterAutospacing="0"/>
              <w:rPr>
                <w:sz w:val="20"/>
                <w:szCs w:val="20"/>
              </w:rPr>
            </w:pPr>
            <w:r>
              <w:rPr>
                <w:sz w:val="20"/>
                <w:szCs w:val="20"/>
              </w:rPr>
              <w:t> </w:t>
            </w:r>
          </w:p>
        </w:tc>
      </w:tr>
      <w:tr w:rsidR="00000000" w14:paraId="1EE0B002" w14:textId="77777777">
        <w:trPr>
          <w:divId w:val="697851297"/>
          <w:trHeight w:val="200"/>
          <w:tblCellSpacing w:w="15" w:type="dxa"/>
        </w:trPr>
        <w:tc>
          <w:tcPr>
            <w:tcW w:w="0" w:type="auto"/>
            <w:vAlign w:val="bottom"/>
            <w:hideMark/>
          </w:tcPr>
          <w:p w14:paraId="4AD20032" w14:textId="77777777" w:rsidR="00000000" w:rsidRDefault="003C49E9">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14:paraId="755E6AF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3A2F5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D360912" w14:textId="77777777" w:rsidR="00000000" w:rsidRDefault="003C49E9">
            <w:pPr>
              <w:pStyle w:val="a3"/>
              <w:spacing w:before="0" w:beforeAutospacing="0" w:after="0" w:afterAutospacing="0"/>
              <w:jc w:val="right"/>
              <w:rPr>
                <w:sz w:val="18"/>
                <w:szCs w:val="18"/>
              </w:rPr>
            </w:pPr>
            <w:r>
              <w:rPr>
                <w:sz w:val="18"/>
                <w:szCs w:val="18"/>
              </w:rPr>
              <w:t>—</w:t>
            </w:r>
          </w:p>
        </w:tc>
        <w:tc>
          <w:tcPr>
            <w:tcW w:w="0" w:type="auto"/>
            <w:noWrap/>
            <w:vAlign w:val="bottom"/>
            <w:hideMark/>
          </w:tcPr>
          <w:p w14:paraId="2D06DEC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B9DD0C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05E997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322EC9" w14:textId="77777777" w:rsidR="00000000" w:rsidRDefault="003C49E9">
            <w:pPr>
              <w:pStyle w:val="a3"/>
              <w:spacing w:before="0" w:beforeAutospacing="0" w:after="0" w:afterAutospacing="0"/>
              <w:jc w:val="right"/>
              <w:rPr>
                <w:sz w:val="20"/>
                <w:szCs w:val="20"/>
              </w:rPr>
            </w:pPr>
            <w:r>
              <w:rPr>
                <w:sz w:val="20"/>
                <w:szCs w:val="20"/>
              </w:rPr>
              <w:t>(</w:t>
            </w:r>
            <w:r>
              <w:rPr>
                <w:sz w:val="20"/>
                <w:szCs w:val="20"/>
              </w:rPr>
              <w:t>70,59</w:t>
            </w:r>
            <w:r>
              <w:rPr>
                <w:sz w:val="20"/>
                <w:szCs w:val="20"/>
              </w:rPr>
              <w:t>4</w:t>
            </w:r>
          </w:p>
        </w:tc>
        <w:tc>
          <w:tcPr>
            <w:tcW w:w="0" w:type="auto"/>
            <w:noWrap/>
            <w:vAlign w:val="bottom"/>
            <w:hideMark/>
          </w:tcPr>
          <w:p w14:paraId="3839DD04" w14:textId="77777777" w:rsidR="00000000" w:rsidRDefault="003C49E9">
            <w:pPr>
              <w:pStyle w:val="a3"/>
              <w:spacing w:before="0" w:beforeAutospacing="0" w:after="0" w:afterAutospacing="0"/>
              <w:rPr>
                <w:sz w:val="20"/>
                <w:szCs w:val="20"/>
              </w:rPr>
            </w:pPr>
            <w:r>
              <w:rPr>
                <w:sz w:val="20"/>
                <w:szCs w:val="20"/>
              </w:rPr>
              <w:t>)</w:t>
            </w:r>
          </w:p>
        </w:tc>
      </w:tr>
      <w:tr w:rsidR="00000000" w14:paraId="262EB198" w14:textId="77777777">
        <w:trPr>
          <w:divId w:val="697851297"/>
          <w:trHeight w:val="200"/>
          <w:tblCellSpacing w:w="15" w:type="dxa"/>
        </w:trPr>
        <w:tc>
          <w:tcPr>
            <w:tcW w:w="0" w:type="auto"/>
            <w:vAlign w:val="bottom"/>
            <w:hideMark/>
          </w:tcPr>
          <w:p w14:paraId="2CCCF021" w14:textId="77777777" w:rsidR="00000000" w:rsidRDefault="003C49E9">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14:paraId="4D24ECB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C991F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9663C6A" w14:textId="77777777" w:rsidR="00000000" w:rsidRDefault="003C49E9">
            <w:pPr>
              <w:pStyle w:val="a3"/>
              <w:spacing w:before="0" w:beforeAutospacing="0" w:after="0" w:afterAutospacing="0"/>
              <w:jc w:val="right"/>
              <w:rPr>
                <w:sz w:val="20"/>
                <w:szCs w:val="20"/>
              </w:rPr>
            </w:pPr>
            <w:r>
              <w:rPr>
                <w:sz w:val="20"/>
                <w:szCs w:val="20"/>
              </w:rPr>
              <w:t>(</w:t>
            </w:r>
            <w:r>
              <w:rPr>
                <w:sz w:val="20"/>
                <w:szCs w:val="20"/>
              </w:rPr>
              <w:t>5,85</w:t>
            </w:r>
            <w:r>
              <w:rPr>
                <w:sz w:val="20"/>
                <w:szCs w:val="20"/>
              </w:rPr>
              <w:t>1</w:t>
            </w:r>
          </w:p>
        </w:tc>
        <w:tc>
          <w:tcPr>
            <w:tcW w:w="0" w:type="auto"/>
            <w:noWrap/>
            <w:vAlign w:val="bottom"/>
            <w:hideMark/>
          </w:tcPr>
          <w:p w14:paraId="22287DC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66E423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EEFFD2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7D040BF" w14:textId="77777777" w:rsidR="00000000" w:rsidRDefault="003C49E9">
            <w:pPr>
              <w:pStyle w:val="a3"/>
              <w:spacing w:before="0" w:beforeAutospacing="0" w:after="0" w:afterAutospacing="0"/>
              <w:jc w:val="right"/>
              <w:rPr>
                <w:sz w:val="20"/>
                <w:szCs w:val="20"/>
              </w:rPr>
            </w:pPr>
            <w:r>
              <w:rPr>
                <w:sz w:val="20"/>
                <w:szCs w:val="20"/>
              </w:rPr>
              <w:t>(</w:t>
            </w:r>
            <w:r>
              <w:rPr>
                <w:sz w:val="20"/>
                <w:szCs w:val="20"/>
              </w:rPr>
              <w:t>5,54</w:t>
            </w:r>
            <w:r>
              <w:rPr>
                <w:sz w:val="20"/>
                <w:szCs w:val="20"/>
              </w:rPr>
              <w:t>4</w:t>
            </w:r>
          </w:p>
        </w:tc>
        <w:tc>
          <w:tcPr>
            <w:tcW w:w="0" w:type="auto"/>
            <w:noWrap/>
            <w:vAlign w:val="bottom"/>
            <w:hideMark/>
          </w:tcPr>
          <w:p w14:paraId="3B50CF55" w14:textId="77777777" w:rsidR="00000000" w:rsidRDefault="003C49E9">
            <w:pPr>
              <w:pStyle w:val="a3"/>
              <w:spacing w:before="0" w:beforeAutospacing="0" w:after="0" w:afterAutospacing="0"/>
              <w:rPr>
                <w:sz w:val="20"/>
                <w:szCs w:val="20"/>
              </w:rPr>
            </w:pPr>
            <w:r>
              <w:rPr>
                <w:sz w:val="20"/>
                <w:szCs w:val="20"/>
              </w:rPr>
              <w:t>)</w:t>
            </w:r>
          </w:p>
        </w:tc>
      </w:tr>
      <w:tr w:rsidR="00000000" w14:paraId="6DF7BB53" w14:textId="77777777">
        <w:trPr>
          <w:divId w:val="697851297"/>
          <w:trHeight w:val="200"/>
          <w:tblCellSpacing w:w="15" w:type="dxa"/>
        </w:trPr>
        <w:tc>
          <w:tcPr>
            <w:tcW w:w="0" w:type="auto"/>
            <w:vAlign w:val="bottom"/>
            <w:hideMark/>
          </w:tcPr>
          <w:p w14:paraId="685FD328" w14:textId="77777777" w:rsidR="00000000" w:rsidRDefault="003C49E9">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14:paraId="3F34958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F5A0AE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C61211A" w14:textId="77777777" w:rsidR="00000000" w:rsidRDefault="003C49E9">
            <w:pPr>
              <w:pStyle w:val="a3"/>
              <w:spacing w:before="0" w:beforeAutospacing="0" w:after="0" w:afterAutospacing="0"/>
              <w:jc w:val="right"/>
              <w:rPr>
                <w:sz w:val="20"/>
                <w:szCs w:val="20"/>
              </w:rPr>
            </w:pPr>
            <w:r>
              <w:rPr>
                <w:sz w:val="20"/>
                <w:szCs w:val="20"/>
              </w:rPr>
              <w:t>453,23</w:t>
            </w:r>
            <w:r>
              <w:rPr>
                <w:sz w:val="20"/>
                <w:szCs w:val="20"/>
              </w:rPr>
              <w:t>2</w:t>
            </w:r>
          </w:p>
        </w:tc>
        <w:tc>
          <w:tcPr>
            <w:tcW w:w="0" w:type="auto"/>
            <w:noWrap/>
            <w:vAlign w:val="bottom"/>
            <w:hideMark/>
          </w:tcPr>
          <w:p w14:paraId="553FAC7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C8897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64F004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FC9D63E" w14:textId="77777777" w:rsidR="00000000" w:rsidRDefault="003C49E9">
            <w:pPr>
              <w:pStyle w:val="a3"/>
              <w:spacing w:before="0" w:beforeAutospacing="0" w:after="0" w:afterAutospacing="0"/>
              <w:jc w:val="right"/>
              <w:rPr>
                <w:sz w:val="20"/>
                <w:szCs w:val="20"/>
              </w:rPr>
            </w:pPr>
            <w:r>
              <w:rPr>
                <w:sz w:val="20"/>
                <w:szCs w:val="20"/>
              </w:rPr>
              <w:t>383,86</w:t>
            </w:r>
            <w:r>
              <w:rPr>
                <w:sz w:val="20"/>
                <w:szCs w:val="20"/>
              </w:rPr>
              <w:t>1</w:t>
            </w:r>
          </w:p>
        </w:tc>
        <w:tc>
          <w:tcPr>
            <w:tcW w:w="0" w:type="auto"/>
            <w:noWrap/>
            <w:vAlign w:val="bottom"/>
            <w:hideMark/>
          </w:tcPr>
          <w:p w14:paraId="6D2CE26F" w14:textId="77777777" w:rsidR="00000000" w:rsidRDefault="003C49E9">
            <w:pPr>
              <w:pStyle w:val="a3"/>
              <w:spacing w:before="0" w:beforeAutospacing="0" w:after="0" w:afterAutospacing="0"/>
              <w:rPr>
                <w:sz w:val="20"/>
                <w:szCs w:val="20"/>
              </w:rPr>
            </w:pPr>
            <w:r>
              <w:rPr>
                <w:sz w:val="20"/>
                <w:szCs w:val="20"/>
              </w:rPr>
              <w:t> </w:t>
            </w:r>
          </w:p>
        </w:tc>
      </w:tr>
    </w:tbl>
    <w:p w14:paraId="53DA5ADC" w14:textId="77777777" w:rsidR="00000000" w:rsidRDefault="003C49E9">
      <w:pPr>
        <w:pStyle w:val="a3"/>
        <w:spacing w:before="200" w:beforeAutospacing="0" w:after="0" w:afterAutospacing="0"/>
        <w:ind w:firstLine="555"/>
        <w:divId w:val="1529296453"/>
        <w:rPr>
          <w:sz w:val="20"/>
          <w:szCs w:val="20"/>
        </w:rPr>
      </w:pPr>
      <w:r>
        <w:rPr>
          <w:sz w:val="20"/>
          <w:szCs w:val="20"/>
        </w:rPr>
        <w:t>Interest expense related to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442"/>
        <w:gridCol w:w="110"/>
        <w:gridCol w:w="160"/>
        <w:gridCol w:w="634"/>
        <w:gridCol w:w="110"/>
        <w:gridCol w:w="110"/>
        <w:gridCol w:w="160"/>
        <w:gridCol w:w="686"/>
        <w:gridCol w:w="110"/>
        <w:gridCol w:w="110"/>
        <w:gridCol w:w="160"/>
        <w:gridCol w:w="603"/>
        <w:gridCol w:w="110"/>
        <w:gridCol w:w="110"/>
        <w:gridCol w:w="160"/>
        <w:gridCol w:w="745"/>
        <w:gridCol w:w="125"/>
      </w:tblGrid>
      <w:tr w:rsidR="00000000" w14:paraId="516C7F34" w14:textId="77777777">
        <w:trPr>
          <w:divId w:val="1529296453"/>
          <w:tblCellSpacing w:w="15" w:type="dxa"/>
        </w:trPr>
        <w:tc>
          <w:tcPr>
            <w:tcW w:w="2025" w:type="pct"/>
            <w:vAlign w:val="center"/>
            <w:hideMark/>
          </w:tcPr>
          <w:p w14:paraId="7ADC7F90" w14:textId="77777777" w:rsidR="00000000" w:rsidRDefault="003C49E9">
            <w:pPr>
              <w:rPr>
                <w:sz w:val="20"/>
                <w:szCs w:val="20"/>
              </w:rPr>
            </w:pPr>
          </w:p>
        </w:tc>
        <w:tc>
          <w:tcPr>
            <w:tcW w:w="62" w:type="pct"/>
            <w:vAlign w:val="center"/>
            <w:hideMark/>
          </w:tcPr>
          <w:p w14:paraId="7816A8C0" w14:textId="77777777" w:rsidR="00000000" w:rsidRDefault="003C49E9">
            <w:pPr>
              <w:rPr>
                <w:rFonts w:eastAsia="Times New Roman"/>
                <w:sz w:val="20"/>
                <w:szCs w:val="20"/>
              </w:rPr>
            </w:pPr>
          </w:p>
        </w:tc>
        <w:tc>
          <w:tcPr>
            <w:tcW w:w="50" w:type="pct"/>
            <w:vAlign w:val="center"/>
            <w:hideMark/>
          </w:tcPr>
          <w:p w14:paraId="1854CE41" w14:textId="77777777" w:rsidR="00000000" w:rsidRDefault="003C49E9">
            <w:pPr>
              <w:rPr>
                <w:rFonts w:eastAsia="Times New Roman"/>
                <w:sz w:val="20"/>
                <w:szCs w:val="20"/>
              </w:rPr>
            </w:pPr>
          </w:p>
        </w:tc>
        <w:tc>
          <w:tcPr>
            <w:tcW w:w="558" w:type="pct"/>
            <w:vAlign w:val="center"/>
            <w:hideMark/>
          </w:tcPr>
          <w:p w14:paraId="08795AE0" w14:textId="77777777" w:rsidR="00000000" w:rsidRDefault="003C49E9">
            <w:pPr>
              <w:rPr>
                <w:rFonts w:eastAsia="Times New Roman"/>
                <w:sz w:val="20"/>
                <w:szCs w:val="20"/>
              </w:rPr>
            </w:pPr>
          </w:p>
        </w:tc>
        <w:tc>
          <w:tcPr>
            <w:tcW w:w="50" w:type="pct"/>
            <w:vAlign w:val="center"/>
            <w:hideMark/>
          </w:tcPr>
          <w:p w14:paraId="329FECE3" w14:textId="77777777" w:rsidR="00000000" w:rsidRDefault="003C49E9">
            <w:pPr>
              <w:rPr>
                <w:rFonts w:eastAsia="Times New Roman"/>
                <w:sz w:val="20"/>
                <w:szCs w:val="20"/>
              </w:rPr>
            </w:pPr>
          </w:p>
        </w:tc>
        <w:tc>
          <w:tcPr>
            <w:tcW w:w="62" w:type="pct"/>
            <w:vAlign w:val="center"/>
            <w:hideMark/>
          </w:tcPr>
          <w:p w14:paraId="3C4F8C11" w14:textId="77777777" w:rsidR="00000000" w:rsidRDefault="003C49E9">
            <w:pPr>
              <w:rPr>
                <w:rFonts w:eastAsia="Times New Roman"/>
                <w:sz w:val="20"/>
                <w:szCs w:val="20"/>
              </w:rPr>
            </w:pPr>
          </w:p>
        </w:tc>
        <w:tc>
          <w:tcPr>
            <w:tcW w:w="50" w:type="pct"/>
            <w:vAlign w:val="center"/>
            <w:hideMark/>
          </w:tcPr>
          <w:p w14:paraId="52BD4C94" w14:textId="77777777" w:rsidR="00000000" w:rsidRDefault="003C49E9">
            <w:pPr>
              <w:rPr>
                <w:rFonts w:eastAsia="Times New Roman"/>
                <w:sz w:val="20"/>
                <w:szCs w:val="20"/>
              </w:rPr>
            </w:pPr>
          </w:p>
        </w:tc>
        <w:tc>
          <w:tcPr>
            <w:tcW w:w="600" w:type="pct"/>
            <w:vAlign w:val="center"/>
            <w:hideMark/>
          </w:tcPr>
          <w:p w14:paraId="432FB2E4" w14:textId="77777777" w:rsidR="00000000" w:rsidRDefault="003C49E9">
            <w:pPr>
              <w:rPr>
                <w:rFonts w:eastAsia="Times New Roman"/>
                <w:sz w:val="20"/>
                <w:szCs w:val="20"/>
              </w:rPr>
            </w:pPr>
          </w:p>
        </w:tc>
        <w:tc>
          <w:tcPr>
            <w:tcW w:w="50" w:type="pct"/>
            <w:vAlign w:val="center"/>
            <w:hideMark/>
          </w:tcPr>
          <w:p w14:paraId="17EEA89A" w14:textId="77777777" w:rsidR="00000000" w:rsidRDefault="003C49E9">
            <w:pPr>
              <w:rPr>
                <w:rFonts w:eastAsia="Times New Roman"/>
                <w:sz w:val="20"/>
                <w:szCs w:val="20"/>
              </w:rPr>
            </w:pPr>
          </w:p>
        </w:tc>
        <w:tc>
          <w:tcPr>
            <w:tcW w:w="57" w:type="pct"/>
            <w:vAlign w:val="center"/>
            <w:hideMark/>
          </w:tcPr>
          <w:p w14:paraId="39C6D245" w14:textId="77777777" w:rsidR="00000000" w:rsidRDefault="003C49E9">
            <w:pPr>
              <w:rPr>
                <w:rFonts w:eastAsia="Times New Roman"/>
                <w:sz w:val="20"/>
                <w:szCs w:val="20"/>
              </w:rPr>
            </w:pPr>
          </w:p>
        </w:tc>
        <w:tc>
          <w:tcPr>
            <w:tcW w:w="50" w:type="pct"/>
            <w:vAlign w:val="center"/>
            <w:hideMark/>
          </w:tcPr>
          <w:p w14:paraId="1B7D6EFF" w14:textId="77777777" w:rsidR="00000000" w:rsidRDefault="003C49E9">
            <w:pPr>
              <w:rPr>
                <w:rFonts w:eastAsia="Times New Roman"/>
                <w:sz w:val="20"/>
                <w:szCs w:val="20"/>
              </w:rPr>
            </w:pPr>
          </w:p>
        </w:tc>
        <w:tc>
          <w:tcPr>
            <w:tcW w:w="532" w:type="pct"/>
            <w:vAlign w:val="center"/>
            <w:hideMark/>
          </w:tcPr>
          <w:p w14:paraId="3617DC84" w14:textId="77777777" w:rsidR="00000000" w:rsidRDefault="003C49E9">
            <w:pPr>
              <w:rPr>
                <w:rFonts w:eastAsia="Times New Roman"/>
                <w:sz w:val="20"/>
                <w:szCs w:val="20"/>
              </w:rPr>
            </w:pPr>
          </w:p>
        </w:tc>
        <w:tc>
          <w:tcPr>
            <w:tcW w:w="50" w:type="pct"/>
            <w:vAlign w:val="center"/>
            <w:hideMark/>
          </w:tcPr>
          <w:p w14:paraId="4C73906A" w14:textId="77777777" w:rsidR="00000000" w:rsidRDefault="003C49E9">
            <w:pPr>
              <w:rPr>
                <w:rFonts w:eastAsia="Times New Roman"/>
                <w:sz w:val="20"/>
                <w:szCs w:val="20"/>
              </w:rPr>
            </w:pPr>
          </w:p>
        </w:tc>
        <w:tc>
          <w:tcPr>
            <w:tcW w:w="52" w:type="pct"/>
            <w:vAlign w:val="center"/>
            <w:hideMark/>
          </w:tcPr>
          <w:p w14:paraId="087811E5" w14:textId="77777777" w:rsidR="00000000" w:rsidRDefault="003C49E9">
            <w:pPr>
              <w:rPr>
                <w:rFonts w:eastAsia="Times New Roman"/>
                <w:sz w:val="20"/>
                <w:szCs w:val="20"/>
              </w:rPr>
            </w:pPr>
          </w:p>
        </w:tc>
        <w:tc>
          <w:tcPr>
            <w:tcW w:w="50" w:type="pct"/>
            <w:vAlign w:val="center"/>
            <w:hideMark/>
          </w:tcPr>
          <w:p w14:paraId="01533A70" w14:textId="77777777" w:rsidR="00000000" w:rsidRDefault="003C49E9">
            <w:pPr>
              <w:rPr>
                <w:rFonts w:eastAsia="Times New Roman"/>
                <w:sz w:val="20"/>
                <w:szCs w:val="20"/>
              </w:rPr>
            </w:pPr>
          </w:p>
        </w:tc>
        <w:tc>
          <w:tcPr>
            <w:tcW w:w="648" w:type="pct"/>
            <w:vAlign w:val="center"/>
            <w:hideMark/>
          </w:tcPr>
          <w:p w14:paraId="70F58FA9" w14:textId="77777777" w:rsidR="00000000" w:rsidRDefault="003C49E9">
            <w:pPr>
              <w:rPr>
                <w:rFonts w:eastAsia="Times New Roman"/>
                <w:sz w:val="20"/>
                <w:szCs w:val="20"/>
              </w:rPr>
            </w:pPr>
          </w:p>
        </w:tc>
        <w:tc>
          <w:tcPr>
            <w:tcW w:w="50" w:type="pct"/>
            <w:vAlign w:val="center"/>
            <w:hideMark/>
          </w:tcPr>
          <w:p w14:paraId="17953059" w14:textId="77777777" w:rsidR="00000000" w:rsidRDefault="003C49E9">
            <w:pPr>
              <w:rPr>
                <w:rFonts w:eastAsia="Times New Roman"/>
                <w:sz w:val="20"/>
                <w:szCs w:val="20"/>
              </w:rPr>
            </w:pPr>
          </w:p>
        </w:tc>
      </w:tr>
      <w:tr w:rsidR="00000000" w14:paraId="6E21A90D" w14:textId="77777777">
        <w:trPr>
          <w:divId w:val="1529296453"/>
          <w:trHeight w:val="160"/>
          <w:tblCellSpacing w:w="15" w:type="dxa"/>
        </w:trPr>
        <w:tc>
          <w:tcPr>
            <w:tcW w:w="0" w:type="auto"/>
            <w:vAlign w:val="bottom"/>
            <w:hideMark/>
          </w:tcPr>
          <w:p w14:paraId="4A58C28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A2CCB87"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388E33E"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25829C4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EB18EE8"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CC42895"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C55AED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2BB87BC" w14:textId="77777777">
        <w:trPr>
          <w:divId w:val="1529296453"/>
          <w:trHeight w:val="160"/>
          <w:tblCellSpacing w:w="15" w:type="dxa"/>
        </w:trPr>
        <w:tc>
          <w:tcPr>
            <w:tcW w:w="0" w:type="auto"/>
            <w:vAlign w:val="bottom"/>
            <w:hideMark/>
          </w:tcPr>
          <w:p w14:paraId="1C5F38F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C19C656"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3DA79D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F818B4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7C89F33"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9025CB"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306B46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3440DEA"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D6A7E5"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9F3C68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813BD5A"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853E1DD"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50CAFA7"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DEFED2B" w14:textId="77777777">
        <w:trPr>
          <w:divId w:val="1529296453"/>
          <w:trHeight w:val="160"/>
          <w:tblCellSpacing w:w="15" w:type="dxa"/>
        </w:trPr>
        <w:tc>
          <w:tcPr>
            <w:tcW w:w="0" w:type="auto"/>
            <w:vAlign w:val="bottom"/>
            <w:hideMark/>
          </w:tcPr>
          <w:p w14:paraId="4F5330F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58AE66C" w14:textId="77777777" w:rsidR="00000000" w:rsidRDefault="003C49E9">
            <w:pPr>
              <w:pStyle w:val="a3"/>
              <w:spacing w:before="0" w:beforeAutospacing="0" w:after="0" w:afterAutospacing="0"/>
              <w:rPr>
                <w:sz w:val="16"/>
                <w:szCs w:val="16"/>
              </w:rPr>
            </w:pPr>
            <w:r>
              <w:rPr>
                <w:sz w:val="16"/>
                <w:szCs w:val="16"/>
              </w:rPr>
              <w:t> </w:t>
            </w:r>
          </w:p>
        </w:tc>
        <w:tc>
          <w:tcPr>
            <w:tcW w:w="0" w:type="auto"/>
            <w:gridSpan w:val="14"/>
            <w:vAlign w:val="bottom"/>
            <w:hideMark/>
          </w:tcPr>
          <w:p w14:paraId="7CB6A3E2"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5BA0F77"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CC20A67" w14:textId="77777777">
        <w:trPr>
          <w:divId w:val="1529296453"/>
          <w:trHeight w:val="200"/>
          <w:tblCellSpacing w:w="15" w:type="dxa"/>
        </w:trPr>
        <w:tc>
          <w:tcPr>
            <w:tcW w:w="0" w:type="auto"/>
            <w:vAlign w:val="bottom"/>
            <w:hideMark/>
          </w:tcPr>
          <w:p w14:paraId="086A7985" w14:textId="77777777" w:rsidR="00000000" w:rsidRDefault="003C49E9">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14:paraId="77C4903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ADCC6C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2C36B09" w14:textId="77777777" w:rsidR="00000000" w:rsidRDefault="003C49E9">
            <w:pPr>
              <w:pStyle w:val="a3"/>
              <w:spacing w:before="0" w:beforeAutospacing="0" w:after="0" w:afterAutospacing="0"/>
              <w:jc w:val="right"/>
              <w:rPr>
                <w:sz w:val="20"/>
                <w:szCs w:val="20"/>
              </w:rPr>
            </w:pPr>
            <w:r>
              <w:rPr>
                <w:sz w:val="20"/>
                <w:szCs w:val="20"/>
              </w:rPr>
              <w:t>43</w:t>
            </w:r>
            <w:r>
              <w:rPr>
                <w:sz w:val="20"/>
                <w:szCs w:val="20"/>
              </w:rPr>
              <w:t>0</w:t>
            </w:r>
          </w:p>
        </w:tc>
        <w:tc>
          <w:tcPr>
            <w:tcW w:w="0" w:type="auto"/>
            <w:noWrap/>
            <w:vAlign w:val="bottom"/>
            <w:hideMark/>
          </w:tcPr>
          <w:p w14:paraId="6DEDF37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A1E2B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98443A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2243315" w14:textId="77777777" w:rsidR="00000000" w:rsidRDefault="003C49E9">
            <w:pPr>
              <w:pStyle w:val="a3"/>
              <w:spacing w:before="0" w:beforeAutospacing="0" w:after="0" w:afterAutospacing="0"/>
              <w:jc w:val="right"/>
              <w:rPr>
                <w:sz w:val="20"/>
                <w:szCs w:val="20"/>
              </w:rPr>
            </w:pPr>
            <w:r>
              <w:rPr>
                <w:sz w:val="20"/>
                <w:szCs w:val="20"/>
              </w:rPr>
              <w:t>43</w:t>
            </w:r>
            <w:r>
              <w:rPr>
                <w:sz w:val="20"/>
                <w:szCs w:val="20"/>
              </w:rPr>
              <w:t>1</w:t>
            </w:r>
          </w:p>
        </w:tc>
        <w:tc>
          <w:tcPr>
            <w:tcW w:w="0" w:type="auto"/>
            <w:noWrap/>
            <w:vAlign w:val="bottom"/>
            <w:hideMark/>
          </w:tcPr>
          <w:p w14:paraId="71C8AF8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02B47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1D2451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AB294D3" w14:textId="77777777" w:rsidR="00000000" w:rsidRDefault="003C49E9">
            <w:pPr>
              <w:pStyle w:val="a3"/>
              <w:spacing w:before="0" w:beforeAutospacing="0" w:after="0" w:afterAutospacing="0"/>
              <w:jc w:val="right"/>
              <w:rPr>
                <w:sz w:val="20"/>
                <w:szCs w:val="20"/>
              </w:rPr>
            </w:pPr>
            <w:r>
              <w:rPr>
                <w:sz w:val="20"/>
                <w:szCs w:val="20"/>
              </w:rPr>
              <w:t>86</w:t>
            </w:r>
            <w:r>
              <w:rPr>
                <w:sz w:val="20"/>
                <w:szCs w:val="20"/>
              </w:rPr>
              <w:t>1</w:t>
            </w:r>
          </w:p>
        </w:tc>
        <w:tc>
          <w:tcPr>
            <w:tcW w:w="0" w:type="auto"/>
            <w:noWrap/>
            <w:vAlign w:val="bottom"/>
            <w:hideMark/>
          </w:tcPr>
          <w:p w14:paraId="20041F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92AB22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600ECA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C840A93" w14:textId="77777777" w:rsidR="00000000" w:rsidRDefault="003C49E9">
            <w:pPr>
              <w:pStyle w:val="a3"/>
              <w:spacing w:before="0" w:beforeAutospacing="0" w:after="0" w:afterAutospacing="0"/>
              <w:jc w:val="right"/>
              <w:rPr>
                <w:sz w:val="20"/>
                <w:szCs w:val="20"/>
              </w:rPr>
            </w:pPr>
            <w:r>
              <w:rPr>
                <w:sz w:val="20"/>
                <w:szCs w:val="20"/>
              </w:rPr>
              <w:t>86</w:t>
            </w:r>
            <w:r>
              <w:rPr>
                <w:sz w:val="20"/>
                <w:szCs w:val="20"/>
              </w:rPr>
              <w:t>2</w:t>
            </w:r>
          </w:p>
        </w:tc>
        <w:tc>
          <w:tcPr>
            <w:tcW w:w="0" w:type="auto"/>
            <w:noWrap/>
            <w:vAlign w:val="bottom"/>
            <w:hideMark/>
          </w:tcPr>
          <w:p w14:paraId="70969AEB" w14:textId="77777777" w:rsidR="00000000" w:rsidRDefault="003C49E9">
            <w:pPr>
              <w:pStyle w:val="a3"/>
              <w:spacing w:before="0" w:beforeAutospacing="0" w:after="0" w:afterAutospacing="0"/>
              <w:rPr>
                <w:sz w:val="20"/>
                <w:szCs w:val="20"/>
              </w:rPr>
            </w:pPr>
            <w:r>
              <w:rPr>
                <w:sz w:val="20"/>
                <w:szCs w:val="20"/>
              </w:rPr>
              <w:t> </w:t>
            </w:r>
          </w:p>
        </w:tc>
      </w:tr>
      <w:tr w:rsidR="00000000" w14:paraId="52EE98D2" w14:textId="77777777">
        <w:trPr>
          <w:divId w:val="1529296453"/>
          <w:trHeight w:val="200"/>
          <w:tblCellSpacing w:w="15" w:type="dxa"/>
        </w:trPr>
        <w:tc>
          <w:tcPr>
            <w:tcW w:w="0" w:type="auto"/>
            <w:vAlign w:val="bottom"/>
            <w:hideMark/>
          </w:tcPr>
          <w:p w14:paraId="1B15F3F4" w14:textId="77777777" w:rsidR="00000000" w:rsidRDefault="003C49E9">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14:paraId="343C85A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0DFF90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60BB68"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4902846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09D8A5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6D0937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B69CCA" w14:textId="77777777" w:rsidR="00000000" w:rsidRDefault="003C49E9">
            <w:pPr>
              <w:pStyle w:val="a3"/>
              <w:spacing w:before="0" w:beforeAutospacing="0" w:after="0" w:afterAutospacing="0"/>
              <w:jc w:val="right"/>
              <w:rPr>
                <w:sz w:val="20"/>
                <w:szCs w:val="20"/>
              </w:rPr>
            </w:pPr>
            <w:r>
              <w:rPr>
                <w:sz w:val="20"/>
                <w:szCs w:val="20"/>
              </w:rPr>
              <w:t>4,51</w:t>
            </w:r>
            <w:r>
              <w:rPr>
                <w:sz w:val="20"/>
                <w:szCs w:val="20"/>
              </w:rPr>
              <w:t>0</w:t>
            </w:r>
          </w:p>
        </w:tc>
        <w:tc>
          <w:tcPr>
            <w:tcW w:w="0" w:type="auto"/>
            <w:noWrap/>
            <w:vAlign w:val="bottom"/>
            <w:hideMark/>
          </w:tcPr>
          <w:p w14:paraId="4AA9E52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C8AEB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7E32FA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A88BC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A068D1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6039C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E9534A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10B3D9" w14:textId="77777777" w:rsidR="00000000" w:rsidRDefault="003C49E9">
            <w:pPr>
              <w:pStyle w:val="a3"/>
              <w:spacing w:before="0" w:beforeAutospacing="0" w:after="0" w:afterAutospacing="0"/>
              <w:jc w:val="right"/>
              <w:rPr>
                <w:sz w:val="20"/>
                <w:szCs w:val="20"/>
              </w:rPr>
            </w:pPr>
            <w:r>
              <w:rPr>
                <w:sz w:val="20"/>
                <w:szCs w:val="20"/>
              </w:rPr>
              <w:t>8,90</w:t>
            </w:r>
            <w:r>
              <w:rPr>
                <w:sz w:val="20"/>
                <w:szCs w:val="20"/>
              </w:rPr>
              <w:t>1</w:t>
            </w:r>
          </w:p>
        </w:tc>
        <w:tc>
          <w:tcPr>
            <w:tcW w:w="0" w:type="auto"/>
            <w:noWrap/>
            <w:vAlign w:val="bottom"/>
            <w:hideMark/>
          </w:tcPr>
          <w:p w14:paraId="54D03784" w14:textId="77777777" w:rsidR="00000000" w:rsidRDefault="003C49E9">
            <w:pPr>
              <w:pStyle w:val="a3"/>
              <w:spacing w:before="0" w:beforeAutospacing="0" w:after="0" w:afterAutospacing="0"/>
              <w:rPr>
                <w:sz w:val="20"/>
                <w:szCs w:val="20"/>
              </w:rPr>
            </w:pPr>
            <w:r>
              <w:rPr>
                <w:sz w:val="20"/>
                <w:szCs w:val="20"/>
              </w:rPr>
              <w:t> </w:t>
            </w:r>
          </w:p>
        </w:tc>
      </w:tr>
      <w:tr w:rsidR="00000000" w14:paraId="0F85A53D" w14:textId="77777777">
        <w:trPr>
          <w:divId w:val="1529296453"/>
          <w:trHeight w:val="200"/>
          <w:tblCellSpacing w:w="15" w:type="dxa"/>
        </w:trPr>
        <w:tc>
          <w:tcPr>
            <w:tcW w:w="0" w:type="auto"/>
            <w:vAlign w:val="bottom"/>
            <w:hideMark/>
          </w:tcPr>
          <w:p w14:paraId="26699046" w14:textId="77777777" w:rsidR="00000000" w:rsidRDefault="003C49E9">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14:paraId="3AD09B0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D948D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CB66DE" w14:textId="77777777" w:rsidR="00000000" w:rsidRDefault="003C49E9">
            <w:pPr>
              <w:pStyle w:val="a3"/>
              <w:spacing w:before="0" w:beforeAutospacing="0" w:after="0" w:afterAutospacing="0"/>
              <w:jc w:val="right"/>
              <w:rPr>
                <w:sz w:val="20"/>
                <w:szCs w:val="20"/>
              </w:rPr>
            </w:pPr>
            <w:r>
              <w:rPr>
                <w:sz w:val="20"/>
                <w:szCs w:val="20"/>
              </w:rPr>
              <w:t>49</w:t>
            </w:r>
            <w:r>
              <w:rPr>
                <w:sz w:val="20"/>
                <w:szCs w:val="20"/>
              </w:rPr>
              <w:t>2</w:t>
            </w:r>
          </w:p>
        </w:tc>
        <w:tc>
          <w:tcPr>
            <w:tcW w:w="0" w:type="auto"/>
            <w:noWrap/>
            <w:vAlign w:val="bottom"/>
            <w:hideMark/>
          </w:tcPr>
          <w:p w14:paraId="7F36570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B63FB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4B695D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9FFEF9" w14:textId="77777777" w:rsidR="00000000" w:rsidRDefault="003C49E9">
            <w:pPr>
              <w:pStyle w:val="a3"/>
              <w:spacing w:before="0" w:beforeAutospacing="0" w:after="0" w:afterAutospacing="0"/>
              <w:jc w:val="right"/>
              <w:rPr>
                <w:sz w:val="20"/>
                <w:szCs w:val="20"/>
              </w:rPr>
            </w:pPr>
            <w:r>
              <w:rPr>
                <w:sz w:val="20"/>
                <w:szCs w:val="20"/>
              </w:rPr>
              <w:t>35</w:t>
            </w:r>
            <w:r>
              <w:rPr>
                <w:sz w:val="20"/>
                <w:szCs w:val="20"/>
              </w:rPr>
              <w:t>4</w:t>
            </w:r>
          </w:p>
        </w:tc>
        <w:tc>
          <w:tcPr>
            <w:tcW w:w="0" w:type="auto"/>
            <w:noWrap/>
            <w:vAlign w:val="bottom"/>
            <w:hideMark/>
          </w:tcPr>
          <w:p w14:paraId="74057F6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1F68B3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A4842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285FCF" w14:textId="77777777" w:rsidR="00000000" w:rsidRDefault="003C49E9">
            <w:pPr>
              <w:pStyle w:val="a3"/>
              <w:spacing w:before="0" w:beforeAutospacing="0" w:after="0" w:afterAutospacing="0"/>
              <w:jc w:val="right"/>
              <w:rPr>
                <w:sz w:val="20"/>
                <w:szCs w:val="20"/>
              </w:rPr>
            </w:pPr>
            <w:r>
              <w:rPr>
                <w:sz w:val="20"/>
                <w:szCs w:val="20"/>
              </w:rPr>
              <w:t>97</w:t>
            </w:r>
            <w:r>
              <w:rPr>
                <w:sz w:val="20"/>
                <w:szCs w:val="20"/>
              </w:rPr>
              <w:t>3</w:t>
            </w:r>
          </w:p>
        </w:tc>
        <w:tc>
          <w:tcPr>
            <w:tcW w:w="0" w:type="auto"/>
            <w:noWrap/>
            <w:vAlign w:val="bottom"/>
            <w:hideMark/>
          </w:tcPr>
          <w:p w14:paraId="04F03B6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22AE0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07B84A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9C5B54" w14:textId="77777777" w:rsidR="00000000" w:rsidRDefault="003C49E9">
            <w:pPr>
              <w:pStyle w:val="a3"/>
              <w:spacing w:before="0" w:beforeAutospacing="0" w:after="0" w:afterAutospacing="0"/>
              <w:jc w:val="right"/>
              <w:rPr>
                <w:sz w:val="20"/>
                <w:szCs w:val="20"/>
              </w:rPr>
            </w:pPr>
            <w:r>
              <w:rPr>
                <w:sz w:val="20"/>
                <w:szCs w:val="20"/>
              </w:rPr>
              <w:t>69</w:t>
            </w:r>
            <w:r>
              <w:rPr>
                <w:sz w:val="20"/>
                <w:szCs w:val="20"/>
              </w:rPr>
              <w:t>9</w:t>
            </w:r>
          </w:p>
        </w:tc>
        <w:tc>
          <w:tcPr>
            <w:tcW w:w="0" w:type="auto"/>
            <w:noWrap/>
            <w:vAlign w:val="bottom"/>
            <w:hideMark/>
          </w:tcPr>
          <w:p w14:paraId="52688A12" w14:textId="77777777" w:rsidR="00000000" w:rsidRDefault="003C49E9">
            <w:pPr>
              <w:pStyle w:val="a3"/>
              <w:spacing w:before="0" w:beforeAutospacing="0" w:after="0" w:afterAutospacing="0"/>
              <w:rPr>
                <w:sz w:val="20"/>
                <w:szCs w:val="20"/>
              </w:rPr>
            </w:pPr>
            <w:r>
              <w:rPr>
                <w:sz w:val="20"/>
                <w:szCs w:val="20"/>
              </w:rPr>
              <w:t> </w:t>
            </w:r>
          </w:p>
        </w:tc>
      </w:tr>
      <w:tr w:rsidR="00000000" w14:paraId="40985A43" w14:textId="77777777">
        <w:trPr>
          <w:divId w:val="1529296453"/>
          <w:trHeight w:val="200"/>
          <w:tblCellSpacing w:w="15" w:type="dxa"/>
        </w:trPr>
        <w:tc>
          <w:tcPr>
            <w:tcW w:w="0" w:type="auto"/>
            <w:vAlign w:val="bottom"/>
            <w:hideMark/>
          </w:tcPr>
          <w:p w14:paraId="1520E0B1" w14:textId="77777777" w:rsidR="00000000" w:rsidRDefault="003C49E9">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14:paraId="29589D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9A32C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19A0FE0" w14:textId="77777777" w:rsidR="00000000" w:rsidRDefault="003C49E9">
            <w:pPr>
              <w:pStyle w:val="a3"/>
              <w:spacing w:before="0" w:beforeAutospacing="0" w:after="0" w:afterAutospacing="0"/>
              <w:jc w:val="right"/>
              <w:rPr>
                <w:sz w:val="20"/>
                <w:szCs w:val="20"/>
              </w:rPr>
            </w:pPr>
            <w:r>
              <w:rPr>
                <w:sz w:val="20"/>
                <w:szCs w:val="20"/>
              </w:rPr>
              <w:t>92</w:t>
            </w:r>
            <w:r>
              <w:rPr>
                <w:sz w:val="20"/>
                <w:szCs w:val="20"/>
              </w:rPr>
              <w:t>2</w:t>
            </w:r>
          </w:p>
        </w:tc>
        <w:tc>
          <w:tcPr>
            <w:tcW w:w="0" w:type="auto"/>
            <w:noWrap/>
            <w:vAlign w:val="bottom"/>
            <w:hideMark/>
          </w:tcPr>
          <w:p w14:paraId="0E5FBE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114CE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4BF0D3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06C003E" w14:textId="77777777" w:rsidR="00000000" w:rsidRDefault="003C49E9">
            <w:pPr>
              <w:pStyle w:val="a3"/>
              <w:spacing w:before="0" w:beforeAutospacing="0" w:after="0" w:afterAutospacing="0"/>
              <w:jc w:val="right"/>
              <w:rPr>
                <w:sz w:val="20"/>
                <w:szCs w:val="20"/>
              </w:rPr>
            </w:pPr>
            <w:r>
              <w:rPr>
                <w:sz w:val="20"/>
                <w:szCs w:val="20"/>
              </w:rPr>
              <w:t>5,29</w:t>
            </w:r>
            <w:r>
              <w:rPr>
                <w:sz w:val="20"/>
                <w:szCs w:val="20"/>
              </w:rPr>
              <w:t>5</w:t>
            </w:r>
          </w:p>
        </w:tc>
        <w:tc>
          <w:tcPr>
            <w:tcW w:w="0" w:type="auto"/>
            <w:noWrap/>
            <w:vAlign w:val="bottom"/>
            <w:hideMark/>
          </w:tcPr>
          <w:p w14:paraId="0A521E4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60FFF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34741C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FB238FD" w14:textId="77777777" w:rsidR="00000000" w:rsidRDefault="003C49E9">
            <w:pPr>
              <w:pStyle w:val="a3"/>
              <w:spacing w:before="0" w:beforeAutospacing="0" w:after="0" w:afterAutospacing="0"/>
              <w:jc w:val="right"/>
              <w:rPr>
                <w:sz w:val="20"/>
                <w:szCs w:val="20"/>
              </w:rPr>
            </w:pPr>
            <w:r>
              <w:rPr>
                <w:sz w:val="20"/>
                <w:szCs w:val="20"/>
              </w:rPr>
              <w:t>1,83</w:t>
            </w:r>
            <w:r>
              <w:rPr>
                <w:sz w:val="20"/>
                <w:szCs w:val="20"/>
              </w:rPr>
              <w:t>4</w:t>
            </w:r>
          </w:p>
        </w:tc>
        <w:tc>
          <w:tcPr>
            <w:tcW w:w="0" w:type="auto"/>
            <w:noWrap/>
            <w:vAlign w:val="bottom"/>
            <w:hideMark/>
          </w:tcPr>
          <w:p w14:paraId="734144B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F6BFD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A2A18A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BFFD8EA" w14:textId="77777777" w:rsidR="00000000" w:rsidRDefault="003C49E9">
            <w:pPr>
              <w:pStyle w:val="a3"/>
              <w:spacing w:before="0" w:beforeAutospacing="0" w:after="0" w:afterAutospacing="0"/>
              <w:jc w:val="right"/>
              <w:rPr>
                <w:sz w:val="20"/>
                <w:szCs w:val="20"/>
              </w:rPr>
            </w:pPr>
            <w:r>
              <w:rPr>
                <w:sz w:val="20"/>
                <w:szCs w:val="20"/>
              </w:rPr>
              <w:t>10,46</w:t>
            </w:r>
            <w:r>
              <w:rPr>
                <w:sz w:val="20"/>
                <w:szCs w:val="20"/>
              </w:rPr>
              <w:t>2</w:t>
            </w:r>
          </w:p>
        </w:tc>
        <w:tc>
          <w:tcPr>
            <w:tcW w:w="0" w:type="auto"/>
            <w:noWrap/>
            <w:vAlign w:val="bottom"/>
            <w:hideMark/>
          </w:tcPr>
          <w:p w14:paraId="61316FBC" w14:textId="77777777" w:rsidR="00000000" w:rsidRDefault="003C49E9">
            <w:pPr>
              <w:pStyle w:val="a3"/>
              <w:spacing w:before="0" w:beforeAutospacing="0" w:after="0" w:afterAutospacing="0"/>
              <w:rPr>
                <w:sz w:val="20"/>
                <w:szCs w:val="20"/>
              </w:rPr>
            </w:pPr>
            <w:r>
              <w:rPr>
                <w:sz w:val="20"/>
                <w:szCs w:val="20"/>
              </w:rPr>
              <w:t> </w:t>
            </w:r>
          </w:p>
        </w:tc>
      </w:tr>
    </w:tbl>
    <w:p w14:paraId="2FCB8373" w14:textId="77777777" w:rsidR="00000000" w:rsidRDefault="003C49E9">
      <w:pPr>
        <w:pStyle w:val="a3"/>
        <w:spacing w:before="200" w:beforeAutospacing="0" w:after="0" w:afterAutospacing="0"/>
        <w:ind w:firstLine="555"/>
        <w:divId w:val="1159610284"/>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w:t>
      </w:r>
      <w:r>
        <w:rPr>
          <w:sz w:val="20"/>
          <w:szCs w:val="20"/>
        </w:rPr>
        <w:t>$</w:t>
      </w:r>
      <w:r>
        <w:rPr>
          <w:sz w:val="20"/>
          <w:szCs w:val="20"/>
        </w:rPr>
        <w:t>50.</w:t>
      </w:r>
      <w:r>
        <w:rPr>
          <w:sz w:val="20"/>
          <w:szCs w:val="20"/>
        </w:rPr>
        <w:t>6</w:t>
      </w:r>
      <w:r>
        <w:rPr>
          <w:sz w:val="20"/>
          <w:szCs w:val="20"/>
        </w:rPr>
        <w:t xml:space="preserve"> million paid for the Capped Call Options is recorded in stockholders’ equity as a reduction in addit</w:t>
      </w:r>
      <w:r>
        <w:rPr>
          <w:sz w:val="20"/>
          <w:szCs w:val="20"/>
        </w:rPr>
        <w:t>ional paid-in capital and are not accounted for as separate derivative financial instruments</w:t>
      </w:r>
      <w:r>
        <w:rPr>
          <w:sz w:val="20"/>
          <w:szCs w:val="20"/>
        </w:rPr>
        <w:t>.</w:t>
      </w:r>
    </w:p>
    <w:p w14:paraId="2D7E94B7" w14:textId="77777777" w:rsidR="00000000" w:rsidRDefault="003C49E9">
      <w:pPr>
        <w:pStyle w:val="a3"/>
        <w:spacing w:before="200" w:beforeAutospacing="0" w:after="0" w:afterAutospacing="0"/>
        <w:ind w:firstLine="555"/>
        <w:divId w:val="1159610284"/>
        <w:rPr>
          <w:sz w:val="20"/>
          <w:szCs w:val="20"/>
        </w:rPr>
      </w:pPr>
      <w:r>
        <w:rPr>
          <w:b/>
          <w:bCs/>
          <w:i/>
          <w:iCs/>
          <w:sz w:val="20"/>
          <w:szCs w:val="20"/>
        </w:rPr>
        <w:t>2022 Convertible Senior Notes, Convertible Note Hedge and Warran</w:t>
      </w:r>
      <w:r>
        <w:rPr>
          <w:b/>
          <w:bCs/>
          <w:i/>
          <w:iCs/>
          <w:sz w:val="20"/>
          <w:szCs w:val="20"/>
        </w:rPr>
        <w:t>t</w:t>
      </w:r>
    </w:p>
    <w:p w14:paraId="6C1C0453" w14:textId="77777777" w:rsidR="00000000" w:rsidRDefault="003C49E9">
      <w:pPr>
        <w:pStyle w:val="a3"/>
        <w:spacing w:before="200" w:beforeAutospacing="0" w:after="0" w:afterAutospacing="0"/>
        <w:ind w:firstLine="555"/>
        <w:divId w:val="1159610284"/>
        <w:rPr>
          <w:sz w:val="20"/>
          <w:szCs w:val="20"/>
        </w:rPr>
      </w:pPr>
      <w:r>
        <w:rPr>
          <w:sz w:val="20"/>
          <w:szCs w:val="20"/>
        </w:rPr>
        <w:t xml:space="preserve">In May 2017, the Company issued </w:t>
      </w:r>
      <w:r>
        <w:rPr>
          <w:sz w:val="20"/>
          <w:szCs w:val="20"/>
        </w:rPr>
        <w:t>$</w:t>
      </w:r>
      <w:r>
        <w:rPr>
          <w:sz w:val="20"/>
          <w:szCs w:val="20"/>
        </w:rPr>
        <w:t>350.</w:t>
      </w:r>
      <w:r>
        <w:rPr>
          <w:sz w:val="20"/>
          <w:szCs w:val="20"/>
        </w:rPr>
        <w:t>0</w:t>
      </w:r>
      <w:r>
        <w:rPr>
          <w:sz w:val="20"/>
          <w:szCs w:val="20"/>
        </w:rPr>
        <w:t xml:space="preserve"> </w:t>
      </w:r>
      <w:r>
        <w:rPr>
          <w:sz w:val="20"/>
          <w:szCs w:val="20"/>
        </w:rPr>
        <w:t>million aggregate principal amount of</w:t>
      </w:r>
      <w:r>
        <w:rPr>
          <w:sz w:val="20"/>
          <w:szCs w:val="20"/>
        </w:rPr>
        <w:t xml:space="preserve"> </w:t>
      </w:r>
      <w:r>
        <w:rPr>
          <w:sz w:val="20"/>
          <w:szCs w:val="20"/>
        </w:rPr>
        <w:t>0.2</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2</w:t>
      </w:r>
      <w:r>
        <w:rPr>
          <w:sz w:val="20"/>
          <w:szCs w:val="20"/>
        </w:rPr>
        <w:t xml:space="preserve"> (the “2022 Notes”) in a private offering and an additional </w:t>
      </w:r>
      <w:r>
        <w:rPr>
          <w:sz w:val="20"/>
          <w:szCs w:val="20"/>
        </w:rPr>
        <w:t>$</w:t>
      </w:r>
      <w:r>
        <w:rPr>
          <w:sz w:val="20"/>
          <w:szCs w:val="20"/>
        </w:rPr>
        <w:t>5</w:t>
      </w:r>
      <w:r>
        <w:rPr>
          <w:sz w:val="20"/>
          <w:szCs w:val="20"/>
        </w:rPr>
        <w:t>0</w:t>
      </w:r>
      <w:r>
        <w:rPr>
          <w:sz w:val="20"/>
          <w:szCs w:val="20"/>
        </w:rPr>
        <w:t xml:space="preserve"> million aggregate principal amount of the 2022 Notes pursuant to the exercise in full of the over-allotment</w:t>
      </w:r>
      <w:r>
        <w:rPr>
          <w:sz w:val="20"/>
          <w:szCs w:val="20"/>
        </w:rPr>
        <w:t xml:space="preserve"> options of the initial purchasers. of the 2022 Notes.</w:t>
      </w:r>
      <w:r>
        <w:rPr>
          <w:sz w:val="20"/>
          <w:szCs w:val="20"/>
        </w:rPr>
        <w:t xml:space="preserve"> </w:t>
      </w:r>
      <w:r>
        <w:rPr>
          <w:sz w:val="20"/>
          <w:szCs w:val="20"/>
        </w:rPr>
        <w:t>The interest rate is fixed at</w:t>
      </w:r>
      <w:r>
        <w:rPr>
          <w:sz w:val="20"/>
          <w:szCs w:val="20"/>
        </w:rPr>
        <w:t xml:space="preserve"> </w:t>
      </w:r>
      <w:r>
        <w:rPr>
          <w:sz w:val="20"/>
          <w:szCs w:val="20"/>
        </w:rPr>
        <w:t>0.2</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proceeds from the debt offering, after deducting initial purch</w:t>
      </w:r>
      <w:r>
        <w:rPr>
          <w:sz w:val="20"/>
          <w:szCs w:val="20"/>
        </w:rPr>
        <w:t xml:space="preserve">ase discounts and debt issuance costs, were approximately </w:t>
      </w:r>
      <w:r>
        <w:rPr>
          <w:sz w:val="20"/>
          <w:szCs w:val="20"/>
        </w:rPr>
        <w:t>$</w:t>
      </w:r>
      <w:r>
        <w:rPr>
          <w:sz w:val="20"/>
          <w:szCs w:val="20"/>
        </w:rPr>
        <w:t>389.</w:t>
      </w:r>
      <w:r>
        <w:rPr>
          <w:sz w:val="20"/>
          <w:szCs w:val="20"/>
        </w:rPr>
        <w:t>2</w:t>
      </w:r>
      <w:r>
        <w:rPr>
          <w:sz w:val="20"/>
          <w:szCs w:val="20"/>
        </w:rPr>
        <w:t xml:space="preserve"> million</w:t>
      </w:r>
      <w:r>
        <w:rPr>
          <w:sz w:val="20"/>
          <w:szCs w:val="20"/>
        </w:rPr>
        <w:t>.</w:t>
      </w:r>
      <w:r>
        <w:rPr>
          <w:sz w:val="20"/>
          <w:szCs w:val="20"/>
        </w:rPr>
        <w:t xml:space="preserve"> </w:t>
      </w:r>
    </w:p>
    <w:p w14:paraId="09DEC7D0" w14:textId="77777777" w:rsidR="00000000" w:rsidRDefault="003C49E9">
      <w:pPr>
        <w:pStyle w:val="a3"/>
        <w:spacing w:before="200" w:beforeAutospacing="0" w:after="0" w:afterAutospacing="0"/>
        <w:ind w:firstLine="555"/>
        <w:divId w:val="1159610284"/>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principal amount of the 2022 Notes are currently convertible into</w:t>
      </w:r>
      <w:r>
        <w:rPr>
          <w:sz w:val="20"/>
          <w:szCs w:val="20"/>
        </w:rPr>
        <w:t xml:space="preserve"> </w:t>
      </w:r>
      <w:r>
        <w:rPr>
          <w:sz w:val="20"/>
          <w:szCs w:val="20"/>
        </w:rPr>
        <w:t>10.551</w:t>
      </w:r>
      <w:r>
        <w:rPr>
          <w:sz w:val="20"/>
          <w:szCs w:val="20"/>
        </w:rPr>
        <w:t>9</w:t>
      </w:r>
      <w:r>
        <w:rPr>
          <w:sz w:val="20"/>
          <w:szCs w:val="20"/>
        </w:rPr>
        <w:t xml:space="preserve"> shares of the Company’s common stock (the “Conversion Option of the 2022 Notes”), which is equi</w:t>
      </w:r>
      <w:r>
        <w:rPr>
          <w:sz w:val="20"/>
          <w:szCs w:val="20"/>
        </w:rPr>
        <w:t xml:space="preserve">valent to an initial conversion price of approximately </w:t>
      </w:r>
      <w:r>
        <w:rPr>
          <w:sz w:val="20"/>
          <w:szCs w:val="20"/>
        </w:rPr>
        <w:t>$</w:t>
      </w:r>
      <w:r>
        <w:rPr>
          <w:sz w:val="20"/>
          <w:szCs w:val="20"/>
        </w:rPr>
        <w:t>94.7</w:t>
      </w:r>
      <w:r>
        <w:rPr>
          <w:sz w:val="20"/>
          <w:szCs w:val="20"/>
        </w:rPr>
        <w:t>7</w:t>
      </w:r>
      <w:r>
        <w:rPr>
          <w:sz w:val="20"/>
          <w:szCs w:val="20"/>
        </w:rPr>
        <w:t xml:space="preserve"> per share, subject to adjustment upon the occurrence of specified events. On or after February 1, 2022 until the close of business on the second scheduled trading day immediately preceding the m</w:t>
      </w:r>
      <w:r>
        <w:rPr>
          <w:sz w:val="20"/>
          <w:szCs w:val="20"/>
        </w:rPr>
        <w:t xml:space="preserve">aturity date, holders may convert their notes at any time. Upon conversion, the Company will pay or deliver, as the case may be, cash, shares of the Company’s common stock or a combination of cash and shares of the Company’s common stock, at the Company’s </w:t>
      </w:r>
      <w:r>
        <w:rPr>
          <w:sz w:val="20"/>
          <w:szCs w:val="20"/>
        </w:rPr>
        <w:t xml:space="preserve">election. On June 1, 2022, upon the maturity of the 2022 Notes, the Company paid </w:t>
      </w:r>
      <w:r>
        <w:rPr>
          <w:sz w:val="20"/>
          <w:szCs w:val="20"/>
        </w:rPr>
        <w:t>$</w:t>
      </w:r>
      <w:r>
        <w:rPr>
          <w:sz w:val="20"/>
          <w:szCs w:val="20"/>
        </w:rPr>
        <w:t>19.</w:t>
      </w:r>
      <w:r>
        <w:rPr>
          <w:sz w:val="20"/>
          <w:szCs w:val="20"/>
        </w:rPr>
        <w:t>4</w:t>
      </w:r>
      <w:r>
        <w:rPr>
          <w:sz w:val="20"/>
          <w:szCs w:val="20"/>
        </w:rPr>
        <w:t xml:space="preserve"> million to satisfy the aggregate principal amount due and </w:t>
      </w:r>
      <w:r>
        <w:rPr>
          <w:sz w:val="20"/>
          <w:szCs w:val="20"/>
        </w:rPr>
        <w:t>$</w:t>
      </w:r>
      <w:r>
        <w:rPr>
          <w:sz w:val="20"/>
          <w:szCs w:val="20"/>
        </w:rPr>
        <w:t>60.</w:t>
      </w:r>
      <w:r>
        <w:rPr>
          <w:sz w:val="20"/>
          <w:szCs w:val="20"/>
        </w:rPr>
        <w:t>4</w:t>
      </w:r>
      <w:r>
        <w:rPr>
          <w:sz w:val="20"/>
          <w:szCs w:val="20"/>
        </w:rPr>
        <w:t xml:space="preserve"> million for the conversion premium in excess of the principal amount</w:t>
      </w:r>
      <w:r>
        <w:rPr>
          <w:sz w:val="20"/>
          <w:szCs w:val="20"/>
        </w:rPr>
        <w:t>.</w:t>
      </w:r>
      <w:r>
        <w:rPr>
          <w:sz w:val="20"/>
          <w:szCs w:val="20"/>
        </w:rPr>
        <w:t xml:space="preserve"> </w:t>
      </w:r>
    </w:p>
    <w:p w14:paraId="42A41A27" w14:textId="77777777" w:rsidR="00000000" w:rsidRDefault="003C49E9">
      <w:pPr>
        <w:pStyle w:val="a3"/>
        <w:spacing w:before="200" w:beforeAutospacing="0" w:after="0" w:afterAutospacing="0"/>
        <w:ind w:firstLine="555"/>
        <w:divId w:val="1159610284"/>
        <w:rPr>
          <w:sz w:val="20"/>
          <w:szCs w:val="20"/>
        </w:rPr>
      </w:pPr>
      <w:r>
        <w:rPr>
          <w:sz w:val="20"/>
          <w:szCs w:val="20"/>
        </w:rPr>
        <w:t>In connection with the offering of</w:t>
      </w:r>
      <w:r>
        <w:rPr>
          <w:sz w:val="20"/>
          <w:szCs w:val="20"/>
        </w:rPr>
        <w:t xml:space="preserve"> the 2022 Notes, the Company entered into convertible note hedge transactions (the “Convertible Note Hedges”) with certain counterparties in which the Company has the option to purchase (subject to adjustment for certain specified events) up to approximate</w:t>
      </w:r>
      <w:r>
        <w:rPr>
          <w:sz w:val="20"/>
          <w:szCs w:val="20"/>
        </w:rPr>
        <w:t>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w:t>
      </w:r>
      <w:r>
        <w:rPr>
          <w:sz w:val="20"/>
          <w:szCs w:val="20"/>
        </w:rPr>
        <w:t xml:space="preserve"> </w:t>
      </w:r>
      <w:r>
        <w:rPr>
          <w:sz w:val="20"/>
          <w:szCs w:val="20"/>
        </w:rPr>
        <w:t>share. The Convertible Note Hedges will be settled in cash or shares, or any combination thereof, in accordance with the settlement method of the 2022 Notes in exces</w:t>
      </w:r>
      <w:r>
        <w:rPr>
          <w:sz w:val="20"/>
          <w:szCs w:val="20"/>
        </w:rPr>
        <w:t>s of the par amount, and are expected to settle concurrently with the conversion of th</w:t>
      </w:r>
      <w:r>
        <w:rPr>
          <w:sz w:val="20"/>
          <w:szCs w:val="20"/>
        </w:rPr>
        <w:t>e</w:t>
      </w:r>
      <w:r>
        <w:rPr>
          <w:sz w:val="20"/>
          <w:szCs w:val="20"/>
        </w:rPr>
        <w:t xml:space="preserve"> </w:t>
      </w:r>
    </w:p>
    <w:p w14:paraId="2C8C2EB9" w14:textId="77777777" w:rsidR="00000000" w:rsidRDefault="003C49E9">
      <w:pPr>
        <w:pStyle w:val="a3"/>
        <w:spacing w:before="240" w:beforeAutospacing="0" w:after="0" w:afterAutospacing="0"/>
        <w:jc w:val="center"/>
        <w:divId w:val="1159610284"/>
        <w:rPr>
          <w:sz w:val="20"/>
          <w:szCs w:val="20"/>
        </w:rPr>
      </w:pPr>
      <w:r>
        <w:rPr>
          <w:sz w:val="20"/>
          <w:szCs w:val="20"/>
        </w:rPr>
        <w:t>1</w:t>
      </w:r>
      <w:r>
        <w:rPr>
          <w:sz w:val="20"/>
          <w:szCs w:val="20"/>
        </w:rPr>
        <w:t>7</w:t>
      </w:r>
    </w:p>
    <w:p w14:paraId="18E93FE8" w14:textId="77777777" w:rsidR="00000000" w:rsidRDefault="003C49E9">
      <w:pPr>
        <w:divId w:val="1159610284"/>
        <w:rPr>
          <w:rFonts w:eastAsia="Times New Roman"/>
          <w:sz w:val="20"/>
          <w:szCs w:val="20"/>
        </w:rPr>
      </w:pPr>
      <w:r>
        <w:rPr>
          <w:rFonts w:eastAsia="Times New Roman"/>
          <w:sz w:val="20"/>
          <w:szCs w:val="20"/>
        </w:rPr>
        <w:pict w14:anchorId="1C0A0001">
          <v:rect id="_x0000_i1041" style="width:0;height:1.5pt" o:hralign="center" o:hrstd="t" o:hr="t" fillcolor="#a0a0a0" stroked="f"/>
        </w:pict>
      </w:r>
    </w:p>
    <w:p w14:paraId="474572CF" w14:textId="77777777" w:rsidR="00000000" w:rsidRDefault="003C49E9">
      <w:pPr>
        <w:pStyle w:val="a3"/>
        <w:spacing w:before="0" w:beforeAutospacing="0" w:after="0" w:afterAutospacing="0"/>
        <w:divId w:val="1159610284"/>
        <w:rPr>
          <w:sz w:val="20"/>
          <w:szCs w:val="20"/>
        </w:rPr>
      </w:pPr>
      <w:r>
        <w:rPr>
          <w:sz w:val="20"/>
          <w:szCs w:val="20"/>
        </w:rPr>
        <w:t> </w:t>
      </w:r>
    </w:p>
    <w:p w14:paraId="4E524CA2" w14:textId="77777777" w:rsidR="00000000" w:rsidRDefault="003C49E9">
      <w:pPr>
        <w:pStyle w:val="a3"/>
        <w:spacing w:before="200" w:beforeAutospacing="0" w:after="0" w:afterAutospacing="0"/>
        <w:divId w:val="1159610284"/>
        <w:rPr>
          <w:sz w:val="20"/>
          <w:szCs w:val="20"/>
        </w:rPr>
      </w:pPr>
      <w:r>
        <w:rPr>
          <w:sz w:val="20"/>
          <w:szCs w:val="20"/>
        </w:rPr>
        <w:t>2022</w:t>
      </w:r>
      <w:r>
        <w:rPr>
          <w:sz w:val="20"/>
          <w:szCs w:val="20"/>
        </w:rPr>
        <w:t xml:space="preserve"> </w:t>
      </w:r>
      <w:r>
        <w:rPr>
          <w:sz w:val="20"/>
          <w:szCs w:val="20"/>
        </w:rPr>
        <w:t xml:space="preserve">Notes. Upon the maturity of the 2022 Notes on June 1, 2022, the remainder of the Convertible Note Hedges were settled in </w:t>
      </w:r>
      <w:r>
        <w:rPr>
          <w:sz w:val="20"/>
          <w:szCs w:val="20"/>
        </w:rPr>
        <w:t xml:space="preserve">cash. The Company received approximately </w:t>
      </w:r>
      <w:r>
        <w:rPr>
          <w:sz w:val="20"/>
          <w:szCs w:val="20"/>
        </w:rPr>
        <w:t>$</w:t>
      </w:r>
      <w:r>
        <w:rPr>
          <w:sz w:val="20"/>
          <w:szCs w:val="20"/>
        </w:rPr>
        <w:t>60.</w:t>
      </w:r>
      <w:r>
        <w:rPr>
          <w:sz w:val="20"/>
          <w:szCs w:val="20"/>
        </w:rPr>
        <w:t>5</w:t>
      </w:r>
      <w:r>
        <w:rPr>
          <w:sz w:val="20"/>
          <w:szCs w:val="20"/>
        </w:rPr>
        <w:t xml:space="preserve"> million in cash upon settlement</w:t>
      </w:r>
      <w:r>
        <w:rPr>
          <w:sz w:val="20"/>
          <w:szCs w:val="20"/>
        </w:rPr>
        <w:t>.</w:t>
      </w:r>
      <w:r>
        <w:rPr>
          <w:sz w:val="20"/>
          <w:szCs w:val="20"/>
        </w:rPr>
        <w:t xml:space="preserve"> </w:t>
      </w:r>
    </w:p>
    <w:p w14:paraId="4652D019" w14:textId="77777777" w:rsidR="00000000" w:rsidRDefault="003C49E9">
      <w:pPr>
        <w:pStyle w:val="a3"/>
        <w:spacing w:before="200" w:beforeAutospacing="0" w:after="0" w:afterAutospacing="0"/>
        <w:ind w:firstLine="555"/>
        <w:divId w:val="1159610284"/>
        <w:rPr>
          <w:sz w:val="20"/>
          <w:szCs w:val="20"/>
        </w:rPr>
      </w:pPr>
      <w:r>
        <w:rPr>
          <w:sz w:val="20"/>
          <w:szCs w:val="20"/>
        </w:rPr>
        <w:t>In addition, the Company sold warrants (the “Warrants”) to certain bank counterparties whereby the holders of the Warrants have the option to initially purchase (subject to ad</w:t>
      </w:r>
      <w:r>
        <w:rPr>
          <w:sz w:val="20"/>
          <w:szCs w:val="20"/>
        </w:rPr>
        <w:t>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 The amount by which the settlement price exceeds the strike price may be settled in shares or cash at the Compa</w:t>
      </w:r>
      <w:r>
        <w:rPr>
          <w:sz w:val="20"/>
          <w:szCs w:val="20"/>
        </w:rPr>
        <w:t>ny’s election.</w:t>
      </w:r>
      <w:r>
        <w:rPr>
          <w:sz w:val="20"/>
          <w:szCs w:val="20"/>
        </w:rPr>
        <w:t xml:space="preserve"> </w:t>
      </w:r>
      <w:r>
        <w:rPr>
          <w:sz w:val="20"/>
          <w:szCs w:val="20"/>
        </w:rPr>
        <w:t>The Warrants are expected to settle</w:t>
      </w:r>
      <w:r>
        <w:rPr>
          <w:sz w:val="20"/>
          <w:szCs w:val="20"/>
        </w:rPr>
        <w:t xml:space="preserve"> </w:t>
      </w:r>
      <w:r>
        <w:rPr>
          <w:sz w:val="20"/>
          <w:szCs w:val="20"/>
        </w:rPr>
        <w:t>thre</w:t>
      </w:r>
      <w:r>
        <w:rPr>
          <w:sz w:val="20"/>
          <w:szCs w:val="20"/>
        </w:rPr>
        <w:t>e</w:t>
      </w:r>
      <w:r>
        <w:rPr>
          <w:sz w:val="20"/>
          <w:szCs w:val="20"/>
        </w:rPr>
        <w:t xml:space="preserve"> business days from each trading day commencing on</w:t>
      </w:r>
      <w:r>
        <w:rPr>
          <w:sz w:val="20"/>
          <w:szCs w:val="20"/>
        </w:rPr>
        <w:t xml:space="preserve"> </w:t>
      </w:r>
      <w:r>
        <w:rPr>
          <w:sz w:val="20"/>
          <w:szCs w:val="20"/>
        </w:rPr>
        <w:t>September 1, 202</w:t>
      </w:r>
      <w:r>
        <w:rPr>
          <w:sz w:val="20"/>
          <w:szCs w:val="20"/>
        </w:rPr>
        <w:t>2</w:t>
      </w:r>
      <w:r>
        <w:rPr>
          <w:sz w:val="20"/>
          <w:szCs w:val="20"/>
        </w:rPr>
        <w:t xml:space="preserve"> and ending on the 79th trading day thereafter.</w:t>
      </w:r>
      <w:r>
        <w:rPr>
          <w:sz w:val="20"/>
          <w:szCs w:val="20"/>
        </w:rPr>
        <w:t xml:space="preserve"> </w:t>
      </w:r>
      <w:r>
        <w:rPr>
          <w:sz w:val="20"/>
          <w:szCs w:val="20"/>
        </w:rPr>
        <w:t>As of</w:t>
      </w:r>
      <w:r>
        <w:rPr>
          <w:sz w:val="20"/>
          <w:szCs w:val="20"/>
        </w:rPr>
        <w:t xml:space="preserve"> </w:t>
      </w:r>
      <w:r>
        <w:rPr>
          <w:sz w:val="20"/>
          <w:szCs w:val="20"/>
        </w:rPr>
        <w:t>June 30, 202</w:t>
      </w:r>
      <w:r>
        <w:rPr>
          <w:sz w:val="20"/>
          <w:szCs w:val="20"/>
        </w:rPr>
        <w:t>2</w:t>
      </w:r>
      <w:r>
        <w:rPr>
          <w:sz w:val="20"/>
          <w:szCs w:val="20"/>
        </w:rPr>
        <w:t>, Warrants giving certain counterparties the option to acquire up</w:t>
      </w:r>
      <w:r>
        <w:rPr>
          <w:sz w:val="20"/>
          <w:szCs w:val="20"/>
        </w:rPr>
        <w:t xml:space="preserve"> to</w:t>
      </w:r>
      <w:r>
        <w:rPr>
          <w:sz w:val="20"/>
          <w:szCs w:val="20"/>
        </w:rPr>
        <w:t xml:space="preserve"> </w:t>
      </w:r>
      <w:r>
        <w:rPr>
          <w:sz w:val="20"/>
          <w:szCs w:val="20"/>
        </w:rPr>
        <w:t>1.</w:t>
      </w:r>
      <w:r>
        <w:rPr>
          <w:sz w:val="20"/>
          <w:szCs w:val="20"/>
        </w:rPr>
        <w:t>3</w:t>
      </w:r>
      <w:r>
        <w:rPr>
          <w:sz w:val="20"/>
          <w:szCs w:val="20"/>
        </w:rPr>
        <w:t xml:space="preserve"> million shares of the Company’s common stock remain outstanding</w:t>
      </w:r>
      <w:r>
        <w:rPr>
          <w:sz w:val="20"/>
          <w:szCs w:val="20"/>
        </w:rPr>
        <w:t>.</w:t>
      </w:r>
    </w:p>
    <w:p w14:paraId="72062279" w14:textId="77777777" w:rsidR="00000000" w:rsidRDefault="003C49E9">
      <w:pPr>
        <w:pStyle w:val="a3"/>
        <w:spacing w:before="200" w:beforeAutospacing="0" w:after="0" w:afterAutospacing="0"/>
        <w:ind w:firstLine="555"/>
        <w:divId w:val="1159610284"/>
        <w:rPr>
          <w:sz w:val="20"/>
          <w:szCs w:val="20"/>
        </w:rPr>
      </w:pPr>
      <w:r>
        <w:rPr>
          <w:sz w:val="20"/>
          <w:szCs w:val="20"/>
        </w:rPr>
        <w:t xml:space="preserve">In accordance with GAAP relating to the embedded conversion feature, the Company bifurcated the conversion feature associated with the 2022 Notes and recorded </w:t>
      </w:r>
      <w:r>
        <w:rPr>
          <w:sz w:val="20"/>
          <w:szCs w:val="20"/>
        </w:rPr>
        <w:t>$</w:t>
      </w:r>
      <w:r>
        <w:rPr>
          <w:sz w:val="20"/>
          <w:szCs w:val="20"/>
        </w:rPr>
        <w:t>18.</w:t>
      </w:r>
      <w:r>
        <w:rPr>
          <w:sz w:val="20"/>
          <w:szCs w:val="20"/>
        </w:rPr>
        <w:t>9</w:t>
      </w:r>
      <w:r>
        <w:rPr>
          <w:sz w:val="20"/>
          <w:szCs w:val="20"/>
        </w:rPr>
        <w:t xml:space="preserve"> million to additio</w:t>
      </w:r>
      <w:r>
        <w:rPr>
          <w:sz w:val="20"/>
          <w:szCs w:val="20"/>
        </w:rPr>
        <w:t>nal paid-in capital for the conversion feature and the resulting debt discount was being amortized to interest expense. As there is no longer an equity component of the convertible debt under the new standard, the debt issuance cost and conversion option t</w:t>
      </w:r>
      <w:r>
        <w:rPr>
          <w:sz w:val="20"/>
          <w:szCs w:val="20"/>
        </w:rPr>
        <w:t>hat was allocated to the equity component was derecognized through an adjustment to opening retained earnings upon adoption of the new standard on January 1, 2022</w:t>
      </w:r>
      <w:r>
        <w:rPr>
          <w:sz w:val="20"/>
          <w:szCs w:val="20"/>
        </w:rPr>
        <w:t>.</w:t>
      </w:r>
      <w:r>
        <w:rPr>
          <w:sz w:val="20"/>
          <w:szCs w:val="20"/>
        </w:rPr>
        <w:t xml:space="preserve"> </w:t>
      </w:r>
    </w:p>
    <w:p w14:paraId="70658287" w14:textId="77777777" w:rsidR="00000000" w:rsidRDefault="003C49E9">
      <w:pPr>
        <w:pStyle w:val="a3"/>
        <w:spacing w:before="200" w:beforeAutospacing="0" w:after="0" w:afterAutospacing="0"/>
        <w:ind w:firstLine="555"/>
        <w:divId w:val="1547328377"/>
        <w:rPr>
          <w:sz w:val="20"/>
          <w:szCs w:val="20"/>
        </w:rPr>
      </w:pPr>
      <w:r>
        <w:rPr>
          <w:sz w:val="20"/>
          <w:szCs w:val="20"/>
        </w:rPr>
        <w:t>Interest expense related to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61"/>
        <w:gridCol w:w="160"/>
        <w:gridCol w:w="672"/>
        <w:gridCol w:w="110"/>
        <w:gridCol w:w="110"/>
        <w:gridCol w:w="160"/>
        <w:gridCol w:w="628"/>
        <w:gridCol w:w="110"/>
        <w:gridCol w:w="115"/>
        <w:gridCol w:w="160"/>
        <w:gridCol w:w="809"/>
        <w:gridCol w:w="110"/>
        <w:gridCol w:w="115"/>
        <w:gridCol w:w="160"/>
        <w:gridCol w:w="840"/>
        <w:gridCol w:w="125"/>
      </w:tblGrid>
      <w:tr w:rsidR="00000000" w14:paraId="16146CC6" w14:textId="77777777">
        <w:trPr>
          <w:divId w:val="1547328377"/>
          <w:tblCellSpacing w:w="15" w:type="dxa"/>
        </w:trPr>
        <w:tc>
          <w:tcPr>
            <w:tcW w:w="1866" w:type="pct"/>
            <w:vAlign w:val="center"/>
            <w:hideMark/>
          </w:tcPr>
          <w:p w14:paraId="014D5794" w14:textId="77777777" w:rsidR="00000000" w:rsidRDefault="003C49E9">
            <w:pPr>
              <w:rPr>
                <w:sz w:val="20"/>
                <w:szCs w:val="20"/>
              </w:rPr>
            </w:pPr>
          </w:p>
        </w:tc>
        <w:tc>
          <w:tcPr>
            <w:tcW w:w="50" w:type="pct"/>
            <w:vAlign w:val="center"/>
            <w:hideMark/>
          </w:tcPr>
          <w:p w14:paraId="0F2576DA" w14:textId="77777777" w:rsidR="00000000" w:rsidRDefault="003C49E9">
            <w:pPr>
              <w:rPr>
                <w:rFonts w:eastAsia="Times New Roman"/>
                <w:sz w:val="20"/>
                <w:szCs w:val="20"/>
              </w:rPr>
            </w:pPr>
          </w:p>
        </w:tc>
        <w:tc>
          <w:tcPr>
            <w:tcW w:w="584" w:type="pct"/>
            <w:vAlign w:val="center"/>
            <w:hideMark/>
          </w:tcPr>
          <w:p w14:paraId="2B4D3182" w14:textId="77777777" w:rsidR="00000000" w:rsidRDefault="003C49E9">
            <w:pPr>
              <w:rPr>
                <w:rFonts w:eastAsia="Times New Roman"/>
                <w:sz w:val="20"/>
                <w:szCs w:val="20"/>
              </w:rPr>
            </w:pPr>
          </w:p>
        </w:tc>
        <w:tc>
          <w:tcPr>
            <w:tcW w:w="50" w:type="pct"/>
            <w:vAlign w:val="center"/>
            <w:hideMark/>
          </w:tcPr>
          <w:p w14:paraId="4B7122ED" w14:textId="77777777" w:rsidR="00000000" w:rsidRDefault="003C49E9">
            <w:pPr>
              <w:rPr>
                <w:rFonts w:eastAsia="Times New Roman"/>
                <w:sz w:val="20"/>
                <w:szCs w:val="20"/>
              </w:rPr>
            </w:pPr>
          </w:p>
        </w:tc>
        <w:tc>
          <w:tcPr>
            <w:tcW w:w="60" w:type="pct"/>
            <w:vAlign w:val="center"/>
            <w:hideMark/>
          </w:tcPr>
          <w:p w14:paraId="4E55C65C" w14:textId="77777777" w:rsidR="00000000" w:rsidRDefault="003C49E9">
            <w:pPr>
              <w:rPr>
                <w:rFonts w:eastAsia="Times New Roman"/>
                <w:sz w:val="20"/>
                <w:szCs w:val="20"/>
              </w:rPr>
            </w:pPr>
          </w:p>
        </w:tc>
        <w:tc>
          <w:tcPr>
            <w:tcW w:w="50" w:type="pct"/>
            <w:vAlign w:val="center"/>
            <w:hideMark/>
          </w:tcPr>
          <w:p w14:paraId="4BA79AED" w14:textId="77777777" w:rsidR="00000000" w:rsidRDefault="003C49E9">
            <w:pPr>
              <w:rPr>
                <w:rFonts w:eastAsia="Times New Roman"/>
                <w:sz w:val="20"/>
                <w:szCs w:val="20"/>
              </w:rPr>
            </w:pPr>
          </w:p>
        </w:tc>
        <w:tc>
          <w:tcPr>
            <w:tcW w:w="548" w:type="pct"/>
            <w:vAlign w:val="center"/>
            <w:hideMark/>
          </w:tcPr>
          <w:p w14:paraId="77EF5853" w14:textId="77777777" w:rsidR="00000000" w:rsidRDefault="003C49E9">
            <w:pPr>
              <w:rPr>
                <w:rFonts w:eastAsia="Times New Roman"/>
                <w:sz w:val="20"/>
                <w:szCs w:val="20"/>
              </w:rPr>
            </w:pPr>
          </w:p>
        </w:tc>
        <w:tc>
          <w:tcPr>
            <w:tcW w:w="50" w:type="pct"/>
            <w:vAlign w:val="center"/>
            <w:hideMark/>
          </w:tcPr>
          <w:p w14:paraId="341C6D60" w14:textId="77777777" w:rsidR="00000000" w:rsidRDefault="003C49E9">
            <w:pPr>
              <w:rPr>
                <w:rFonts w:eastAsia="Times New Roman"/>
                <w:sz w:val="20"/>
                <w:szCs w:val="20"/>
              </w:rPr>
            </w:pPr>
          </w:p>
        </w:tc>
        <w:tc>
          <w:tcPr>
            <w:tcW w:w="60" w:type="pct"/>
            <w:vAlign w:val="center"/>
            <w:hideMark/>
          </w:tcPr>
          <w:p w14:paraId="419CD437" w14:textId="77777777" w:rsidR="00000000" w:rsidRDefault="003C49E9">
            <w:pPr>
              <w:rPr>
                <w:rFonts w:eastAsia="Times New Roman"/>
                <w:sz w:val="20"/>
                <w:szCs w:val="20"/>
              </w:rPr>
            </w:pPr>
          </w:p>
        </w:tc>
        <w:tc>
          <w:tcPr>
            <w:tcW w:w="50" w:type="pct"/>
            <w:vAlign w:val="center"/>
            <w:hideMark/>
          </w:tcPr>
          <w:p w14:paraId="388621BD" w14:textId="77777777" w:rsidR="00000000" w:rsidRDefault="003C49E9">
            <w:pPr>
              <w:rPr>
                <w:rFonts w:eastAsia="Times New Roman"/>
                <w:sz w:val="20"/>
                <w:szCs w:val="20"/>
              </w:rPr>
            </w:pPr>
          </w:p>
        </w:tc>
        <w:tc>
          <w:tcPr>
            <w:tcW w:w="696" w:type="pct"/>
            <w:vAlign w:val="center"/>
            <w:hideMark/>
          </w:tcPr>
          <w:p w14:paraId="0CC92EBF" w14:textId="77777777" w:rsidR="00000000" w:rsidRDefault="003C49E9">
            <w:pPr>
              <w:rPr>
                <w:rFonts w:eastAsia="Times New Roman"/>
                <w:sz w:val="20"/>
                <w:szCs w:val="20"/>
              </w:rPr>
            </w:pPr>
          </w:p>
        </w:tc>
        <w:tc>
          <w:tcPr>
            <w:tcW w:w="50" w:type="pct"/>
            <w:vAlign w:val="center"/>
            <w:hideMark/>
          </w:tcPr>
          <w:p w14:paraId="1D131C1F" w14:textId="77777777" w:rsidR="00000000" w:rsidRDefault="003C49E9">
            <w:pPr>
              <w:rPr>
                <w:rFonts w:eastAsia="Times New Roman"/>
                <w:sz w:val="20"/>
                <w:szCs w:val="20"/>
              </w:rPr>
            </w:pPr>
          </w:p>
        </w:tc>
        <w:tc>
          <w:tcPr>
            <w:tcW w:w="60" w:type="pct"/>
            <w:vAlign w:val="center"/>
            <w:hideMark/>
          </w:tcPr>
          <w:p w14:paraId="012A96B9" w14:textId="77777777" w:rsidR="00000000" w:rsidRDefault="003C49E9">
            <w:pPr>
              <w:rPr>
                <w:rFonts w:eastAsia="Times New Roman"/>
                <w:sz w:val="20"/>
                <w:szCs w:val="20"/>
              </w:rPr>
            </w:pPr>
          </w:p>
        </w:tc>
        <w:tc>
          <w:tcPr>
            <w:tcW w:w="50" w:type="pct"/>
            <w:vAlign w:val="center"/>
            <w:hideMark/>
          </w:tcPr>
          <w:p w14:paraId="59E4F94B" w14:textId="77777777" w:rsidR="00000000" w:rsidRDefault="003C49E9">
            <w:pPr>
              <w:rPr>
                <w:rFonts w:eastAsia="Times New Roman"/>
                <w:sz w:val="20"/>
                <w:szCs w:val="20"/>
              </w:rPr>
            </w:pPr>
          </w:p>
        </w:tc>
        <w:tc>
          <w:tcPr>
            <w:tcW w:w="720" w:type="pct"/>
            <w:vAlign w:val="center"/>
            <w:hideMark/>
          </w:tcPr>
          <w:p w14:paraId="403C9407" w14:textId="77777777" w:rsidR="00000000" w:rsidRDefault="003C49E9">
            <w:pPr>
              <w:rPr>
                <w:rFonts w:eastAsia="Times New Roman"/>
                <w:sz w:val="20"/>
                <w:szCs w:val="20"/>
              </w:rPr>
            </w:pPr>
          </w:p>
        </w:tc>
        <w:tc>
          <w:tcPr>
            <w:tcW w:w="50" w:type="pct"/>
            <w:vAlign w:val="center"/>
            <w:hideMark/>
          </w:tcPr>
          <w:p w14:paraId="6F07B76B" w14:textId="77777777" w:rsidR="00000000" w:rsidRDefault="003C49E9">
            <w:pPr>
              <w:rPr>
                <w:rFonts w:eastAsia="Times New Roman"/>
                <w:sz w:val="20"/>
                <w:szCs w:val="20"/>
              </w:rPr>
            </w:pPr>
          </w:p>
        </w:tc>
      </w:tr>
      <w:tr w:rsidR="00000000" w14:paraId="62D5CCE1" w14:textId="77777777">
        <w:trPr>
          <w:divId w:val="1547328377"/>
          <w:trHeight w:val="160"/>
          <w:tblCellSpacing w:w="15" w:type="dxa"/>
        </w:trPr>
        <w:tc>
          <w:tcPr>
            <w:tcW w:w="0" w:type="auto"/>
            <w:vAlign w:val="bottom"/>
            <w:hideMark/>
          </w:tcPr>
          <w:p w14:paraId="289DA6CC" w14:textId="77777777" w:rsidR="00000000" w:rsidRDefault="003C49E9">
            <w:pPr>
              <w:pStyle w:val="a3"/>
              <w:spacing w:before="0" w:beforeAutospacing="0" w:after="0" w:afterAutospacing="0"/>
              <w:rPr>
                <w:sz w:val="22"/>
                <w:szCs w:val="22"/>
              </w:rPr>
            </w:pPr>
            <w:r>
              <w:rPr>
                <w:sz w:val="22"/>
                <w:szCs w:val="22"/>
              </w:rPr>
              <w:t> </w:t>
            </w:r>
          </w:p>
        </w:tc>
        <w:tc>
          <w:tcPr>
            <w:tcW w:w="0" w:type="auto"/>
            <w:gridSpan w:val="6"/>
            <w:vAlign w:val="bottom"/>
            <w:hideMark/>
          </w:tcPr>
          <w:p w14:paraId="4314A2CC"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9B638E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EB22374" w14:textId="77777777" w:rsidR="00000000" w:rsidRDefault="003C49E9">
            <w:pPr>
              <w:pStyle w:val="a3"/>
              <w:spacing w:before="0" w:beforeAutospacing="0" w:after="0" w:afterAutospacing="0"/>
              <w:rPr>
                <w:sz w:val="22"/>
                <w:szCs w:val="22"/>
              </w:rPr>
            </w:pPr>
            <w:r>
              <w:rPr>
                <w:sz w:val="22"/>
                <w:szCs w:val="22"/>
              </w:rPr>
              <w:t> </w:t>
            </w:r>
          </w:p>
        </w:tc>
        <w:tc>
          <w:tcPr>
            <w:tcW w:w="0" w:type="auto"/>
            <w:gridSpan w:val="6"/>
            <w:vAlign w:val="bottom"/>
            <w:hideMark/>
          </w:tcPr>
          <w:p w14:paraId="0306E6B2"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3ACCEE11"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5253D20" w14:textId="77777777">
        <w:trPr>
          <w:divId w:val="1547328377"/>
          <w:trHeight w:val="160"/>
          <w:tblCellSpacing w:w="15" w:type="dxa"/>
        </w:trPr>
        <w:tc>
          <w:tcPr>
            <w:tcW w:w="0" w:type="auto"/>
            <w:vAlign w:val="bottom"/>
            <w:hideMark/>
          </w:tcPr>
          <w:p w14:paraId="3F21C841"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0E0C2A67"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3C35B2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88CC7A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BD50FE3"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7CF61C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9E7528E"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3A56F910"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59DAEC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D48066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F2B6B86"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FC8CB1F"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EA8D3D2" w14:textId="77777777">
        <w:trPr>
          <w:divId w:val="1547328377"/>
          <w:trHeight w:val="160"/>
          <w:tblCellSpacing w:w="15" w:type="dxa"/>
        </w:trPr>
        <w:tc>
          <w:tcPr>
            <w:tcW w:w="0" w:type="auto"/>
            <w:vAlign w:val="bottom"/>
            <w:hideMark/>
          </w:tcPr>
          <w:p w14:paraId="60A6DECC" w14:textId="77777777" w:rsidR="00000000" w:rsidRDefault="003C49E9">
            <w:pPr>
              <w:pStyle w:val="a3"/>
              <w:spacing w:before="0" w:beforeAutospacing="0" w:after="0" w:afterAutospacing="0"/>
              <w:rPr>
                <w:sz w:val="20"/>
                <w:szCs w:val="20"/>
              </w:rPr>
            </w:pPr>
            <w:r>
              <w:rPr>
                <w:sz w:val="20"/>
                <w:szCs w:val="20"/>
              </w:rPr>
              <w:t> </w:t>
            </w:r>
          </w:p>
        </w:tc>
        <w:tc>
          <w:tcPr>
            <w:tcW w:w="0" w:type="auto"/>
            <w:gridSpan w:val="6"/>
            <w:vAlign w:val="bottom"/>
            <w:hideMark/>
          </w:tcPr>
          <w:p w14:paraId="7CBE20B5"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4F9AF7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9CD8834" w14:textId="77777777" w:rsidR="00000000" w:rsidRDefault="003C49E9">
            <w:pPr>
              <w:pStyle w:val="a3"/>
              <w:spacing w:before="0" w:beforeAutospacing="0" w:after="0" w:afterAutospacing="0"/>
              <w:rPr>
                <w:sz w:val="22"/>
                <w:szCs w:val="22"/>
              </w:rPr>
            </w:pPr>
            <w:r>
              <w:rPr>
                <w:sz w:val="22"/>
                <w:szCs w:val="22"/>
              </w:rPr>
              <w:t> </w:t>
            </w:r>
          </w:p>
        </w:tc>
        <w:tc>
          <w:tcPr>
            <w:tcW w:w="0" w:type="auto"/>
            <w:gridSpan w:val="6"/>
            <w:vAlign w:val="bottom"/>
            <w:hideMark/>
          </w:tcPr>
          <w:p w14:paraId="7CEF0529"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78A5E0A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D6E31F5" w14:textId="77777777">
        <w:trPr>
          <w:divId w:val="1547328377"/>
          <w:trHeight w:val="200"/>
          <w:tblCellSpacing w:w="15" w:type="dxa"/>
        </w:trPr>
        <w:tc>
          <w:tcPr>
            <w:tcW w:w="0" w:type="auto"/>
            <w:vAlign w:val="bottom"/>
            <w:hideMark/>
          </w:tcPr>
          <w:p w14:paraId="7DD2CEB7" w14:textId="77777777" w:rsidR="00000000" w:rsidRDefault="003C49E9">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noWrap/>
            <w:vAlign w:val="bottom"/>
            <w:hideMark/>
          </w:tcPr>
          <w:p w14:paraId="1B5141D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75866AC" w14:textId="77777777" w:rsidR="00000000" w:rsidRDefault="003C49E9">
            <w:pPr>
              <w:pStyle w:val="a3"/>
              <w:spacing w:before="0" w:beforeAutospacing="0" w:after="0" w:afterAutospacing="0"/>
              <w:jc w:val="right"/>
              <w:rPr>
                <w:sz w:val="20"/>
                <w:szCs w:val="20"/>
              </w:rPr>
            </w:pPr>
            <w:r>
              <w:rPr>
                <w:sz w:val="20"/>
                <w:szCs w:val="20"/>
              </w:rPr>
              <w:t>8</w:t>
            </w:r>
          </w:p>
        </w:tc>
        <w:tc>
          <w:tcPr>
            <w:tcW w:w="0" w:type="auto"/>
            <w:noWrap/>
            <w:vAlign w:val="bottom"/>
            <w:hideMark/>
          </w:tcPr>
          <w:p w14:paraId="35678E7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D1CEC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BF6E78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A1C550B" w14:textId="77777777" w:rsidR="00000000" w:rsidRDefault="003C49E9">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14:paraId="2BF779B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05188D"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E8BC67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349BCFE" w14:textId="77777777" w:rsidR="00000000" w:rsidRDefault="003C49E9">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14:paraId="3EE416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343F4D"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26D543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744F415" w14:textId="77777777" w:rsidR="00000000" w:rsidRDefault="003C49E9">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14:paraId="0B54C09E" w14:textId="77777777" w:rsidR="00000000" w:rsidRDefault="003C49E9">
            <w:pPr>
              <w:pStyle w:val="a3"/>
              <w:spacing w:before="0" w:beforeAutospacing="0" w:after="0" w:afterAutospacing="0"/>
              <w:rPr>
                <w:sz w:val="20"/>
                <w:szCs w:val="20"/>
              </w:rPr>
            </w:pPr>
            <w:r>
              <w:rPr>
                <w:sz w:val="20"/>
                <w:szCs w:val="20"/>
              </w:rPr>
              <w:t> </w:t>
            </w:r>
          </w:p>
        </w:tc>
      </w:tr>
      <w:tr w:rsidR="00000000" w14:paraId="5E01CDFE" w14:textId="77777777">
        <w:trPr>
          <w:divId w:val="1547328377"/>
          <w:trHeight w:val="200"/>
          <w:tblCellSpacing w:w="15" w:type="dxa"/>
        </w:trPr>
        <w:tc>
          <w:tcPr>
            <w:tcW w:w="0" w:type="auto"/>
            <w:vAlign w:val="bottom"/>
            <w:hideMark/>
          </w:tcPr>
          <w:p w14:paraId="177F6590" w14:textId="77777777" w:rsidR="00000000" w:rsidRDefault="003C49E9">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noWrap/>
            <w:vAlign w:val="bottom"/>
            <w:hideMark/>
          </w:tcPr>
          <w:p w14:paraId="0D680BD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9A4E3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19B715B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FC87B2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928413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5A6C24" w14:textId="77777777" w:rsidR="00000000" w:rsidRDefault="003C49E9">
            <w:pPr>
              <w:pStyle w:val="a3"/>
              <w:spacing w:before="0" w:beforeAutospacing="0" w:after="0" w:afterAutospacing="0"/>
              <w:jc w:val="right"/>
              <w:rPr>
                <w:sz w:val="20"/>
                <w:szCs w:val="20"/>
              </w:rPr>
            </w:pPr>
            <w:r>
              <w:rPr>
                <w:sz w:val="20"/>
                <w:szCs w:val="20"/>
              </w:rPr>
              <w:t>1,07</w:t>
            </w:r>
            <w:r>
              <w:rPr>
                <w:sz w:val="20"/>
                <w:szCs w:val="20"/>
              </w:rPr>
              <w:t>4</w:t>
            </w:r>
          </w:p>
        </w:tc>
        <w:tc>
          <w:tcPr>
            <w:tcW w:w="0" w:type="auto"/>
            <w:noWrap/>
            <w:vAlign w:val="bottom"/>
            <w:hideMark/>
          </w:tcPr>
          <w:p w14:paraId="4FF36B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6C55D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F24EF0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6F26038"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5B62103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161ACD"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70F031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5F744CD" w14:textId="77777777" w:rsidR="00000000" w:rsidRDefault="003C49E9">
            <w:pPr>
              <w:pStyle w:val="a3"/>
              <w:spacing w:before="0" w:beforeAutospacing="0" w:after="0" w:afterAutospacing="0"/>
              <w:jc w:val="right"/>
              <w:rPr>
                <w:sz w:val="20"/>
                <w:szCs w:val="20"/>
              </w:rPr>
            </w:pPr>
            <w:r>
              <w:rPr>
                <w:sz w:val="20"/>
                <w:szCs w:val="20"/>
              </w:rPr>
              <w:t>2,70</w:t>
            </w:r>
            <w:r>
              <w:rPr>
                <w:sz w:val="20"/>
                <w:szCs w:val="20"/>
              </w:rPr>
              <w:t>9</w:t>
            </w:r>
          </w:p>
        </w:tc>
        <w:tc>
          <w:tcPr>
            <w:tcW w:w="0" w:type="auto"/>
            <w:noWrap/>
            <w:vAlign w:val="bottom"/>
            <w:hideMark/>
          </w:tcPr>
          <w:p w14:paraId="2A176170" w14:textId="77777777" w:rsidR="00000000" w:rsidRDefault="003C49E9">
            <w:pPr>
              <w:pStyle w:val="a3"/>
              <w:spacing w:before="0" w:beforeAutospacing="0" w:after="0" w:afterAutospacing="0"/>
              <w:rPr>
                <w:sz w:val="20"/>
                <w:szCs w:val="20"/>
              </w:rPr>
            </w:pPr>
            <w:r>
              <w:rPr>
                <w:sz w:val="20"/>
                <w:szCs w:val="20"/>
              </w:rPr>
              <w:t> </w:t>
            </w:r>
          </w:p>
        </w:tc>
      </w:tr>
      <w:tr w:rsidR="00000000" w14:paraId="38DAEDEB" w14:textId="77777777">
        <w:trPr>
          <w:divId w:val="1547328377"/>
          <w:trHeight w:val="200"/>
          <w:tblCellSpacing w:w="15" w:type="dxa"/>
        </w:trPr>
        <w:tc>
          <w:tcPr>
            <w:tcW w:w="0" w:type="auto"/>
            <w:vAlign w:val="bottom"/>
            <w:hideMark/>
          </w:tcPr>
          <w:p w14:paraId="06486DFB" w14:textId="77777777" w:rsidR="00000000" w:rsidRDefault="003C49E9">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noWrap/>
            <w:vAlign w:val="bottom"/>
            <w:hideMark/>
          </w:tcPr>
          <w:p w14:paraId="23AFEE7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5BC1CA" w14:textId="77777777" w:rsidR="00000000" w:rsidRDefault="003C49E9">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14:paraId="6E26409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87E0E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3CAE8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3E1C79" w14:textId="77777777" w:rsidR="00000000" w:rsidRDefault="003C49E9">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14:paraId="6BD733A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9E4BA59"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16CDC2C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B5E29E" w14:textId="77777777" w:rsidR="00000000" w:rsidRDefault="003C49E9">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14:paraId="52C3CC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8AE828"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37F923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D188E1" w14:textId="77777777" w:rsidR="00000000" w:rsidRDefault="003C49E9">
            <w:pPr>
              <w:pStyle w:val="a3"/>
              <w:spacing w:before="0" w:beforeAutospacing="0" w:after="0" w:afterAutospacing="0"/>
              <w:jc w:val="right"/>
              <w:rPr>
                <w:sz w:val="20"/>
                <w:szCs w:val="20"/>
              </w:rPr>
            </w:pPr>
            <w:r>
              <w:rPr>
                <w:sz w:val="20"/>
                <w:szCs w:val="20"/>
              </w:rPr>
              <w:t>20</w:t>
            </w:r>
            <w:r>
              <w:rPr>
                <w:sz w:val="20"/>
                <w:szCs w:val="20"/>
              </w:rPr>
              <w:t>3</w:t>
            </w:r>
          </w:p>
        </w:tc>
        <w:tc>
          <w:tcPr>
            <w:tcW w:w="0" w:type="auto"/>
            <w:noWrap/>
            <w:vAlign w:val="bottom"/>
            <w:hideMark/>
          </w:tcPr>
          <w:p w14:paraId="607D0FFB" w14:textId="77777777" w:rsidR="00000000" w:rsidRDefault="003C49E9">
            <w:pPr>
              <w:pStyle w:val="a3"/>
              <w:spacing w:before="0" w:beforeAutospacing="0" w:after="0" w:afterAutospacing="0"/>
              <w:rPr>
                <w:sz w:val="20"/>
                <w:szCs w:val="20"/>
              </w:rPr>
            </w:pPr>
            <w:r>
              <w:rPr>
                <w:sz w:val="20"/>
                <w:szCs w:val="20"/>
              </w:rPr>
              <w:t> </w:t>
            </w:r>
          </w:p>
        </w:tc>
      </w:tr>
      <w:tr w:rsidR="00000000" w14:paraId="5305F0CA" w14:textId="77777777">
        <w:trPr>
          <w:divId w:val="1547328377"/>
          <w:trHeight w:val="200"/>
          <w:tblCellSpacing w:w="15" w:type="dxa"/>
        </w:trPr>
        <w:tc>
          <w:tcPr>
            <w:tcW w:w="0" w:type="auto"/>
            <w:vAlign w:val="bottom"/>
            <w:hideMark/>
          </w:tcPr>
          <w:p w14:paraId="41E63320" w14:textId="77777777" w:rsidR="00000000" w:rsidRDefault="003C49E9">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noWrap/>
            <w:vAlign w:val="bottom"/>
            <w:hideMark/>
          </w:tcPr>
          <w:p w14:paraId="37443BE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FBAC843" w14:textId="77777777" w:rsidR="00000000" w:rsidRDefault="003C49E9">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14:paraId="4BA186C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BC9BB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4ADCAD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4C59E6" w14:textId="77777777" w:rsidR="00000000" w:rsidRDefault="003C49E9">
            <w:pPr>
              <w:pStyle w:val="a3"/>
              <w:spacing w:before="0" w:beforeAutospacing="0" w:after="0" w:afterAutospacing="0"/>
              <w:jc w:val="right"/>
              <w:rPr>
                <w:sz w:val="20"/>
                <w:szCs w:val="20"/>
              </w:rPr>
            </w:pPr>
            <w:r>
              <w:rPr>
                <w:sz w:val="20"/>
                <w:szCs w:val="20"/>
              </w:rPr>
              <w:t>1,20</w:t>
            </w:r>
            <w:r>
              <w:rPr>
                <w:sz w:val="20"/>
                <w:szCs w:val="20"/>
              </w:rPr>
              <w:t>0</w:t>
            </w:r>
          </w:p>
        </w:tc>
        <w:tc>
          <w:tcPr>
            <w:tcW w:w="0" w:type="auto"/>
            <w:noWrap/>
            <w:vAlign w:val="bottom"/>
            <w:hideMark/>
          </w:tcPr>
          <w:p w14:paraId="6E21AFA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5DB254"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E8F0DC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10FFC75" w14:textId="77777777" w:rsidR="00000000" w:rsidRDefault="003C49E9">
            <w:pPr>
              <w:pStyle w:val="a3"/>
              <w:spacing w:before="0" w:beforeAutospacing="0" w:after="0" w:afterAutospacing="0"/>
              <w:jc w:val="right"/>
              <w:rPr>
                <w:sz w:val="20"/>
                <w:szCs w:val="20"/>
              </w:rPr>
            </w:pPr>
            <w:r>
              <w:rPr>
                <w:sz w:val="20"/>
                <w:szCs w:val="20"/>
              </w:rPr>
              <w:t>6</w:t>
            </w:r>
            <w:r>
              <w:rPr>
                <w:sz w:val="20"/>
                <w:szCs w:val="20"/>
              </w:rPr>
              <w:t>4</w:t>
            </w:r>
          </w:p>
        </w:tc>
        <w:tc>
          <w:tcPr>
            <w:tcW w:w="0" w:type="auto"/>
            <w:noWrap/>
            <w:vAlign w:val="bottom"/>
            <w:hideMark/>
          </w:tcPr>
          <w:p w14:paraId="1D54EFB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7C355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E1619F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0F046F9" w14:textId="77777777" w:rsidR="00000000" w:rsidRDefault="003C49E9">
            <w:pPr>
              <w:pStyle w:val="a3"/>
              <w:spacing w:before="0" w:beforeAutospacing="0" w:after="0" w:afterAutospacing="0"/>
              <w:jc w:val="right"/>
              <w:rPr>
                <w:sz w:val="20"/>
                <w:szCs w:val="20"/>
              </w:rPr>
            </w:pPr>
            <w:r>
              <w:rPr>
                <w:sz w:val="20"/>
                <w:szCs w:val="20"/>
              </w:rPr>
              <w:t>3,02</w:t>
            </w:r>
            <w:r>
              <w:rPr>
                <w:sz w:val="20"/>
                <w:szCs w:val="20"/>
              </w:rPr>
              <w:t>7</w:t>
            </w:r>
          </w:p>
        </w:tc>
        <w:tc>
          <w:tcPr>
            <w:tcW w:w="0" w:type="auto"/>
            <w:noWrap/>
            <w:vAlign w:val="bottom"/>
            <w:hideMark/>
          </w:tcPr>
          <w:p w14:paraId="6CDF712E" w14:textId="77777777" w:rsidR="00000000" w:rsidRDefault="003C49E9">
            <w:pPr>
              <w:pStyle w:val="a3"/>
              <w:spacing w:before="0" w:beforeAutospacing="0" w:after="0" w:afterAutospacing="0"/>
              <w:rPr>
                <w:sz w:val="20"/>
                <w:szCs w:val="20"/>
              </w:rPr>
            </w:pPr>
            <w:r>
              <w:rPr>
                <w:sz w:val="20"/>
                <w:szCs w:val="20"/>
              </w:rPr>
              <w:t> </w:t>
            </w:r>
          </w:p>
        </w:tc>
      </w:tr>
    </w:tbl>
    <w:p w14:paraId="25F3519F" w14:textId="77777777" w:rsidR="00000000" w:rsidRDefault="003C49E9">
      <w:pPr>
        <w:pStyle w:val="a3"/>
        <w:spacing w:before="200" w:beforeAutospacing="0" w:after="0" w:afterAutospacing="0"/>
        <w:rPr>
          <w:sz w:val="20"/>
          <w:szCs w:val="20"/>
        </w:rPr>
      </w:pPr>
      <w:r>
        <w:rPr>
          <w:sz w:val="20"/>
          <w:szCs w:val="20"/>
        </w:rPr>
        <w:t> </w:t>
      </w:r>
    </w:p>
    <w:p w14:paraId="028F0B3F" w14:textId="77777777" w:rsidR="00000000" w:rsidRDefault="003C49E9">
      <w:pPr>
        <w:pStyle w:val="a3"/>
        <w:spacing w:before="200" w:beforeAutospacing="0" w:after="0" w:afterAutospacing="0"/>
        <w:divId w:val="273177617"/>
        <w:rPr>
          <w:sz w:val="20"/>
          <w:szCs w:val="20"/>
        </w:rPr>
      </w:pPr>
      <w:r>
        <w:rPr>
          <w:b/>
          <w:bCs/>
          <w:sz w:val="20"/>
          <w:szCs w:val="20"/>
        </w:rPr>
        <w:t>9. Lease</w:t>
      </w:r>
      <w:r>
        <w:rPr>
          <w:b/>
          <w:bCs/>
          <w:sz w:val="20"/>
          <w:szCs w:val="20"/>
        </w:rPr>
        <w:t>s</w:t>
      </w:r>
    </w:p>
    <w:p w14:paraId="44AF1221" w14:textId="77777777" w:rsidR="00000000" w:rsidRDefault="003C49E9">
      <w:pPr>
        <w:pStyle w:val="a3"/>
        <w:spacing w:before="200" w:beforeAutospacing="0" w:after="0" w:afterAutospacing="0"/>
        <w:ind w:firstLine="555"/>
        <w:divId w:val="273177617"/>
        <w:rPr>
          <w:sz w:val="20"/>
          <w:szCs w:val="20"/>
        </w:rPr>
      </w:pPr>
      <w:r>
        <w:rPr>
          <w:sz w:val="20"/>
          <w:szCs w:val="20"/>
        </w:rPr>
        <w:t>The Company leases office facilities under non-cancelable operating leases that expire at various dates through February 2035</w:t>
      </w:r>
      <w:r>
        <w:rPr>
          <w:sz w:val="20"/>
          <w:szCs w:val="20"/>
        </w:rPr>
        <w:t>.</w:t>
      </w:r>
      <w:r>
        <w:rPr>
          <w:sz w:val="20"/>
          <w:szCs w:val="20"/>
        </w:rPr>
        <w:t xml:space="preserve"> </w:t>
      </w:r>
    </w:p>
    <w:p w14:paraId="0B575635" w14:textId="77777777" w:rsidR="00000000" w:rsidRDefault="003C49E9">
      <w:pPr>
        <w:pStyle w:val="a3"/>
        <w:spacing w:before="200" w:beforeAutospacing="0" w:after="0" w:afterAutospacing="0"/>
        <w:ind w:firstLine="555"/>
        <w:divId w:val="273177617"/>
        <w:rPr>
          <w:sz w:val="20"/>
          <w:szCs w:val="20"/>
        </w:rPr>
      </w:pPr>
      <w:r>
        <w:rPr>
          <w:sz w:val="20"/>
          <w:szCs w:val="20"/>
        </w:rPr>
        <w:t>During the six months ended June 30, 2022, th</w:t>
      </w:r>
      <w:r>
        <w:rPr>
          <w:sz w:val="20"/>
          <w:szCs w:val="20"/>
        </w:rPr>
        <w:t>e</w:t>
      </w:r>
      <w:r>
        <w:rPr>
          <w:sz w:val="20"/>
          <w:szCs w:val="20"/>
        </w:rPr>
        <w:t xml:space="preserve"> lease term began, was amended, or extended for various leases of office spaces gl</w:t>
      </w:r>
      <w:r>
        <w:rPr>
          <w:sz w:val="20"/>
          <w:szCs w:val="20"/>
        </w:rPr>
        <w:t xml:space="preserve">obally. The Company recorded a net </w:t>
      </w:r>
      <w:r>
        <w:rPr>
          <w:sz w:val="20"/>
          <w:szCs w:val="20"/>
        </w:rPr>
        <w:t>$</w:t>
      </w:r>
      <w:r>
        <w:rPr>
          <w:sz w:val="20"/>
          <w:szCs w:val="20"/>
        </w:rPr>
        <w:t>6.</w:t>
      </w:r>
      <w:r>
        <w:rPr>
          <w:sz w:val="20"/>
          <w:szCs w:val="20"/>
        </w:rPr>
        <w:t>1</w:t>
      </w:r>
      <w:r>
        <w:rPr>
          <w:sz w:val="20"/>
          <w:szCs w:val="20"/>
        </w:rPr>
        <w:t xml:space="preserve"> million of right-of-use assets and </w:t>
      </w:r>
      <w:r>
        <w:rPr>
          <w:sz w:val="20"/>
          <w:szCs w:val="20"/>
        </w:rPr>
        <w:t>$</w:t>
      </w:r>
      <w:r>
        <w:rPr>
          <w:sz w:val="20"/>
          <w:szCs w:val="20"/>
        </w:rPr>
        <w:t>6.</w:t>
      </w:r>
      <w:r>
        <w:rPr>
          <w:sz w:val="20"/>
          <w:szCs w:val="20"/>
        </w:rPr>
        <w:t>1</w:t>
      </w:r>
      <w:r>
        <w:rPr>
          <w:sz w:val="20"/>
          <w:szCs w:val="20"/>
        </w:rPr>
        <w:t xml:space="preserve"> million of lease liabilities for these leases during the period upon the lease commencement, amendment, or extension</w:t>
      </w:r>
      <w:r>
        <w:rPr>
          <w:sz w:val="20"/>
          <w:szCs w:val="20"/>
        </w:rPr>
        <w:t>.</w:t>
      </w:r>
    </w:p>
    <w:p w14:paraId="3092EE0C" w14:textId="77777777" w:rsidR="00000000" w:rsidRDefault="003C49E9">
      <w:pPr>
        <w:pStyle w:val="a3"/>
        <w:spacing w:before="200" w:beforeAutospacing="0" w:after="0" w:afterAutospacing="0"/>
        <w:ind w:firstLine="555"/>
        <w:divId w:val="273177617"/>
        <w:rPr>
          <w:sz w:val="20"/>
          <w:szCs w:val="20"/>
        </w:rPr>
      </w:pPr>
      <w:r>
        <w:rPr>
          <w:sz w:val="20"/>
          <w:szCs w:val="20"/>
        </w:rPr>
        <w:t>The Company uses its estimated incremental borrowing rate,</w:t>
      </w:r>
      <w:r>
        <w:rPr>
          <w:sz w:val="20"/>
          <w:szCs w:val="20"/>
        </w:rPr>
        <w:t xml:space="preserve"> which is derived from information available at the lease commencement date, in determining the present value of operating lease payments. To determine the estimated incremental borrowing rate, the Company uses publicly available credit ratings for peer co</w:t>
      </w:r>
      <w:r>
        <w:rPr>
          <w:sz w:val="20"/>
          <w:szCs w:val="20"/>
        </w:rPr>
        <w:t>mpanies. The Company estimates the incremental borrowing rate using yields for maturities that are in line with the duration of the lease payments. The weighted average discount rate for operating leases as of June 30, 2022 w</w:t>
      </w:r>
      <w:r>
        <w:rPr>
          <w:sz w:val="20"/>
          <w:szCs w:val="20"/>
        </w:rPr>
        <w:t>a</w:t>
      </w:r>
      <w:r>
        <w:rPr>
          <w:sz w:val="20"/>
          <w:szCs w:val="20"/>
        </w:rPr>
        <w:t>s</w:t>
      </w:r>
      <w:r>
        <w:rPr>
          <w:sz w:val="20"/>
          <w:szCs w:val="20"/>
        </w:rPr>
        <w:t xml:space="preserve"> </w:t>
      </w:r>
      <w:r>
        <w:rPr>
          <w:sz w:val="20"/>
          <w:szCs w:val="20"/>
        </w:rPr>
        <w:t>4.</w:t>
      </w:r>
      <w:r>
        <w:rPr>
          <w:sz w:val="20"/>
          <w:szCs w:val="20"/>
        </w:rPr>
        <w:t>9</w:t>
      </w:r>
      <w:r>
        <w:rPr>
          <w:sz w:val="20"/>
          <w:szCs w:val="20"/>
        </w:rPr>
        <w:t>%</w:t>
      </w:r>
      <w:r>
        <w:rPr>
          <w:sz w:val="20"/>
          <w:szCs w:val="20"/>
        </w:rPr>
        <w:t>.</w:t>
      </w:r>
      <w:r>
        <w:rPr>
          <w:sz w:val="20"/>
          <w:szCs w:val="20"/>
        </w:rPr>
        <w:t xml:space="preserve"> </w:t>
      </w:r>
    </w:p>
    <w:p w14:paraId="0FC2FE15" w14:textId="77777777" w:rsidR="00000000" w:rsidRDefault="003C49E9">
      <w:pPr>
        <w:pStyle w:val="a3"/>
        <w:spacing w:before="200" w:beforeAutospacing="0" w:after="0" w:afterAutospacing="0"/>
        <w:ind w:firstLine="555"/>
        <w:divId w:val="273177617"/>
        <w:rPr>
          <w:sz w:val="20"/>
          <w:szCs w:val="20"/>
        </w:rPr>
      </w:pPr>
      <w:r>
        <w:rPr>
          <w:sz w:val="20"/>
          <w:szCs w:val="20"/>
        </w:rPr>
        <w:t>Operating lease expen</w:t>
      </w:r>
      <w:r>
        <w:rPr>
          <w:sz w:val="20"/>
          <w:szCs w:val="20"/>
        </w:rPr>
        <w:t>se costs were</w:t>
      </w:r>
      <w:r>
        <w:rPr>
          <w:sz w:val="20"/>
          <w:szCs w:val="20"/>
        </w:rPr>
        <w:t xml:space="preserve"> </w:t>
      </w:r>
      <w:r>
        <w:rPr>
          <w:sz w:val="20"/>
          <w:szCs w:val="20"/>
        </w:rPr>
        <w:t>$</w:t>
      </w:r>
      <w:r>
        <w:rPr>
          <w:sz w:val="20"/>
          <w:szCs w:val="20"/>
        </w:rPr>
        <w:t>10.</w:t>
      </w:r>
      <w:r>
        <w:rPr>
          <w:sz w:val="20"/>
          <w:szCs w:val="20"/>
        </w:rPr>
        <w:t>8</w:t>
      </w:r>
      <w:r>
        <w:rPr>
          <w:sz w:val="20"/>
          <w:szCs w:val="20"/>
        </w:rPr>
        <w:t xml:space="preserve"> million for the three months ended June 30, 2022,</w:t>
      </w:r>
      <w:r>
        <w:rPr>
          <w:sz w:val="20"/>
          <w:szCs w:val="20"/>
        </w:rPr>
        <w:t xml:space="preserve"> </w:t>
      </w:r>
      <w:r>
        <w:rPr>
          <w:sz w:val="20"/>
          <w:szCs w:val="20"/>
        </w:rPr>
        <w:t>$</w:t>
      </w:r>
      <w:r>
        <w:rPr>
          <w:sz w:val="20"/>
          <w:szCs w:val="20"/>
        </w:rPr>
        <w:t>21.</w:t>
      </w:r>
      <w:r>
        <w:rPr>
          <w:sz w:val="20"/>
          <w:szCs w:val="20"/>
        </w:rPr>
        <w:t>7</w:t>
      </w:r>
      <w:r>
        <w:rPr>
          <w:sz w:val="20"/>
          <w:szCs w:val="20"/>
        </w:rPr>
        <w:t xml:space="preserve"> million for the six months ended June 30, 2022,</w:t>
      </w:r>
      <w:r>
        <w:rPr>
          <w:sz w:val="20"/>
          <w:szCs w:val="20"/>
        </w:rPr>
        <w:t xml:space="preserve"> </w:t>
      </w:r>
      <w:r>
        <w:rPr>
          <w:sz w:val="20"/>
          <w:szCs w:val="20"/>
        </w:rPr>
        <w:t>$</w:t>
      </w:r>
      <w:r>
        <w:rPr>
          <w:sz w:val="20"/>
          <w:szCs w:val="20"/>
        </w:rPr>
        <w:t>11.</w:t>
      </w:r>
      <w:r>
        <w:rPr>
          <w:sz w:val="20"/>
          <w:szCs w:val="20"/>
        </w:rPr>
        <w:t>9</w:t>
      </w:r>
      <w:r>
        <w:rPr>
          <w:sz w:val="20"/>
          <w:szCs w:val="20"/>
        </w:rPr>
        <w:t xml:space="preserve"> million for the three months ended June 30, 2021, and</w:t>
      </w:r>
      <w:r>
        <w:rPr>
          <w:sz w:val="20"/>
          <w:szCs w:val="20"/>
        </w:rPr>
        <w:t xml:space="preserve"> </w:t>
      </w:r>
      <w:r>
        <w:rPr>
          <w:sz w:val="20"/>
          <w:szCs w:val="20"/>
        </w:rPr>
        <w:t>$</w:t>
      </w:r>
      <w:r>
        <w:rPr>
          <w:sz w:val="20"/>
          <w:szCs w:val="20"/>
        </w:rPr>
        <w:t>24.</w:t>
      </w:r>
      <w:r>
        <w:rPr>
          <w:sz w:val="20"/>
          <w:szCs w:val="20"/>
        </w:rPr>
        <w:t>0</w:t>
      </w:r>
      <w:r>
        <w:rPr>
          <w:sz w:val="20"/>
          <w:szCs w:val="20"/>
        </w:rPr>
        <w:t xml:space="preserve"> million for the six months ended June 30, 2021</w:t>
      </w:r>
      <w:r>
        <w:rPr>
          <w:sz w:val="20"/>
          <w:szCs w:val="20"/>
        </w:rPr>
        <w:t>.</w:t>
      </w:r>
      <w:r>
        <w:rPr>
          <w:sz w:val="20"/>
          <w:szCs w:val="20"/>
        </w:rPr>
        <w:t xml:space="preserve"> </w:t>
      </w:r>
    </w:p>
    <w:p w14:paraId="469A1630" w14:textId="77777777" w:rsidR="00000000" w:rsidRDefault="003C49E9">
      <w:pPr>
        <w:pStyle w:val="a3"/>
        <w:spacing w:before="200" w:beforeAutospacing="0" w:after="0" w:afterAutospacing="0"/>
        <w:ind w:firstLine="555"/>
        <w:divId w:val="1725060646"/>
        <w:rPr>
          <w:sz w:val="20"/>
          <w:szCs w:val="20"/>
        </w:rPr>
      </w:pPr>
      <w:r>
        <w:rPr>
          <w:sz w:val="20"/>
          <w:szCs w:val="20"/>
        </w:rPr>
        <w:t>The Company suble</w:t>
      </w:r>
      <w:r>
        <w:rPr>
          <w:sz w:val="20"/>
          <w:szCs w:val="20"/>
        </w:rPr>
        <w:t>ases some of its unused spaces to third parties. Operating sublease income generated under all operating lease agreements for the three and six months ended</w:t>
      </w:r>
      <w:r>
        <w:rPr>
          <w:sz w:val="20"/>
          <w:szCs w:val="20"/>
        </w:rPr>
        <w:t xml:space="preserve"> </w:t>
      </w:r>
      <w:r>
        <w:rPr>
          <w:sz w:val="20"/>
          <w:szCs w:val="20"/>
        </w:rPr>
        <w:t xml:space="preserve">June 30, 2022 and 2021 are as follows: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17"/>
        <w:gridCol w:w="115"/>
        <w:gridCol w:w="160"/>
        <w:gridCol w:w="708"/>
        <w:gridCol w:w="110"/>
        <w:gridCol w:w="110"/>
        <w:gridCol w:w="160"/>
        <w:gridCol w:w="686"/>
        <w:gridCol w:w="110"/>
        <w:gridCol w:w="105"/>
        <w:gridCol w:w="160"/>
        <w:gridCol w:w="545"/>
        <w:gridCol w:w="110"/>
        <w:gridCol w:w="115"/>
        <w:gridCol w:w="160"/>
        <w:gridCol w:w="649"/>
        <w:gridCol w:w="125"/>
      </w:tblGrid>
      <w:tr w:rsidR="00000000" w14:paraId="1BD79062" w14:textId="77777777">
        <w:trPr>
          <w:divId w:val="1725060646"/>
          <w:tblCellSpacing w:w="15" w:type="dxa"/>
        </w:trPr>
        <w:tc>
          <w:tcPr>
            <w:tcW w:w="2067" w:type="pct"/>
            <w:vAlign w:val="center"/>
            <w:hideMark/>
          </w:tcPr>
          <w:p w14:paraId="20520FDF" w14:textId="77777777" w:rsidR="00000000" w:rsidRDefault="003C49E9">
            <w:pPr>
              <w:rPr>
                <w:sz w:val="20"/>
                <w:szCs w:val="20"/>
              </w:rPr>
            </w:pPr>
          </w:p>
        </w:tc>
        <w:tc>
          <w:tcPr>
            <w:tcW w:w="74" w:type="pct"/>
            <w:vAlign w:val="center"/>
            <w:hideMark/>
          </w:tcPr>
          <w:p w14:paraId="0737AF17" w14:textId="77777777" w:rsidR="00000000" w:rsidRDefault="003C49E9">
            <w:pPr>
              <w:rPr>
                <w:rFonts w:eastAsia="Times New Roman"/>
                <w:sz w:val="20"/>
                <w:szCs w:val="20"/>
              </w:rPr>
            </w:pPr>
          </w:p>
        </w:tc>
        <w:tc>
          <w:tcPr>
            <w:tcW w:w="50" w:type="pct"/>
            <w:vAlign w:val="center"/>
            <w:hideMark/>
          </w:tcPr>
          <w:p w14:paraId="7E44A6FF" w14:textId="77777777" w:rsidR="00000000" w:rsidRDefault="003C49E9">
            <w:pPr>
              <w:rPr>
                <w:rFonts w:eastAsia="Times New Roman"/>
                <w:sz w:val="20"/>
                <w:szCs w:val="20"/>
              </w:rPr>
            </w:pPr>
          </w:p>
        </w:tc>
        <w:tc>
          <w:tcPr>
            <w:tcW w:w="639" w:type="pct"/>
            <w:vAlign w:val="center"/>
            <w:hideMark/>
          </w:tcPr>
          <w:p w14:paraId="2AC773D5" w14:textId="77777777" w:rsidR="00000000" w:rsidRDefault="003C49E9">
            <w:pPr>
              <w:rPr>
                <w:rFonts w:eastAsia="Times New Roman"/>
                <w:sz w:val="20"/>
                <w:szCs w:val="20"/>
              </w:rPr>
            </w:pPr>
          </w:p>
        </w:tc>
        <w:tc>
          <w:tcPr>
            <w:tcW w:w="50" w:type="pct"/>
            <w:vAlign w:val="center"/>
            <w:hideMark/>
          </w:tcPr>
          <w:p w14:paraId="40B37B22" w14:textId="77777777" w:rsidR="00000000" w:rsidRDefault="003C49E9">
            <w:pPr>
              <w:rPr>
                <w:rFonts w:eastAsia="Times New Roman"/>
                <w:sz w:val="20"/>
                <w:szCs w:val="20"/>
              </w:rPr>
            </w:pPr>
          </w:p>
        </w:tc>
        <w:tc>
          <w:tcPr>
            <w:tcW w:w="68" w:type="pct"/>
            <w:vAlign w:val="center"/>
            <w:hideMark/>
          </w:tcPr>
          <w:p w14:paraId="4087AF81" w14:textId="77777777" w:rsidR="00000000" w:rsidRDefault="003C49E9">
            <w:pPr>
              <w:rPr>
                <w:rFonts w:eastAsia="Times New Roman"/>
                <w:sz w:val="20"/>
                <w:szCs w:val="20"/>
              </w:rPr>
            </w:pPr>
          </w:p>
        </w:tc>
        <w:tc>
          <w:tcPr>
            <w:tcW w:w="50" w:type="pct"/>
            <w:vAlign w:val="center"/>
            <w:hideMark/>
          </w:tcPr>
          <w:p w14:paraId="3064ADC6" w14:textId="77777777" w:rsidR="00000000" w:rsidRDefault="003C49E9">
            <w:pPr>
              <w:rPr>
                <w:rFonts w:eastAsia="Times New Roman"/>
                <w:sz w:val="20"/>
                <w:szCs w:val="20"/>
              </w:rPr>
            </w:pPr>
          </w:p>
        </w:tc>
        <w:tc>
          <w:tcPr>
            <w:tcW w:w="622" w:type="pct"/>
            <w:vAlign w:val="center"/>
            <w:hideMark/>
          </w:tcPr>
          <w:p w14:paraId="216B4A77" w14:textId="77777777" w:rsidR="00000000" w:rsidRDefault="003C49E9">
            <w:pPr>
              <w:rPr>
                <w:rFonts w:eastAsia="Times New Roman"/>
                <w:sz w:val="20"/>
                <w:szCs w:val="20"/>
              </w:rPr>
            </w:pPr>
          </w:p>
        </w:tc>
        <w:tc>
          <w:tcPr>
            <w:tcW w:w="50" w:type="pct"/>
            <w:vAlign w:val="center"/>
            <w:hideMark/>
          </w:tcPr>
          <w:p w14:paraId="2C148049" w14:textId="77777777" w:rsidR="00000000" w:rsidRDefault="003C49E9">
            <w:pPr>
              <w:rPr>
                <w:rFonts w:eastAsia="Times New Roman"/>
                <w:sz w:val="20"/>
                <w:szCs w:val="20"/>
              </w:rPr>
            </w:pPr>
          </w:p>
        </w:tc>
        <w:tc>
          <w:tcPr>
            <w:tcW w:w="55" w:type="pct"/>
            <w:vAlign w:val="center"/>
            <w:hideMark/>
          </w:tcPr>
          <w:p w14:paraId="298A4E2E" w14:textId="77777777" w:rsidR="00000000" w:rsidRDefault="003C49E9">
            <w:pPr>
              <w:rPr>
                <w:rFonts w:eastAsia="Times New Roman"/>
                <w:sz w:val="20"/>
                <w:szCs w:val="20"/>
              </w:rPr>
            </w:pPr>
          </w:p>
        </w:tc>
        <w:tc>
          <w:tcPr>
            <w:tcW w:w="50" w:type="pct"/>
            <w:vAlign w:val="center"/>
            <w:hideMark/>
          </w:tcPr>
          <w:p w14:paraId="39E61680" w14:textId="77777777" w:rsidR="00000000" w:rsidRDefault="003C49E9">
            <w:pPr>
              <w:rPr>
                <w:rFonts w:eastAsia="Times New Roman"/>
                <w:sz w:val="20"/>
                <w:szCs w:val="20"/>
              </w:rPr>
            </w:pPr>
          </w:p>
        </w:tc>
        <w:tc>
          <w:tcPr>
            <w:tcW w:w="466" w:type="pct"/>
            <w:vAlign w:val="center"/>
            <w:hideMark/>
          </w:tcPr>
          <w:p w14:paraId="4AF9F388" w14:textId="77777777" w:rsidR="00000000" w:rsidRDefault="003C49E9">
            <w:pPr>
              <w:rPr>
                <w:rFonts w:eastAsia="Times New Roman"/>
                <w:sz w:val="20"/>
                <w:szCs w:val="20"/>
              </w:rPr>
            </w:pPr>
          </w:p>
        </w:tc>
        <w:tc>
          <w:tcPr>
            <w:tcW w:w="50" w:type="pct"/>
            <w:vAlign w:val="center"/>
            <w:hideMark/>
          </w:tcPr>
          <w:p w14:paraId="720089BC" w14:textId="77777777" w:rsidR="00000000" w:rsidRDefault="003C49E9">
            <w:pPr>
              <w:rPr>
                <w:rFonts w:eastAsia="Times New Roman"/>
                <w:sz w:val="20"/>
                <w:szCs w:val="20"/>
              </w:rPr>
            </w:pPr>
          </w:p>
        </w:tc>
        <w:tc>
          <w:tcPr>
            <w:tcW w:w="55" w:type="pct"/>
            <w:vAlign w:val="center"/>
            <w:hideMark/>
          </w:tcPr>
          <w:p w14:paraId="19B0EFA1" w14:textId="77777777" w:rsidR="00000000" w:rsidRDefault="003C49E9">
            <w:pPr>
              <w:rPr>
                <w:rFonts w:eastAsia="Times New Roman"/>
                <w:sz w:val="20"/>
                <w:szCs w:val="20"/>
              </w:rPr>
            </w:pPr>
          </w:p>
        </w:tc>
        <w:tc>
          <w:tcPr>
            <w:tcW w:w="50" w:type="pct"/>
            <w:vAlign w:val="center"/>
            <w:hideMark/>
          </w:tcPr>
          <w:p w14:paraId="33E5B08E" w14:textId="77777777" w:rsidR="00000000" w:rsidRDefault="003C49E9">
            <w:pPr>
              <w:rPr>
                <w:rFonts w:eastAsia="Times New Roman"/>
                <w:sz w:val="20"/>
                <w:szCs w:val="20"/>
              </w:rPr>
            </w:pPr>
          </w:p>
        </w:tc>
        <w:tc>
          <w:tcPr>
            <w:tcW w:w="549" w:type="pct"/>
            <w:vAlign w:val="center"/>
            <w:hideMark/>
          </w:tcPr>
          <w:p w14:paraId="0DB312DA" w14:textId="77777777" w:rsidR="00000000" w:rsidRDefault="003C49E9">
            <w:pPr>
              <w:rPr>
                <w:rFonts w:eastAsia="Times New Roman"/>
                <w:sz w:val="20"/>
                <w:szCs w:val="20"/>
              </w:rPr>
            </w:pPr>
          </w:p>
        </w:tc>
        <w:tc>
          <w:tcPr>
            <w:tcW w:w="50" w:type="pct"/>
            <w:vAlign w:val="center"/>
            <w:hideMark/>
          </w:tcPr>
          <w:p w14:paraId="29E6F1D0" w14:textId="77777777" w:rsidR="00000000" w:rsidRDefault="003C49E9">
            <w:pPr>
              <w:rPr>
                <w:rFonts w:eastAsia="Times New Roman"/>
                <w:sz w:val="20"/>
                <w:szCs w:val="20"/>
              </w:rPr>
            </w:pPr>
          </w:p>
        </w:tc>
      </w:tr>
      <w:tr w:rsidR="00000000" w14:paraId="2B14AA3C" w14:textId="77777777">
        <w:trPr>
          <w:divId w:val="1725060646"/>
          <w:trHeight w:val="160"/>
          <w:tblCellSpacing w:w="15" w:type="dxa"/>
        </w:trPr>
        <w:tc>
          <w:tcPr>
            <w:tcW w:w="0" w:type="auto"/>
            <w:vAlign w:val="bottom"/>
            <w:hideMark/>
          </w:tcPr>
          <w:p w14:paraId="37CAAE95" w14:textId="77777777" w:rsidR="00000000" w:rsidRDefault="003C49E9">
            <w:pPr>
              <w:pStyle w:val="a3"/>
              <w:spacing w:before="0" w:beforeAutospacing="0" w:after="0" w:afterAutospacing="0"/>
              <w:rPr>
                <w:sz w:val="22"/>
                <w:szCs w:val="22"/>
              </w:rPr>
            </w:pPr>
            <w:r>
              <w:rPr>
                <w:sz w:val="22"/>
                <w:szCs w:val="22"/>
              </w:rPr>
              <w:t> </w:t>
            </w:r>
          </w:p>
        </w:tc>
        <w:tc>
          <w:tcPr>
            <w:tcW w:w="0" w:type="auto"/>
            <w:vAlign w:val="bottom"/>
            <w:hideMark/>
          </w:tcPr>
          <w:p w14:paraId="75985FB2" w14:textId="77777777" w:rsidR="00000000" w:rsidRDefault="003C49E9">
            <w:pPr>
              <w:pStyle w:val="a3"/>
              <w:spacing w:before="0" w:beforeAutospacing="0" w:after="0" w:afterAutospacing="0"/>
              <w:rPr>
                <w:sz w:val="22"/>
                <w:szCs w:val="22"/>
              </w:rPr>
            </w:pPr>
            <w:r>
              <w:rPr>
                <w:sz w:val="22"/>
                <w:szCs w:val="22"/>
              </w:rPr>
              <w:t> </w:t>
            </w:r>
          </w:p>
        </w:tc>
        <w:tc>
          <w:tcPr>
            <w:tcW w:w="0" w:type="auto"/>
            <w:gridSpan w:val="6"/>
            <w:vAlign w:val="bottom"/>
            <w:hideMark/>
          </w:tcPr>
          <w:p w14:paraId="719C1A22"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CA38EE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9ADF3D4" w14:textId="77777777" w:rsidR="00000000" w:rsidRDefault="003C49E9">
            <w:pPr>
              <w:pStyle w:val="a3"/>
              <w:spacing w:before="0" w:beforeAutospacing="0" w:after="0" w:afterAutospacing="0"/>
              <w:rPr>
                <w:sz w:val="18"/>
                <w:szCs w:val="18"/>
              </w:rPr>
            </w:pPr>
            <w:r>
              <w:rPr>
                <w:sz w:val="18"/>
                <w:szCs w:val="18"/>
              </w:rPr>
              <w:t> </w:t>
            </w:r>
          </w:p>
        </w:tc>
        <w:tc>
          <w:tcPr>
            <w:tcW w:w="0" w:type="auto"/>
            <w:gridSpan w:val="6"/>
            <w:vAlign w:val="bottom"/>
            <w:hideMark/>
          </w:tcPr>
          <w:p w14:paraId="217009E6"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6238760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1F6BBF8" w14:textId="77777777">
        <w:trPr>
          <w:divId w:val="1725060646"/>
          <w:trHeight w:val="160"/>
          <w:tblCellSpacing w:w="15" w:type="dxa"/>
        </w:trPr>
        <w:tc>
          <w:tcPr>
            <w:tcW w:w="0" w:type="auto"/>
            <w:vAlign w:val="bottom"/>
            <w:hideMark/>
          </w:tcPr>
          <w:p w14:paraId="52D38268" w14:textId="77777777" w:rsidR="00000000" w:rsidRDefault="003C49E9">
            <w:pPr>
              <w:pStyle w:val="a3"/>
              <w:spacing w:before="0" w:beforeAutospacing="0" w:after="0" w:afterAutospacing="0"/>
              <w:rPr>
                <w:sz w:val="22"/>
                <w:szCs w:val="22"/>
              </w:rPr>
            </w:pPr>
            <w:r>
              <w:rPr>
                <w:sz w:val="22"/>
                <w:szCs w:val="22"/>
              </w:rPr>
              <w:t> </w:t>
            </w:r>
          </w:p>
        </w:tc>
        <w:tc>
          <w:tcPr>
            <w:tcW w:w="0" w:type="auto"/>
            <w:vAlign w:val="bottom"/>
            <w:hideMark/>
          </w:tcPr>
          <w:p w14:paraId="173EBBFB"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5CBE4AB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B4674E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9008563"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409DFE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9DFC94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939AE9D"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34ECA69C"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5C085F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5E01FA8"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22B6273"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56C9757"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5A5DAF3" w14:textId="77777777">
        <w:trPr>
          <w:divId w:val="1725060646"/>
          <w:trHeight w:val="160"/>
          <w:tblCellSpacing w:w="15" w:type="dxa"/>
        </w:trPr>
        <w:tc>
          <w:tcPr>
            <w:tcW w:w="0" w:type="auto"/>
            <w:vAlign w:val="bottom"/>
            <w:hideMark/>
          </w:tcPr>
          <w:p w14:paraId="2196115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249811" w14:textId="77777777" w:rsidR="00000000" w:rsidRDefault="003C49E9">
            <w:pPr>
              <w:pStyle w:val="a3"/>
              <w:spacing w:before="0" w:beforeAutospacing="0" w:after="0" w:afterAutospacing="0"/>
              <w:rPr>
                <w:sz w:val="22"/>
                <w:szCs w:val="22"/>
              </w:rPr>
            </w:pPr>
            <w:r>
              <w:rPr>
                <w:sz w:val="22"/>
                <w:szCs w:val="22"/>
              </w:rPr>
              <w:t> </w:t>
            </w:r>
          </w:p>
        </w:tc>
        <w:tc>
          <w:tcPr>
            <w:tcW w:w="0" w:type="auto"/>
            <w:gridSpan w:val="6"/>
            <w:vAlign w:val="bottom"/>
            <w:hideMark/>
          </w:tcPr>
          <w:p w14:paraId="37EA8D02"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3C304E7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43FACD6" w14:textId="77777777" w:rsidR="00000000" w:rsidRDefault="003C49E9">
            <w:pPr>
              <w:pStyle w:val="a3"/>
              <w:spacing w:before="0" w:beforeAutospacing="0" w:after="0" w:afterAutospacing="0"/>
              <w:rPr>
                <w:sz w:val="18"/>
                <w:szCs w:val="18"/>
              </w:rPr>
            </w:pPr>
            <w:r>
              <w:rPr>
                <w:sz w:val="18"/>
                <w:szCs w:val="18"/>
              </w:rPr>
              <w:t> </w:t>
            </w:r>
          </w:p>
        </w:tc>
        <w:tc>
          <w:tcPr>
            <w:tcW w:w="0" w:type="auto"/>
            <w:gridSpan w:val="6"/>
            <w:vAlign w:val="bottom"/>
            <w:hideMark/>
          </w:tcPr>
          <w:p w14:paraId="39D653A7"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E53F333"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3DF0C1B" w14:textId="77777777">
        <w:trPr>
          <w:divId w:val="1725060646"/>
          <w:trHeight w:val="200"/>
          <w:tblCellSpacing w:w="15" w:type="dxa"/>
        </w:trPr>
        <w:tc>
          <w:tcPr>
            <w:tcW w:w="0" w:type="auto"/>
            <w:vAlign w:val="bottom"/>
            <w:hideMark/>
          </w:tcPr>
          <w:p w14:paraId="66CD53A6" w14:textId="77777777" w:rsidR="00000000" w:rsidRDefault="003C49E9">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14:paraId="6E0EEA0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D362AB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211DCFD" w14:textId="77777777" w:rsidR="00000000" w:rsidRDefault="003C49E9">
            <w:pPr>
              <w:pStyle w:val="a3"/>
              <w:spacing w:before="0" w:beforeAutospacing="0" w:after="0" w:afterAutospacing="0"/>
              <w:jc w:val="right"/>
              <w:rPr>
                <w:sz w:val="20"/>
                <w:szCs w:val="20"/>
              </w:rPr>
            </w:pPr>
            <w:r>
              <w:rPr>
                <w:sz w:val="20"/>
                <w:szCs w:val="20"/>
              </w:rPr>
              <w:t>1,10</w:t>
            </w:r>
            <w:r>
              <w:rPr>
                <w:sz w:val="20"/>
                <w:szCs w:val="20"/>
              </w:rPr>
              <w:t>0</w:t>
            </w:r>
          </w:p>
        </w:tc>
        <w:tc>
          <w:tcPr>
            <w:tcW w:w="0" w:type="auto"/>
            <w:noWrap/>
            <w:vAlign w:val="bottom"/>
            <w:hideMark/>
          </w:tcPr>
          <w:p w14:paraId="7257B1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3A87B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574FA6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3B71E7B" w14:textId="77777777" w:rsidR="00000000" w:rsidRDefault="003C49E9">
            <w:pPr>
              <w:pStyle w:val="a3"/>
              <w:spacing w:before="0" w:beforeAutospacing="0" w:after="0" w:afterAutospacing="0"/>
              <w:jc w:val="right"/>
              <w:rPr>
                <w:sz w:val="20"/>
                <w:szCs w:val="20"/>
              </w:rPr>
            </w:pPr>
            <w:r>
              <w:rPr>
                <w:sz w:val="20"/>
                <w:szCs w:val="20"/>
              </w:rPr>
              <w:t>1,24</w:t>
            </w:r>
            <w:r>
              <w:rPr>
                <w:sz w:val="20"/>
                <w:szCs w:val="20"/>
              </w:rPr>
              <w:t>7</w:t>
            </w:r>
          </w:p>
        </w:tc>
        <w:tc>
          <w:tcPr>
            <w:tcW w:w="0" w:type="auto"/>
            <w:noWrap/>
            <w:vAlign w:val="bottom"/>
            <w:hideMark/>
          </w:tcPr>
          <w:p w14:paraId="13191F1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CA76FE"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343CC9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B0D4A72" w14:textId="77777777" w:rsidR="00000000" w:rsidRDefault="003C49E9">
            <w:pPr>
              <w:pStyle w:val="a3"/>
              <w:spacing w:before="0" w:beforeAutospacing="0" w:after="0" w:afterAutospacing="0"/>
              <w:jc w:val="right"/>
              <w:rPr>
                <w:sz w:val="20"/>
                <w:szCs w:val="20"/>
              </w:rPr>
            </w:pPr>
            <w:r>
              <w:rPr>
                <w:sz w:val="20"/>
                <w:szCs w:val="20"/>
              </w:rPr>
              <w:t>2,28</w:t>
            </w:r>
            <w:r>
              <w:rPr>
                <w:sz w:val="20"/>
                <w:szCs w:val="20"/>
              </w:rPr>
              <w:t>8</w:t>
            </w:r>
          </w:p>
        </w:tc>
        <w:tc>
          <w:tcPr>
            <w:tcW w:w="0" w:type="auto"/>
            <w:noWrap/>
            <w:vAlign w:val="bottom"/>
            <w:hideMark/>
          </w:tcPr>
          <w:p w14:paraId="27EDE61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CA0AF55"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B734BC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1302ED3" w14:textId="77777777" w:rsidR="00000000" w:rsidRDefault="003C49E9">
            <w:pPr>
              <w:pStyle w:val="a3"/>
              <w:spacing w:before="0" w:beforeAutospacing="0" w:after="0" w:afterAutospacing="0"/>
              <w:jc w:val="right"/>
              <w:rPr>
                <w:sz w:val="20"/>
                <w:szCs w:val="20"/>
              </w:rPr>
            </w:pPr>
            <w:r>
              <w:rPr>
                <w:sz w:val="20"/>
                <w:szCs w:val="20"/>
              </w:rPr>
              <w:t>2,50</w:t>
            </w:r>
            <w:r>
              <w:rPr>
                <w:sz w:val="20"/>
                <w:szCs w:val="20"/>
              </w:rPr>
              <w:t>6</w:t>
            </w:r>
          </w:p>
        </w:tc>
        <w:tc>
          <w:tcPr>
            <w:tcW w:w="0" w:type="auto"/>
            <w:noWrap/>
            <w:vAlign w:val="bottom"/>
            <w:hideMark/>
          </w:tcPr>
          <w:p w14:paraId="70811A68" w14:textId="77777777" w:rsidR="00000000" w:rsidRDefault="003C49E9">
            <w:pPr>
              <w:pStyle w:val="a3"/>
              <w:spacing w:before="0" w:beforeAutospacing="0" w:after="0" w:afterAutospacing="0"/>
              <w:rPr>
                <w:sz w:val="20"/>
                <w:szCs w:val="20"/>
              </w:rPr>
            </w:pPr>
            <w:r>
              <w:rPr>
                <w:sz w:val="20"/>
                <w:szCs w:val="20"/>
              </w:rPr>
              <w:t> </w:t>
            </w:r>
          </w:p>
        </w:tc>
      </w:tr>
    </w:tbl>
    <w:p w14:paraId="3EE03942" w14:textId="77777777" w:rsidR="00000000" w:rsidRDefault="003C49E9">
      <w:pPr>
        <w:pStyle w:val="a3"/>
        <w:spacing w:before="0" w:beforeAutospacing="0" w:after="0" w:afterAutospacing="0"/>
        <w:divId w:val="1725060646"/>
        <w:rPr>
          <w:sz w:val="20"/>
          <w:szCs w:val="20"/>
        </w:rPr>
      </w:pPr>
      <w:r>
        <w:rPr>
          <w:sz w:val="20"/>
          <w:szCs w:val="20"/>
        </w:rPr>
        <w:t> </w:t>
      </w:r>
    </w:p>
    <w:p w14:paraId="3B015D76" w14:textId="77777777" w:rsidR="00000000" w:rsidRDefault="003C49E9">
      <w:pPr>
        <w:pStyle w:val="a3"/>
        <w:spacing w:before="240" w:beforeAutospacing="0" w:after="0" w:afterAutospacing="0"/>
        <w:jc w:val="center"/>
        <w:divId w:val="1725060646"/>
        <w:rPr>
          <w:sz w:val="20"/>
          <w:szCs w:val="20"/>
        </w:rPr>
      </w:pPr>
      <w:r>
        <w:rPr>
          <w:sz w:val="20"/>
          <w:szCs w:val="20"/>
        </w:rPr>
        <w:t>1</w:t>
      </w:r>
      <w:r>
        <w:rPr>
          <w:sz w:val="20"/>
          <w:szCs w:val="20"/>
        </w:rPr>
        <w:t>8</w:t>
      </w:r>
    </w:p>
    <w:p w14:paraId="3E6B5275" w14:textId="77777777" w:rsidR="00000000" w:rsidRDefault="003C49E9">
      <w:pPr>
        <w:divId w:val="1725060646"/>
        <w:rPr>
          <w:rFonts w:eastAsia="Times New Roman"/>
          <w:sz w:val="22"/>
          <w:szCs w:val="22"/>
        </w:rPr>
      </w:pPr>
      <w:r>
        <w:rPr>
          <w:rFonts w:eastAsia="Times New Roman"/>
          <w:sz w:val="22"/>
          <w:szCs w:val="22"/>
        </w:rPr>
        <w:pict w14:anchorId="46AEDDCF">
          <v:rect id="_x0000_i1042" style="width:0;height:1.5pt" o:hralign="center" o:hrstd="t" o:hr="t" fillcolor="#a0a0a0" stroked="f"/>
        </w:pict>
      </w:r>
    </w:p>
    <w:p w14:paraId="36471D22" w14:textId="77777777" w:rsidR="00000000" w:rsidRDefault="003C49E9">
      <w:pPr>
        <w:pStyle w:val="a3"/>
        <w:spacing w:before="0" w:beforeAutospacing="0" w:after="0" w:afterAutospacing="0"/>
        <w:divId w:val="1725060646"/>
        <w:rPr>
          <w:sz w:val="20"/>
          <w:szCs w:val="20"/>
        </w:rPr>
      </w:pPr>
      <w:r>
        <w:rPr>
          <w:sz w:val="20"/>
          <w:szCs w:val="20"/>
        </w:rPr>
        <w:t> </w:t>
      </w:r>
    </w:p>
    <w:p w14:paraId="613577E4" w14:textId="77777777" w:rsidR="00000000" w:rsidRDefault="003C49E9">
      <w:pPr>
        <w:pStyle w:val="a3"/>
        <w:spacing w:before="200" w:beforeAutospacing="0" w:after="0" w:afterAutospacing="0"/>
        <w:ind w:firstLine="555"/>
        <w:divId w:val="273177617"/>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13.</w:t>
      </w:r>
      <w:r>
        <w:rPr>
          <w:sz w:val="20"/>
          <w:szCs w:val="20"/>
        </w:rPr>
        <w:t>3</w:t>
      </w:r>
      <w:r>
        <w:rPr>
          <w:sz w:val="20"/>
          <w:szCs w:val="20"/>
        </w:rPr>
        <w:t xml:space="preserve"> million for the three months ended June 30, 2022,</w:t>
      </w:r>
      <w:r>
        <w:rPr>
          <w:sz w:val="20"/>
          <w:szCs w:val="20"/>
        </w:rPr>
        <w:t xml:space="preserve"> </w:t>
      </w:r>
      <w:r>
        <w:rPr>
          <w:sz w:val="20"/>
          <w:szCs w:val="20"/>
        </w:rPr>
        <w:t>$</w:t>
      </w:r>
      <w:r>
        <w:rPr>
          <w:sz w:val="20"/>
          <w:szCs w:val="20"/>
        </w:rPr>
        <w:t>20.</w:t>
      </w:r>
      <w:r>
        <w:rPr>
          <w:sz w:val="20"/>
          <w:szCs w:val="20"/>
        </w:rPr>
        <w:t>9</w:t>
      </w:r>
      <w:r>
        <w:rPr>
          <w:sz w:val="20"/>
          <w:szCs w:val="20"/>
        </w:rPr>
        <w:t xml:space="preserve"> millio</w:t>
      </w:r>
      <w:r>
        <w:rPr>
          <w:sz w:val="20"/>
          <w:szCs w:val="20"/>
        </w:rPr>
        <w:t>n</w:t>
      </w:r>
      <w:r>
        <w:rPr>
          <w:sz w:val="20"/>
          <w:szCs w:val="20"/>
        </w:rPr>
        <w:t xml:space="preserve"> for the six months ended June 30, 2022,</w:t>
      </w:r>
      <w:r>
        <w:rPr>
          <w:sz w:val="20"/>
          <w:szCs w:val="20"/>
        </w:rPr>
        <w:t xml:space="preserve"> </w:t>
      </w:r>
      <w:r>
        <w:rPr>
          <w:sz w:val="20"/>
          <w:szCs w:val="20"/>
        </w:rPr>
        <w:t>$</w:t>
      </w:r>
      <w:r>
        <w:rPr>
          <w:sz w:val="20"/>
          <w:szCs w:val="20"/>
        </w:rPr>
        <w:t>14.</w:t>
      </w:r>
      <w:r>
        <w:rPr>
          <w:sz w:val="20"/>
          <w:szCs w:val="20"/>
        </w:rPr>
        <w:t>0</w:t>
      </w:r>
      <w:r>
        <w:rPr>
          <w:sz w:val="20"/>
          <w:szCs w:val="20"/>
        </w:rPr>
        <w:t xml:space="preserve"> million for the three months ended June 30, </w:t>
      </w:r>
      <w:r>
        <w:rPr>
          <w:sz w:val="20"/>
          <w:szCs w:val="20"/>
        </w:rPr>
        <w:t>2021, and</w:t>
      </w:r>
      <w:r>
        <w:rPr>
          <w:sz w:val="20"/>
          <w:szCs w:val="20"/>
        </w:rPr>
        <w:t xml:space="preserve"> </w:t>
      </w:r>
      <w:r>
        <w:rPr>
          <w:sz w:val="20"/>
          <w:szCs w:val="20"/>
        </w:rPr>
        <w:t>$</w:t>
      </w:r>
      <w:r>
        <w:rPr>
          <w:sz w:val="20"/>
          <w:szCs w:val="20"/>
        </w:rPr>
        <w:t>26.</w:t>
      </w:r>
      <w:r>
        <w:rPr>
          <w:sz w:val="20"/>
          <w:szCs w:val="20"/>
        </w:rPr>
        <w:t>1</w:t>
      </w:r>
      <w:r>
        <w:rPr>
          <w:sz w:val="20"/>
          <w:szCs w:val="20"/>
        </w:rPr>
        <w:t xml:space="preserve"> million for the six months ended June 30, 202</w:t>
      </w:r>
      <w:r>
        <w:rPr>
          <w:sz w:val="20"/>
          <w:szCs w:val="20"/>
        </w:rPr>
        <w:t>1</w:t>
      </w:r>
      <w:r>
        <w:rPr>
          <w:sz w:val="20"/>
          <w:szCs w:val="20"/>
        </w:rPr>
        <w:t>.</w:t>
      </w:r>
      <w:r>
        <w:rPr>
          <w:sz w:val="20"/>
          <w:szCs w:val="20"/>
        </w:rPr>
        <w:t xml:space="preserve"> </w:t>
      </w:r>
    </w:p>
    <w:p w14:paraId="5B455E29" w14:textId="77777777" w:rsidR="00000000" w:rsidRDefault="003C49E9">
      <w:pPr>
        <w:pStyle w:val="a3"/>
        <w:spacing w:before="200" w:beforeAutospacing="0" w:after="0" w:afterAutospacing="0"/>
        <w:divId w:val="1050811320"/>
        <w:rPr>
          <w:sz w:val="20"/>
          <w:szCs w:val="20"/>
        </w:rPr>
      </w:pPr>
      <w:r>
        <w:rPr>
          <w:b/>
          <w:bCs/>
          <w:sz w:val="20"/>
          <w:szCs w:val="20"/>
        </w:rPr>
        <w:t>10. Commitments and Contingencie</w:t>
      </w:r>
      <w:r>
        <w:rPr>
          <w:b/>
          <w:bCs/>
          <w:sz w:val="20"/>
          <w:szCs w:val="20"/>
        </w:rPr>
        <w:t>s</w:t>
      </w:r>
    </w:p>
    <w:p w14:paraId="0F3A4029" w14:textId="77777777" w:rsidR="00000000" w:rsidRDefault="003C49E9">
      <w:pPr>
        <w:pStyle w:val="a3"/>
        <w:spacing w:before="200" w:beforeAutospacing="0" w:after="0" w:afterAutospacing="0"/>
        <w:ind w:firstLine="556"/>
        <w:divId w:val="1050811320"/>
        <w:rPr>
          <w:sz w:val="20"/>
          <w:szCs w:val="20"/>
        </w:rPr>
      </w:pPr>
      <w:r>
        <w:rPr>
          <w:b/>
          <w:bCs/>
          <w:i/>
          <w:iCs/>
          <w:sz w:val="20"/>
          <w:szCs w:val="20"/>
        </w:rPr>
        <w:t>Contractual Obligation</w:t>
      </w:r>
      <w:r>
        <w:rPr>
          <w:b/>
          <w:bCs/>
          <w:i/>
          <w:iCs/>
          <w:sz w:val="20"/>
          <w:szCs w:val="20"/>
        </w:rPr>
        <w:t>s</w:t>
      </w:r>
    </w:p>
    <w:p w14:paraId="48BC22A3" w14:textId="77777777" w:rsidR="00000000" w:rsidRDefault="003C49E9">
      <w:pPr>
        <w:pStyle w:val="a3"/>
        <w:spacing w:before="200" w:beforeAutospacing="0" w:after="0" w:afterAutospacing="0"/>
        <w:ind w:firstLine="555"/>
        <w:divId w:val="1050811320"/>
        <w:rPr>
          <w:sz w:val="20"/>
          <w:szCs w:val="20"/>
        </w:rPr>
      </w:pPr>
      <w:r>
        <w:rPr>
          <w:sz w:val="20"/>
          <w:szCs w:val="20"/>
        </w:rPr>
        <w:t>The Company leases its office facilities under non-cancelable operating leases that expire at various dates through February 2035. Certain leases contain optional termination dates. The table below only includes payments up to the optional termination date</w:t>
      </w:r>
      <w:r>
        <w:rPr>
          <w:sz w:val="20"/>
          <w:szCs w:val="20"/>
        </w:rPr>
        <w:t>. If the Company were to extend leases beyond the optional termination date, the future commitments would increase by approximately</w:t>
      </w:r>
      <w:r>
        <w:rPr>
          <w:sz w:val="20"/>
          <w:szCs w:val="20"/>
        </w:rPr>
        <w:t xml:space="preserve"> </w:t>
      </w:r>
      <w:r>
        <w:rPr>
          <w:sz w:val="20"/>
          <w:szCs w:val="20"/>
        </w:rPr>
        <w:t>$</w:t>
      </w:r>
      <w:r>
        <w:rPr>
          <w:sz w:val="20"/>
          <w:szCs w:val="20"/>
        </w:rPr>
        <w:t>76.</w:t>
      </w:r>
      <w:r>
        <w:rPr>
          <w:sz w:val="20"/>
          <w:szCs w:val="20"/>
        </w:rPr>
        <w:t>7</w:t>
      </w:r>
      <w:r>
        <w:rPr>
          <w:sz w:val="20"/>
          <w:szCs w:val="20"/>
        </w:rPr>
        <w:t xml:space="preserve"> million</w:t>
      </w:r>
      <w:r>
        <w:rPr>
          <w:sz w:val="20"/>
          <w:szCs w:val="20"/>
        </w:rPr>
        <w:t>.</w:t>
      </w:r>
      <w:r>
        <w:rPr>
          <w:sz w:val="20"/>
          <w:szCs w:val="20"/>
        </w:rPr>
        <w:t xml:space="preserve"> </w:t>
      </w:r>
    </w:p>
    <w:p w14:paraId="74899477" w14:textId="77777777" w:rsidR="00000000" w:rsidRDefault="003C49E9">
      <w:pPr>
        <w:pStyle w:val="a3"/>
        <w:spacing w:before="200" w:beforeAutospacing="0" w:after="0" w:afterAutospacing="0"/>
        <w:ind w:firstLine="555"/>
        <w:divId w:val="1050811320"/>
        <w:rPr>
          <w:sz w:val="20"/>
          <w:szCs w:val="20"/>
        </w:rPr>
      </w:pPr>
      <w:r>
        <w:rPr>
          <w:sz w:val="20"/>
          <w:szCs w:val="20"/>
        </w:rPr>
        <w:t>Included in the table below are operating lease commitments for leases that have not yet commenced of approx</w:t>
      </w:r>
      <w:r>
        <w:rPr>
          <w:sz w:val="20"/>
          <w:szCs w:val="20"/>
        </w:rPr>
        <w:t xml:space="preserve">imately </w:t>
      </w:r>
      <w:r>
        <w:rPr>
          <w:sz w:val="20"/>
          <w:szCs w:val="20"/>
        </w:rPr>
        <w:t>$</w:t>
      </w:r>
      <w:r>
        <w:rPr>
          <w:sz w:val="20"/>
          <w:szCs w:val="20"/>
        </w:rPr>
        <w:t>1.</w:t>
      </w:r>
      <w:r>
        <w:rPr>
          <w:sz w:val="20"/>
          <w:szCs w:val="20"/>
        </w:rPr>
        <w:t>3</w:t>
      </w:r>
      <w:r>
        <w:rPr>
          <w:sz w:val="20"/>
          <w:szCs w:val="20"/>
        </w:rPr>
        <w:t xml:space="preserve"> million for facilities with lease terms of approximately</w:t>
      </w:r>
      <w:r>
        <w:rPr>
          <w:sz w:val="20"/>
          <w:szCs w:val="20"/>
        </w:rPr>
        <w:t xml:space="preserve"> </w:t>
      </w:r>
      <w:r>
        <w:rPr>
          <w:sz w:val="20"/>
          <w:szCs w:val="20"/>
        </w:rPr>
        <w:t>two year</w:t>
      </w:r>
      <w:r>
        <w:rPr>
          <w:sz w:val="20"/>
          <w:szCs w:val="20"/>
        </w:rPr>
        <w:t>s</w:t>
      </w:r>
      <w:r>
        <w:rPr>
          <w:sz w:val="20"/>
          <w:szCs w:val="20"/>
        </w:rPr>
        <w:t>.</w:t>
      </w:r>
    </w:p>
    <w:p w14:paraId="5D117D7C" w14:textId="77777777" w:rsidR="00000000" w:rsidRDefault="003C49E9">
      <w:pPr>
        <w:pStyle w:val="a3"/>
        <w:spacing w:before="200" w:beforeAutospacing="0" w:after="0" w:afterAutospacing="0"/>
        <w:ind w:firstLine="555"/>
        <w:divId w:val="652684331"/>
        <w:rPr>
          <w:sz w:val="20"/>
          <w:szCs w:val="20"/>
        </w:rPr>
      </w:pPr>
      <w:r>
        <w:rPr>
          <w:sz w:val="20"/>
          <w:szCs w:val="20"/>
        </w:rPr>
        <w:t>Future minimum payments under all operating lease agreements as of</w:t>
      </w:r>
      <w:r>
        <w:rPr>
          <w:sz w:val="20"/>
          <w:szCs w:val="20"/>
        </w:rPr>
        <w:t xml:space="preserve"> </w:t>
      </w:r>
      <w:r>
        <w:rPr>
          <w:sz w:val="20"/>
          <w:szCs w:val="20"/>
        </w:rPr>
        <w:t>June 30, 2022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30"/>
        <w:gridCol w:w="141"/>
        <w:gridCol w:w="160"/>
        <w:gridCol w:w="1358"/>
        <w:gridCol w:w="125"/>
      </w:tblGrid>
      <w:tr w:rsidR="00000000" w14:paraId="33E1BCB8" w14:textId="77777777">
        <w:trPr>
          <w:divId w:val="652684331"/>
          <w:tblCellSpacing w:w="15" w:type="dxa"/>
        </w:trPr>
        <w:tc>
          <w:tcPr>
            <w:tcW w:w="3565" w:type="pct"/>
            <w:vAlign w:val="center"/>
            <w:hideMark/>
          </w:tcPr>
          <w:p w14:paraId="0307D963" w14:textId="77777777" w:rsidR="00000000" w:rsidRDefault="003C49E9">
            <w:pPr>
              <w:rPr>
                <w:sz w:val="20"/>
                <w:szCs w:val="20"/>
              </w:rPr>
            </w:pPr>
          </w:p>
        </w:tc>
        <w:tc>
          <w:tcPr>
            <w:tcW w:w="127" w:type="pct"/>
            <w:vAlign w:val="center"/>
            <w:hideMark/>
          </w:tcPr>
          <w:p w14:paraId="5F2B6E8C" w14:textId="77777777" w:rsidR="00000000" w:rsidRDefault="003C49E9">
            <w:pPr>
              <w:rPr>
                <w:rFonts w:eastAsia="Times New Roman"/>
                <w:sz w:val="20"/>
                <w:szCs w:val="20"/>
              </w:rPr>
            </w:pPr>
          </w:p>
        </w:tc>
        <w:tc>
          <w:tcPr>
            <w:tcW w:w="50" w:type="pct"/>
            <w:vAlign w:val="center"/>
            <w:hideMark/>
          </w:tcPr>
          <w:p w14:paraId="203CEAEC" w14:textId="77777777" w:rsidR="00000000" w:rsidRDefault="003C49E9">
            <w:pPr>
              <w:rPr>
                <w:rFonts w:eastAsia="Times New Roman"/>
                <w:sz w:val="20"/>
                <w:szCs w:val="20"/>
              </w:rPr>
            </w:pPr>
          </w:p>
        </w:tc>
        <w:tc>
          <w:tcPr>
            <w:tcW w:w="1207" w:type="pct"/>
            <w:vAlign w:val="center"/>
            <w:hideMark/>
          </w:tcPr>
          <w:p w14:paraId="5C0D2617" w14:textId="77777777" w:rsidR="00000000" w:rsidRDefault="003C49E9">
            <w:pPr>
              <w:rPr>
                <w:rFonts w:eastAsia="Times New Roman"/>
                <w:sz w:val="20"/>
                <w:szCs w:val="20"/>
              </w:rPr>
            </w:pPr>
          </w:p>
        </w:tc>
        <w:tc>
          <w:tcPr>
            <w:tcW w:w="50" w:type="pct"/>
            <w:vAlign w:val="center"/>
            <w:hideMark/>
          </w:tcPr>
          <w:p w14:paraId="7F7B2FB2" w14:textId="77777777" w:rsidR="00000000" w:rsidRDefault="003C49E9">
            <w:pPr>
              <w:rPr>
                <w:rFonts w:eastAsia="Times New Roman"/>
                <w:sz w:val="20"/>
                <w:szCs w:val="20"/>
              </w:rPr>
            </w:pPr>
          </w:p>
        </w:tc>
      </w:tr>
      <w:tr w:rsidR="00000000" w14:paraId="1AFF7AD4" w14:textId="77777777">
        <w:trPr>
          <w:divId w:val="652684331"/>
          <w:trHeight w:val="160"/>
          <w:tblCellSpacing w:w="15" w:type="dxa"/>
        </w:trPr>
        <w:tc>
          <w:tcPr>
            <w:tcW w:w="0" w:type="auto"/>
            <w:vAlign w:val="bottom"/>
            <w:hideMark/>
          </w:tcPr>
          <w:p w14:paraId="7611BED3"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1D298A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736AC50" w14:textId="77777777" w:rsidR="00000000" w:rsidRDefault="003C49E9">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14:paraId="777D3FA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73DA059" w14:textId="77777777">
        <w:trPr>
          <w:divId w:val="652684331"/>
          <w:trHeight w:val="160"/>
          <w:tblCellSpacing w:w="15" w:type="dxa"/>
        </w:trPr>
        <w:tc>
          <w:tcPr>
            <w:tcW w:w="0" w:type="auto"/>
            <w:vAlign w:val="bottom"/>
            <w:hideMark/>
          </w:tcPr>
          <w:p w14:paraId="5617E16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D2FADDE"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92E2258"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59E87E2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4E0C310" w14:textId="77777777">
        <w:trPr>
          <w:divId w:val="652684331"/>
          <w:trHeight w:val="200"/>
          <w:tblCellSpacing w:w="15" w:type="dxa"/>
        </w:trPr>
        <w:tc>
          <w:tcPr>
            <w:tcW w:w="0" w:type="auto"/>
            <w:hideMark/>
          </w:tcPr>
          <w:p w14:paraId="223D56EB" w14:textId="77777777" w:rsidR="00000000" w:rsidRDefault="003C49E9">
            <w:pPr>
              <w:pStyle w:val="a3"/>
              <w:spacing w:before="0" w:beforeAutospacing="0" w:after="0" w:afterAutospacing="0"/>
              <w:rPr>
                <w:sz w:val="20"/>
                <w:szCs w:val="20"/>
              </w:rPr>
            </w:pPr>
            <w:r>
              <w:rPr>
                <w:sz w:val="20"/>
                <w:szCs w:val="20"/>
              </w:rPr>
              <w:t>Remainder of 202</w:t>
            </w:r>
            <w:r>
              <w:rPr>
                <w:sz w:val="20"/>
                <w:szCs w:val="20"/>
              </w:rPr>
              <w:t>2</w:t>
            </w:r>
          </w:p>
        </w:tc>
        <w:tc>
          <w:tcPr>
            <w:tcW w:w="0" w:type="auto"/>
            <w:vAlign w:val="center"/>
            <w:hideMark/>
          </w:tcPr>
          <w:p w14:paraId="263C2E0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DBE359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51A5EB6" w14:textId="77777777" w:rsidR="00000000" w:rsidRDefault="003C49E9">
            <w:pPr>
              <w:pStyle w:val="a3"/>
              <w:spacing w:before="0" w:beforeAutospacing="0" w:after="0" w:afterAutospacing="0"/>
              <w:jc w:val="right"/>
              <w:rPr>
                <w:sz w:val="20"/>
                <w:szCs w:val="20"/>
              </w:rPr>
            </w:pPr>
            <w:r>
              <w:rPr>
                <w:sz w:val="20"/>
                <w:szCs w:val="20"/>
              </w:rPr>
              <w:t>22,45</w:t>
            </w:r>
            <w:r>
              <w:rPr>
                <w:sz w:val="20"/>
                <w:szCs w:val="20"/>
              </w:rPr>
              <w:t>1</w:t>
            </w:r>
          </w:p>
        </w:tc>
        <w:tc>
          <w:tcPr>
            <w:tcW w:w="0" w:type="auto"/>
            <w:noWrap/>
            <w:vAlign w:val="bottom"/>
            <w:hideMark/>
          </w:tcPr>
          <w:p w14:paraId="4FB02DFB" w14:textId="77777777" w:rsidR="00000000" w:rsidRDefault="003C49E9">
            <w:pPr>
              <w:pStyle w:val="a3"/>
              <w:spacing w:before="0" w:beforeAutospacing="0" w:after="0" w:afterAutospacing="0"/>
              <w:rPr>
                <w:sz w:val="20"/>
                <w:szCs w:val="20"/>
              </w:rPr>
            </w:pPr>
            <w:r>
              <w:rPr>
                <w:sz w:val="20"/>
                <w:szCs w:val="20"/>
              </w:rPr>
              <w:t> </w:t>
            </w:r>
          </w:p>
        </w:tc>
      </w:tr>
      <w:tr w:rsidR="00000000" w14:paraId="2CE45E1D" w14:textId="77777777">
        <w:trPr>
          <w:divId w:val="652684331"/>
          <w:trHeight w:val="200"/>
          <w:tblCellSpacing w:w="15" w:type="dxa"/>
        </w:trPr>
        <w:tc>
          <w:tcPr>
            <w:tcW w:w="0" w:type="auto"/>
            <w:hideMark/>
          </w:tcPr>
          <w:p w14:paraId="2DA7FE3A" w14:textId="77777777" w:rsidR="00000000" w:rsidRDefault="003C49E9">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14:paraId="20D0C08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375C8A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9F02C2" w14:textId="77777777" w:rsidR="00000000" w:rsidRDefault="003C49E9">
            <w:pPr>
              <w:pStyle w:val="a3"/>
              <w:spacing w:before="0" w:beforeAutospacing="0" w:after="0" w:afterAutospacing="0"/>
              <w:jc w:val="right"/>
              <w:rPr>
                <w:sz w:val="20"/>
                <w:szCs w:val="20"/>
              </w:rPr>
            </w:pPr>
            <w:r>
              <w:rPr>
                <w:sz w:val="20"/>
                <w:szCs w:val="20"/>
              </w:rPr>
              <w:t>44,43</w:t>
            </w:r>
            <w:r>
              <w:rPr>
                <w:sz w:val="20"/>
                <w:szCs w:val="20"/>
              </w:rPr>
              <w:t>0</w:t>
            </w:r>
          </w:p>
        </w:tc>
        <w:tc>
          <w:tcPr>
            <w:tcW w:w="0" w:type="auto"/>
            <w:noWrap/>
            <w:vAlign w:val="bottom"/>
            <w:hideMark/>
          </w:tcPr>
          <w:p w14:paraId="6739BBBE" w14:textId="77777777" w:rsidR="00000000" w:rsidRDefault="003C49E9">
            <w:pPr>
              <w:pStyle w:val="a3"/>
              <w:spacing w:before="0" w:beforeAutospacing="0" w:after="0" w:afterAutospacing="0"/>
              <w:rPr>
                <w:sz w:val="20"/>
                <w:szCs w:val="20"/>
              </w:rPr>
            </w:pPr>
            <w:r>
              <w:rPr>
                <w:sz w:val="20"/>
                <w:szCs w:val="20"/>
              </w:rPr>
              <w:t> </w:t>
            </w:r>
          </w:p>
        </w:tc>
      </w:tr>
      <w:tr w:rsidR="00000000" w14:paraId="07476AF4" w14:textId="77777777">
        <w:trPr>
          <w:divId w:val="652684331"/>
          <w:trHeight w:val="200"/>
          <w:tblCellSpacing w:w="15" w:type="dxa"/>
        </w:trPr>
        <w:tc>
          <w:tcPr>
            <w:tcW w:w="0" w:type="auto"/>
            <w:hideMark/>
          </w:tcPr>
          <w:p w14:paraId="4FFB3C33" w14:textId="77777777" w:rsidR="00000000" w:rsidRDefault="003C49E9">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14:paraId="74415D2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A049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2B294F" w14:textId="77777777" w:rsidR="00000000" w:rsidRDefault="003C49E9">
            <w:pPr>
              <w:pStyle w:val="a3"/>
              <w:spacing w:before="0" w:beforeAutospacing="0" w:after="0" w:afterAutospacing="0"/>
              <w:jc w:val="right"/>
              <w:rPr>
                <w:sz w:val="20"/>
                <w:szCs w:val="20"/>
              </w:rPr>
            </w:pPr>
            <w:r>
              <w:rPr>
                <w:sz w:val="20"/>
                <w:szCs w:val="20"/>
              </w:rPr>
              <w:t>41,93</w:t>
            </w:r>
            <w:r>
              <w:rPr>
                <w:sz w:val="20"/>
                <w:szCs w:val="20"/>
              </w:rPr>
              <w:t>2</w:t>
            </w:r>
          </w:p>
        </w:tc>
        <w:tc>
          <w:tcPr>
            <w:tcW w:w="0" w:type="auto"/>
            <w:noWrap/>
            <w:vAlign w:val="bottom"/>
            <w:hideMark/>
          </w:tcPr>
          <w:p w14:paraId="0CDCA234" w14:textId="77777777" w:rsidR="00000000" w:rsidRDefault="003C49E9">
            <w:pPr>
              <w:pStyle w:val="a3"/>
              <w:spacing w:before="0" w:beforeAutospacing="0" w:after="0" w:afterAutospacing="0"/>
              <w:rPr>
                <w:sz w:val="20"/>
                <w:szCs w:val="20"/>
              </w:rPr>
            </w:pPr>
            <w:r>
              <w:rPr>
                <w:sz w:val="20"/>
                <w:szCs w:val="20"/>
              </w:rPr>
              <w:t> </w:t>
            </w:r>
          </w:p>
        </w:tc>
      </w:tr>
      <w:tr w:rsidR="00000000" w14:paraId="66872FBB" w14:textId="77777777">
        <w:trPr>
          <w:divId w:val="652684331"/>
          <w:trHeight w:val="200"/>
          <w:tblCellSpacing w:w="15" w:type="dxa"/>
        </w:trPr>
        <w:tc>
          <w:tcPr>
            <w:tcW w:w="0" w:type="auto"/>
            <w:hideMark/>
          </w:tcPr>
          <w:p w14:paraId="59DEBFBF" w14:textId="77777777" w:rsidR="00000000" w:rsidRDefault="003C49E9">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14:paraId="516EE99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70317B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B1E8F4" w14:textId="77777777" w:rsidR="00000000" w:rsidRDefault="003C49E9">
            <w:pPr>
              <w:pStyle w:val="a3"/>
              <w:spacing w:before="0" w:beforeAutospacing="0" w:after="0" w:afterAutospacing="0"/>
              <w:jc w:val="right"/>
              <w:rPr>
                <w:sz w:val="20"/>
                <w:szCs w:val="20"/>
              </w:rPr>
            </w:pPr>
            <w:r>
              <w:rPr>
                <w:sz w:val="20"/>
                <w:szCs w:val="20"/>
              </w:rPr>
              <w:t>41,44</w:t>
            </w:r>
            <w:r>
              <w:rPr>
                <w:sz w:val="20"/>
                <w:szCs w:val="20"/>
              </w:rPr>
              <w:t>8</w:t>
            </w:r>
          </w:p>
        </w:tc>
        <w:tc>
          <w:tcPr>
            <w:tcW w:w="0" w:type="auto"/>
            <w:noWrap/>
            <w:vAlign w:val="bottom"/>
            <w:hideMark/>
          </w:tcPr>
          <w:p w14:paraId="10429CD4" w14:textId="77777777" w:rsidR="00000000" w:rsidRDefault="003C49E9">
            <w:pPr>
              <w:pStyle w:val="a3"/>
              <w:spacing w:before="0" w:beforeAutospacing="0" w:after="0" w:afterAutospacing="0"/>
              <w:rPr>
                <w:sz w:val="20"/>
                <w:szCs w:val="20"/>
              </w:rPr>
            </w:pPr>
            <w:r>
              <w:rPr>
                <w:sz w:val="20"/>
                <w:szCs w:val="20"/>
              </w:rPr>
              <w:t> </w:t>
            </w:r>
          </w:p>
        </w:tc>
      </w:tr>
      <w:tr w:rsidR="00000000" w14:paraId="7B96DFEB" w14:textId="77777777">
        <w:trPr>
          <w:divId w:val="652684331"/>
          <w:trHeight w:val="200"/>
          <w:tblCellSpacing w:w="15" w:type="dxa"/>
        </w:trPr>
        <w:tc>
          <w:tcPr>
            <w:tcW w:w="0" w:type="auto"/>
            <w:hideMark/>
          </w:tcPr>
          <w:p w14:paraId="6B3EF40B" w14:textId="77777777" w:rsidR="00000000" w:rsidRDefault="003C49E9">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14:paraId="6925456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5E4608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58DCC9" w14:textId="77777777" w:rsidR="00000000" w:rsidRDefault="003C49E9">
            <w:pPr>
              <w:pStyle w:val="a3"/>
              <w:spacing w:before="0" w:beforeAutospacing="0" w:after="0" w:afterAutospacing="0"/>
              <w:jc w:val="right"/>
              <w:rPr>
                <w:sz w:val="20"/>
                <w:szCs w:val="20"/>
              </w:rPr>
            </w:pPr>
            <w:r>
              <w:rPr>
                <w:sz w:val="20"/>
                <w:szCs w:val="20"/>
              </w:rPr>
              <w:t>41,14</w:t>
            </w:r>
            <w:r>
              <w:rPr>
                <w:sz w:val="20"/>
                <w:szCs w:val="20"/>
              </w:rPr>
              <w:t>9</w:t>
            </w:r>
          </w:p>
        </w:tc>
        <w:tc>
          <w:tcPr>
            <w:tcW w:w="0" w:type="auto"/>
            <w:noWrap/>
            <w:vAlign w:val="bottom"/>
            <w:hideMark/>
          </w:tcPr>
          <w:p w14:paraId="2D1AE383" w14:textId="77777777" w:rsidR="00000000" w:rsidRDefault="003C49E9">
            <w:pPr>
              <w:pStyle w:val="a3"/>
              <w:spacing w:before="0" w:beforeAutospacing="0" w:after="0" w:afterAutospacing="0"/>
              <w:rPr>
                <w:sz w:val="20"/>
                <w:szCs w:val="20"/>
              </w:rPr>
            </w:pPr>
            <w:r>
              <w:rPr>
                <w:sz w:val="20"/>
                <w:szCs w:val="20"/>
              </w:rPr>
              <w:t> </w:t>
            </w:r>
          </w:p>
        </w:tc>
      </w:tr>
      <w:tr w:rsidR="00000000" w14:paraId="1FDB39DC" w14:textId="77777777">
        <w:trPr>
          <w:divId w:val="652684331"/>
          <w:trHeight w:val="200"/>
          <w:tblCellSpacing w:w="15" w:type="dxa"/>
        </w:trPr>
        <w:tc>
          <w:tcPr>
            <w:tcW w:w="0" w:type="auto"/>
            <w:hideMark/>
          </w:tcPr>
          <w:p w14:paraId="66193793" w14:textId="77777777" w:rsidR="00000000" w:rsidRDefault="003C49E9">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14:paraId="7075F05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91658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FF11A67" w14:textId="77777777" w:rsidR="00000000" w:rsidRDefault="003C49E9">
            <w:pPr>
              <w:pStyle w:val="a3"/>
              <w:spacing w:before="0" w:beforeAutospacing="0" w:after="0" w:afterAutospacing="0"/>
              <w:jc w:val="right"/>
              <w:rPr>
                <w:sz w:val="20"/>
                <w:szCs w:val="20"/>
              </w:rPr>
            </w:pPr>
            <w:r>
              <w:rPr>
                <w:sz w:val="20"/>
                <w:szCs w:val="20"/>
              </w:rPr>
              <w:t>168,34</w:t>
            </w:r>
            <w:r>
              <w:rPr>
                <w:sz w:val="20"/>
                <w:szCs w:val="20"/>
              </w:rPr>
              <w:t>6</w:t>
            </w:r>
          </w:p>
        </w:tc>
        <w:tc>
          <w:tcPr>
            <w:tcW w:w="0" w:type="auto"/>
            <w:noWrap/>
            <w:vAlign w:val="bottom"/>
            <w:hideMark/>
          </w:tcPr>
          <w:p w14:paraId="7F8EAEF7" w14:textId="77777777" w:rsidR="00000000" w:rsidRDefault="003C49E9">
            <w:pPr>
              <w:pStyle w:val="a3"/>
              <w:spacing w:before="0" w:beforeAutospacing="0" w:after="0" w:afterAutospacing="0"/>
              <w:rPr>
                <w:sz w:val="20"/>
                <w:szCs w:val="20"/>
              </w:rPr>
            </w:pPr>
            <w:r>
              <w:rPr>
                <w:sz w:val="20"/>
                <w:szCs w:val="20"/>
              </w:rPr>
              <w:t> </w:t>
            </w:r>
          </w:p>
        </w:tc>
      </w:tr>
      <w:tr w:rsidR="00000000" w14:paraId="0A30A653" w14:textId="77777777">
        <w:trPr>
          <w:divId w:val="652684331"/>
          <w:trHeight w:val="200"/>
          <w:tblCellSpacing w:w="15" w:type="dxa"/>
        </w:trPr>
        <w:tc>
          <w:tcPr>
            <w:tcW w:w="0" w:type="auto"/>
            <w:hideMark/>
          </w:tcPr>
          <w:p w14:paraId="384777C7"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14:paraId="28CAD26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7F598D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3F58CDA" w14:textId="77777777" w:rsidR="00000000" w:rsidRDefault="003C49E9">
            <w:pPr>
              <w:pStyle w:val="a3"/>
              <w:spacing w:before="0" w:beforeAutospacing="0" w:after="0" w:afterAutospacing="0"/>
              <w:jc w:val="right"/>
              <w:rPr>
                <w:sz w:val="20"/>
                <w:szCs w:val="20"/>
              </w:rPr>
            </w:pPr>
            <w:r>
              <w:rPr>
                <w:sz w:val="20"/>
                <w:szCs w:val="20"/>
              </w:rPr>
              <w:t>359,75</w:t>
            </w:r>
            <w:r>
              <w:rPr>
                <w:sz w:val="20"/>
                <w:szCs w:val="20"/>
              </w:rPr>
              <w:t>6</w:t>
            </w:r>
          </w:p>
        </w:tc>
        <w:tc>
          <w:tcPr>
            <w:tcW w:w="0" w:type="auto"/>
            <w:noWrap/>
            <w:vAlign w:val="bottom"/>
            <w:hideMark/>
          </w:tcPr>
          <w:p w14:paraId="2E298719" w14:textId="77777777" w:rsidR="00000000" w:rsidRDefault="003C49E9">
            <w:pPr>
              <w:pStyle w:val="a3"/>
              <w:spacing w:before="0" w:beforeAutospacing="0" w:after="0" w:afterAutospacing="0"/>
              <w:rPr>
                <w:sz w:val="20"/>
                <w:szCs w:val="20"/>
              </w:rPr>
            </w:pPr>
            <w:r>
              <w:rPr>
                <w:sz w:val="20"/>
                <w:szCs w:val="20"/>
              </w:rPr>
              <w:t> </w:t>
            </w:r>
          </w:p>
        </w:tc>
      </w:tr>
    </w:tbl>
    <w:p w14:paraId="07696246" w14:textId="77777777" w:rsidR="00000000" w:rsidRDefault="003C49E9">
      <w:pPr>
        <w:pStyle w:val="a3"/>
        <w:spacing w:before="200" w:beforeAutospacing="0" w:after="0" w:afterAutospacing="0"/>
        <w:ind w:firstLine="555"/>
        <w:divId w:val="2004972320"/>
        <w:rPr>
          <w:sz w:val="20"/>
          <w:szCs w:val="20"/>
        </w:rPr>
      </w:pPr>
      <w:r>
        <w:rPr>
          <w:sz w:val="20"/>
          <w:szCs w:val="20"/>
        </w:rPr>
        <w:t>Future minimum payments under al</w:t>
      </w:r>
      <w:r>
        <w:rPr>
          <w:sz w:val="20"/>
          <w:szCs w:val="20"/>
        </w:rPr>
        <w:t>l</w:t>
      </w:r>
      <w:r>
        <w:rPr>
          <w:sz w:val="20"/>
          <w:szCs w:val="20"/>
        </w:rPr>
        <w:t xml:space="preserve"> </w:t>
      </w:r>
      <w:r>
        <w:rPr>
          <w:sz w:val="20"/>
          <w:szCs w:val="20"/>
        </w:rPr>
        <w:t>non-cancelable arrangements as of June 30, 2022 and agreements entered into since then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83"/>
        <w:gridCol w:w="110"/>
        <w:gridCol w:w="155"/>
        <w:gridCol w:w="1011"/>
        <w:gridCol w:w="108"/>
        <w:gridCol w:w="108"/>
        <w:gridCol w:w="156"/>
        <w:gridCol w:w="960"/>
        <w:gridCol w:w="123"/>
      </w:tblGrid>
      <w:tr w:rsidR="00000000" w14:paraId="3904F86D" w14:textId="77777777">
        <w:trPr>
          <w:divId w:val="2004972320"/>
          <w:tblCellSpacing w:w="15" w:type="dxa"/>
        </w:trPr>
        <w:tc>
          <w:tcPr>
            <w:tcW w:w="2787" w:type="pct"/>
            <w:vAlign w:val="center"/>
            <w:hideMark/>
          </w:tcPr>
          <w:p w14:paraId="70EBB9AB" w14:textId="77777777" w:rsidR="00000000" w:rsidRDefault="003C49E9">
            <w:pPr>
              <w:rPr>
                <w:sz w:val="20"/>
                <w:szCs w:val="20"/>
              </w:rPr>
            </w:pPr>
          </w:p>
        </w:tc>
        <w:tc>
          <w:tcPr>
            <w:tcW w:w="98" w:type="pct"/>
            <w:vAlign w:val="center"/>
            <w:hideMark/>
          </w:tcPr>
          <w:p w14:paraId="1E3ED5B3" w14:textId="77777777" w:rsidR="00000000" w:rsidRDefault="003C49E9">
            <w:pPr>
              <w:rPr>
                <w:rFonts w:eastAsia="Times New Roman"/>
                <w:sz w:val="20"/>
                <w:szCs w:val="20"/>
              </w:rPr>
            </w:pPr>
          </w:p>
        </w:tc>
        <w:tc>
          <w:tcPr>
            <w:tcW w:w="50" w:type="pct"/>
            <w:vAlign w:val="center"/>
            <w:hideMark/>
          </w:tcPr>
          <w:p w14:paraId="6B99022D" w14:textId="77777777" w:rsidR="00000000" w:rsidRDefault="003C49E9">
            <w:pPr>
              <w:rPr>
                <w:rFonts w:eastAsia="Times New Roman"/>
                <w:sz w:val="20"/>
                <w:szCs w:val="20"/>
              </w:rPr>
            </w:pPr>
          </w:p>
        </w:tc>
        <w:tc>
          <w:tcPr>
            <w:tcW w:w="932" w:type="pct"/>
            <w:vAlign w:val="center"/>
            <w:hideMark/>
          </w:tcPr>
          <w:p w14:paraId="67F5637E" w14:textId="77777777" w:rsidR="00000000" w:rsidRDefault="003C49E9">
            <w:pPr>
              <w:rPr>
                <w:rFonts w:eastAsia="Times New Roman"/>
                <w:sz w:val="20"/>
                <w:szCs w:val="20"/>
              </w:rPr>
            </w:pPr>
          </w:p>
        </w:tc>
        <w:tc>
          <w:tcPr>
            <w:tcW w:w="50" w:type="pct"/>
            <w:vAlign w:val="center"/>
            <w:hideMark/>
          </w:tcPr>
          <w:p w14:paraId="4BF6CF62" w14:textId="77777777" w:rsidR="00000000" w:rsidRDefault="003C49E9">
            <w:pPr>
              <w:rPr>
                <w:rFonts w:eastAsia="Times New Roman"/>
                <w:sz w:val="20"/>
                <w:szCs w:val="20"/>
              </w:rPr>
            </w:pPr>
          </w:p>
        </w:tc>
        <w:tc>
          <w:tcPr>
            <w:tcW w:w="90" w:type="pct"/>
            <w:vAlign w:val="center"/>
            <w:hideMark/>
          </w:tcPr>
          <w:p w14:paraId="567ED10B" w14:textId="77777777" w:rsidR="00000000" w:rsidRDefault="003C49E9">
            <w:pPr>
              <w:rPr>
                <w:rFonts w:eastAsia="Times New Roman"/>
                <w:sz w:val="20"/>
                <w:szCs w:val="20"/>
              </w:rPr>
            </w:pPr>
          </w:p>
        </w:tc>
        <w:tc>
          <w:tcPr>
            <w:tcW w:w="50" w:type="pct"/>
            <w:vAlign w:val="center"/>
            <w:hideMark/>
          </w:tcPr>
          <w:p w14:paraId="5A268928" w14:textId="77777777" w:rsidR="00000000" w:rsidRDefault="003C49E9">
            <w:pPr>
              <w:rPr>
                <w:rFonts w:eastAsia="Times New Roman"/>
                <w:sz w:val="20"/>
                <w:szCs w:val="20"/>
              </w:rPr>
            </w:pPr>
          </w:p>
        </w:tc>
        <w:tc>
          <w:tcPr>
            <w:tcW w:w="890" w:type="pct"/>
            <w:vAlign w:val="center"/>
            <w:hideMark/>
          </w:tcPr>
          <w:p w14:paraId="1368AE88" w14:textId="77777777" w:rsidR="00000000" w:rsidRDefault="003C49E9">
            <w:pPr>
              <w:rPr>
                <w:rFonts w:eastAsia="Times New Roman"/>
                <w:sz w:val="20"/>
                <w:szCs w:val="20"/>
              </w:rPr>
            </w:pPr>
          </w:p>
        </w:tc>
        <w:tc>
          <w:tcPr>
            <w:tcW w:w="50" w:type="pct"/>
            <w:vAlign w:val="center"/>
            <w:hideMark/>
          </w:tcPr>
          <w:p w14:paraId="31FC5992" w14:textId="77777777" w:rsidR="00000000" w:rsidRDefault="003C49E9">
            <w:pPr>
              <w:rPr>
                <w:rFonts w:eastAsia="Times New Roman"/>
                <w:sz w:val="20"/>
                <w:szCs w:val="20"/>
              </w:rPr>
            </w:pPr>
          </w:p>
        </w:tc>
      </w:tr>
      <w:tr w:rsidR="00000000" w14:paraId="48B49EA4" w14:textId="77777777">
        <w:trPr>
          <w:divId w:val="2004972320"/>
          <w:trHeight w:val="160"/>
          <w:tblCellSpacing w:w="15" w:type="dxa"/>
        </w:trPr>
        <w:tc>
          <w:tcPr>
            <w:tcW w:w="0" w:type="auto"/>
            <w:vAlign w:val="bottom"/>
            <w:hideMark/>
          </w:tcPr>
          <w:p w14:paraId="0EBB44E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14EA9C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1D34388" w14:textId="77777777" w:rsidR="00000000" w:rsidRDefault="003C49E9">
            <w:pPr>
              <w:pStyle w:val="a3"/>
              <w:spacing w:before="0" w:beforeAutospacing="0" w:after="0" w:afterAutospacing="0"/>
              <w:jc w:val="center"/>
              <w:rPr>
                <w:sz w:val="16"/>
                <w:szCs w:val="16"/>
              </w:rPr>
            </w:pPr>
            <w:r>
              <w:rPr>
                <w:b/>
                <w:bCs/>
                <w:sz w:val="16"/>
                <w:szCs w:val="16"/>
              </w:rPr>
              <w:t>Product</w:t>
            </w:r>
            <w:r>
              <w:rPr>
                <w:b/>
                <w:bCs/>
                <w:sz w:val="16"/>
                <w:szCs w:val="16"/>
              </w:rPr>
              <w:br/>
              <w:t>related</w:t>
            </w:r>
            <w:r>
              <w:rPr>
                <w:b/>
                <w:bCs/>
                <w:sz w:val="16"/>
                <w:szCs w:val="16"/>
              </w:rPr>
              <w:br/>
              <w:t>obligation</w:t>
            </w:r>
            <w:r>
              <w:rPr>
                <w:b/>
                <w:bCs/>
                <w:sz w:val="16"/>
                <w:szCs w:val="16"/>
              </w:rPr>
              <w:t>s</w:t>
            </w:r>
          </w:p>
        </w:tc>
        <w:tc>
          <w:tcPr>
            <w:tcW w:w="0" w:type="auto"/>
            <w:vAlign w:val="bottom"/>
            <w:hideMark/>
          </w:tcPr>
          <w:p w14:paraId="20D279E5"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59B169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9BE8BE0" w14:textId="77777777" w:rsidR="00000000" w:rsidRDefault="003C49E9">
            <w:pPr>
              <w:pStyle w:val="a3"/>
              <w:spacing w:before="0" w:beforeAutospacing="0" w:after="0" w:afterAutospacing="0"/>
              <w:jc w:val="center"/>
              <w:rPr>
                <w:sz w:val="16"/>
                <w:szCs w:val="16"/>
              </w:rPr>
            </w:pPr>
            <w:r>
              <w:rPr>
                <w:b/>
                <w:bCs/>
                <w:sz w:val="16"/>
                <w:szCs w:val="16"/>
              </w:rPr>
              <w:t>INBOUND</w:t>
            </w:r>
            <w:r>
              <w:rPr>
                <w:b/>
                <w:bCs/>
                <w:sz w:val="16"/>
                <w:szCs w:val="16"/>
              </w:rPr>
              <w:br/>
              <w:t>event</w:t>
            </w:r>
            <w:r>
              <w:rPr>
                <w:b/>
                <w:bCs/>
                <w:sz w:val="16"/>
                <w:szCs w:val="16"/>
              </w:rPr>
              <w:br/>
              <w:t>obligation</w:t>
            </w:r>
            <w:r>
              <w:rPr>
                <w:b/>
                <w:bCs/>
                <w:sz w:val="16"/>
                <w:szCs w:val="16"/>
              </w:rPr>
              <w:t>s</w:t>
            </w:r>
          </w:p>
        </w:tc>
        <w:tc>
          <w:tcPr>
            <w:tcW w:w="0" w:type="auto"/>
            <w:vAlign w:val="bottom"/>
            <w:hideMark/>
          </w:tcPr>
          <w:p w14:paraId="4E08F53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87BEE53" w14:textId="77777777">
        <w:trPr>
          <w:divId w:val="2004972320"/>
          <w:trHeight w:val="160"/>
          <w:tblCellSpacing w:w="15" w:type="dxa"/>
        </w:trPr>
        <w:tc>
          <w:tcPr>
            <w:tcW w:w="0" w:type="auto"/>
            <w:hideMark/>
          </w:tcPr>
          <w:p w14:paraId="5436DAF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77BD47B"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449351D8"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2B7992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68CB9AC" w14:textId="77777777">
        <w:trPr>
          <w:divId w:val="2004972320"/>
          <w:trHeight w:val="180"/>
          <w:tblCellSpacing w:w="15" w:type="dxa"/>
        </w:trPr>
        <w:tc>
          <w:tcPr>
            <w:tcW w:w="0" w:type="auto"/>
            <w:vAlign w:val="bottom"/>
            <w:hideMark/>
          </w:tcPr>
          <w:p w14:paraId="0572A89E" w14:textId="77777777" w:rsidR="00000000" w:rsidRDefault="003C49E9">
            <w:pPr>
              <w:pStyle w:val="a3"/>
              <w:spacing w:before="0" w:beforeAutospacing="0" w:after="0" w:afterAutospacing="0"/>
              <w:rPr>
                <w:sz w:val="19"/>
                <w:szCs w:val="19"/>
              </w:rPr>
            </w:pPr>
            <w:r>
              <w:rPr>
                <w:sz w:val="19"/>
                <w:szCs w:val="19"/>
              </w:rPr>
              <w:t>Remainder of 202</w:t>
            </w:r>
            <w:r>
              <w:rPr>
                <w:sz w:val="19"/>
                <w:szCs w:val="19"/>
              </w:rPr>
              <w:t>2</w:t>
            </w:r>
          </w:p>
        </w:tc>
        <w:tc>
          <w:tcPr>
            <w:tcW w:w="0" w:type="auto"/>
            <w:vAlign w:val="bottom"/>
            <w:hideMark/>
          </w:tcPr>
          <w:p w14:paraId="1ABB6D4C"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235CC36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8C1AC4C" w14:textId="77777777" w:rsidR="00000000" w:rsidRDefault="003C49E9">
            <w:pPr>
              <w:pStyle w:val="a3"/>
              <w:spacing w:before="0" w:beforeAutospacing="0" w:after="0" w:afterAutospacing="0"/>
              <w:jc w:val="right"/>
              <w:rPr>
                <w:sz w:val="20"/>
                <w:szCs w:val="20"/>
              </w:rPr>
            </w:pPr>
            <w:r>
              <w:rPr>
                <w:sz w:val="19"/>
                <w:szCs w:val="19"/>
              </w:rPr>
              <w:t>67,02</w:t>
            </w:r>
            <w:r>
              <w:rPr>
                <w:sz w:val="19"/>
                <w:szCs w:val="19"/>
              </w:rPr>
              <w:t>0</w:t>
            </w:r>
          </w:p>
        </w:tc>
        <w:tc>
          <w:tcPr>
            <w:tcW w:w="0" w:type="auto"/>
            <w:noWrap/>
            <w:vAlign w:val="bottom"/>
            <w:hideMark/>
          </w:tcPr>
          <w:p w14:paraId="78FBC3E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D98B057"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15B1F80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7844F0C" w14:textId="77777777" w:rsidR="00000000" w:rsidRDefault="003C49E9">
            <w:pPr>
              <w:pStyle w:val="a3"/>
              <w:spacing w:before="0" w:beforeAutospacing="0" w:after="0" w:afterAutospacing="0"/>
              <w:jc w:val="right"/>
              <w:rPr>
                <w:sz w:val="20"/>
                <w:szCs w:val="20"/>
              </w:rPr>
            </w:pPr>
            <w:r>
              <w:rPr>
                <w:sz w:val="19"/>
                <w:szCs w:val="19"/>
              </w:rPr>
              <w:t>3,06</w:t>
            </w:r>
            <w:r>
              <w:rPr>
                <w:sz w:val="19"/>
                <w:szCs w:val="19"/>
              </w:rPr>
              <w:t>5</w:t>
            </w:r>
          </w:p>
        </w:tc>
        <w:tc>
          <w:tcPr>
            <w:tcW w:w="0" w:type="auto"/>
            <w:noWrap/>
            <w:vAlign w:val="bottom"/>
            <w:hideMark/>
          </w:tcPr>
          <w:p w14:paraId="59D975E5" w14:textId="77777777" w:rsidR="00000000" w:rsidRDefault="003C49E9">
            <w:pPr>
              <w:pStyle w:val="a3"/>
              <w:spacing w:before="0" w:beforeAutospacing="0" w:after="0" w:afterAutospacing="0"/>
              <w:rPr>
                <w:sz w:val="19"/>
                <w:szCs w:val="19"/>
              </w:rPr>
            </w:pPr>
            <w:r>
              <w:rPr>
                <w:sz w:val="19"/>
                <w:szCs w:val="19"/>
              </w:rPr>
              <w:t> </w:t>
            </w:r>
          </w:p>
        </w:tc>
      </w:tr>
      <w:tr w:rsidR="00000000" w14:paraId="4EE5991B" w14:textId="77777777">
        <w:trPr>
          <w:divId w:val="2004972320"/>
          <w:trHeight w:val="180"/>
          <w:tblCellSpacing w:w="15" w:type="dxa"/>
        </w:trPr>
        <w:tc>
          <w:tcPr>
            <w:tcW w:w="0" w:type="auto"/>
            <w:vAlign w:val="bottom"/>
            <w:hideMark/>
          </w:tcPr>
          <w:p w14:paraId="5FBBA90A" w14:textId="77777777" w:rsidR="00000000" w:rsidRDefault="003C49E9">
            <w:pPr>
              <w:pStyle w:val="a3"/>
              <w:spacing w:before="0" w:beforeAutospacing="0" w:after="0" w:afterAutospacing="0"/>
              <w:rPr>
                <w:sz w:val="19"/>
                <w:szCs w:val="19"/>
              </w:rPr>
            </w:pPr>
            <w:r>
              <w:rPr>
                <w:sz w:val="19"/>
                <w:szCs w:val="19"/>
              </w:rPr>
              <w:t>202</w:t>
            </w:r>
            <w:r>
              <w:rPr>
                <w:sz w:val="19"/>
                <w:szCs w:val="19"/>
              </w:rPr>
              <w:t>3</w:t>
            </w:r>
          </w:p>
        </w:tc>
        <w:tc>
          <w:tcPr>
            <w:tcW w:w="0" w:type="auto"/>
            <w:vAlign w:val="bottom"/>
            <w:hideMark/>
          </w:tcPr>
          <w:p w14:paraId="3D50CF42"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602BDCA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DBD1664" w14:textId="77777777" w:rsidR="00000000" w:rsidRDefault="003C49E9">
            <w:pPr>
              <w:pStyle w:val="a3"/>
              <w:spacing w:before="0" w:beforeAutospacing="0" w:after="0" w:afterAutospacing="0"/>
              <w:jc w:val="right"/>
              <w:rPr>
                <w:sz w:val="20"/>
                <w:szCs w:val="20"/>
              </w:rPr>
            </w:pPr>
            <w:r>
              <w:rPr>
                <w:sz w:val="19"/>
                <w:szCs w:val="19"/>
              </w:rPr>
              <w:t>156,65</w:t>
            </w:r>
            <w:r>
              <w:rPr>
                <w:sz w:val="19"/>
                <w:szCs w:val="19"/>
              </w:rPr>
              <w:t>0</w:t>
            </w:r>
          </w:p>
        </w:tc>
        <w:tc>
          <w:tcPr>
            <w:tcW w:w="0" w:type="auto"/>
            <w:noWrap/>
            <w:vAlign w:val="bottom"/>
            <w:hideMark/>
          </w:tcPr>
          <w:p w14:paraId="2A10A96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C3EF123"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75B5B21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67D14A9" w14:textId="77777777" w:rsidR="00000000" w:rsidRDefault="003C49E9">
            <w:pPr>
              <w:pStyle w:val="a3"/>
              <w:spacing w:before="0" w:beforeAutospacing="0" w:after="0" w:afterAutospacing="0"/>
              <w:jc w:val="right"/>
              <w:rPr>
                <w:sz w:val="20"/>
                <w:szCs w:val="20"/>
              </w:rPr>
            </w:pPr>
            <w:r>
              <w:rPr>
                <w:sz w:val="19"/>
                <w:szCs w:val="19"/>
              </w:rPr>
              <w:t>97</w:t>
            </w:r>
            <w:r>
              <w:rPr>
                <w:sz w:val="19"/>
                <w:szCs w:val="19"/>
              </w:rPr>
              <w:t>7</w:t>
            </w:r>
          </w:p>
        </w:tc>
        <w:tc>
          <w:tcPr>
            <w:tcW w:w="0" w:type="auto"/>
            <w:noWrap/>
            <w:vAlign w:val="bottom"/>
            <w:hideMark/>
          </w:tcPr>
          <w:p w14:paraId="178E732F" w14:textId="77777777" w:rsidR="00000000" w:rsidRDefault="003C49E9">
            <w:pPr>
              <w:pStyle w:val="a3"/>
              <w:spacing w:before="0" w:beforeAutospacing="0" w:after="0" w:afterAutospacing="0"/>
              <w:rPr>
                <w:sz w:val="19"/>
                <w:szCs w:val="19"/>
              </w:rPr>
            </w:pPr>
            <w:r>
              <w:rPr>
                <w:sz w:val="19"/>
                <w:szCs w:val="19"/>
              </w:rPr>
              <w:t> </w:t>
            </w:r>
          </w:p>
        </w:tc>
      </w:tr>
      <w:tr w:rsidR="00000000" w14:paraId="249DA746" w14:textId="77777777">
        <w:trPr>
          <w:divId w:val="2004972320"/>
          <w:trHeight w:val="180"/>
          <w:tblCellSpacing w:w="15" w:type="dxa"/>
        </w:trPr>
        <w:tc>
          <w:tcPr>
            <w:tcW w:w="0" w:type="auto"/>
            <w:vAlign w:val="bottom"/>
            <w:hideMark/>
          </w:tcPr>
          <w:p w14:paraId="592F8224" w14:textId="77777777" w:rsidR="00000000" w:rsidRDefault="003C49E9">
            <w:pPr>
              <w:pStyle w:val="a3"/>
              <w:spacing w:before="0" w:beforeAutospacing="0" w:after="0" w:afterAutospacing="0"/>
              <w:rPr>
                <w:sz w:val="19"/>
                <w:szCs w:val="19"/>
              </w:rPr>
            </w:pPr>
            <w:r>
              <w:rPr>
                <w:sz w:val="19"/>
                <w:szCs w:val="19"/>
              </w:rPr>
              <w:t>202</w:t>
            </w:r>
            <w:r>
              <w:rPr>
                <w:sz w:val="19"/>
                <w:szCs w:val="19"/>
              </w:rPr>
              <w:t>4</w:t>
            </w:r>
          </w:p>
        </w:tc>
        <w:tc>
          <w:tcPr>
            <w:tcW w:w="0" w:type="auto"/>
            <w:vAlign w:val="bottom"/>
            <w:hideMark/>
          </w:tcPr>
          <w:p w14:paraId="0EA0770C"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3D03C44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48DA51E" w14:textId="77777777" w:rsidR="00000000" w:rsidRDefault="003C49E9">
            <w:pPr>
              <w:pStyle w:val="a3"/>
              <w:spacing w:before="0" w:beforeAutospacing="0" w:after="0" w:afterAutospacing="0"/>
              <w:jc w:val="right"/>
              <w:rPr>
                <w:sz w:val="20"/>
                <w:szCs w:val="20"/>
              </w:rPr>
            </w:pPr>
            <w:r>
              <w:rPr>
                <w:sz w:val="19"/>
                <w:szCs w:val="19"/>
              </w:rPr>
              <w:t>178,08</w:t>
            </w:r>
            <w:r>
              <w:rPr>
                <w:sz w:val="19"/>
                <w:szCs w:val="19"/>
              </w:rPr>
              <w:t>7</w:t>
            </w:r>
          </w:p>
        </w:tc>
        <w:tc>
          <w:tcPr>
            <w:tcW w:w="0" w:type="auto"/>
            <w:noWrap/>
            <w:vAlign w:val="bottom"/>
            <w:hideMark/>
          </w:tcPr>
          <w:p w14:paraId="59045B1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7288B55"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0975F1E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CCE0356" w14:textId="77777777" w:rsidR="00000000" w:rsidRDefault="003C49E9">
            <w:pPr>
              <w:pStyle w:val="a3"/>
              <w:spacing w:before="0" w:beforeAutospacing="0" w:after="0" w:afterAutospacing="0"/>
              <w:jc w:val="right"/>
              <w:rPr>
                <w:sz w:val="20"/>
                <w:szCs w:val="20"/>
              </w:rPr>
            </w:pPr>
            <w:r>
              <w:rPr>
                <w:sz w:val="19"/>
                <w:szCs w:val="19"/>
              </w:rPr>
              <w:t>4</w:t>
            </w:r>
          </w:p>
        </w:tc>
        <w:tc>
          <w:tcPr>
            <w:tcW w:w="0" w:type="auto"/>
            <w:noWrap/>
            <w:vAlign w:val="bottom"/>
            <w:hideMark/>
          </w:tcPr>
          <w:p w14:paraId="5662BA9B" w14:textId="77777777" w:rsidR="00000000" w:rsidRDefault="003C49E9">
            <w:pPr>
              <w:pStyle w:val="a3"/>
              <w:spacing w:before="0" w:beforeAutospacing="0" w:after="0" w:afterAutospacing="0"/>
              <w:rPr>
                <w:sz w:val="19"/>
                <w:szCs w:val="19"/>
              </w:rPr>
            </w:pPr>
            <w:r>
              <w:rPr>
                <w:sz w:val="19"/>
                <w:szCs w:val="19"/>
              </w:rPr>
              <w:t> </w:t>
            </w:r>
          </w:p>
        </w:tc>
      </w:tr>
      <w:tr w:rsidR="00000000" w14:paraId="2294B984" w14:textId="77777777">
        <w:trPr>
          <w:divId w:val="2004972320"/>
          <w:trHeight w:val="180"/>
          <w:tblCellSpacing w:w="15" w:type="dxa"/>
        </w:trPr>
        <w:tc>
          <w:tcPr>
            <w:tcW w:w="0" w:type="auto"/>
            <w:vAlign w:val="bottom"/>
            <w:hideMark/>
          </w:tcPr>
          <w:p w14:paraId="4F26EF89" w14:textId="77777777" w:rsidR="00000000" w:rsidRDefault="003C49E9">
            <w:pPr>
              <w:pStyle w:val="a3"/>
              <w:spacing w:before="0" w:beforeAutospacing="0" w:after="0" w:afterAutospacing="0"/>
              <w:rPr>
                <w:sz w:val="19"/>
                <w:szCs w:val="19"/>
              </w:rPr>
            </w:pPr>
            <w:r>
              <w:rPr>
                <w:sz w:val="19"/>
                <w:szCs w:val="19"/>
              </w:rPr>
              <w:t>202</w:t>
            </w:r>
            <w:r>
              <w:rPr>
                <w:sz w:val="19"/>
                <w:szCs w:val="19"/>
              </w:rPr>
              <w:t>5</w:t>
            </w:r>
          </w:p>
        </w:tc>
        <w:tc>
          <w:tcPr>
            <w:tcW w:w="0" w:type="auto"/>
            <w:vAlign w:val="bottom"/>
            <w:hideMark/>
          </w:tcPr>
          <w:p w14:paraId="23C04312"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21D9DD6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E0EDC42" w14:textId="77777777" w:rsidR="00000000" w:rsidRDefault="003C49E9">
            <w:pPr>
              <w:pStyle w:val="a3"/>
              <w:spacing w:before="0" w:beforeAutospacing="0" w:after="0" w:afterAutospacing="0"/>
              <w:jc w:val="right"/>
              <w:rPr>
                <w:sz w:val="20"/>
                <w:szCs w:val="20"/>
              </w:rPr>
            </w:pPr>
            <w:r>
              <w:rPr>
                <w:sz w:val="19"/>
                <w:szCs w:val="19"/>
              </w:rPr>
              <w:t>195,97</w:t>
            </w:r>
            <w:r>
              <w:rPr>
                <w:sz w:val="19"/>
                <w:szCs w:val="19"/>
              </w:rPr>
              <w:t>2</w:t>
            </w:r>
          </w:p>
        </w:tc>
        <w:tc>
          <w:tcPr>
            <w:tcW w:w="0" w:type="auto"/>
            <w:noWrap/>
            <w:vAlign w:val="bottom"/>
            <w:hideMark/>
          </w:tcPr>
          <w:p w14:paraId="5B2499C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62C6446"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100FAA5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407C94A" w14:textId="77777777" w:rsidR="00000000" w:rsidRDefault="003C49E9">
            <w:pPr>
              <w:pStyle w:val="a3"/>
              <w:spacing w:before="0" w:beforeAutospacing="0" w:after="0" w:afterAutospacing="0"/>
              <w:jc w:val="right"/>
              <w:rPr>
                <w:sz w:val="20"/>
                <w:szCs w:val="20"/>
              </w:rPr>
            </w:pPr>
            <w:r>
              <w:rPr>
                <w:sz w:val="19"/>
                <w:szCs w:val="19"/>
              </w:rPr>
              <w:t>4</w:t>
            </w:r>
          </w:p>
        </w:tc>
        <w:tc>
          <w:tcPr>
            <w:tcW w:w="0" w:type="auto"/>
            <w:noWrap/>
            <w:vAlign w:val="bottom"/>
            <w:hideMark/>
          </w:tcPr>
          <w:p w14:paraId="79C2005C" w14:textId="77777777" w:rsidR="00000000" w:rsidRDefault="003C49E9">
            <w:pPr>
              <w:pStyle w:val="a3"/>
              <w:spacing w:before="0" w:beforeAutospacing="0" w:after="0" w:afterAutospacing="0"/>
              <w:rPr>
                <w:sz w:val="19"/>
                <w:szCs w:val="19"/>
              </w:rPr>
            </w:pPr>
            <w:r>
              <w:rPr>
                <w:sz w:val="19"/>
                <w:szCs w:val="19"/>
              </w:rPr>
              <w:t> </w:t>
            </w:r>
          </w:p>
        </w:tc>
      </w:tr>
      <w:tr w:rsidR="00000000" w14:paraId="305E27F6" w14:textId="77777777">
        <w:trPr>
          <w:divId w:val="2004972320"/>
          <w:trHeight w:val="180"/>
          <w:tblCellSpacing w:w="15" w:type="dxa"/>
        </w:trPr>
        <w:tc>
          <w:tcPr>
            <w:tcW w:w="0" w:type="auto"/>
            <w:vAlign w:val="bottom"/>
            <w:hideMark/>
          </w:tcPr>
          <w:p w14:paraId="3E9DCC9A" w14:textId="77777777" w:rsidR="00000000" w:rsidRDefault="003C49E9">
            <w:pPr>
              <w:pStyle w:val="a3"/>
              <w:spacing w:before="0" w:beforeAutospacing="0" w:after="0" w:afterAutospacing="0"/>
              <w:rPr>
                <w:sz w:val="19"/>
                <w:szCs w:val="19"/>
              </w:rPr>
            </w:pPr>
            <w:r>
              <w:rPr>
                <w:sz w:val="19"/>
                <w:szCs w:val="19"/>
              </w:rPr>
              <w:t>202</w:t>
            </w:r>
            <w:r>
              <w:rPr>
                <w:sz w:val="19"/>
                <w:szCs w:val="19"/>
              </w:rPr>
              <w:t>6</w:t>
            </w:r>
          </w:p>
        </w:tc>
        <w:tc>
          <w:tcPr>
            <w:tcW w:w="0" w:type="auto"/>
            <w:vAlign w:val="bottom"/>
            <w:hideMark/>
          </w:tcPr>
          <w:p w14:paraId="46BF0D02"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2A62D02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BD769FE" w14:textId="77777777" w:rsidR="00000000" w:rsidRDefault="003C49E9">
            <w:pPr>
              <w:pStyle w:val="a3"/>
              <w:spacing w:before="0" w:beforeAutospacing="0" w:after="0" w:afterAutospacing="0"/>
              <w:jc w:val="right"/>
              <w:rPr>
                <w:sz w:val="20"/>
                <w:szCs w:val="20"/>
              </w:rPr>
            </w:pPr>
            <w:r>
              <w:rPr>
                <w:sz w:val="19"/>
                <w:szCs w:val="19"/>
              </w:rPr>
              <w:t>220,00</w:t>
            </w:r>
            <w:r>
              <w:rPr>
                <w:sz w:val="19"/>
                <w:szCs w:val="19"/>
              </w:rPr>
              <w:t>0</w:t>
            </w:r>
          </w:p>
        </w:tc>
        <w:tc>
          <w:tcPr>
            <w:tcW w:w="0" w:type="auto"/>
            <w:noWrap/>
            <w:vAlign w:val="bottom"/>
            <w:hideMark/>
          </w:tcPr>
          <w:p w14:paraId="0209ED4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1DF57A9"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0032DD1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A57AA85"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503585E3" w14:textId="77777777" w:rsidR="00000000" w:rsidRDefault="003C49E9">
            <w:pPr>
              <w:pStyle w:val="a3"/>
              <w:spacing w:before="0" w:beforeAutospacing="0" w:after="0" w:afterAutospacing="0"/>
              <w:rPr>
                <w:sz w:val="19"/>
                <w:szCs w:val="19"/>
              </w:rPr>
            </w:pPr>
            <w:r>
              <w:rPr>
                <w:sz w:val="19"/>
                <w:szCs w:val="19"/>
              </w:rPr>
              <w:t> </w:t>
            </w:r>
          </w:p>
        </w:tc>
      </w:tr>
      <w:tr w:rsidR="00000000" w14:paraId="66FD29AF" w14:textId="77777777">
        <w:trPr>
          <w:divId w:val="2004972320"/>
          <w:trHeight w:val="180"/>
          <w:tblCellSpacing w:w="15" w:type="dxa"/>
        </w:trPr>
        <w:tc>
          <w:tcPr>
            <w:tcW w:w="0" w:type="auto"/>
            <w:vAlign w:val="bottom"/>
            <w:hideMark/>
          </w:tcPr>
          <w:p w14:paraId="272FE1AF" w14:textId="77777777" w:rsidR="00000000" w:rsidRDefault="003C49E9">
            <w:pPr>
              <w:pStyle w:val="a3"/>
              <w:spacing w:before="0" w:beforeAutospacing="0" w:after="0" w:afterAutospacing="0"/>
              <w:rPr>
                <w:sz w:val="19"/>
                <w:szCs w:val="19"/>
              </w:rPr>
            </w:pPr>
            <w:r>
              <w:rPr>
                <w:sz w:val="19"/>
                <w:szCs w:val="19"/>
              </w:rPr>
              <w:t> Thereafte</w:t>
            </w:r>
            <w:r>
              <w:rPr>
                <w:sz w:val="19"/>
                <w:szCs w:val="19"/>
              </w:rPr>
              <w:t>r</w:t>
            </w:r>
          </w:p>
        </w:tc>
        <w:tc>
          <w:tcPr>
            <w:tcW w:w="0" w:type="auto"/>
            <w:vAlign w:val="bottom"/>
            <w:hideMark/>
          </w:tcPr>
          <w:p w14:paraId="72F1BDD4"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3F0C644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96EDD5D" w14:textId="77777777" w:rsidR="00000000" w:rsidRDefault="003C49E9">
            <w:pPr>
              <w:pStyle w:val="a3"/>
              <w:spacing w:before="0" w:beforeAutospacing="0" w:after="0" w:afterAutospacing="0"/>
              <w:jc w:val="right"/>
              <w:rPr>
                <w:sz w:val="20"/>
                <w:szCs w:val="20"/>
              </w:rPr>
            </w:pPr>
            <w:r>
              <w:rPr>
                <w:sz w:val="19"/>
                <w:szCs w:val="19"/>
              </w:rPr>
              <w:t>187,50</w:t>
            </w:r>
            <w:r>
              <w:rPr>
                <w:sz w:val="19"/>
                <w:szCs w:val="19"/>
              </w:rPr>
              <w:t>0</w:t>
            </w:r>
          </w:p>
        </w:tc>
        <w:tc>
          <w:tcPr>
            <w:tcW w:w="0" w:type="auto"/>
            <w:noWrap/>
            <w:vAlign w:val="bottom"/>
            <w:hideMark/>
          </w:tcPr>
          <w:p w14:paraId="0D2F2B21"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5964B81"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51DB8EBF"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F000B07" w14:textId="77777777" w:rsidR="00000000" w:rsidRDefault="003C49E9">
            <w:pPr>
              <w:pStyle w:val="a3"/>
              <w:spacing w:before="0" w:beforeAutospacing="0" w:after="0" w:afterAutospacing="0"/>
              <w:jc w:val="right"/>
              <w:rPr>
                <w:sz w:val="19"/>
                <w:szCs w:val="19"/>
              </w:rPr>
            </w:pPr>
            <w:r>
              <w:rPr>
                <w:sz w:val="19"/>
                <w:szCs w:val="19"/>
              </w:rPr>
              <w:t>—</w:t>
            </w:r>
          </w:p>
        </w:tc>
        <w:tc>
          <w:tcPr>
            <w:tcW w:w="0" w:type="auto"/>
            <w:noWrap/>
            <w:vAlign w:val="bottom"/>
            <w:hideMark/>
          </w:tcPr>
          <w:p w14:paraId="6FB3FCFB" w14:textId="77777777" w:rsidR="00000000" w:rsidRDefault="003C49E9">
            <w:pPr>
              <w:pStyle w:val="a3"/>
              <w:spacing w:before="0" w:beforeAutospacing="0" w:after="0" w:afterAutospacing="0"/>
              <w:rPr>
                <w:sz w:val="19"/>
                <w:szCs w:val="19"/>
              </w:rPr>
            </w:pPr>
            <w:r>
              <w:rPr>
                <w:sz w:val="19"/>
                <w:szCs w:val="19"/>
              </w:rPr>
              <w:t> </w:t>
            </w:r>
          </w:p>
        </w:tc>
      </w:tr>
      <w:tr w:rsidR="00000000" w14:paraId="01336DF2" w14:textId="77777777">
        <w:trPr>
          <w:divId w:val="2004972320"/>
          <w:trHeight w:val="200"/>
          <w:tblCellSpacing w:w="15" w:type="dxa"/>
        </w:trPr>
        <w:tc>
          <w:tcPr>
            <w:tcW w:w="0" w:type="auto"/>
            <w:vAlign w:val="bottom"/>
            <w:hideMark/>
          </w:tcPr>
          <w:p w14:paraId="19350C32"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14:paraId="2321AA0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850D3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4599B33" w14:textId="77777777" w:rsidR="00000000" w:rsidRDefault="003C49E9">
            <w:pPr>
              <w:pStyle w:val="a3"/>
              <w:spacing w:before="0" w:beforeAutospacing="0" w:after="0" w:afterAutospacing="0"/>
              <w:jc w:val="right"/>
              <w:rPr>
                <w:sz w:val="20"/>
                <w:szCs w:val="20"/>
              </w:rPr>
            </w:pPr>
            <w:r>
              <w:rPr>
                <w:sz w:val="19"/>
                <w:szCs w:val="19"/>
              </w:rPr>
              <w:t>1,005,22</w:t>
            </w:r>
            <w:r>
              <w:rPr>
                <w:sz w:val="19"/>
                <w:szCs w:val="19"/>
              </w:rPr>
              <w:t>9</w:t>
            </w:r>
          </w:p>
        </w:tc>
        <w:tc>
          <w:tcPr>
            <w:tcW w:w="0" w:type="auto"/>
            <w:noWrap/>
            <w:vAlign w:val="bottom"/>
            <w:hideMark/>
          </w:tcPr>
          <w:p w14:paraId="0CA3DCA8"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554C671"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204D936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B1B97CD" w14:textId="77777777" w:rsidR="00000000" w:rsidRDefault="003C49E9">
            <w:pPr>
              <w:pStyle w:val="a3"/>
              <w:spacing w:before="0" w:beforeAutospacing="0" w:after="0" w:afterAutospacing="0"/>
              <w:jc w:val="right"/>
              <w:rPr>
                <w:sz w:val="20"/>
                <w:szCs w:val="20"/>
              </w:rPr>
            </w:pPr>
            <w:r>
              <w:rPr>
                <w:sz w:val="19"/>
                <w:szCs w:val="19"/>
              </w:rPr>
              <w:t>4,05</w:t>
            </w:r>
            <w:r>
              <w:rPr>
                <w:sz w:val="19"/>
                <w:szCs w:val="19"/>
              </w:rPr>
              <w:t>0</w:t>
            </w:r>
          </w:p>
        </w:tc>
        <w:tc>
          <w:tcPr>
            <w:tcW w:w="0" w:type="auto"/>
            <w:noWrap/>
            <w:vAlign w:val="bottom"/>
            <w:hideMark/>
          </w:tcPr>
          <w:p w14:paraId="4C9B69B7" w14:textId="77777777" w:rsidR="00000000" w:rsidRDefault="003C49E9">
            <w:pPr>
              <w:pStyle w:val="a3"/>
              <w:spacing w:before="0" w:beforeAutospacing="0" w:after="0" w:afterAutospacing="0"/>
              <w:rPr>
                <w:sz w:val="19"/>
                <w:szCs w:val="19"/>
              </w:rPr>
            </w:pPr>
            <w:r>
              <w:rPr>
                <w:sz w:val="19"/>
                <w:szCs w:val="19"/>
              </w:rPr>
              <w:t> </w:t>
            </w:r>
          </w:p>
        </w:tc>
      </w:tr>
    </w:tbl>
    <w:p w14:paraId="2D0D95F0" w14:textId="77777777" w:rsidR="00000000" w:rsidRDefault="003C49E9">
      <w:pPr>
        <w:pStyle w:val="a3"/>
        <w:spacing w:before="200" w:beforeAutospacing="0" w:after="0" w:afterAutospacing="0"/>
        <w:ind w:firstLine="555"/>
        <w:divId w:val="1050811320"/>
        <w:rPr>
          <w:sz w:val="20"/>
          <w:szCs w:val="20"/>
        </w:rPr>
      </w:pPr>
      <w:r>
        <w:rPr>
          <w:b/>
          <w:bCs/>
          <w:i/>
          <w:iCs/>
          <w:sz w:val="20"/>
          <w:szCs w:val="20"/>
        </w:rPr>
        <w:t>Legal Contingencie</w:t>
      </w:r>
      <w:r>
        <w:rPr>
          <w:b/>
          <w:bCs/>
          <w:i/>
          <w:iCs/>
          <w:sz w:val="20"/>
          <w:szCs w:val="20"/>
        </w:rPr>
        <w:t>s</w:t>
      </w:r>
    </w:p>
    <w:p w14:paraId="7D3DD46D" w14:textId="77777777" w:rsidR="00000000" w:rsidRDefault="003C49E9">
      <w:pPr>
        <w:pStyle w:val="a3"/>
        <w:spacing w:before="200" w:beforeAutospacing="0" w:after="0" w:afterAutospacing="0"/>
        <w:ind w:firstLine="555"/>
        <w:divId w:val="1050811320"/>
        <w:rPr>
          <w:sz w:val="20"/>
          <w:szCs w:val="20"/>
        </w:rPr>
      </w:pPr>
      <w:r>
        <w:rPr>
          <w:sz w:val="20"/>
          <w:szCs w:val="20"/>
        </w:rPr>
        <w:t>From time to time, the Company may become a party to litigation and subject to claims incident to the ordinary course of business, including intellectual property claims, labor and employment claims, and threatened claims, breach of contract claims, tax, a</w:t>
      </w:r>
      <w:r>
        <w:rPr>
          <w:sz w:val="20"/>
          <w:szCs w:val="20"/>
        </w:rPr>
        <w:t>nd other matters. The Company currently has no material pending litigation</w:t>
      </w:r>
      <w:r>
        <w:rPr>
          <w:sz w:val="20"/>
          <w:szCs w:val="20"/>
        </w:rPr>
        <w:t>.</w:t>
      </w:r>
    </w:p>
    <w:p w14:paraId="480B66CD" w14:textId="77777777" w:rsidR="00000000" w:rsidRDefault="003C49E9">
      <w:pPr>
        <w:pStyle w:val="a3"/>
        <w:spacing w:before="200" w:beforeAutospacing="0" w:after="0" w:afterAutospacing="0"/>
        <w:rPr>
          <w:sz w:val="20"/>
          <w:szCs w:val="20"/>
        </w:rPr>
      </w:pPr>
      <w:r>
        <w:rPr>
          <w:sz w:val="20"/>
          <w:szCs w:val="20"/>
        </w:rPr>
        <w:t> </w:t>
      </w:r>
    </w:p>
    <w:p w14:paraId="787398D1" w14:textId="77777777" w:rsidR="00000000" w:rsidRDefault="003C49E9">
      <w:pPr>
        <w:pStyle w:val="a3"/>
        <w:spacing w:before="240" w:beforeAutospacing="0" w:after="0" w:afterAutospacing="0"/>
        <w:jc w:val="center"/>
        <w:rPr>
          <w:sz w:val="20"/>
          <w:szCs w:val="20"/>
        </w:rPr>
      </w:pPr>
      <w:r>
        <w:rPr>
          <w:sz w:val="20"/>
          <w:szCs w:val="20"/>
        </w:rPr>
        <w:t>1</w:t>
      </w:r>
      <w:r>
        <w:rPr>
          <w:sz w:val="20"/>
          <w:szCs w:val="20"/>
        </w:rPr>
        <w:t>9</w:t>
      </w:r>
    </w:p>
    <w:p w14:paraId="05BA7BAC" w14:textId="77777777" w:rsidR="00000000" w:rsidRDefault="003C49E9">
      <w:pPr>
        <w:rPr>
          <w:rFonts w:eastAsia="Times New Roman"/>
        </w:rPr>
      </w:pPr>
      <w:r>
        <w:rPr>
          <w:rFonts w:eastAsia="Times New Roman"/>
        </w:rPr>
        <w:pict w14:anchorId="3D8037EC">
          <v:rect id="_x0000_i1043" style="width:0;height:1.5pt" o:hralign="center" o:hrstd="t" o:hr="t" fillcolor="#a0a0a0" stroked="f"/>
        </w:pict>
      </w:r>
    </w:p>
    <w:p w14:paraId="5E271EC5" w14:textId="77777777" w:rsidR="00000000" w:rsidRDefault="003C49E9">
      <w:pPr>
        <w:pStyle w:val="a3"/>
        <w:spacing w:before="0" w:beforeAutospacing="0" w:after="0" w:afterAutospacing="0"/>
        <w:rPr>
          <w:sz w:val="20"/>
          <w:szCs w:val="20"/>
        </w:rPr>
      </w:pPr>
      <w:r>
        <w:rPr>
          <w:sz w:val="20"/>
          <w:szCs w:val="20"/>
        </w:rPr>
        <w:t> </w:t>
      </w:r>
    </w:p>
    <w:p w14:paraId="1DD448A1" w14:textId="77777777" w:rsidR="00000000" w:rsidRDefault="003C49E9">
      <w:pPr>
        <w:pStyle w:val="a3"/>
        <w:spacing w:before="200" w:beforeAutospacing="0" w:after="0" w:afterAutospacing="0"/>
        <w:divId w:val="2118793620"/>
        <w:rPr>
          <w:sz w:val="20"/>
          <w:szCs w:val="20"/>
        </w:rPr>
      </w:pPr>
      <w:r>
        <w:rPr>
          <w:b/>
          <w:bCs/>
          <w:sz w:val="20"/>
          <w:szCs w:val="20"/>
        </w:rPr>
        <w:t>11. Changes in Accumulated Other Comprehensive Los</w:t>
      </w:r>
      <w:r>
        <w:rPr>
          <w:b/>
          <w:bCs/>
          <w:sz w:val="20"/>
          <w:szCs w:val="20"/>
        </w:rPr>
        <w:t>s</w:t>
      </w:r>
    </w:p>
    <w:p w14:paraId="73F312E4" w14:textId="77777777" w:rsidR="00000000" w:rsidRDefault="003C49E9">
      <w:pPr>
        <w:pStyle w:val="a3"/>
        <w:spacing w:before="200" w:beforeAutospacing="0" w:after="0" w:afterAutospacing="0"/>
        <w:ind w:firstLine="555"/>
        <w:divId w:val="444037682"/>
        <w:rPr>
          <w:sz w:val="20"/>
          <w:szCs w:val="20"/>
        </w:rPr>
      </w:pPr>
      <w:r>
        <w:rPr>
          <w:sz w:val="20"/>
          <w:szCs w:val="20"/>
        </w:rPr>
        <w:t>The following table summarizes the changes in accumulated other comprehensive loss, which is reported as a component of stockholders’ equity, for the</w:t>
      </w:r>
      <w:r>
        <w:rPr>
          <w:sz w:val="20"/>
          <w:szCs w:val="20"/>
        </w:rPr>
        <w:t xml:space="preserve"> </w:t>
      </w:r>
      <w:r>
        <w:rPr>
          <w:sz w:val="20"/>
          <w:szCs w:val="20"/>
        </w:rPr>
        <w:t>six months ended June 30, 2022.</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36"/>
        <w:gridCol w:w="110"/>
        <w:gridCol w:w="111"/>
        <w:gridCol w:w="776"/>
        <w:gridCol w:w="127"/>
        <w:gridCol w:w="110"/>
        <w:gridCol w:w="111"/>
        <w:gridCol w:w="793"/>
        <w:gridCol w:w="127"/>
        <w:gridCol w:w="115"/>
        <w:gridCol w:w="110"/>
        <w:gridCol w:w="677"/>
        <w:gridCol w:w="142"/>
      </w:tblGrid>
      <w:tr w:rsidR="00000000" w14:paraId="3A9C6B12" w14:textId="77777777">
        <w:trPr>
          <w:divId w:val="444037682"/>
          <w:tblCellSpacing w:w="15" w:type="dxa"/>
        </w:trPr>
        <w:tc>
          <w:tcPr>
            <w:tcW w:w="2789" w:type="pct"/>
            <w:vAlign w:val="center"/>
            <w:hideMark/>
          </w:tcPr>
          <w:p w14:paraId="4F289CD4" w14:textId="77777777" w:rsidR="00000000" w:rsidRDefault="003C49E9">
            <w:pPr>
              <w:rPr>
                <w:sz w:val="20"/>
                <w:szCs w:val="20"/>
              </w:rPr>
            </w:pPr>
          </w:p>
        </w:tc>
        <w:tc>
          <w:tcPr>
            <w:tcW w:w="67" w:type="pct"/>
            <w:vAlign w:val="center"/>
            <w:hideMark/>
          </w:tcPr>
          <w:p w14:paraId="64154F59" w14:textId="77777777" w:rsidR="00000000" w:rsidRDefault="003C49E9">
            <w:pPr>
              <w:rPr>
                <w:rFonts w:eastAsia="Times New Roman"/>
                <w:sz w:val="20"/>
                <w:szCs w:val="20"/>
              </w:rPr>
            </w:pPr>
          </w:p>
        </w:tc>
        <w:tc>
          <w:tcPr>
            <w:tcW w:w="50" w:type="pct"/>
            <w:vAlign w:val="center"/>
            <w:hideMark/>
          </w:tcPr>
          <w:p w14:paraId="2091FD79" w14:textId="77777777" w:rsidR="00000000" w:rsidRDefault="003C49E9">
            <w:pPr>
              <w:rPr>
                <w:rFonts w:eastAsia="Times New Roman"/>
                <w:sz w:val="20"/>
                <w:szCs w:val="20"/>
              </w:rPr>
            </w:pPr>
          </w:p>
        </w:tc>
        <w:tc>
          <w:tcPr>
            <w:tcW w:w="595" w:type="pct"/>
            <w:vAlign w:val="center"/>
            <w:hideMark/>
          </w:tcPr>
          <w:p w14:paraId="1BB5D344" w14:textId="77777777" w:rsidR="00000000" w:rsidRDefault="003C49E9">
            <w:pPr>
              <w:rPr>
                <w:rFonts w:eastAsia="Times New Roman"/>
                <w:sz w:val="20"/>
                <w:szCs w:val="20"/>
              </w:rPr>
            </w:pPr>
          </w:p>
        </w:tc>
        <w:tc>
          <w:tcPr>
            <w:tcW w:w="50" w:type="pct"/>
            <w:vAlign w:val="center"/>
            <w:hideMark/>
          </w:tcPr>
          <w:p w14:paraId="2976960C" w14:textId="77777777" w:rsidR="00000000" w:rsidRDefault="003C49E9">
            <w:pPr>
              <w:rPr>
                <w:rFonts w:eastAsia="Times New Roman"/>
                <w:sz w:val="20"/>
                <w:szCs w:val="20"/>
              </w:rPr>
            </w:pPr>
          </w:p>
        </w:tc>
        <w:tc>
          <w:tcPr>
            <w:tcW w:w="67" w:type="pct"/>
            <w:vAlign w:val="center"/>
            <w:hideMark/>
          </w:tcPr>
          <w:p w14:paraId="456702A1" w14:textId="77777777" w:rsidR="00000000" w:rsidRDefault="003C49E9">
            <w:pPr>
              <w:rPr>
                <w:rFonts w:eastAsia="Times New Roman"/>
                <w:sz w:val="20"/>
                <w:szCs w:val="20"/>
              </w:rPr>
            </w:pPr>
          </w:p>
        </w:tc>
        <w:tc>
          <w:tcPr>
            <w:tcW w:w="50" w:type="pct"/>
            <w:vAlign w:val="center"/>
            <w:hideMark/>
          </w:tcPr>
          <w:p w14:paraId="1BDCC424" w14:textId="77777777" w:rsidR="00000000" w:rsidRDefault="003C49E9">
            <w:pPr>
              <w:rPr>
                <w:rFonts w:eastAsia="Times New Roman"/>
                <w:sz w:val="20"/>
                <w:szCs w:val="20"/>
              </w:rPr>
            </w:pPr>
          </w:p>
        </w:tc>
        <w:tc>
          <w:tcPr>
            <w:tcW w:w="603" w:type="pct"/>
            <w:vAlign w:val="center"/>
            <w:hideMark/>
          </w:tcPr>
          <w:p w14:paraId="7F5D50E5" w14:textId="77777777" w:rsidR="00000000" w:rsidRDefault="003C49E9">
            <w:pPr>
              <w:rPr>
                <w:rFonts w:eastAsia="Times New Roman"/>
                <w:sz w:val="20"/>
                <w:szCs w:val="20"/>
              </w:rPr>
            </w:pPr>
          </w:p>
        </w:tc>
        <w:tc>
          <w:tcPr>
            <w:tcW w:w="50" w:type="pct"/>
            <w:vAlign w:val="center"/>
            <w:hideMark/>
          </w:tcPr>
          <w:p w14:paraId="39F56DC2" w14:textId="77777777" w:rsidR="00000000" w:rsidRDefault="003C49E9">
            <w:pPr>
              <w:rPr>
                <w:rFonts w:eastAsia="Times New Roman"/>
                <w:sz w:val="20"/>
                <w:szCs w:val="20"/>
              </w:rPr>
            </w:pPr>
          </w:p>
        </w:tc>
        <w:tc>
          <w:tcPr>
            <w:tcW w:w="55" w:type="pct"/>
            <w:vAlign w:val="center"/>
            <w:hideMark/>
          </w:tcPr>
          <w:p w14:paraId="17807C07" w14:textId="77777777" w:rsidR="00000000" w:rsidRDefault="003C49E9">
            <w:pPr>
              <w:rPr>
                <w:rFonts w:eastAsia="Times New Roman"/>
                <w:sz w:val="20"/>
                <w:szCs w:val="20"/>
              </w:rPr>
            </w:pPr>
          </w:p>
        </w:tc>
        <w:tc>
          <w:tcPr>
            <w:tcW w:w="50" w:type="pct"/>
            <w:vAlign w:val="center"/>
            <w:hideMark/>
          </w:tcPr>
          <w:p w14:paraId="3722D623" w14:textId="77777777" w:rsidR="00000000" w:rsidRDefault="003C49E9">
            <w:pPr>
              <w:rPr>
                <w:rFonts w:eastAsia="Times New Roman"/>
                <w:sz w:val="20"/>
                <w:szCs w:val="20"/>
              </w:rPr>
            </w:pPr>
          </w:p>
        </w:tc>
        <w:tc>
          <w:tcPr>
            <w:tcW w:w="520" w:type="pct"/>
            <w:vAlign w:val="center"/>
            <w:hideMark/>
          </w:tcPr>
          <w:p w14:paraId="4E7DBC07" w14:textId="77777777" w:rsidR="00000000" w:rsidRDefault="003C49E9">
            <w:pPr>
              <w:rPr>
                <w:rFonts w:eastAsia="Times New Roman"/>
                <w:sz w:val="20"/>
                <w:szCs w:val="20"/>
              </w:rPr>
            </w:pPr>
          </w:p>
        </w:tc>
        <w:tc>
          <w:tcPr>
            <w:tcW w:w="50" w:type="pct"/>
            <w:vAlign w:val="center"/>
            <w:hideMark/>
          </w:tcPr>
          <w:p w14:paraId="48A3450A" w14:textId="77777777" w:rsidR="00000000" w:rsidRDefault="003C49E9">
            <w:pPr>
              <w:rPr>
                <w:rFonts w:eastAsia="Times New Roman"/>
                <w:sz w:val="20"/>
                <w:szCs w:val="20"/>
              </w:rPr>
            </w:pPr>
          </w:p>
        </w:tc>
      </w:tr>
      <w:tr w:rsidR="00000000" w14:paraId="6884E3D5" w14:textId="77777777">
        <w:trPr>
          <w:divId w:val="444037682"/>
          <w:trHeight w:val="160"/>
          <w:tblCellSpacing w:w="15" w:type="dxa"/>
        </w:trPr>
        <w:tc>
          <w:tcPr>
            <w:tcW w:w="0" w:type="auto"/>
            <w:vAlign w:val="bottom"/>
            <w:hideMark/>
          </w:tcPr>
          <w:p w14:paraId="1DC4749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4B9CA0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6875996" w14:textId="77777777" w:rsidR="00000000" w:rsidRDefault="003C49E9">
            <w:pPr>
              <w:pStyle w:val="a3"/>
              <w:spacing w:before="0" w:beforeAutospacing="0" w:after="0" w:afterAutospacing="0"/>
              <w:jc w:val="center"/>
              <w:rPr>
                <w:sz w:val="16"/>
                <w:szCs w:val="16"/>
              </w:rPr>
            </w:pPr>
            <w:r>
              <w:rPr>
                <w:b/>
                <w:bCs/>
                <w:sz w:val="16"/>
                <w:szCs w:val="16"/>
              </w:rPr>
              <w:t>Cumulative Translation Adjustmen</w:t>
            </w:r>
            <w:r>
              <w:rPr>
                <w:b/>
                <w:bCs/>
                <w:sz w:val="16"/>
                <w:szCs w:val="16"/>
              </w:rPr>
              <w:t>t</w:t>
            </w:r>
          </w:p>
        </w:tc>
        <w:tc>
          <w:tcPr>
            <w:tcW w:w="0" w:type="auto"/>
            <w:vAlign w:val="bottom"/>
            <w:hideMark/>
          </w:tcPr>
          <w:p w14:paraId="0184A570"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8CB7A46"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11EBF4D" w14:textId="77777777" w:rsidR="00000000" w:rsidRDefault="003C49E9">
            <w:pPr>
              <w:pStyle w:val="a3"/>
              <w:spacing w:before="0" w:beforeAutospacing="0" w:after="0" w:afterAutospacing="0"/>
              <w:jc w:val="center"/>
              <w:rPr>
                <w:sz w:val="16"/>
                <w:szCs w:val="16"/>
              </w:rPr>
            </w:pPr>
            <w:r>
              <w:rPr>
                <w:b/>
                <w:bCs/>
                <w:sz w:val="16"/>
                <w:szCs w:val="16"/>
              </w:rPr>
              <w:t xml:space="preserve">Unrealized </w:t>
            </w:r>
            <w:r>
              <w:rPr>
                <w:b/>
                <w:bCs/>
                <w:sz w:val="16"/>
                <w:szCs w:val="16"/>
              </w:rPr>
              <w:br/>
              <w:t>Gain on</w:t>
            </w:r>
            <w:r>
              <w:rPr>
                <w:b/>
                <w:bCs/>
                <w:sz w:val="16"/>
                <w:szCs w:val="16"/>
              </w:rPr>
              <w:br/>
              <w:t>Investment</w:t>
            </w:r>
            <w:r>
              <w:rPr>
                <w:b/>
                <w:bCs/>
                <w:sz w:val="16"/>
                <w:szCs w:val="16"/>
              </w:rPr>
              <w:t>s</w:t>
            </w:r>
          </w:p>
        </w:tc>
        <w:tc>
          <w:tcPr>
            <w:tcW w:w="0" w:type="auto"/>
            <w:vAlign w:val="bottom"/>
            <w:hideMark/>
          </w:tcPr>
          <w:p w14:paraId="639DB32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3EFCD1E"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19CD6D6" w14:textId="77777777" w:rsidR="00000000" w:rsidRDefault="003C49E9">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48EA888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430A3AE" w14:textId="77777777">
        <w:trPr>
          <w:divId w:val="444037682"/>
          <w:trHeight w:val="160"/>
          <w:tblCellSpacing w:w="15" w:type="dxa"/>
        </w:trPr>
        <w:tc>
          <w:tcPr>
            <w:tcW w:w="0" w:type="auto"/>
            <w:vAlign w:val="bottom"/>
            <w:hideMark/>
          </w:tcPr>
          <w:p w14:paraId="4D254A1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A97CA18" w14:textId="77777777" w:rsidR="00000000" w:rsidRDefault="003C49E9">
            <w:pPr>
              <w:pStyle w:val="a3"/>
              <w:spacing w:before="0" w:beforeAutospacing="0" w:after="0" w:afterAutospacing="0"/>
              <w:rPr>
                <w:sz w:val="16"/>
                <w:szCs w:val="16"/>
              </w:rPr>
            </w:pPr>
            <w:r>
              <w:rPr>
                <w:sz w:val="16"/>
                <w:szCs w:val="16"/>
              </w:rPr>
              <w:t> </w:t>
            </w:r>
          </w:p>
        </w:tc>
        <w:tc>
          <w:tcPr>
            <w:tcW w:w="0" w:type="auto"/>
            <w:gridSpan w:val="10"/>
            <w:vAlign w:val="bottom"/>
            <w:hideMark/>
          </w:tcPr>
          <w:p w14:paraId="1C30B29E"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13411E3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73DAD00" w14:textId="77777777">
        <w:trPr>
          <w:divId w:val="444037682"/>
          <w:trHeight w:val="200"/>
          <w:tblCellSpacing w:w="15" w:type="dxa"/>
        </w:trPr>
        <w:tc>
          <w:tcPr>
            <w:tcW w:w="0" w:type="auto"/>
            <w:vAlign w:val="bottom"/>
            <w:hideMark/>
          </w:tcPr>
          <w:p w14:paraId="19042E8B" w14:textId="77777777" w:rsidR="00000000" w:rsidRDefault="003C49E9">
            <w:pPr>
              <w:pStyle w:val="a3"/>
              <w:spacing w:before="0" w:beforeAutospacing="0" w:after="0" w:afterAutospacing="0"/>
              <w:rPr>
                <w:sz w:val="20"/>
                <w:szCs w:val="20"/>
              </w:rPr>
            </w:pPr>
            <w:r>
              <w:rPr>
                <w:sz w:val="20"/>
                <w:szCs w:val="20"/>
              </w:rPr>
              <w:t>Beginning balance at January 1, 202</w:t>
            </w:r>
            <w:r>
              <w:rPr>
                <w:sz w:val="20"/>
                <w:szCs w:val="20"/>
              </w:rPr>
              <w:t>2</w:t>
            </w:r>
          </w:p>
        </w:tc>
        <w:tc>
          <w:tcPr>
            <w:tcW w:w="0" w:type="auto"/>
            <w:vAlign w:val="bottom"/>
            <w:hideMark/>
          </w:tcPr>
          <w:p w14:paraId="507A464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DE75CC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DEF43E" w14:textId="77777777" w:rsidR="00000000" w:rsidRDefault="003C49E9">
            <w:pPr>
              <w:pStyle w:val="a3"/>
              <w:spacing w:before="0" w:beforeAutospacing="0" w:after="0" w:afterAutospacing="0"/>
              <w:jc w:val="right"/>
              <w:rPr>
                <w:sz w:val="20"/>
                <w:szCs w:val="20"/>
              </w:rPr>
            </w:pPr>
            <w:r>
              <w:rPr>
                <w:sz w:val="20"/>
                <w:szCs w:val="20"/>
              </w:rPr>
              <w:t>(</w:t>
            </w:r>
            <w:r>
              <w:rPr>
                <w:sz w:val="20"/>
                <w:szCs w:val="20"/>
              </w:rPr>
              <w:t>53</w:t>
            </w:r>
            <w:r>
              <w:rPr>
                <w:sz w:val="20"/>
                <w:szCs w:val="20"/>
              </w:rPr>
              <w:t>2</w:t>
            </w:r>
          </w:p>
        </w:tc>
        <w:tc>
          <w:tcPr>
            <w:tcW w:w="0" w:type="auto"/>
            <w:noWrap/>
            <w:vAlign w:val="bottom"/>
            <w:hideMark/>
          </w:tcPr>
          <w:p w14:paraId="174CBFF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66D77F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09F332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79B6C8" w14:textId="77777777" w:rsidR="00000000" w:rsidRDefault="003C49E9">
            <w:pPr>
              <w:pStyle w:val="a3"/>
              <w:spacing w:before="0" w:beforeAutospacing="0" w:after="0" w:afterAutospacing="0"/>
              <w:jc w:val="right"/>
              <w:rPr>
                <w:sz w:val="20"/>
                <w:szCs w:val="20"/>
              </w:rPr>
            </w:pPr>
            <w:r>
              <w:rPr>
                <w:sz w:val="20"/>
                <w:szCs w:val="20"/>
              </w:rPr>
              <w:t>(</w:t>
            </w:r>
            <w:r>
              <w:rPr>
                <w:sz w:val="20"/>
                <w:szCs w:val="20"/>
              </w:rPr>
              <w:t>80</w:t>
            </w:r>
            <w:r>
              <w:rPr>
                <w:sz w:val="20"/>
                <w:szCs w:val="20"/>
              </w:rPr>
              <w:t>7</w:t>
            </w:r>
          </w:p>
        </w:tc>
        <w:tc>
          <w:tcPr>
            <w:tcW w:w="0" w:type="auto"/>
            <w:noWrap/>
            <w:vAlign w:val="bottom"/>
            <w:hideMark/>
          </w:tcPr>
          <w:p w14:paraId="1665F42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054E37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3A768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568004" w14:textId="77777777" w:rsidR="00000000" w:rsidRDefault="003C49E9">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noWrap/>
            <w:vAlign w:val="bottom"/>
            <w:hideMark/>
          </w:tcPr>
          <w:p w14:paraId="6979F876" w14:textId="77777777" w:rsidR="00000000" w:rsidRDefault="003C49E9">
            <w:pPr>
              <w:pStyle w:val="a3"/>
              <w:spacing w:before="0" w:beforeAutospacing="0" w:after="0" w:afterAutospacing="0"/>
              <w:rPr>
                <w:sz w:val="20"/>
                <w:szCs w:val="20"/>
              </w:rPr>
            </w:pPr>
            <w:r>
              <w:rPr>
                <w:sz w:val="20"/>
                <w:szCs w:val="20"/>
              </w:rPr>
              <w:t>)</w:t>
            </w:r>
          </w:p>
        </w:tc>
      </w:tr>
      <w:tr w:rsidR="00000000" w14:paraId="64EA6DBE" w14:textId="77777777">
        <w:trPr>
          <w:divId w:val="444037682"/>
          <w:trHeight w:val="200"/>
          <w:tblCellSpacing w:w="15" w:type="dxa"/>
        </w:trPr>
        <w:tc>
          <w:tcPr>
            <w:tcW w:w="0" w:type="auto"/>
            <w:vAlign w:val="bottom"/>
            <w:hideMark/>
          </w:tcPr>
          <w:p w14:paraId="64227C37" w14:textId="77777777" w:rsidR="00000000" w:rsidRDefault="003C49E9">
            <w:pPr>
              <w:pStyle w:val="a3"/>
              <w:spacing w:before="0" w:beforeAutospacing="0" w:after="0" w:afterAutospacing="0"/>
              <w:ind w:left="200"/>
              <w:rPr>
                <w:sz w:val="20"/>
                <w:szCs w:val="20"/>
              </w:rPr>
            </w:pPr>
            <w:r>
              <w:rPr>
                <w:sz w:val="20"/>
                <w:szCs w:val="20"/>
              </w:rPr>
              <w:t>Other comprehensive loss before reclassification</w:t>
            </w:r>
            <w:r>
              <w:rPr>
                <w:sz w:val="20"/>
                <w:szCs w:val="20"/>
              </w:rPr>
              <w:t>s</w:t>
            </w:r>
          </w:p>
        </w:tc>
        <w:tc>
          <w:tcPr>
            <w:tcW w:w="0" w:type="auto"/>
            <w:vAlign w:val="bottom"/>
            <w:hideMark/>
          </w:tcPr>
          <w:p w14:paraId="1A04320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E01286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774DFB" w14:textId="77777777" w:rsidR="00000000" w:rsidRDefault="003C49E9">
            <w:pPr>
              <w:pStyle w:val="a3"/>
              <w:spacing w:before="0" w:beforeAutospacing="0" w:after="0" w:afterAutospacing="0"/>
              <w:jc w:val="right"/>
              <w:rPr>
                <w:sz w:val="20"/>
                <w:szCs w:val="20"/>
              </w:rPr>
            </w:pPr>
            <w:r>
              <w:rPr>
                <w:sz w:val="20"/>
                <w:szCs w:val="20"/>
              </w:rPr>
              <w:t>(</w:t>
            </w:r>
            <w:r>
              <w:rPr>
                <w:sz w:val="20"/>
                <w:szCs w:val="20"/>
              </w:rPr>
              <w:t>3,02</w:t>
            </w:r>
            <w:r>
              <w:rPr>
                <w:sz w:val="20"/>
                <w:szCs w:val="20"/>
              </w:rPr>
              <w:t>5</w:t>
            </w:r>
          </w:p>
        </w:tc>
        <w:tc>
          <w:tcPr>
            <w:tcW w:w="0" w:type="auto"/>
            <w:noWrap/>
            <w:vAlign w:val="bottom"/>
            <w:hideMark/>
          </w:tcPr>
          <w:p w14:paraId="64F7853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6BEE36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426BE6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6298E2" w14:textId="77777777" w:rsidR="00000000" w:rsidRDefault="003C49E9">
            <w:pPr>
              <w:pStyle w:val="a3"/>
              <w:spacing w:before="0" w:beforeAutospacing="0" w:after="0" w:afterAutospacing="0"/>
              <w:jc w:val="right"/>
              <w:rPr>
                <w:sz w:val="20"/>
                <w:szCs w:val="20"/>
              </w:rPr>
            </w:pPr>
            <w:r>
              <w:rPr>
                <w:sz w:val="20"/>
                <w:szCs w:val="20"/>
              </w:rPr>
              <w:t>(</w:t>
            </w:r>
            <w:r>
              <w:rPr>
                <w:sz w:val="20"/>
                <w:szCs w:val="20"/>
              </w:rPr>
              <w:t>6,65</w:t>
            </w:r>
            <w:r>
              <w:rPr>
                <w:sz w:val="20"/>
                <w:szCs w:val="20"/>
              </w:rPr>
              <w:t>3</w:t>
            </w:r>
          </w:p>
        </w:tc>
        <w:tc>
          <w:tcPr>
            <w:tcW w:w="0" w:type="auto"/>
            <w:noWrap/>
            <w:vAlign w:val="bottom"/>
            <w:hideMark/>
          </w:tcPr>
          <w:p w14:paraId="0A8FE36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D14B7D2"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EDCCA5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74BE171" w14:textId="77777777" w:rsidR="00000000" w:rsidRDefault="003C49E9">
            <w:pPr>
              <w:pStyle w:val="a3"/>
              <w:spacing w:before="0" w:beforeAutospacing="0" w:after="0" w:afterAutospacing="0"/>
              <w:jc w:val="right"/>
              <w:rPr>
                <w:sz w:val="20"/>
                <w:szCs w:val="20"/>
              </w:rPr>
            </w:pPr>
            <w:r>
              <w:rPr>
                <w:sz w:val="20"/>
                <w:szCs w:val="20"/>
              </w:rPr>
              <w:t>(</w:t>
            </w:r>
            <w:r>
              <w:rPr>
                <w:sz w:val="20"/>
                <w:szCs w:val="20"/>
              </w:rPr>
              <w:t>9,67</w:t>
            </w:r>
            <w:r>
              <w:rPr>
                <w:sz w:val="20"/>
                <w:szCs w:val="20"/>
              </w:rPr>
              <w:t>8</w:t>
            </w:r>
          </w:p>
        </w:tc>
        <w:tc>
          <w:tcPr>
            <w:tcW w:w="0" w:type="auto"/>
            <w:noWrap/>
            <w:vAlign w:val="bottom"/>
            <w:hideMark/>
          </w:tcPr>
          <w:p w14:paraId="6514AAD4" w14:textId="77777777" w:rsidR="00000000" w:rsidRDefault="003C49E9">
            <w:pPr>
              <w:pStyle w:val="a3"/>
              <w:spacing w:before="0" w:beforeAutospacing="0" w:after="0" w:afterAutospacing="0"/>
              <w:rPr>
                <w:sz w:val="20"/>
                <w:szCs w:val="20"/>
              </w:rPr>
            </w:pPr>
            <w:r>
              <w:rPr>
                <w:sz w:val="20"/>
                <w:szCs w:val="20"/>
              </w:rPr>
              <w:t>)</w:t>
            </w:r>
          </w:p>
        </w:tc>
      </w:tr>
      <w:tr w:rsidR="00000000" w14:paraId="39557680" w14:textId="77777777">
        <w:trPr>
          <w:divId w:val="444037682"/>
          <w:trHeight w:val="200"/>
          <w:tblCellSpacing w:w="15" w:type="dxa"/>
        </w:trPr>
        <w:tc>
          <w:tcPr>
            <w:tcW w:w="0" w:type="auto"/>
            <w:vAlign w:val="bottom"/>
            <w:hideMark/>
          </w:tcPr>
          <w:p w14:paraId="1080ECFD" w14:textId="77777777" w:rsidR="00000000" w:rsidRDefault="003C49E9">
            <w:pPr>
              <w:pStyle w:val="a3"/>
              <w:spacing w:before="0" w:beforeAutospacing="0" w:after="0" w:afterAutospacing="0"/>
              <w:ind w:left="200"/>
              <w:rPr>
                <w:sz w:val="20"/>
                <w:szCs w:val="20"/>
              </w:rPr>
            </w:pPr>
            <w:r>
              <w:rPr>
                <w:sz w:val="20"/>
                <w:szCs w:val="20"/>
              </w:rPr>
              <w:t xml:space="preserve">Amounts reclassified from accumulated other </w:t>
            </w:r>
            <w:r>
              <w:rPr>
                <w:sz w:val="20"/>
                <w:szCs w:val="20"/>
              </w:rPr>
              <w:br/>
              <w:t>  comprehensive incom</w:t>
            </w:r>
            <w:r>
              <w:rPr>
                <w:sz w:val="20"/>
                <w:szCs w:val="20"/>
              </w:rPr>
              <w:t>e</w:t>
            </w:r>
          </w:p>
        </w:tc>
        <w:tc>
          <w:tcPr>
            <w:tcW w:w="0" w:type="auto"/>
            <w:vAlign w:val="bottom"/>
            <w:hideMark/>
          </w:tcPr>
          <w:p w14:paraId="3D106D0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A331AC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59631F5"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7E0767A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20883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415E33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BABB5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34B153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1CF6CD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D8E2E2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8D1F54"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6AF7A3D8" w14:textId="77777777" w:rsidR="00000000" w:rsidRDefault="003C49E9">
            <w:pPr>
              <w:pStyle w:val="a3"/>
              <w:spacing w:before="0" w:beforeAutospacing="0" w:after="0" w:afterAutospacing="0"/>
              <w:rPr>
                <w:sz w:val="20"/>
                <w:szCs w:val="20"/>
              </w:rPr>
            </w:pPr>
            <w:r>
              <w:rPr>
                <w:sz w:val="20"/>
                <w:szCs w:val="20"/>
              </w:rPr>
              <w:t> </w:t>
            </w:r>
          </w:p>
        </w:tc>
      </w:tr>
      <w:tr w:rsidR="00000000" w14:paraId="7DBEBCFB" w14:textId="77777777">
        <w:trPr>
          <w:divId w:val="444037682"/>
          <w:trHeight w:val="200"/>
          <w:tblCellSpacing w:w="15" w:type="dxa"/>
        </w:trPr>
        <w:tc>
          <w:tcPr>
            <w:tcW w:w="0" w:type="auto"/>
            <w:vAlign w:val="bottom"/>
            <w:hideMark/>
          </w:tcPr>
          <w:p w14:paraId="1EAFEF08" w14:textId="77777777" w:rsidR="00000000" w:rsidRDefault="003C49E9">
            <w:pPr>
              <w:pStyle w:val="a3"/>
              <w:spacing w:before="0" w:beforeAutospacing="0" w:after="0" w:afterAutospacing="0"/>
              <w:rPr>
                <w:sz w:val="20"/>
                <w:szCs w:val="20"/>
              </w:rPr>
            </w:pPr>
            <w:r>
              <w:rPr>
                <w:sz w:val="20"/>
                <w:szCs w:val="20"/>
              </w:rPr>
              <w:t>Ending balance at June 30, 202</w:t>
            </w:r>
            <w:r>
              <w:rPr>
                <w:sz w:val="20"/>
                <w:szCs w:val="20"/>
              </w:rPr>
              <w:t>2</w:t>
            </w:r>
          </w:p>
        </w:tc>
        <w:tc>
          <w:tcPr>
            <w:tcW w:w="0" w:type="auto"/>
            <w:vAlign w:val="bottom"/>
            <w:hideMark/>
          </w:tcPr>
          <w:p w14:paraId="5E71DA4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CF9D8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DA0AD2" w14:textId="77777777" w:rsidR="00000000" w:rsidRDefault="003C49E9">
            <w:pPr>
              <w:pStyle w:val="a3"/>
              <w:spacing w:before="0" w:beforeAutospacing="0" w:after="0" w:afterAutospacing="0"/>
              <w:jc w:val="right"/>
              <w:rPr>
                <w:sz w:val="20"/>
                <w:szCs w:val="20"/>
              </w:rPr>
            </w:pPr>
            <w:r>
              <w:rPr>
                <w:sz w:val="20"/>
                <w:szCs w:val="20"/>
              </w:rPr>
              <w:t>(</w:t>
            </w:r>
            <w:r>
              <w:rPr>
                <w:sz w:val="20"/>
                <w:szCs w:val="20"/>
              </w:rPr>
              <w:t>3,55</w:t>
            </w:r>
            <w:r>
              <w:rPr>
                <w:sz w:val="20"/>
                <w:szCs w:val="20"/>
              </w:rPr>
              <w:t>7</w:t>
            </w:r>
          </w:p>
        </w:tc>
        <w:tc>
          <w:tcPr>
            <w:tcW w:w="0" w:type="auto"/>
            <w:noWrap/>
            <w:vAlign w:val="bottom"/>
            <w:hideMark/>
          </w:tcPr>
          <w:p w14:paraId="12DDF38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7D468B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AC148A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40D469F" w14:textId="77777777" w:rsidR="00000000" w:rsidRDefault="003C49E9">
            <w:pPr>
              <w:pStyle w:val="a3"/>
              <w:spacing w:before="0" w:beforeAutospacing="0" w:after="0" w:afterAutospacing="0"/>
              <w:jc w:val="right"/>
              <w:rPr>
                <w:sz w:val="20"/>
                <w:szCs w:val="20"/>
              </w:rPr>
            </w:pPr>
            <w:r>
              <w:rPr>
                <w:sz w:val="20"/>
                <w:szCs w:val="20"/>
              </w:rPr>
              <w:t>(</w:t>
            </w:r>
            <w:r>
              <w:rPr>
                <w:sz w:val="20"/>
                <w:szCs w:val="20"/>
              </w:rPr>
              <w:t>7,46</w:t>
            </w:r>
            <w:r>
              <w:rPr>
                <w:sz w:val="20"/>
                <w:szCs w:val="20"/>
              </w:rPr>
              <w:t>0</w:t>
            </w:r>
          </w:p>
        </w:tc>
        <w:tc>
          <w:tcPr>
            <w:tcW w:w="0" w:type="auto"/>
            <w:noWrap/>
            <w:vAlign w:val="bottom"/>
            <w:hideMark/>
          </w:tcPr>
          <w:p w14:paraId="4C5B29B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05B1C4D"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259AE3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7DFBBA" w14:textId="77777777" w:rsidR="00000000" w:rsidRDefault="003C49E9">
            <w:pPr>
              <w:pStyle w:val="a3"/>
              <w:spacing w:before="0" w:beforeAutospacing="0" w:after="0" w:afterAutospacing="0"/>
              <w:jc w:val="right"/>
              <w:rPr>
                <w:sz w:val="20"/>
                <w:szCs w:val="20"/>
              </w:rPr>
            </w:pPr>
            <w:r>
              <w:rPr>
                <w:sz w:val="20"/>
                <w:szCs w:val="20"/>
              </w:rPr>
              <w:t>(</w:t>
            </w:r>
            <w:r>
              <w:rPr>
                <w:sz w:val="20"/>
                <w:szCs w:val="20"/>
              </w:rPr>
              <w:t>11,01</w:t>
            </w:r>
            <w:r>
              <w:rPr>
                <w:sz w:val="20"/>
                <w:szCs w:val="20"/>
              </w:rPr>
              <w:t>7</w:t>
            </w:r>
          </w:p>
        </w:tc>
        <w:tc>
          <w:tcPr>
            <w:tcW w:w="0" w:type="auto"/>
            <w:noWrap/>
            <w:vAlign w:val="bottom"/>
            <w:hideMark/>
          </w:tcPr>
          <w:p w14:paraId="2D2EF6CC" w14:textId="77777777" w:rsidR="00000000" w:rsidRDefault="003C49E9">
            <w:pPr>
              <w:pStyle w:val="a3"/>
              <w:spacing w:before="0" w:beforeAutospacing="0" w:after="0" w:afterAutospacing="0"/>
              <w:rPr>
                <w:sz w:val="20"/>
                <w:szCs w:val="20"/>
              </w:rPr>
            </w:pPr>
            <w:r>
              <w:rPr>
                <w:sz w:val="20"/>
                <w:szCs w:val="20"/>
              </w:rPr>
              <w:t>)</w:t>
            </w:r>
          </w:p>
        </w:tc>
      </w:tr>
    </w:tbl>
    <w:p w14:paraId="1964F753" w14:textId="77777777" w:rsidR="00000000" w:rsidRDefault="003C49E9">
      <w:pPr>
        <w:pStyle w:val="a3"/>
        <w:spacing w:before="200" w:beforeAutospacing="0" w:after="0" w:afterAutospacing="0"/>
        <w:rPr>
          <w:sz w:val="20"/>
          <w:szCs w:val="20"/>
        </w:rPr>
      </w:pPr>
      <w:r>
        <w:rPr>
          <w:sz w:val="20"/>
          <w:szCs w:val="20"/>
        </w:rPr>
        <w:t> </w:t>
      </w:r>
    </w:p>
    <w:p w14:paraId="5170F4A8" w14:textId="77777777" w:rsidR="00000000" w:rsidRDefault="003C49E9">
      <w:pPr>
        <w:pStyle w:val="a3"/>
        <w:spacing w:before="200" w:beforeAutospacing="0" w:after="0" w:afterAutospacing="0"/>
        <w:divId w:val="1949852764"/>
        <w:rPr>
          <w:sz w:val="20"/>
          <w:szCs w:val="20"/>
        </w:rPr>
      </w:pPr>
      <w:r>
        <w:rPr>
          <w:b/>
          <w:bCs/>
          <w:sz w:val="20"/>
          <w:szCs w:val="20"/>
        </w:rPr>
        <w:t>12. Intangible asset</w:t>
      </w:r>
      <w:r>
        <w:rPr>
          <w:b/>
          <w:bCs/>
          <w:sz w:val="20"/>
          <w:szCs w:val="20"/>
        </w:rPr>
        <w:t>s</w:t>
      </w:r>
    </w:p>
    <w:p w14:paraId="7566B223" w14:textId="77777777" w:rsidR="00000000" w:rsidRDefault="003C49E9">
      <w:pPr>
        <w:pStyle w:val="a3"/>
        <w:spacing w:before="200" w:beforeAutospacing="0" w:after="0" w:afterAutospacing="0"/>
        <w:ind w:firstLine="555"/>
        <w:divId w:val="1949852764"/>
        <w:rPr>
          <w:sz w:val="20"/>
          <w:szCs w:val="20"/>
        </w:rPr>
      </w:pPr>
      <w:r>
        <w:rPr>
          <w:sz w:val="20"/>
          <w:szCs w:val="20"/>
        </w:rPr>
        <w:t xml:space="preserve">In the three months ended June 30, 2022, the Company purchased the rights to the domain name "connect.com" for </w:t>
      </w:r>
      <w:r>
        <w:rPr>
          <w:sz w:val="20"/>
          <w:szCs w:val="20"/>
        </w:rPr>
        <w:t>$</w:t>
      </w:r>
      <w:r>
        <w:rPr>
          <w:sz w:val="20"/>
          <w:szCs w:val="20"/>
        </w:rPr>
        <w:t>10.</w:t>
      </w:r>
      <w:r>
        <w:rPr>
          <w:sz w:val="20"/>
          <w:szCs w:val="20"/>
        </w:rPr>
        <w:t>0</w:t>
      </w:r>
      <w:r>
        <w:rPr>
          <w:sz w:val="20"/>
          <w:szCs w:val="20"/>
        </w:rPr>
        <w:t xml:space="preserve"> </w:t>
      </w:r>
      <w:r>
        <w:rPr>
          <w:sz w:val="20"/>
          <w:szCs w:val="20"/>
        </w:rPr>
        <w:t>million. The domain will be used to host a networked community for customers, Solutions Partners, and prospects. The cost is amortized on a straight-line basis over its estimated useful life of</w:t>
      </w:r>
      <w:r>
        <w:rPr>
          <w:sz w:val="20"/>
          <w:szCs w:val="20"/>
        </w:rPr>
        <w:t xml:space="preserve"> </w:t>
      </w:r>
      <w:r>
        <w:rPr>
          <w:sz w:val="20"/>
          <w:szCs w:val="20"/>
        </w:rPr>
        <w:t>seven year</w:t>
      </w:r>
      <w:r>
        <w:rPr>
          <w:sz w:val="20"/>
          <w:szCs w:val="20"/>
        </w:rPr>
        <w:t>s</w:t>
      </w:r>
      <w:r>
        <w:rPr>
          <w:sz w:val="20"/>
          <w:szCs w:val="20"/>
        </w:rPr>
        <w:t>. Amortization expense for the three months ended J</w:t>
      </w:r>
      <w:r>
        <w:rPr>
          <w:sz w:val="20"/>
          <w:szCs w:val="20"/>
        </w:rPr>
        <w:t xml:space="preserve">une 30, 2022 was </w:t>
      </w:r>
      <w:r>
        <w:rPr>
          <w:sz w:val="20"/>
          <w:szCs w:val="20"/>
        </w:rPr>
        <w:t>$</w:t>
      </w:r>
      <w:r>
        <w:rPr>
          <w:sz w:val="20"/>
          <w:szCs w:val="20"/>
        </w:rPr>
        <w:t>0.</w:t>
      </w:r>
      <w:r>
        <w:rPr>
          <w:sz w:val="20"/>
          <w:szCs w:val="20"/>
        </w:rPr>
        <w:t>4</w:t>
      </w:r>
      <w:r>
        <w:rPr>
          <w:sz w:val="20"/>
          <w:szCs w:val="20"/>
        </w:rPr>
        <w:t xml:space="preserve"> million and is included in sales and marketing expense in the consolidated statements of operations</w:t>
      </w:r>
      <w:r>
        <w:rPr>
          <w:sz w:val="20"/>
          <w:szCs w:val="20"/>
        </w:rPr>
        <w:t>.</w:t>
      </w:r>
      <w:r>
        <w:rPr>
          <w:sz w:val="20"/>
          <w:szCs w:val="20"/>
        </w:rPr>
        <w:t xml:space="preserve"> </w:t>
      </w:r>
    </w:p>
    <w:p w14:paraId="7FCCD223" w14:textId="77777777" w:rsidR="00000000" w:rsidRDefault="003C49E9">
      <w:pPr>
        <w:pStyle w:val="a3"/>
        <w:spacing w:before="200" w:beforeAutospacing="0" w:after="0" w:afterAutospacing="0"/>
        <w:divId w:val="108863171"/>
        <w:rPr>
          <w:sz w:val="20"/>
          <w:szCs w:val="20"/>
        </w:rPr>
      </w:pPr>
      <w:r>
        <w:rPr>
          <w:b/>
          <w:bCs/>
          <w:sz w:val="20"/>
          <w:szCs w:val="20"/>
        </w:rPr>
        <w:t>13. Stock-Based Compensation Expens</w:t>
      </w:r>
      <w:r>
        <w:rPr>
          <w:b/>
          <w:bCs/>
          <w:sz w:val="20"/>
          <w:szCs w:val="20"/>
        </w:rPr>
        <w:t>e</w:t>
      </w:r>
    </w:p>
    <w:p w14:paraId="6FA6786E" w14:textId="77777777" w:rsidR="00000000" w:rsidRDefault="003C49E9">
      <w:pPr>
        <w:pStyle w:val="a3"/>
        <w:spacing w:before="200" w:beforeAutospacing="0" w:after="0" w:afterAutospacing="0"/>
        <w:ind w:firstLine="555"/>
        <w:divId w:val="1062027124"/>
        <w:rPr>
          <w:sz w:val="20"/>
          <w:szCs w:val="20"/>
        </w:rPr>
      </w:pPr>
      <w:r>
        <w:rPr>
          <w:sz w:val="20"/>
          <w:szCs w:val="20"/>
        </w:rPr>
        <w:t>The following two tables show stock-based compensation expense by award type and where the stoc</w:t>
      </w:r>
      <w:r>
        <w:rPr>
          <w:sz w:val="20"/>
          <w:szCs w:val="20"/>
        </w:rPr>
        <w:t>k-based compensation expense is recorded in the Company’s consolidated statements of operations:</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00"/>
        <w:gridCol w:w="110"/>
        <w:gridCol w:w="160"/>
        <w:gridCol w:w="610"/>
        <w:gridCol w:w="110"/>
        <w:gridCol w:w="110"/>
        <w:gridCol w:w="160"/>
        <w:gridCol w:w="610"/>
        <w:gridCol w:w="110"/>
        <w:gridCol w:w="110"/>
        <w:gridCol w:w="160"/>
        <w:gridCol w:w="710"/>
        <w:gridCol w:w="110"/>
        <w:gridCol w:w="110"/>
        <w:gridCol w:w="160"/>
        <w:gridCol w:w="610"/>
        <w:gridCol w:w="125"/>
      </w:tblGrid>
      <w:tr w:rsidR="00000000" w14:paraId="4BE29BC0" w14:textId="77777777">
        <w:trPr>
          <w:divId w:val="1062027124"/>
          <w:tblCellSpacing w:w="15" w:type="dxa"/>
        </w:trPr>
        <w:tc>
          <w:tcPr>
            <w:tcW w:w="2460" w:type="pct"/>
            <w:vAlign w:val="center"/>
            <w:hideMark/>
          </w:tcPr>
          <w:p w14:paraId="60670D91" w14:textId="77777777" w:rsidR="00000000" w:rsidRDefault="003C49E9">
            <w:pPr>
              <w:rPr>
                <w:sz w:val="20"/>
                <w:szCs w:val="20"/>
              </w:rPr>
            </w:pPr>
          </w:p>
        </w:tc>
        <w:tc>
          <w:tcPr>
            <w:tcW w:w="59" w:type="pct"/>
            <w:vAlign w:val="center"/>
            <w:hideMark/>
          </w:tcPr>
          <w:p w14:paraId="6C806C62" w14:textId="77777777" w:rsidR="00000000" w:rsidRDefault="003C49E9">
            <w:pPr>
              <w:rPr>
                <w:rFonts w:eastAsia="Times New Roman"/>
                <w:sz w:val="20"/>
                <w:szCs w:val="20"/>
              </w:rPr>
            </w:pPr>
          </w:p>
        </w:tc>
        <w:tc>
          <w:tcPr>
            <w:tcW w:w="50" w:type="pct"/>
            <w:vAlign w:val="center"/>
            <w:hideMark/>
          </w:tcPr>
          <w:p w14:paraId="15CADD58" w14:textId="77777777" w:rsidR="00000000" w:rsidRDefault="003C49E9">
            <w:pPr>
              <w:rPr>
                <w:rFonts w:eastAsia="Times New Roman"/>
                <w:sz w:val="20"/>
                <w:szCs w:val="20"/>
              </w:rPr>
            </w:pPr>
          </w:p>
        </w:tc>
        <w:tc>
          <w:tcPr>
            <w:tcW w:w="428" w:type="pct"/>
            <w:vAlign w:val="center"/>
            <w:hideMark/>
          </w:tcPr>
          <w:p w14:paraId="229A489F" w14:textId="77777777" w:rsidR="00000000" w:rsidRDefault="003C49E9">
            <w:pPr>
              <w:rPr>
                <w:rFonts w:eastAsia="Times New Roman"/>
                <w:sz w:val="20"/>
                <w:szCs w:val="20"/>
              </w:rPr>
            </w:pPr>
          </w:p>
        </w:tc>
        <w:tc>
          <w:tcPr>
            <w:tcW w:w="50" w:type="pct"/>
            <w:vAlign w:val="center"/>
            <w:hideMark/>
          </w:tcPr>
          <w:p w14:paraId="13E0B276" w14:textId="77777777" w:rsidR="00000000" w:rsidRDefault="003C49E9">
            <w:pPr>
              <w:rPr>
                <w:rFonts w:eastAsia="Times New Roman"/>
                <w:sz w:val="20"/>
                <w:szCs w:val="20"/>
              </w:rPr>
            </w:pPr>
          </w:p>
        </w:tc>
        <w:tc>
          <w:tcPr>
            <w:tcW w:w="59" w:type="pct"/>
            <w:vAlign w:val="center"/>
            <w:hideMark/>
          </w:tcPr>
          <w:p w14:paraId="2E2B2346" w14:textId="77777777" w:rsidR="00000000" w:rsidRDefault="003C49E9">
            <w:pPr>
              <w:rPr>
                <w:rFonts w:eastAsia="Times New Roman"/>
                <w:sz w:val="20"/>
                <w:szCs w:val="20"/>
              </w:rPr>
            </w:pPr>
          </w:p>
        </w:tc>
        <w:tc>
          <w:tcPr>
            <w:tcW w:w="50" w:type="pct"/>
            <w:vAlign w:val="center"/>
            <w:hideMark/>
          </w:tcPr>
          <w:p w14:paraId="47F4F611" w14:textId="77777777" w:rsidR="00000000" w:rsidRDefault="003C49E9">
            <w:pPr>
              <w:rPr>
                <w:rFonts w:eastAsia="Times New Roman"/>
                <w:sz w:val="20"/>
                <w:szCs w:val="20"/>
              </w:rPr>
            </w:pPr>
          </w:p>
        </w:tc>
        <w:tc>
          <w:tcPr>
            <w:tcW w:w="519" w:type="pct"/>
            <w:vAlign w:val="center"/>
            <w:hideMark/>
          </w:tcPr>
          <w:p w14:paraId="1B90C883" w14:textId="77777777" w:rsidR="00000000" w:rsidRDefault="003C49E9">
            <w:pPr>
              <w:rPr>
                <w:rFonts w:eastAsia="Times New Roman"/>
                <w:sz w:val="20"/>
                <w:szCs w:val="20"/>
              </w:rPr>
            </w:pPr>
          </w:p>
        </w:tc>
        <w:tc>
          <w:tcPr>
            <w:tcW w:w="50" w:type="pct"/>
            <w:vAlign w:val="center"/>
            <w:hideMark/>
          </w:tcPr>
          <w:p w14:paraId="1C69175E" w14:textId="77777777" w:rsidR="00000000" w:rsidRDefault="003C49E9">
            <w:pPr>
              <w:rPr>
                <w:rFonts w:eastAsia="Times New Roman"/>
                <w:sz w:val="20"/>
                <w:szCs w:val="20"/>
              </w:rPr>
            </w:pPr>
          </w:p>
        </w:tc>
        <w:tc>
          <w:tcPr>
            <w:tcW w:w="64" w:type="pct"/>
            <w:vAlign w:val="center"/>
            <w:hideMark/>
          </w:tcPr>
          <w:p w14:paraId="06B23975" w14:textId="77777777" w:rsidR="00000000" w:rsidRDefault="003C49E9">
            <w:pPr>
              <w:rPr>
                <w:rFonts w:eastAsia="Times New Roman"/>
                <w:sz w:val="20"/>
                <w:szCs w:val="20"/>
              </w:rPr>
            </w:pPr>
          </w:p>
        </w:tc>
        <w:tc>
          <w:tcPr>
            <w:tcW w:w="50" w:type="pct"/>
            <w:vAlign w:val="center"/>
            <w:hideMark/>
          </w:tcPr>
          <w:p w14:paraId="7E52FBD7" w14:textId="77777777" w:rsidR="00000000" w:rsidRDefault="003C49E9">
            <w:pPr>
              <w:rPr>
                <w:rFonts w:eastAsia="Times New Roman"/>
                <w:sz w:val="20"/>
                <w:szCs w:val="20"/>
              </w:rPr>
            </w:pPr>
          </w:p>
        </w:tc>
        <w:tc>
          <w:tcPr>
            <w:tcW w:w="428" w:type="pct"/>
            <w:vAlign w:val="center"/>
            <w:hideMark/>
          </w:tcPr>
          <w:p w14:paraId="50946C1A" w14:textId="77777777" w:rsidR="00000000" w:rsidRDefault="003C49E9">
            <w:pPr>
              <w:rPr>
                <w:rFonts w:eastAsia="Times New Roman"/>
                <w:sz w:val="20"/>
                <w:szCs w:val="20"/>
              </w:rPr>
            </w:pPr>
          </w:p>
        </w:tc>
        <w:tc>
          <w:tcPr>
            <w:tcW w:w="50" w:type="pct"/>
            <w:vAlign w:val="center"/>
            <w:hideMark/>
          </w:tcPr>
          <w:p w14:paraId="69040B2B" w14:textId="77777777" w:rsidR="00000000" w:rsidRDefault="003C49E9">
            <w:pPr>
              <w:rPr>
                <w:rFonts w:eastAsia="Times New Roman"/>
                <w:sz w:val="20"/>
                <w:szCs w:val="20"/>
              </w:rPr>
            </w:pPr>
          </w:p>
        </w:tc>
        <w:tc>
          <w:tcPr>
            <w:tcW w:w="59" w:type="pct"/>
            <w:vAlign w:val="center"/>
            <w:hideMark/>
          </w:tcPr>
          <w:p w14:paraId="5B2D55C6" w14:textId="77777777" w:rsidR="00000000" w:rsidRDefault="003C49E9">
            <w:pPr>
              <w:rPr>
                <w:rFonts w:eastAsia="Times New Roman"/>
                <w:sz w:val="20"/>
                <w:szCs w:val="20"/>
              </w:rPr>
            </w:pPr>
          </w:p>
        </w:tc>
        <w:tc>
          <w:tcPr>
            <w:tcW w:w="50" w:type="pct"/>
            <w:vAlign w:val="center"/>
            <w:hideMark/>
          </w:tcPr>
          <w:p w14:paraId="75406F02" w14:textId="77777777" w:rsidR="00000000" w:rsidRDefault="003C49E9">
            <w:pPr>
              <w:rPr>
                <w:rFonts w:eastAsia="Times New Roman"/>
                <w:sz w:val="20"/>
                <w:szCs w:val="20"/>
              </w:rPr>
            </w:pPr>
          </w:p>
        </w:tc>
        <w:tc>
          <w:tcPr>
            <w:tcW w:w="519" w:type="pct"/>
            <w:vAlign w:val="center"/>
            <w:hideMark/>
          </w:tcPr>
          <w:p w14:paraId="43EF9703" w14:textId="77777777" w:rsidR="00000000" w:rsidRDefault="003C49E9">
            <w:pPr>
              <w:rPr>
                <w:rFonts w:eastAsia="Times New Roman"/>
                <w:sz w:val="20"/>
                <w:szCs w:val="20"/>
              </w:rPr>
            </w:pPr>
          </w:p>
        </w:tc>
        <w:tc>
          <w:tcPr>
            <w:tcW w:w="50" w:type="pct"/>
            <w:vAlign w:val="center"/>
            <w:hideMark/>
          </w:tcPr>
          <w:p w14:paraId="59812E85" w14:textId="77777777" w:rsidR="00000000" w:rsidRDefault="003C49E9">
            <w:pPr>
              <w:rPr>
                <w:rFonts w:eastAsia="Times New Roman"/>
                <w:sz w:val="20"/>
                <w:szCs w:val="20"/>
              </w:rPr>
            </w:pPr>
          </w:p>
        </w:tc>
      </w:tr>
      <w:tr w:rsidR="00000000" w14:paraId="0D2C6DCD" w14:textId="77777777">
        <w:trPr>
          <w:divId w:val="1062027124"/>
          <w:trHeight w:val="160"/>
          <w:tblCellSpacing w:w="15" w:type="dxa"/>
        </w:trPr>
        <w:tc>
          <w:tcPr>
            <w:tcW w:w="0" w:type="auto"/>
            <w:vAlign w:val="bottom"/>
            <w:hideMark/>
          </w:tcPr>
          <w:p w14:paraId="4F7E031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04A8518"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5E0B27A"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82BB41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FA95C15"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F3E5729"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45A2AF5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C330FE6" w14:textId="77777777">
        <w:trPr>
          <w:divId w:val="1062027124"/>
          <w:trHeight w:val="160"/>
          <w:tblCellSpacing w:w="15" w:type="dxa"/>
        </w:trPr>
        <w:tc>
          <w:tcPr>
            <w:tcW w:w="0" w:type="auto"/>
            <w:vAlign w:val="bottom"/>
            <w:hideMark/>
          </w:tcPr>
          <w:p w14:paraId="7C7D0DD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489C08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3AD0FBC"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141545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24DA4E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7BB681E"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B95FDA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43180D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A29357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9F3E86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D275B4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9E6BFC3"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457826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A6E6946" w14:textId="77777777">
        <w:trPr>
          <w:divId w:val="1062027124"/>
          <w:trHeight w:val="160"/>
          <w:tblCellSpacing w:w="15" w:type="dxa"/>
        </w:trPr>
        <w:tc>
          <w:tcPr>
            <w:tcW w:w="0" w:type="auto"/>
            <w:vAlign w:val="bottom"/>
            <w:hideMark/>
          </w:tcPr>
          <w:p w14:paraId="6DF5B9E7"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6E9BA79"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4FA368A2"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AF1DCE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BB5544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66EFC03"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5AC6DF39"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DBCB809" w14:textId="77777777">
        <w:trPr>
          <w:divId w:val="1062027124"/>
          <w:trHeight w:val="200"/>
          <w:tblCellSpacing w:w="15" w:type="dxa"/>
        </w:trPr>
        <w:tc>
          <w:tcPr>
            <w:tcW w:w="0" w:type="auto"/>
            <w:vAlign w:val="bottom"/>
            <w:hideMark/>
          </w:tcPr>
          <w:p w14:paraId="18C9548F" w14:textId="77777777" w:rsidR="00000000" w:rsidRDefault="003C49E9">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14:paraId="7EBDB94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F79D5F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013858F" w14:textId="77777777" w:rsidR="00000000" w:rsidRDefault="003C49E9">
            <w:pPr>
              <w:pStyle w:val="a3"/>
              <w:spacing w:before="0" w:beforeAutospacing="0" w:after="0" w:afterAutospacing="0"/>
              <w:jc w:val="right"/>
              <w:rPr>
                <w:sz w:val="20"/>
                <w:szCs w:val="20"/>
              </w:rPr>
            </w:pPr>
            <w:r>
              <w:rPr>
                <w:sz w:val="20"/>
                <w:szCs w:val="20"/>
              </w:rPr>
              <w:t>3,14</w:t>
            </w:r>
            <w:r>
              <w:rPr>
                <w:sz w:val="20"/>
                <w:szCs w:val="20"/>
              </w:rPr>
              <w:t>2</w:t>
            </w:r>
          </w:p>
        </w:tc>
        <w:tc>
          <w:tcPr>
            <w:tcW w:w="0" w:type="auto"/>
            <w:noWrap/>
            <w:vAlign w:val="bottom"/>
            <w:hideMark/>
          </w:tcPr>
          <w:p w14:paraId="57F7845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D9C925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A7B95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F7D8030" w14:textId="77777777" w:rsidR="00000000" w:rsidRDefault="003C49E9">
            <w:pPr>
              <w:pStyle w:val="a3"/>
              <w:spacing w:before="0" w:beforeAutospacing="0" w:after="0" w:afterAutospacing="0"/>
              <w:jc w:val="right"/>
              <w:rPr>
                <w:sz w:val="20"/>
                <w:szCs w:val="20"/>
              </w:rPr>
            </w:pPr>
            <w:r>
              <w:rPr>
                <w:sz w:val="20"/>
                <w:szCs w:val="20"/>
              </w:rPr>
              <w:t>1,57</w:t>
            </w:r>
            <w:r>
              <w:rPr>
                <w:sz w:val="20"/>
                <w:szCs w:val="20"/>
              </w:rPr>
              <w:t>2</w:t>
            </w:r>
          </w:p>
        </w:tc>
        <w:tc>
          <w:tcPr>
            <w:tcW w:w="0" w:type="auto"/>
            <w:noWrap/>
            <w:vAlign w:val="bottom"/>
            <w:hideMark/>
          </w:tcPr>
          <w:p w14:paraId="6CABA5E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007668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6F629E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CB183D7" w14:textId="77777777" w:rsidR="00000000" w:rsidRDefault="003C49E9">
            <w:pPr>
              <w:pStyle w:val="a3"/>
              <w:spacing w:before="0" w:beforeAutospacing="0" w:after="0" w:afterAutospacing="0"/>
              <w:jc w:val="right"/>
              <w:rPr>
                <w:sz w:val="20"/>
                <w:szCs w:val="20"/>
              </w:rPr>
            </w:pPr>
            <w:r>
              <w:rPr>
                <w:sz w:val="20"/>
                <w:szCs w:val="20"/>
              </w:rPr>
              <w:t>5,14</w:t>
            </w:r>
            <w:r>
              <w:rPr>
                <w:sz w:val="20"/>
                <w:szCs w:val="20"/>
              </w:rPr>
              <w:t>1</w:t>
            </w:r>
          </w:p>
        </w:tc>
        <w:tc>
          <w:tcPr>
            <w:tcW w:w="0" w:type="auto"/>
            <w:noWrap/>
            <w:vAlign w:val="bottom"/>
            <w:hideMark/>
          </w:tcPr>
          <w:p w14:paraId="311BA6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D121B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E07A06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5A091D7" w14:textId="77777777" w:rsidR="00000000" w:rsidRDefault="003C49E9">
            <w:pPr>
              <w:pStyle w:val="a3"/>
              <w:spacing w:before="0" w:beforeAutospacing="0" w:after="0" w:afterAutospacing="0"/>
              <w:jc w:val="right"/>
              <w:rPr>
                <w:sz w:val="20"/>
                <w:szCs w:val="20"/>
              </w:rPr>
            </w:pPr>
            <w:r>
              <w:rPr>
                <w:sz w:val="20"/>
                <w:szCs w:val="20"/>
              </w:rPr>
              <w:t>3,16</w:t>
            </w:r>
            <w:r>
              <w:rPr>
                <w:sz w:val="20"/>
                <w:szCs w:val="20"/>
              </w:rPr>
              <w:t>6</w:t>
            </w:r>
          </w:p>
        </w:tc>
        <w:tc>
          <w:tcPr>
            <w:tcW w:w="0" w:type="auto"/>
            <w:noWrap/>
            <w:vAlign w:val="bottom"/>
            <w:hideMark/>
          </w:tcPr>
          <w:p w14:paraId="4C07AE76" w14:textId="77777777" w:rsidR="00000000" w:rsidRDefault="003C49E9">
            <w:pPr>
              <w:pStyle w:val="a3"/>
              <w:spacing w:before="0" w:beforeAutospacing="0" w:after="0" w:afterAutospacing="0"/>
              <w:rPr>
                <w:sz w:val="20"/>
                <w:szCs w:val="20"/>
              </w:rPr>
            </w:pPr>
            <w:r>
              <w:rPr>
                <w:sz w:val="20"/>
                <w:szCs w:val="20"/>
              </w:rPr>
              <w:t> </w:t>
            </w:r>
          </w:p>
        </w:tc>
      </w:tr>
      <w:tr w:rsidR="00000000" w14:paraId="3AAF9158" w14:textId="77777777">
        <w:trPr>
          <w:divId w:val="1062027124"/>
          <w:trHeight w:val="200"/>
          <w:tblCellSpacing w:w="15" w:type="dxa"/>
        </w:trPr>
        <w:tc>
          <w:tcPr>
            <w:tcW w:w="0" w:type="auto"/>
            <w:vAlign w:val="bottom"/>
            <w:hideMark/>
          </w:tcPr>
          <w:p w14:paraId="2BED22F0" w14:textId="77777777" w:rsidR="00000000" w:rsidRDefault="003C49E9">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14:paraId="436219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5817B1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5BF3A0" w14:textId="77777777" w:rsidR="00000000" w:rsidRDefault="003C49E9">
            <w:pPr>
              <w:pStyle w:val="a3"/>
              <w:spacing w:before="0" w:beforeAutospacing="0" w:after="0" w:afterAutospacing="0"/>
              <w:jc w:val="right"/>
              <w:rPr>
                <w:sz w:val="20"/>
                <w:szCs w:val="20"/>
              </w:rPr>
            </w:pPr>
            <w:r>
              <w:rPr>
                <w:sz w:val="20"/>
                <w:szCs w:val="20"/>
              </w:rPr>
              <w:t>75,43</w:t>
            </w:r>
            <w:r>
              <w:rPr>
                <w:sz w:val="20"/>
                <w:szCs w:val="20"/>
              </w:rPr>
              <w:t>5</w:t>
            </w:r>
          </w:p>
        </w:tc>
        <w:tc>
          <w:tcPr>
            <w:tcW w:w="0" w:type="auto"/>
            <w:noWrap/>
            <w:vAlign w:val="bottom"/>
            <w:hideMark/>
          </w:tcPr>
          <w:p w14:paraId="299E2BE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406EA4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556EF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8EF224" w14:textId="77777777" w:rsidR="00000000" w:rsidRDefault="003C49E9">
            <w:pPr>
              <w:pStyle w:val="a3"/>
              <w:spacing w:before="0" w:beforeAutospacing="0" w:after="0" w:afterAutospacing="0"/>
              <w:jc w:val="right"/>
              <w:rPr>
                <w:sz w:val="20"/>
                <w:szCs w:val="20"/>
              </w:rPr>
            </w:pPr>
            <w:r>
              <w:rPr>
                <w:sz w:val="20"/>
                <w:szCs w:val="20"/>
              </w:rPr>
              <w:t>39,69</w:t>
            </w:r>
            <w:r>
              <w:rPr>
                <w:sz w:val="20"/>
                <w:szCs w:val="20"/>
              </w:rPr>
              <w:t>2</w:t>
            </w:r>
          </w:p>
        </w:tc>
        <w:tc>
          <w:tcPr>
            <w:tcW w:w="0" w:type="auto"/>
            <w:noWrap/>
            <w:vAlign w:val="bottom"/>
            <w:hideMark/>
          </w:tcPr>
          <w:p w14:paraId="16EC24F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C5237E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937402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7A60571" w14:textId="77777777" w:rsidR="00000000" w:rsidRDefault="003C49E9">
            <w:pPr>
              <w:pStyle w:val="a3"/>
              <w:spacing w:before="0" w:beforeAutospacing="0" w:after="0" w:afterAutospacing="0"/>
              <w:jc w:val="right"/>
              <w:rPr>
                <w:sz w:val="20"/>
                <w:szCs w:val="20"/>
              </w:rPr>
            </w:pPr>
            <w:r>
              <w:rPr>
                <w:sz w:val="20"/>
                <w:szCs w:val="20"/>
              </w:rPr>
              <w:t>116,25</w:t>
            </w:r>
            <w:r>
              <w:rPr>
                <w:sz w:val="20"/>
                <w:szCs w:val="20"/>
              </w:rPr>
              <w:t>3</w:t>
            </w:r>
          </w:p>
        </w:tc>
        <w:tc>
          <w:tcPr>
            <w:tcW w:w="0" w:type="auto"/>
            <w:noWrap/>
            <w:vAlign w:val="bottom"/>
            <w:hideMark/>
          </w:tcPr>
          <w:p w14:paraId="172BAD1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9B706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3398E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D7D90F7" w14:textId="77777777" w:rsidR="00000000" w:rsidRDefault="003C49E9">
            <w:pPr>
              <w:pStyle w:val="a3"/>
              <w:spacing w:before="0" w:beforeAutospacing="0" w:after="0" w:afterAutospacing="0"/>
              <w:jc w:val="right"/>
              <w:rPr>
                <w:sz w:val="20"/>
                <w:szCs w:val="20"/>
              </w:rPr>
            </w:pPr>
            <w:r>
              <w:rPr>
                <w:sz w:val="20"/>
                <w:szCs w:val="20"/>
              </w:rPr>
              <w:t>68,43</w:t>
            </w:r>
            <w:r>
              <w:rPr>
                <w:sz w:val="20"/>
                <w:szCs w:val="20"/>
              </w:rPr>
              <w:t>2</w:t>
            </w:r>
          </w:p>
        </w:tc>
        <w:tc>
          <w:tcPr>
            <w:tcW w:w="0" w:type="auto"/>
            <w:noWrap/>
            <w:vAlign w:val="bottom"/>
            <w:hideMark/>
          </w:tcPr>
          <w:p w14:paraId="452F17C4" w14:textId="77777777" w:rsidR="00000000" w:rsidRDefault="003C49E9">
            <w:pPr>
              <w:pStyle w:val="a3"/>
              <w:spacing w:before="0" w:beforeAutospacing="0" w:after="0" w:afterAutospacing="0"/>
              <w:rPr>
                <w:sz w:val="20"/>
                <w:szCs w:val="20"/>
              </w:rPr>
            </w:pPr>
            <w:r>
              <w:rPr>
                <w:sz w:val="20"/>
                <w:szCs w:val="20"/>
              </w:rPr>
              <w:t> </w:t>
            </w:r>
          </w:p>
        </w:tc>
      </w:tr>
      <w:tr w:rsidR="00000000" w14:paraId="3118329C" w14:textId="77777777">
        <w:trPr>
          <w:divId w:val="1062027124"/>
          <w:trHeight w:val="200"/>
          <w:tblCellSpacing w:w="15" w:type="dxa"/>
        </w:trPr>
        <w:tc>
          <w:tcPr>
            <w:tcW w:w="0" w:type="auto"/>
            <w:vAlign w:val="bottom"/>
            <w:hideMark/>
          </w:tcPr>
          <w:p w14:paraId="7C67C052" w14:textId="77777777" w:rsidR="00000000" w:rsidRDefault="003C49E9">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14:paraId="334A047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999709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812F44" w14:textId="77777777" w:rsidR="00000000" w:rsidRDefault="003C49E9">
            <w:pPr>
              <w:pStyle w:val="a3"/>
              <w:spacing w:before="0" w:beforeAutospacing="0" w:after="0" w:afterAutospacing="0"/>
              <w:jc w:val="right"/>
              <w:rPr>
                <w:sz w:val="20"/>
                <w:szCs w:val="20"/>
              </w:rPr>
            </w:pPr>
            <w:r>
              <w:rPr>
                <w:sz w:val="20"/>
                <w:szCs w:val="20"/>
              </w:rPr>
              <w:t>2,58</w:t>
            </w:r>
            <w:r>
              <w:rPr>
                <w:sz w:val="20"/>
                <w:szCs w:val="20"/>
              </w:rPr>
              <w:t>8</w:t>
            </w:r>
          </w:p>
        </w:tc>
        <w:tc>
          <w:tcPr>
            <w:tcW w:w="0" w:type="auto"/>
            <w:noWrap/>
            <w:vAlign w:val="bottom"/>
            <w:hideMark/>
          </w:tcPr>
          <w:p w14:paraId="4CFF187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59B7F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9F33D7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89199B" w14:textId="77777777" w:rsidR="00000000" w:rsidRDefault="003C49E9">
            <w:pPr>
              <w:pStyle w:val="a3"/>
              <w:spacing w:before="0" w:beforeAutospacing="0" w:after="0" w:afterAutospacing="0"/>
              <w:jc w:val="right"/>
              <w:rPr>
                <w:sz w:val="20"/>
                <w:szCs w:val="20"/>
              </w:rPr>
            </w:pPr>
            <w:r>
              <w:rPr>
                <w:sz w:val="20"/>
                <w:szCs w:val="20"/>
              </w:rPr>
              <w:t>2,16</w:t>
            </w:r>
            <w:r>
              <w:rPr>
                <w:sz w:val="20"/>
                <w:szCs w:val="20"/>
              </w:rPr>
              <w:t>9</w:t>
            </w:r>
          </w:p>
        </w:tc>
        <w:tc>
          <w:tcPr>
            <w:tcW w:w="0" w:type="auto"/>
            <w:noWrap/>
            <w:vAlign w:val="bottom"/>
            <w:hideMark/>
          </w:tcPr>
          <w:p w14:paraId="5DA804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1D306F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7BE20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F26769" w14:textId="77777777" w:rsidR="00000000" w:rsidRDefault="003C49E9">
            <w:pPr>
              <w:pStyle w:val="a3"/>
              <w:spacing w:before="0" w:beforeAutospacing="0" w:after="0" w:afterAutospacing="0"/>
              <w:jc w:val="right"/>
              <w:rPr>
                <w:sz w:val="20"/>
                <w:szCs w:val="20"/>
              </w:rPr>
            </w:pPr>
            <w:r>
              <w:rPr>
                <w:sz w:val="20"/>
                <w:szCs w:val="20"/>
              </w:rPr>
              <w:t>5,47</w:t>
            </w:r>
            <w:r>
              <w:rPr>
                <w:sz w:val="20"/>
                <w:szCs w:val="20"/>
              </w:rPr>
              <w:t>4</w:t>
            </w:r>
          </w:p>
        </w:tc>
        <w:tc>
          <w:tcPr>
            <w:tcW w:w="0" w:type="auto"/>
            <w:noWrap/>
            <w:vAlign w:val="bottom"/>
            <w:hideMark/>
          </w:tcPr>
          <w:p w14:paraId="0575D98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25B9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345625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DB05A9" w14:textId="77777777" w:rsidR="00000000" w:rsidRDefault="003C49E9">
            <w:pPr>
              <w:pStyle w:val="a3"/>
              <w:spacing w:before="0" w:beforeAutospacing="0" w:after="0" w:afterAutospacing="0"/>
              <w:jc w:val="right"/>
              <w:rPr>
                <w:sz w:val="20"/>
                <w:szCs w:val="20"/>
              </w:rPr>
            </w:pPr>
            <w:r>
              <w:rPr>
                <w:sz w:val="20"/>
                <w:szCs w:val="20"/>
              </w:rPr>
              <w:t>4,25</w:t>
            </w:r>
            <w:r>
              <w:rPr>
                <w:sz w:val="20"/>
                <w:szCs w:val="20"/>
              </w:rPr>
              <w:t>8</w:t>
            </w:r>
          </w:p>
        </w:tc>
        <w:tc>
          <w:tcPr>
            <w:tcW w:w="0" w:type="auto"/>
            <w:noWrap/>
            <w:vAlign w:val="bottom"/>
            <w:hideMark/>
          </w:tcPr>
          <w:p w14:paraId="287524F9" w14:textId="77777777" w:rsidR="00000000" w:rsidRDefault="003C49E9">
            <w:pPr>
              <w:pStyle w:val="a3"/>
              <w:spacing w:before="0" w:beforeAutospacing="0" w:after="0" w:afterAutospacing="0"/>
              <w:rPr>
                <w:sz w:val="20"/>
                <w:szCs w:val="20"/>
              </w:rPr>
            </w:pPr>
            <w:r>
              <w:rPr>
                <w:sz w:val="20"/>
                <w:szCs w:val="20"/>
              </w:rPr>
              <w:t> </w:t>
            </w:r>
          </w:p>
        </w:tc>
      </w:tr>
      <w:tr w:rsidR="00000000" w14:paraId="557484AE" w14:textId="77777777">
        <w:trPr>
          <w:divId w:val="1062027124"/>
          <w:trHeight w:val="200"/>
          <w:tblCellSpacing w:w="15" w:type="dxa"/>
        </w:trPr>
        <w:tc>
          <w:tcPr>
            <w:tcW w:w="0" w:type="auto"/>
            <w:vAlign w:val="bottom"/>
            <w:hideMark/>
          </w:tcPr>
          <w:p w14:paraId="085A4F76" w14:textId="77777777" w:rsidR="00000000" w:rsidRDefault="003C49E9">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14:paraId="0BA70B9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274F37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BAC812E" w14:textId="77777777" w:rsidR="00000000" w:rsidRDefault="003C49E9">
            <w:pPr>
              <w:pStyle w:val="a3"/>
              <w:spacing w:before="0" w:beforeAutospacing="0" w:after="0" w:afterAutospacing="0"/>
              <w:jc w:val="right"/>
              <w:rPr>
                <w:sz w:val="20"/>
                <w:szCs w:val="20"/>
              </w:rPr>
            </w:pPr>
            <w:r>
              <w:rPr>
                <w:sz w:val="20"/>
                <w:szCs w:val="20"/>
              </w:rPr>
              <w:t>81,16</w:t>
            </w:r>
            <w:r>
              <w:rPr>
                <w:sz w:val="20"/>
                <w:szCs w:val="20"/>
              </w:rPr>
              <w:t>5</w:t>
            </w:r>
          </w:p>
        </w:tc>
        <w:tc>
          <w:tcPr>
            <w:tcW w:w="0" w:type="auto"/>
            <w:noWrap/>
            <w:vAlign w:val="bottom"/>
            <w:hideMark/>
          </w:tcPr>
          <w:p w14:paraId="23E4ABF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6A5C5B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9F1D6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336DD8B" w14:textId="77777777" w:rsidR="00000000" w:rsidRDefault="003C49E9">
            <w:pPr>
              <w:pStyle w:val="a3"/>
              <w:spacing w:before="0" w:beforeAutospacing="0" w:after="0" w:afterAutospacing="0"/>
              <w:jc w:val="right"/>
              <w:rPr>
                <w:sz w:val="20"/>
                <w:szCs w:val="20"/>
              </w:rPr>
            </w:pPr>
            <w:r>
              <w:rPr>
                <w:sz w:val="20"/>
                <w:szCs w:val="20"/>
              </w:rPr>
              <w:t>43,43</w:t>
            </w:r>
            <w:r>
              <w:rPr>
                <w:sz w:val="20"/>
                <w:szCs w:val="20"/>
              </w:rPr>
              <w:t>3</w:t>
            </w:r>
          </w:p>
        </w:tc>
        <w:tc>
          <w:tcPr>
            <w:tcW w:w="0" w:type="auto"/>
            <w:noWrap/>
            <w:vAlign w:val="bottom"/>
            <w:hideMark/>
          </w:tcPr>
          <w:p w14:paraId="0ADDE61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DD14DA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19D1A8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31031B7" w14:textId="77777777" w:rsidR="00000000" w:rsidRDefault="003C49E9">
            <w:pPr>
              <w:pStyle w:val="a3"/>
              <w:spacing w:before="0" w:beforeAutospacing="0" w:after="0" w:afterAutospacing="0"/>
              <w:jc w:val="right"/>
              <w:rPr>
                <w:sz w:val="20"/>
                <w:szCs w:val="20"/>
              </w:rPr>
            </w:pPr>
            <w:r>
              <w:rPr>
                <w:sz w:val="20"/>
                <w:szCs w:val="20"/>
              </w:rPr>
              <w:t>126,86</w:t>
            </w:r>
            <w:r>
              <w:rPr>
                <w:sz w:val="20"/>
                <w:szCs w:val="20"/>
              </w:rPr>
              <w:t>8</w:t>
            </w:r>
          </w:p>
        </w:tc>
        <w:tc>
          <w:tcPr>
            <w:tcW w:w="0" w:type="auto"/>
            <w:noWrap/>
            <w:vAlign w:val="bottom"/>
            <w:hideMark/>
          </w:tcPr>
          <w:p w14:paraId="7F5036E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357650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CBBC6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5075C63" w14:textId="77777777" w:rsidR="00000000" w:rsidRDefault="003C49E9">
            <w:pPr>
              <w:pStyle w:val="a3"/>
              <w:spacing w:before="0" w:beforeAutospacing="0" w:after="0" w:afterAutospacing="0"/>
              <w:jc w:val="right"/>
              <w:rPr>
                <w:sz w:val="20"/>
                <w:szCs w:val="20"/>
              </w:rPr>
            </w:pPr>
            <w:r>
              <w:rPr>
                <w:sz w:val="20"/>
                <w:szCs w:val="20"/>
              </w:rPr>
              <w:t>75,85</w:t>
            </w:r>
            <w:r>
              <w:rPr>
                <w:sz w:val="20"/>
                <w:szCs w:val="20"/>
              </w:rPr>
              <w:t>6</w:t>
            </w:r>
          </w:p>
        </w:tc>
        <w:tc>
          <w:tcPr>
            <w:tcW w:w="0" w:type="auto"/>
            <w:noWrap/>
            <w:vAlign w:val="bottom"/>
            <w:hideMark/>
          </w:tcPr>
          <w:p w14:paraId="467018CF" w14:textId="77777777" w:rsidR="00000000" w:rsidRDefault="003C49E9">
            <w:pPr>
              <w:pStyle w:val="a3"/>
              <w:spacing w:before="0" w:beforeAutospacing="0" w:after="0" w:afterAutospacing="0"/>
              <w:rPr>
                <w:sz w:val="20"/>
                <w:szCs w:val="20"/>
              </w:rPr>
            </w:pPr>
            <w:r>
              <w:rPr>
                <w:sz w:val="20"/>
                <w:szCs w:val="20"/>
              </w:rPr>
              <w:t> </w:t>
            </w:r>
          </w:p>
        </w:tc>
      </w:tr>
    </w:tbl>
    <w:p w14:paraId="7212EBFD" w14:textId="77777777" w:rsidR="00000000" w:rsidRDefault="003C49E9">
      <w:pPr>
        <w:pStyle w:val="a3"/>
        <w:spacing w:before="200" w:beforeAutospacing="0" w:after="0" w:afterAutospacing="0"/>
        <w:ind w:firstLine="555"/>
        <w:divId w:val="2090493722"/>
        <w:rPr>
          <w:sz w:val="20"/>
          <w:szCs w:val="20"/>
        </w:rPr>
      </w:pPr>
      <w:r>
        <w:rPr>
          <w:sz w:val="20"/>
          <w:szCs w:val="20"/>
        </w:rPr>
        <w:t xml:space="preserve">Effect of stock-based compensation expense on income by line item: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00"/>
        <w:gridCol w:w="110"/>
        <w:gridCol w:w="160"/>
        <w:gridCol w:w="610"/>
        <w:gridCol w:w="110"/>
        <w:gridCol w:w="110"/>
        <w:gridCol w:w="160"/>
        <w:gridCol w:w="610"/>
        <w:gridCol w:w="110"/>
        <w:gridCol w:w="110"/>
        <w:gridCol w:w="160"/>
        <w:gridCol w:w="710"/>
        <w:gridCol w:w="110"/>
        <w:gridCol w:w="110"/>
        <w:gridCol w:w="160"/>
        <w:gridCol w:w="610"/>
        <w:gridCol w:w="125"/>
      </w:tblGrid>
      <w:tr w:rsidR="00000000" w14:paraId="070C6D7A" w14:textId="77777777">
        <w:trPr>
          <w:divId w:val="2090493722"/>
          <w:tblCellSpacing w:w="15" w:type="dxa"/>
        </w:trPr>
        <w:tc>
          <w:tcPr>
            <w:tcW w:w="2462" w:type="pct"/>
            <w:vAlign w:val="center"/>
            <w:hideMark/>
          </w:tcPr>
          <w:p w14:paraId="5AF42E83" w14:textId="77777777" w:rsidR="00000000" w:rsidRDefault="003C49E9">
            <w:pPr>
              <w:rPr>
                <w:sz w:val="20"/>
                <w:szCs w:val="20"/>
              </w:rPr>
            </w:pPr>
          </w:p>
        </w:tc>
        <w:tc>
          <w:tcPr>
            <w:tcW w:w="59" w:type="pct"/>
            <w:vAlign w:val="center"/>
            <w:hideMark/>
          </w:tcPr>
          <w:p w14:paraId="64A93D1E" w14:textId="77777777" w:rsidR="00000000" w:rsidRDefault="003C49E9">
            <w:pPr>
              <w:rPr>
                <w:rFonts w:eastAsia="Times New Roman"/>
                <w:sz w:val="20"/>
                <w:szCs w:val="20"/>
              </w:rPr>
            </w:pPr>
          </w:p>
        </w:tc>
        <w:tc>
          <w:tcPr>
            <w:tcW w:w="50" w:type="pct"/>
            <w:vAlign w:val="center"/>
            <w:hideMark/>
          </w:tcPr>
          <w:p w14:paraId="4B9A8675" w14:textId="77777777" w:rsidR="00000000" w:rsidRDefault="003C49E9">
            <w:pPr>
              <w:rPr>
                <w:rFonts w:eastAsia="Times New Roman"/>
                <w:sz w:val="20"/>
                <w:szCs w:val="20"/>
              </w:rPr>
            </w:pPr>
          </w:p>
        </w:tc>
        <w:tc>
          <w:tcPr>
            <w:tcW w:w="429" w:type="pct"/>
            <w:vAlign w:val="center"/>
            <w:hideMark/>
          </w:tcPr>
          <w:p w14:paraId="02251930" w14:textId="77777777" w:rsidR="00000000" w:rsidRDefault="003C49E9">
            <w:pPr>
              <w:rPr>
                <w:rFonts w:eastAsia="Times New Roman"/>
                <w:sz w:val="20"/>
                <w:szCs w:val="20"/>
              </w:rPr>
            </w:pPr>
          </w:p>
        </w:tc>
        <w:tc>
          <w:tcPr>
            <w:tcW w:w="50" w:type="pct"/>
            <w:vAlign w:val="center"/>
            <w:hideMark/>
          </w:tcPr>
          <w:p w14:paraId="64440261" w14:textId="77777777" w:rsidR="00000000" w:rsidRDefault="003C49E9">
            <w:pPr>
              <w:rPr>
                <w:rFonts w:eastAsia="Times New Roman"/>
                <w:sz w:val="20"/>
                <w:szCs w:val="20"/>
              </w:rPr>
            </w:pPr>
          </w:p>
        </w:tc>
        <w:tc>
          <w:tcPr>
            <w:tcW w:w="59" w:type="pct"/>
            <w:vAlign w:val="center"/>
            <w:hideMark/>
          </w:tcPr>
          <w:p w14:paraId="201C2912" w14:textId="77777777" w:rsidR="00000000" w:rsidRDefault="003C49E9">
            <w:pPr>
              <w:rPr>
                <w:rFonts w:eastAsia="Times New Roman"/>
                <w:sz w:val="20"/>
                <w:szCs w:val="20"/>
              </w:rPr>
            </w:pPr>
          </w:p>
        </w:tc>
        <w:tc>
          <w:tcPr>
            <w:tcW w:w="50" w:type="pct"/>
            <w:vAlign w:val="center"/>
            <w:hideMark/>
          </w:tcPr>
          <w:p w14:paraId="73605C3F" w14:textId="77777777" w:rsidR="00000000" w:rsidRDefault="003C49E9">
            <w:pPr>
              <w:rPr>
                <w:rFonts w:eastAsia="Times New Roman"/>
                <w:sz w:val="20"/>
                <w:szCs w:val="20"/>
              </w:rPr>
            </w:pPr>
          </w:p>
        </w:tc>
        <w:tc>
          <w:tcPr>
            <w:tcW w:w="520" w:type="pct"/>
            <w:vAlign w:val="center"/>
            <w:hideMark/>
          </w:tcPr>
          <w:p w14:paraId="52BFCC61" w14:textId="77777777" w:rsidR="00000000" w:rsidRDefault="003C49E9">
            <w:pPr>
              <w:rPr>
                <w:rFonts w:eastAsia="Times New Roman"/>
                <w:sz w:val="20"/>
                <w:szCs w:val="20"/>
              </w:rPr>
            </w:pPr>
          </w:p>
        </w:tc>
        <w:tc>
          <w:tcPr>
            <w:tcW w:w="50" w:type="pct"/>
            <w:vAlign w:val="center"/>
            <w:hideMark/>
          </w:tcPr>
          <w:p w14:paraId="231089DE" w14:textId="77777777" w:rsidR="00000000" w:rsidRDefault="003C49E9">
            <w:pPr>
              <w:rPr>
                <w:rFonts w:eastAsia="Times New Roman"/>
                <w:sz w:val="20"/>
                <w:szCs w:val="20"/>
              </w:rPr>
            </w:pPr>
          </w:p>
        </w:tc>
        <w:tc>
          <w:tcPr>
            <w:tcW w:w="59" w:type="pct"/>
            <w:vAlign w:val="center"/>
            <w:hideMark/>
          </w:tcPr>
          <w:p w14:paraId="4C85E150" w14:textId="77777777" w:rsidR="00000000" w:rsidRDefault="003C49E9">
            <w:pPr>
              <w:rPr>
                <w:rFonts w:eastAsia="Times New Roman"/>
                <w:sz w:val="20"/>
                <w:szCs w:val="20"/>
              </w:rPr>
            </w:pPr>
          </w:p>
        </w:tc>
        <w:tc>
          <w:tcPr>
            <w:tcW w:w="50" w:type="pct"/>
            <w:vAlign w:val="center"/>
            <w:hideMark/>
          </w:tcPr>
          <w:p w14:paraId="4721A7D5" w14:textId="77777777" w:rsidR="00000000" w:rsidRDefault="003C49E9">
            <w:pPr>
              <w:rPr>
                <w:rFonts w:eastAsia="Times New Roman"/>
                <w:sz w:val="20"/>
                <w:szCs w:val="20"/>
              </w:rPr>
            </w:pPr>
          </w:p>
        </w:tc>
        <w:tc>
          <w:tcPr>
            <w:tcW w:w="429" w:type="pct"/>
            <w:vAlign w:val="center"/>
            <w:hideMark/>
          </w:tcPr>
          <w:p w14:paraId="71307430" w14:textId="77777777" w:rsidR="00000000" w:rsidRDefault="003C49E9">
            <w:pPr>
              <w:rPr>
                <w:rFonts w:eastAsia="Times New Roman"/>
                <w:sz w:val="20"/>
                <w:szCs w:val="20"/>
              </w:rPr>
            </w:pPr>
          </w:p>
        </w:tc>
        <w:tc>
          <w:tcPr>
            <w:tcW w:w="50" w:type="pct"/>
            <w:vAlign w:val="center"/>
            <w:hideMark/>
          </w:tcPr>
          <w:p w14:paraId="6AE63F29" w14:textId="77777777" w:rsidR="00000000" w:rsidRDefault="003C49E9">
            <w:pPr>
              <w:rPr>
                <w:rFonts w:eastAsia="Times New Roman"/>
                <w:sz w:val="20"/>
                <w:szCs w:val="20"/>
              </w:rPr>
            </w:pPr>
          </w:p>
        </w:tc>
        <w:tc>
          <w:tcPr>
            <w:tcW w:w="59" w:type="pct"/>
            <w:vAlign w:val="center"/>
            <w:hideMark/>
          </w:tcPr>
          <w:p w14:paraId="1E11ED20" w14:textId="77777777" w:rsidR="00000000" w:rsidRDefault="003C49E9">
            <w:pPr>
              <w:rPr>
                <w:rFonts w:eastAsia="Times New Roman"/>
                <w:sz w:val="20"/>
                <w:szCs w:val="20"/>
              </w:rPr>
            </w:pPr>
          </w:p>
        </w:tc>
        <w:tc>
          <w:tcPr>
            <w:tcW w:w="50" w:type="pct"/>
            <w:vAlign w:val="center"/>
            <w:hideMark/>
          </w:tcPr>
          <w:p w14:paraId="30C2A763" w14:textId="77777777" w:rsidR="00000000" w:rsidRDefault="003C49E9">
            <w:pPr>
              <w:rPr>
                <w:rFonts w:eastAsia="Times New Roman"/>
                <w:sz w:val="20"/>
                <w:szCs w:val="20"/>
              </w:rPr>
            </w:pPr>
          </w:p>
        </w:tc>
        <w:tc>
          <w:tcPr>
            <w:tcW w:w="520" w:type="pct"/>
            <w:vAlign w:val="center"/>
            <w:hideMark/>
          </w:tcPr>
          <w:p w14:paraId="369C54BC" w14:textId="77777777" w:rsidR="00000000" w:rsidRDefault="003C49E9">
            <w:pPr>
              <w:rPr>
                <w:rFonts w:eastAsia="Times New Roman"/>
                <w:sz w:val="20"/>
                <w:szCs w:val="20"/>
              </w:rPr>
            </w:pPr>
          </w:p>
        </w:tc>
        <w:tc>
          <w:tcPr>
            <w:tcW w:w="50" w:type="pct"/>
            <w:vAlign w:val="center"/>
            <w:hideMark/>
          </w:tcPr>
          <w:p w14:paraId="266B8CFC" w14:textId="77777777" w:rsidR="00000000" w:rsidRDefault="003C49E9">
            <w:pPr>
              <w:rPr>
                <w:rFonts w:eastAsia="Times New Roman"/>
                <w:sz w:val="20"/>
                <w:szCs w:val="20"/>
              </w:rPr>
            </w:pPr>
          </w:p>
        </w:tc>
      </w:tr>
      <w:tr w:rsidR="00000000" w14:paraId="417603E5" w14:textId="77777777">
        <w:trPr>
          <w:divId w:val="2090493722"/>
          <w:trHeight w:val="160"/>
          <w:tblCellSpacing w:w="15" w:type="dxa"/>
        </w:trPr>
        <w:tc>
          <w:tcPr>
            <w:tcW w:w="0" w:type="auto"/>
            <w:vAlign w:val="bottom"/>
            <w:hideMark/>
          </w:tcPr>
          <w:p w14:paraId="02D0913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65F2DFE"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C74224B"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6E5490D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D45F3D5"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FA7F6F0"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9B936BF"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C8E9633" w14:textId="77777777">
        <w:trPr>
          <w:divId w:val="2090493722"/>
          <w:trHeight w:val="160"/>
          <w:tblCellSpacing w:w="15" w:type="dxa"/>
        </w:trPr>
        <w:tc>
          <w:tcPr>
            <w:tcW w:w="0" w:type="auto"/>
            <w:vAlign w:val="bottom"/>
            <w:hideMark/>
          </w:tcPr>
          <w:p w14:paraId="67803F1B"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E01E39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9862B6B"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B3C8DD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D1A9FD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172C50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AFEB500"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872B810"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40C096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CD20BE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11FD2C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6CE5A355"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0B7F71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0A402CA" w14:textId="77777777">
        <w:trPr>
          <w:divId w:val="2090493722"/>
          <w:trHeight w:val="160"/>
          <w:tblCellSpacing w:w="15" w:type="dxa"/>
        </w:trPr>
        <w:tc>
          <w:tcPr>
            <w:tcW w:w="0" w:type="auto"/>
            <w:vAlign w:val="bottom"/>
            <w:hideMark/>
          </w:tcPr>
          <w:p w14:paraId="35251DD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BF75A29"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0B4ABD8D"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D56780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9469788"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42FF5B9"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EF2B8AF"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9302ED7" w14:textId="77777777">
        <w:trPr>
          <w:divId w:val="2090493722"/>
          <w:trHeight w:val="200"/>
          <w:tblCellSpacing w:w="15" w:type="dxa"/>
        </w:trPr>
        <w:tc>
          <w:tcPr>
            <w:tcW w:w="0" w:type="auto"/>
            <w:vAlign w:val="bottom"/>
            <w:hideMark/>
          </w:tcPr>
          <w:p w14:paraId="5F0BEAE7" w14:textId="77777777" w:rsidR="00000000" w:rsidRDefault="003C49E9">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14:paraId="673F92E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F4ADB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1B85B76" w14:textId="77777777" w:rsidR="00000000" w:rsidRDefault="003C49E9">
            <w:pPr>
              <w:pStyle w:val="a3"/>
              <w:spacing w:before="0" w:beforeAutospacing="0" w:after="0" w:afterAutospacing="0"/>
              <w:jc w:val="right"/>
              <w:rPr>
                <w:sz w:val="20"/>
                <w:szCs w:val="20"/>
              </w:rPr>
            </w:pPr>
            <w:r>
              <w:rPr>
                <w:sz w:val="20"/>
                <w:szCs w:val="20"/>
              </w:rPr>
              <w:t>2,38</w:t>
            </w:r>
            <w:r>
              <w:rPr>
                <w:sz w:val="20"/>
                <w:szCs w:val="20"/>
              </w:rPr>
              <w:t>3</w:t>
            </w:r>
          </w:p>
        </w:tc>
        <w:tc>
          <w:tcPr>
            <w:tcW w:w="0" w:type="auto"/>
            <w:noWrap/>
            <w:vAlign w:val="bottom"/>
            <w:hideMark/>
          </w:tcPr>
          <w:p w14:paraId="3899708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7E700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A9DF62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8F9C03D" w14:textId="77777777" w:rsidR="00000000" w:rsidRDefault="003C49E9">
            <w:pPr>
              <w:pStyle w:val="a3"/>
              <w:spacing w:before="0" w:beforeAutospacing="0" w:after="0" w:afterAutospacing="0"/>
              <w:jc w:val="right"/>
              <w:rPr>
                <w:sz w:val="20"/>
                <w:szCs w:val="20"/>
              </w:rPr>
            </w:pPr>
            <w:r>
              <w:rPr>
                <w:sz w:val="20"/>
                <w:szCs w:val="20"/>
              </w:rPr>
              <w:t>1,58</w:t>
            </w:r>
            <w:r>
              <w:rPr>
                <w:sz w:val="20"/>
                <w:szCs w:val="20"/>
              </w:rPr>
              <w:t>2</w:t>
            </w:r>
          </w:p>
        </w:tc>
        <w:tc>
          <w:tcPr>
            <w:tcW w:w="0" w:type="auto"/>
            <w:noWrap/>
            <w:vAlign w:val="bottom"/>
            <w:hideMark/>
          </w:tcPr>
          <w:p w14:paraId="6050BE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49E774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E52F88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015E235" w14:textId="77777777" w:rsidR="00000000" w:rsidRDefault="003C49E9">
            <w:pPr>
              <w:pStyle w:val="a3"/>
              <w:spacing w:before="0" w:beforeAutospacing="0" w:after="0" w:afterAutospacing="0"/>
              <w:jc w:val="right"/>
              <w:rPr>
                <w:sz w:val="20"/>
                <w:szCs w:val="20"/>
              </w:rPr>
            </w:pPr>
            <w:r>
              <w:rPr>
                <w:sz w:val="20"/>
                <w:szCs w:val="20"/>
              </w:rPr>
              <w:t>4,20</w:t>
            </w:r>
            <w:r>
              <w:rPr>
                <w:sz w:val="20"/>
                <w:szCs w:val="20"/>
              </w:rPr>
              <w:t>6</w:t>
            </w:r>
          </w:p>
        </w:tc>
        <w:tc>
          <w:tcPr>
            <w:tcW w:w="0" w:type="auto"/>
            <w:noWrap/>
            <w:vAlign w:val="bottom"/>
            <w:hideMark/>
          </w:tcPr>
          <w:p w14:paraId="1293F2C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D6A3E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559967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8ED9DF4" w14:textId="77777777" w:rsidR="00000000" w:rsidRDefault="003C49E9">
            <w:pPr>
              <w:pStyle w:val="a3"/>
              <w:spacing w:before="0" w:beforeAutospacing="0" w:after="0" w:afterAutospacing="0"/>
              <w:jc w:val="right"/>
              <w:rPr>
                <w:sz w:val="20"/>
                <w:szCs w:val="20"/>
              </w:rPr>
            </w:pPr>
            <w:r>
              <w:rPr>
                <w:sz w:val="20"/>
                <w:szCs w:val="20"/>
              </w:rPr>
              <w:t>2,89</w:t>
            </w:r>
            <w:r>
              <w:rPr>
                <w:sz w:val="20"/>
                <w:szCs w:val="20"/>
              </w:rPr>
              <w:t>2</w:t>
            </w:r>
          </w:p>
        </w:tc>
        <w:tc>
          <w:tcPr>
            <w:tcW w:w="0" w:type="auto"/>
            <w:noWrap/>
            <w:vAlign w:val="bottom"/>
            <w:hideMark/>
          </w:tcPr>
          <w:p w14:paraId="7ED19438" w14:textId="77777777" w:rsidR="00000000" w:rsidRDefault="003C49E9">
            <w:pPr>
              <w:pStyle w:val="a3"/>
              <w:spacing w:before="0" w:beforeAutospacing="0" w:after="0" w:afterAutospacing="0"/>
              <w:rPr>
                <w:sz w:val="20"/>
                <w:szCs w:val="20"/>
              </w:rPr>
            </w:pPr>
            <w:r>
              <w:rPr>
                <w:sz w:val="20"/>
                <w:szCs w:val="20"/>
              </w:rPr>
              <w:t> </w:t>
            </w:r>
          </w:p>
        </w:tc>
      </w:tr>
      <w:tr w:rsidR="00000000" w14:paraId="50EA18E2" w14:textId="77777777">
        <w:trPr>
          <w:divId w:val="2090493722"/>
          <w:trHeight w:val="200"/>
          <w:tblCellSpacing w:w="15" w:type="dxa"/>
        </w:trPr>
        <w:tc>
          <w:tcPr>
            <w:tcW w:w="0" w:type="auto"/>
            <w:vAlign w:val="bottom"/>
            <w:hideMark/>
          </w:tcPr>
          <w:p w14:paraId="5881C9BE" w14:textId="77777777" w:rsidR="00000000" w:rsidRDefault="003C49E9">
            <w:pPr>
              <w:pStyle w:val="a3"/>
              <w:spacing w:before="0" w:beforeAutospacing="0" w:after="0" w:afterAutospacing="0"/>
              <w:rPr>
                <w:sz w:val="20"/>
                <w:szCs w:val="20"/>
              </w:rPr>
            </w:pPr>
            <w:r>
              <w:rPr>
                <w:sz w:val="20"/>
                <w:szCs w:val="20"/>
              </w:rPr>
              <w:t>Cost of revenue, professional services and othe</w:t>
            </w:r>
            <w:r>
              <w:rPr>
                <w:sz w:val="20"/>
                <w:szCs w:val="20"/>
              </w:rPr>
              <w:t>r</w:t>
            </w:r>
          </w:p>
        </w:tc>
        <w:tc>
          <w:tcPr>
            <w:tcW w:w="0" w:type="auto"/>
            <w:vAlign w:val="bottom"/>
            <w:hideMark/>
          </w:tcPr>
          <w:p w14:paraId="06255D7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280214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88B831" w14:textId="77777777" w:rsidR="00000000" w:rsidRDefault="003C49E9">
            <w:pPr>
              <w:pStyle w:val="a3"/>
              <w:spacing w:before="0" w:beforeAutospacing="0" w:after="0" w:afterAutospacing="0"/>
              <w:jc w:val="right"/>
              <w:rPr>
                <w:sz w:val="20"/>
                <w:szCs w:val="20"/>
              </w:rPr>
            </w:pPr>
            <w:r>
              <w:rPr>
                <w:sz w:val="20"/>
                <w:szCs w:val="20"/>
              </w:rPr>
              <w:t>1,24</w:t>
            </w:r>
            <w:r>
              <w:rPr>
                <w:sz w:val="20"/>
                <w:szCs w:val="20"/>
              </w:rPr>
              <w:t>8</w:t>
            </w:r>
          </w:p>
        </w:tc>
        <w:tc>
          <w:tcPr>
            <w:tcW w:w="0" w:type="auto"/>
            <w:noWrap/>
            <w:vAlign w:val="bottom"/>
            <w:hideMark/>
          </w:tcPr>
          <w:p w14:paraId="600F1A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6A0DC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5A0329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C17869" w14:textId="77777777" w:rsidR="00000000" w:rsidRDefault="003C49E9">
            <w:pPr>
              <w:pStyle w:val="a3"/>
              <w:spacing w:before="0" w:beforeAutospacing="0" w:after="0" w:afterAutospacing="0"/>
              <w:jc w:val="right"/>
              <w:rPr>
                <w:sz w:val="20"/>
                <w:szCs w:val="20"/>
              </w:rPr>
            </w:pPr>
            <w:r>
              <w:rPr>
                <w:sz w:val="20"/>
                <w:szCs w:val="20"/>
              </w:rPr>
              <w:t>82</w:t>
            </w:r>
            <w:r>
              <w:rPr>
                <w:sz w:val="20"/>
                <w:szCs w:val="20"/>
              </w:rPr>
              <w:t>6</w:t>
            </w:r>
          </w:p>
        </w:tc>
        <w:tc>
          <w:tcPr>
            <w:tcW w:w="0" w:type="auto"/>
            <w:noWrap/>
            <w:vAlign w:val="bottom"/>
            <w:hideMark/>
          </w:tcPr>
          <w:p w14:paraId="32353EC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FB5D153"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D2C3B1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E498D5" w14:textId="77777777" w:rsidR="00000000" w:rsidRDefault="003C49E9">
            <w:pPr>
              <w:pStyle w:val="a3"/>
              <w:spacing w:before="0" w:beforeAutospacing="0" w:after="0" w:afterAutospacing="0"/>
              <w:jc w:val="right"/>
              <w:rPr>
                <w:sz w:val="20"/>
                <w:szCs w:val="20"/>
              </w:rPr>
            </w:pPr>
            <w:r>
              <w:rPr>
                <w:sz w:val="20"/>
                <w:szCs w:val="20"/>
              </w:rPr>
              <w:t>2,08</w:t>
            </w:r>
            <w:r>
              <w:rPr>
                <w:sz w:val="20"/>
                <w:szCs w:val="20"/>
              </w:rPr>
              <w:t>3</w:t>
            </w:r>
          </w:p>
        </w:tc>
        <w:tc>
          <w:tcPr>
            <w:tcW w:w="0" w:type="auto"/>
            <w:noWrap/>
            <w:vAlign w:val="bottom"/>
            <w:hideMark/>
          </w:tcPr>
          <w:p w14:paraId="30C8004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BFF9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6DBAB5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49C601" w14:textId="77777777" w:rsidR="00000000" w:rsidRDefault="003C49E9">
            <w:pPr>
              <w:pStyle w:val="a3"/>
              <w:spacing w:before="0" w:beforeAutospacing="0" w:after="0" w:afterAutospacing="0"/>
              <w:jc w:val="right"/>
              <w:rPr>
                <w:sz w:val="20"/>
                <w:szCs w:val="20"/>
              </w:rPr>
            </w:pPr>
            <w:r>
              <w:rPr>
                <w:sz w:val="20"/>
                <w:szCs w:val="20"/>
              </w:rPr>
              <w:t>1,52</w:t>
            </w:r>
            <w:r>
              <w:rPr>
                <w:sz w:val="20"/>
                <w:szCs w:val="20"/>
              </w:rPr>
              <w:t>3</w:t>
            </w:r>
          </w:p>
        </w:tc>
        <w:tc>
          <w:tcPr>
            <w:tcW w:w="0" w:type="auto"/>
            <w:noWrap/>
            <w:vAlign w:val="bottom"/>
            <w:hideMark/>
          </w:tcPr>
          <w:p w14:paraId="7D3E0F9E" w14:textId="77777777" w:rsidR="00000000" w:rsidRDefault="003C49E9">
            <w:pPr>
              <w:pStyle w:val="a3"/>
              <w:spacing w:before="0" w:beforeAutospacing="0" w:after="0" w:afterAutospacing="0"/>
              <w:rPr>
                <w:sz w:val="20"/>
                <w:szCs w:val="20"/>
              </w:rPr>
            </w:pPr>
            <w:r>
              <w:rPr>
                <w:sz w:val="20"/>
                <w:szCs w:val="20"/>
              </w:rPr>
              <w:t> </w:t>
            </w:r>
          </w:p>
        </w:tc>
      </w:tr>
      <w:tr w:rsidR="00000000" w14:paraId="2996DBA6" w14:textId="77777777">
        <w:trPr>
          <w:divId w:val="2090493722"/>
          <w:trHeight w:val="200"/>
          <w:tblCellSpacing w:w="15" w:type="dxa"/>
        </w:trPr>
        <w:tc>
          <w:tcPr>
            <w:tcW w:w="0" w:type="auto"/>
            <w:vAlign w:val="bottom"/>
            <w:hideMark/>
          </w:tcPr>
          <w:p w14:paraId="3FC972F0" w14:textId="77777777" w:rsidR="00000000" w:rsidRDefault="003C49E9">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14:paraId="2E4B3D0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771E9B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203B6C" w14:textId="77777777" w:rsidR="00000000" w:rsidRDefault="003C49E9">
            <w:pPr>
              <w:pStyle w:val="a3"/>
              <w:spacing w:before="0" w:beforeAutospacing="0" w:after="0" w:afterAutospacing="0"/>
              <w:jc w:val="right"/>
              <w:rPr>
                <w:sz w:val="20"/>
                <w:szCs w:val="20"/>
              </w:rPr>
            </w:pPr>
            <w:r>
              <w:rPr>
                <w:sz w:val="20"/>
                <w:szCs w:val="20"/>
              </w:rPr>
              <w:t>31,69</w:t>
            </w:r>
            <w:r>
              <w:rPr>
                <w:sz w:val="20"/>
                <w:szCs w:val="20"/>
              </w:rPr>
              <w:t>8</w:t>
            </w:r>
          </w:p>
        </w:tc>
        <w:tc>
          <w:tcPr>
            <w:tcW w:w="0" w:type="auto"/>
            <w:noWrap/>
            <w:vAlign w:val="bottom"/>
            <w:hideMark/>
          </w:tcPr>
          <w:p w14:paraId="5794503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D6075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0E5CCF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F4C02E" w14:textId="77777777" w:rsidR="00000000" w:rsidRDefault="003C49E9">
            <w:pPr>
              <w:pStyle w:val="a3"/>
              <w:spacing w:before="0" w:beforeAutospacing="0" w:after="0" w:afterAutospacing="0"/>
              <w:jc w:val="right"/>
              <w:rPr>
                <w:sz w:val="20"/>
                <w:szCs w:val="20"/>
              </w:rPr>
            </w:pPr>
            <w:r>
              <w:rPr>
                <w:sz w:val="20"/>
                <w:szCs w:val="20"/>
              </w:rPr>
              <w:t>15,08</w:t>
            </w:r>
            <w:r>
              <w:rPr>
                <w:sz w:val="20"/>
                <w:szCs w:val="20"/>
              </w:rPr>
              <w:t>0</w:t>
            </w:r>
          </w:p>
        </w:tc>
        <w:tc>
          <w:tcPr>
            <w:tcW w:w="0" w:type="auto"/>
            <w:noWrap/>
            <w:vAlign w:val="bottom"/>
            <w:hideMark/>
          </w:tcPr>
          <w:p w14:paraId="6A7D4AC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3AA7DC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EA76C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7F34E66" w14:textId="77777777" w:rsidR="00000000" w:rsidRDefault="003C49E9">
            <w:pPr>
              <w:pStyle w:val="a3"/>
              <w:spacing w:before="0" w:beforeAutospacing="0" w:after="0" w:afterAutospacing="0"/>
              <w:jc w:val="right"/>
              <w:rPr>
                <w:sz w:val="20"/>
                <w:szCs w:val="20"/>
              </w:rPr>
            </w:pPr>
            <w:r>
              <w:rPr>
                <w:sz w:val="20"/>
                <w:szCs w:val="20"/>
              </w:rPr>
              <w:t>48,68</w:t>
            </w:r>
            <w:r>
              <w:rPr>
                <w:sz w:val="20"/>
                <w:szCs w:val="20"/>
              </w:rPr>
              <w:t>4</w:t>
            </w:r>
          </w:p>
        </w:tc>
        <w:tc>
          <w:tcPr>
            <w:tcW w:w="0" w:type="auto"/>
            <w:noWrap/>
            <w:vAlign w:val="bottom"/>
            <w:hideMark/>
          </w:tcPr>
          <w:p w14:paraId="6C1352E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C605C6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7C6D32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A08925" w14:textId="77777777" w:rsidR="00000000" w:rsidRDefault="003C49E9">
            <w:pPr>
              <w:pStyle w:val="a3"/>
              <w:spacing w:before="0" w:beforeAutospacing="0" w:after="0" w:afterAutospacing="0"/>
              <w:jc w:val="right"/>
              <w:rPr>
                <w:sz w:val="20"/>
                <w:szCs w:val="20"/>
              </w:rPr>
            </w:pPr>
            <w:r>
              <w:rPr>
                <w:sz w:val="20"/>
                <w:szCs w:val="20"/>
              </w:rPr>
              <w:t>26,56</w:t>
            </w:r>
            <w:r>
              <w:rPr>
                <w:sz w:val="20"/>
                <w:szCs w:val="20"/>
              </w:rPr>
              <w:t>5</w:t>
            </w:r>
          </w:p>
        </w:tc>
        <w:tc>
          <w:tcPr>
            <w:tcW w:w="0" w:type="auto"/>
            <w:noWrap/>
            <w:vAlign w:val="bottom"/>
            <w:hideMark/>
          </w:tcPr>
          <w:p w14:paraId="06BA0678" w14:textId="77777777" w:rsidR="00000000" w:rsidRDefault="003C49E9">
            <w:pPr>
              <w:pStyle w:val="a3"/>
              <w:spacing w:before="0" w:beforeAutospacing="0" w:after="0" w:afterAutospacing="0"/>
              <w:rPr>
                <w:sz w:val="20"/>
                <w:szCs w:val="20"/>
              </w:rPr>
            </w:pPr>
            <w:r>
              <w:rPr>
                <w:sz w:val="20"/>
                <w:szCs w:val="20"/>
              </w:rPr>
              <w:t> </w:t>
            </w:r>
          </w:p>
        </w:tc>
      </w:tr>
      <w:tr w:rsidR="00000000" w14:paraId="5D72243D" w14:textId="77777777">
        <w:trPr>
          <w:divId w:val="2090493722"/>
          <w:trHeight w:val="200"/>
          <w:tblCellSpacing w:w="15" w:type="dxa"/>
        </w:trPr>
        <w:tc>
          <w:tcPr>
            <w:tcW w:w="0" w:type="auto"/>
            <w:vAlign w:val="bottom"/>
            <w:hideMark/>
          </w:tcPr>
          <w:p w14:paraId="1B753B2C" w14:textId="77777777" w:rsidR="00000000" w:rsidRDefault="003C49E9">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14:paraId="7B6BCA3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13A275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03239E" w14:textId="77777777" w:rsidR="00000000" w:rsidRDefault="003C49E9">
            <w:pPr>
              <w:pStyle w:val="a3"/>
              <w:spacing w:before="0" w:beforeAutospacing="0" w:after="0" w:afterAutospacing="0"/>
              <w:jc w:val="right"/>
              <w:rPr>
                <w:sz w:val="20"/>
                <w:szCs w:val="20"/>
              </w:rPr>
            </w:pPr>
            <w:r>
              <w:rPr>
                <w:sz w:val="20"/>
                <w:szCs w:val="20"/>
              </w:rPr>
              <w:t>32,18</w:t>
            </w:r>
            <w:r>
              <w:rPr>
                <w:sz w:val="20"/>
                <w:szCs w:val="20"/>
              </w:rPr>
              <w:t>3</w:t>
            </w:r>
          </w:p>
        </w:tc>
        <w:tc>
          <w:tcPr>
            <w:tcW w:w="0" w:type="auto"/>
            <w:noWrap/>
            <w:vAlign w:val="bottom"/>
            <w:hideMark/>
          </w:tcPr>
          <w:p w14:paraId="167A527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BA98E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A89224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F3B19C" w14:textId="77777777" w:rsidR="00000000" w:rsidRDefault="003C49E9">
            <w:pPr>
              <w:pStyle w:val="a3"/>
              <w:spacing w:before="0" w:beforeAutospacing="0" w:after="0" w:afterAutospacing="0"/>
              <w:jc w:val="right"/>
              <w:rPr>
                <w:sz w:val="20"/>
                <w:szCs w:val="20"/>
              </w:rPr>
            </w:pPr>
            <w:r>
              <w:rPr>
                <w:sz w:val="20"/>
                <w:szCs w:val="20"/>
              </w:rPr>
              <w:t>18,97</w:t>
            </w:r>
            <w:r>
              <w:rPr>
                <w:sz w:val="20"/>
                <w:szCs w:val="20"/>
              </w:rPr>
              <w:t>1</w:t>
            </w:r>
          </w:p>
        </w:tc>
        <w:tc>
          <w:tcPr>
            <w:tcW w:w="0" w:type="auto"/>
            <w:noWrap/>
            <w:vAlign w:val="bottom"/>
            <w:hideMark/>
          </w:tcPr>
          <w:p w14:paraId="44F1AF0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D35A1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534A61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D55403" w14:textId="77777777" w:rsidR="00000000" w:rsidRDefault="003C49E9">
            <w:pPr>
              <w:pStyle w:val="a3"/>
              <w:spacing w:before="0" w:beforeAutospacing="0" w:after="0" w:afterAutospacing="0"/>
              <w:jc w:val="right"/>
              <w:rPr>
                <w:sz w:val="20"/>
                <w:szCs w:val="20"/>
              </w:rPr>
            </w:pPr>
            <w:r>
              <w:rPr>
                <w:sz w:val="20"/>
                <w:szCs w:val="20"/>
              </w:rPr>
              <w:t>49,05</w:t>
            </w:r>
            <w:r>
              <w:rPr>
                <w:sz w:val="20"/>
                <w:szCs w:val="20"/>
              </w:rPr>
              <w:t>2</w:t>
            </w:r>
          </w:p>
        </w:tc>
        <w:tc>
          <w:tcPr>
            <w:tcW w:w="0" w:type="auto"/>
            <w:noWrap/>
            <w:vAlign w:val="bottom"/>
            <w:hideMark/>
          </w:tcPr>
          <w:p w14:paraId="3605012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90B38E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E938F3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E96CDF" w14:textId="77777777" w:rsidR="00000000" w:rsidRDefault="003C49E9">
            <w:pPr>
              <w:pStyle w:val="a3"/>
              <w:spacing w:before="0" w:beforeAutospacing="0" w:after="0" w:afterAutospacing="0"/>
              <w:jc w:val="right"/>
              <w:rPr>
                <w:sz w:val="20"/>
                <w:szCs w:val="20"/>
              </w:rPr>
            </w:pPr>
            <w:r>
              <w:rPr>
                <w:sz w:val="20"/>
                <w:szCs w:val="20"/>
              </w:rPr>
              <w:t>32,60</w:t>
            </w:r>
            <w:r>
              <w:rPr>
                <w:sz w:val="20"/>
                <w:szCs w:val="20"/>
              </w:rPr>
              <w:t>0</w:t>
            </w:r>
          </w:p>
        </w:tc>
        <w:tc>
          <w:tcPr>
            <w:tcW w:w="0" w:type="auto"/>
            <w:noWrap/>
            <w:vAlign w:val="bottom"/>
            <w:hideMark/>
          </w:tcPr>
          <w:p w14:paraId="3F027C95" w14:textId="77777777" w:rsidR="00000000" w:rsidRDefault="003C49E9">
            <w:pPr>
              <w:pStyle w:val="a3"/>
              <w:spacing w:before="0" w:beforeAutospacing="0" w:after="0" w:afterAutospacing="0"/>
              <w:rPr>
                <w:sz w:val="20"/>
                <w:szCs w:val="20"/>
              </w:rPr>
            </w:pPr>
            <w:r>
              <w:rPr>
                <w:sz w:val="20"/>
                <w:szCs w:val="20"/>
              </w:rPr>
              <w:t> </w:t>
            </w:r>
          </w:p>
        </w:tc>
      </w:tr>
      <w:tr w:rsidR="00000000" w14:paraId="3020160F" w14:textId="77777777">
        <w:trPr>
          <w:divId w:val="2090493722"/>
          <w:trHeight w:val="200"/>
          <w:tblCellSpacing w:w="15" w:type="dxa"/>
        </w:trPr>
        <w:tc>
          <w:tcPr>
            <w:tcW w:w="0" w:type="auto"/>
            <w:vAlign w:val="bottom"/>
            <w:hideMark/>
          </w:tcPr>
          <w:p w14:paraId="7EE51644" w14:textId="77777777" w:rsidR="00000000" w:rsidRDefault="003C49E9">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14:paraId="3594344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A742B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B75107" w14:textId="77777777" w:rsidR="00000000" w:rsidRDefault="003C49E9">
            <w:pPr>
              <w:pStyle w:val="a3"/>
              <w:spacing w:before="0" w:beforeAutospacing="0" w:after="0" w:afterAutospacing="0"/>
              <w:jc w:val="right"/>
              <w:rPr>
                <w:sz w:val="20"/>
                <w:szCs w:val="20"/>
              </w:rPr>
            </w:pPr>
            <w:r>
              <w:rPr>
                <w:sz w:val="20"/>
                <w:szCs w:val="20"/>
              </w:rPr>
              <w:t>13,65</w:t>
            </w:r>
            <w:r>
              <w:rPr>
                <w:sz w:val="20"/>
                <w:szCs w:val="20"/>
              </w:rPr>
              <w:t>3</w:t>
            </w:r>
          </w:p>
        </w:tc>
        <w:tc>
          <w:tcPr>
            <w:tcW w:w="0" w:type="auto"/>
            <w:noWrap/>
            <w:vAlign w:val="bottom"/>
            <w:hideMark/>
          </w:tcPr>
          <w:p w14:paraId="0BAC5EA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B6D4D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116A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2C6B00" w14:textId="77777777" w:rsidR="00000000" w:rsidRDefault="003C49E9">
            <w:pPr>
              <w:pStyle w:val="a3"/>
              <w:spacing w:before="0" w:beforeAutospacing="0" w:after="0" w:afterAutospacing="0"/>
              <w:jc w:val="right"/>
              <w:rPr>
                <w:sz w:val="20"/>
                <w:szCs w:val="20"/>
              </w:rPr>
            </w:pPr>
            <w:r>
              <w:rPr>
                <w:sz w:val="20"/>
                <w:szCs w:val="20"/>
              </w:rPr>
              <w:t>6,97</w:t>
            </w:r>
            <w:r>
              <w:rPr>
                <w:sz w:val="20"/>
                <w:szCs w:val="20"/>
              </w:rPr>
              <w:t>4</w:t>
            </w:r>
          </w:p>
        </w:tc>
        <w:tc>
          <w:tcPr>
            <w:tcW w:w="0" w:type="auto"/>
            <w:noWrap/>
            <w:vAlign w:val="bottom"/>
            <w:hideMark/>
          </w:tcPr>
          <w:p w14:paraId="2D11E10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F19C8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D0EFDF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31265F" w14:textId="77777777" w:rsidR="00000000" w:rsidRDefault="003C49E9">
            <w:pPr>
              <w:pStyle w:val="a3"/>
              <w:spacing w:before="0" w:beforeAutospacing="0" w:after="0" w:afterAutospacing="0"/>
              <w:jc w:val="right"/>
              <w:rPr>
                <w:sz w:val="20"/>
                <w:szCs w:val="20"/>
              </w:rPr>
            </w:pPr>
            <w:r>
              <w:rPr>
                <w:sz w:val="20"/>
                <w:szCs w:val="20"/>
              </w:rPr>
              <w:t>22,84</w:t>
            </w:r>
            <w:r>
              <w:rPr>
                <w:sz w:val="20"/>
                <w:szCs w:val="20"/>
              </w:rPr>
              <w:t>3</w:t>
            </w:r>
          </w:p>
        </w:tc>
        <w:tc>
          <w:tcPr>
            <w:tcW w:w="0" w:type="auto"/>
            <w:noWrap/>
            <w:vAlign w:val="bottom"/>
            <w:hideMark/>
          </w:tcPr>
          <w:p w14:paraId="1F99F53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60E54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485A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D57F22" w14:textId="77777777" w:rsidR="00000000" w:rsidRDefault="003C49E9">
            <w:pPr>
              <w:pStyle w:val="a3"/>
              <w:spacing w:before="0" w:beforeAutospacing="0" w:after="0" w:afterAutospacing="0"/>
              <w:jc w:val="right"/>
              <w:rPr>
                <w:sz w:val="20"/>
                <w:szCs w:val="20"/>
              </w:rPr>
            </w:pPr>
            <w:r>
              <w:rPr>
                <w:sz w:val="20"/>
                <w:szCs w:val="20"/>
              </w:rPr>
              <w:t>12,27</w:t>
            </w:r>
            <w:r>
              <w:rPr>
                <w:sz w:val="20"/>
                <w:szCs w:val="20"/>
              </w:rPr>
              <w:t>6</w:t>
            </w:r>
          </w:p>
        </w:tc>
        <w:tc>
          <w:tcPr>
            <w:tcW w:w="0" w:type="auto"/>
            <w:noWrap/>
            <w:vAlign w:val="bottom"/>
            <w:hideMark/>
          </w:tcPr>
          <w:p w14:paraId="537AFBF0" w14:textId="77777777" w:rsidR="00000000" w:rsidRDefault="003C49E9">
            <w:pPr>
              <w:pStyle w:val="a3"/>
              <w:spacing w:before="0" w:beforeAutospacing="0" w:after="0" w:afterAutospacing="0"/>
              <w:rPr>
                <w:sz w:val="20"/>
                <w:szCs w:val="20"/>
              </w:rPr>
            </w:pPr>
            <w:r>
              <w:rPr>
                <w:sz w:val="20"/>
                <w:szCs w:val="20"/>
              </w:rPr>
              <w:t> </w:t>
            </w:r>
          </w:p>
        </w:tc>
      </w:tr>
      <w:tr w:rsidR="00000000" w14:paraId="505332D0" w14:textId="77777777">
        <w:trPr>
          <w:divId w:val="2090493722"/>
          <w:trHeight w:val="200"/>
          <w:tblCellSpacing w:w="15" w:type="dxa"/>
        </w:trPr>
        <w:tc>
          <w:tcPr>
            <w:tcW w:w="0" w:type="auto"/>
            <w:vAlign w:val="bottom"/>
            <w:hideMark/>
          </w:tcPr>
          <w:p w14:paraId="59FB0F32" w14:textId="77777777" w:rsidR="00000000" w:rsidRDefault="003C49E9">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14:paraId="0F82D18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8ACCBC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812AA27" w14:textId="77777777" w:rsidR="00000000" w:rsidRDefault="003C49E9">
            <w:pPr>
              <w:pStyle w:val="a3"/>
              <w:spacing w:before="0" w:beforeAutospacing="0" w:after="0" w:afterAutospacing="0"/>
              <w:jc w:val="right"/>
              <w:rPr>
                <w:sz w:val="20"/>
                <w:szCs w:val="20"/>
              </w:rPr>
            </w:pPr>
            <w:r>
              <w:rPr>
                <w:sz w:val="20"/>
                <w:szCs w:val="20"/>
              </w:rPr>
              <w:t>81,16</w:t>
            </w:r>
            <w:r>
              <w:rPr>
                <w:sz w:val="20"/>
                <w:szCs w:val="20"/>
              </w:rPr>
              <w:t>5</w:t>
            </w:r>
          </w:p>
        </w:tc>
        <w:tc>
          <w:tcPr>
            <w:tcW w:w="0" w:type="auto"/>
            <w:noWrap/>
            <w:vAlign w:val="bottom"/>
            <w:hideMark/>
          </w:tcPr>
          <w:p w14:paraId="4F163C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12A29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CF55DC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C1BF8C9" w14:textId="77777777" w:rsidR="00000000" w:rsidRDefault="003C49E9">
            <w:pPr>
              <w:pStyle w:val="a3"/>
              <w:spacing w:before="0" w:beforeAutospacing="0" w:after="0" w:afterAutospacing="0"/>
              <w:jc w:val="right"/>
              <w:rPr>
                <w:sz w:val="20"/>
                <w:szCs w:val="20"/>
              </w:rPr>
            </w:pPr>
            <w:r>
              <w:rPr>
                <w:sz w:val="20"/>
                <w:szCs w:val="20"/>
              </w:rPr>
              <w:t>43,43</w:t>
            </w:r>
            <w:r>
              <w:rPr>
                <w:sz w:val="20"/>
                <w:szCs w:val="20"/>
              </w:rPr>
              <w:t>3</w:t>
            </w:r>
          </w:p>
        </w:tc>
        <w:tc>
          <w:tcPr>
            <w:tcW w:w="0" w:type="auto"/>
            <w:noWrap/>
            <w:vAlign w:val="bottom"/>
            <w:hideMark/>
          </w:tcPr>
          <w:p w14:paraId="2823E7C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806078"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C01898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205C0C7" w14:textId="77777777" w:rsidR="00000000" w:rsidRDefault="003C49E9">
            <w:pPr>
              <w:pStyle w:val="a3"/>
              <w:spacing w:before="0" w:beforeAutospacing="0" w:after="0" w:afterAutospacing="0"/>
              <w:jc w:val="right"/>
              <w:rPr>
                <w:sz w:val="20"/>
                <w:szCs w:val="20"/>
              </w:rPr>
            </w:pPr>
            <w:r>
              <w:rPr>
                <w:sz w:val="20"/>
                <w:szCs w:val="20"/>
              </w:rPr>
              <w:t>126,86</w:t>
            </w:r>
            <w:r>
              <w:rPr>
                <w:sz w:val="20"/>
                <w:szCs w:val="20"/>
              </w:rPr>
              <w:t>8</w:t>
            </w:r>
          </w:p>
        </w:tc>
        <w:tc>
          <w:tcPr>
            <w:tcW w:w="0" w:type="auto"/>
            <w:noWrap/>
            <w:vAlign w:val="bottom"/>
            <w:hideMark/>
          </w:tcPr>
          <w:p w14:paraId="61C1901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9C1E80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EEEF8F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0D1B37C" w14:textId="77777777" w:rsidR="00000000" w:rsidRDefault="003C49E9">
            <w:pPr>
              <w:pStyle w:val="a3"/>
              <w:spacing w:before="0" w:beforeAutospacing="0" w:after="0" w:afterAutospacing="0"/>
              <w:jc w:val="right"/>
              <w:rPr>
                <w:sz w:val="20"/>
                <w:szCs w:val="20"/>
              </w:rPr>
            </w:pPr>
            <w:r>
              <w:rPr>
                <w:sz w:val="20"/>
                <w:szCs w:val="20"/>
              </w:rPr>
              <w:t>75,85</w:t>
            </w:r>
            <w:r>
              <w:rPr>
                <w:sz w:val="20"/>
                <w:szCs w:val="20"/>
              </w:rPr>
              <w:t>6</w:t>
            </w:r>
          </w:p>
        </w:tc>
        <w:tc>
          <w:tcPr>
            <w:tcW w:w="0" w:type="auto"/>
            <w:noWrap/>
            <w:vAlign w:val="bottom"/>
            <w:hideMark/>
          </w:tcPr>
          <w:p w14:paraId="77DF65D9" w14:textId="77777777" w:rsidR="00000000" w:rsidRDefault="003C49E9">
            <w:pPr>
              <w:pStyle w:val="a3"/>
              <w:spacing w:before="0" w:beforeAutospacing="0" w:after="0" w:afterAutospacing="0"/>
              <w:rPr>
                <w:sz w:val="20"/>
                <w:szCs w:val="20"/>
              </w:rPr>
            </w:pPr>
            <w:r>
              <w:rPr>
                <w:sz w:val="20"/>
                <w:szCs w:val="20"/>
              </w:rPr>
              <w:t> </w:t>
            </w:r>
          </w:p>
        </w:tc>
      </w:tr>
    </w:tbl>
    <w:p w14:paraId="22D12E81" w14:textId="77777777" w:rsidR="00000000" w:rsidRDefault="003C49E9">
      <w:pPr>
        <w:pStyle w:val="a3"/>
        <w:spacing w:before="200" w:beforeAutospacing="0" w:after="0" w:afterAutospacing="0"/>
        <w:ind w:firstLine="555"/>
        <w:divId w:val="108863171"/>
        <w:rPr>
          <w:sz w:val="20"/>
          <w:szCs w:val="20"/>
        </w:rPr>
      </w:pPr>
      <w:r>
        <w:rPr>
          <w:sz w:val="20"/>
          <w:szCs w:val="20"/>
        </w:rPr>
        <w:t>Capitalized software development costs excluded from stock-based compensation expense is</w:t>
      </w:r>
      <w:r>
        <w:rPr>
          <w:sz w:val="20"/>
          <w:szCs w:val="20"/>
        </w:rPr>
        <w:t xml:space="preserve"> </w:t>
      </w:r>
      <w:r>
        <w:rPr>
          <w:sz w:val="20"/>
          <w:szCs w:val="20"/>
        </w:rPr>
        <w:t>$</w:t>
      </w:r>
      <w:r>
        <w:rPr>
          <w:sz w:val="20"/>
          <w:szCs w:val="20"/>
        </w:rPr>
        <w:t>3.</w:t>
      </w:r>
      <w:r>
        <w:rPr>
          <w:sz w:val="20"/>
          <w:szCs w:val="20"/>
        </w:rPr>
        <w:t>9</w:t>
      </w:r>
      <w:r>
        <w:rPr>
          <w:sz w:val="20"/>
          <w:szCs w:val="20"/>
        </w:rPr>
        <w:t xml:space="preserve"> million for the three months ended June 30, 2022,</w:t>
      </w:r>
      <w:r>
        <w:rPr>
          <w:sz w:val="20"/>
          <w:szCs w:val="20"/>
        </w:rPr>
        <w:t xml:space="preserve"> </w:t>
      </w:r>
      <w:r>
        <w:rPr>
          <w:sz w:val="20"/>
          <w:szCs w:val="20"/>
        </w:rPr>
        <w:t>$</w:t>
      </w:r>
      <w:r>
        <w:rPr>
          <w:sz w:val="20"/>
          <w:szCs w:val="20"/>
        </w:rPr>
        <w:t>5.</w:t>
      </w:r>
      <w:r>
        <w:rPr>
          <w:sz w:val="20"/>
          <w:szCs w:val="20"/>
        </w:rPr>
        <w:t>6</w:t>
      </w:r>
      <w:r>
        <w:rPr>
          <w:sz w:val="20"/>
          <w:szCs w:val="20"/>
        </w:rPr>
        <w:t xml:space="preserve"> for the six months ended June 30, 2022,</w:t>
      </w:r>
      <w:r>
        <w:rPr>
          <w:sz w:val="20"/>
          <w:szCs w:val="20"/>
        </w:rPr>
        <w:t xml:space="preserve"> </w:t>
      </w:r>
      <w:r>
        <w:rPr>
          <w:sz w:val="20"/>
          <w:szCs w:val="20"/>
        </w:rPr>
        <w:t>$</w:t>
      </w:r>
      <w:r>
        <w:rPr>
          <w:sz w:val="20"/>
          <w:szCs w:val="20"/>
        </w:rPr>
        <w:t>1.</w:t>
      </w:r>
      <w:r>
        <w:rPr>
          <w:sz w:val="20"/>
          <w:szCs w:val="20"/>
        </w:rPr>
        <w:t>9</w:t>
      </w:r>
      <w:r>
        <w:rPr>
          <w:sz w:val="20"/>
          <w:szCs w:val="20"/>
        </w:rPr>
        <w:t xml:space="preserve"> million for the three months ended June 30, 2021, and</w:t>
      </w:r>
      <w:r>
        <w:rPr>
          <w:sz w:val="20"/>
          <w:szCs w:val="20"/>
        </w:rPr>
        <w:t xml:space="preserve"> </w:t>
      </w:r>
      <w:r>
        <w:rPr>
          <w:sz w:val="20"/>
          <w:szCs w:val="20"/>
        </w:rPr>
        <w:t>$</w:t>
      </w:r>
      <w:r>
        <w:rPr>
          <w:sz w:val="20"/>
          <w:szCs w:val="20"/>
        </w:rPr>
        <w:t>3.</w:t>
      </w:r>
      <w:r>
        <w:rPr>
          <w:sz w:val="20"/>
          <w:szCs w:val="20"/>
        </w:rPr>
        <w:t>1</w:t>
      </w:r>
      <w:r>
        <w:rPr>
          <w:sz w:val="20"/>
          <w:szCs w:val="20"/>
        </w:rPr>
        <w:t xml:space="preserve"> mil</w:t>
      </w:r>
      <w:r>
        <w:rPr>
          <w:sz w:val="20"/>
          <w:szCs w:val="20"/>
        </w:rPr>
        <w:t>lion for the six months ended June 30, 202</w:t>
      </w:r>
      <w:r>
        <w:rPr>
          <w:sz w:val="20"/>
          <w:szCs w:val="20"/>
        </w:rPr>
        <w:t>1</w:t>
      </w:r>
      <w:r>
        <w:rPr>
          <w:sz w:val="20"/>
          <w:szCs w:val="20"/>
        </w:rPr>
        <w:t>.</w:t>
      </w:r>
      <w:r>
        <w:rPr>
          <w:sz w:val="20"/>
          <w:szCs w:val="20"/>
        </w:rPr>
        <w:t xml:space="preserve"> </w:t>
      </w:r>
    </w:p>
    <w:p w14:paraId="4DF1D5A4" w14:textId="77777777" w:rsidR="00000000" w:rsidRDefault="003C49E9">
      <w:pPr>
        <w:pStyle w:val="a3"/>
        <w:spacing w:before="200" w:beforeAutospacing="0" w:after="0" w:afterAutospacing="0"/>
        <w:divId w:val="915363661"/>
        <w:rPr>
          <w:sz w:val="20"/>
          <w:szCs w:val="20"/>
        </w:rPr>
      </w:pPr>
      <w:r>
        <w:rPr>
          <w:b/>
          <w:bCs/>
          <w:sz w:val="20"/>
          <w:szCs w:val="20"/>
        </w:rPr>
        <w:t>14. Segment Information and Geographic Dat</w:t>
      </w:r>
      <w:r>
        <w:rPr>
          <w:b/>
          <w:bCs/>
          <w:sz w:val="20"/>
          <w:szCs w:val="20"/>
        </w:rPr>
        <w:t>a</w:t>
      </w:r>
    </w:p>
    <w:p w14:paraId="519DD90E" w14:textId="77777777" w:rsidR="00000000" w:rsidRDefault="003C49E9">
      <w:pPr>
        <w:pStyle w:val="a3"/>
        <w:spacing w:before="200" w:beforeAutospacing="0" w:after="0" w:afterAutospacing="0"/>
        <w:ind w:firstLine="555"/>
        <w:divId w:val="915363661"/>
        <w:rPr>
          <w:sz w:val="20"/>
          <w:szCs w:val="20"/>
        </w:rPr>
      </w:pPr>
      <w:r>
        <w:rPr>
          <w:sz w:val="20"/>
          <w:szCs w:val="20"/>
        </w:rPr>
        <w:t>The Company operates as</w:t>
      </w:r>
      <w:r>
        <w:rPr>
          <w:sz w:val="20"/>
          <w:szCs w:val="20"/>
        </w:rPr>
        <w:t xml:space="preserve"> </w:t>
      </w:r>
      <w:r>
        <w:rPr>
          <w:sz w:val="20"/>
          <w:szCs w:val="20"/>
        </w:rPr>
        <w:t>on</w:t>
      </w:r>
      <w:r>
        <w:rPr>
          <w:sz w:val="20"/>
          <w:szCs w:val="20"/>
        </w:rPr>
        <w:t>e</w:t>
      </w:r>
      <w:r>
        <w:rPr>
          <w:sz w:val="20"/>
          <w:szCs w:val="20"/>
        </w:rPr>
        <w:t xml:space="preserve"> operating</w:t>
      </w:r>
      <w:r>
        <w:rPr>
          <w:sz w:val="20"/>
          <w:szCs w:val="20"/>
        </w:rPr>
        <w:t xml:space="preserve"> </w:t>
      </w:r>
      <w:r>
        <w:rPr>
          <w:sz w:val="20"/>
          <w:szCs w:val="20"/>
        </w:rPr>
        <w:t>segment. Operating segments are defined as components of an enterprise for which separate financial information is regularly eva</w:t>
      </w:r>
      <w:r>
        <w:rPr>
          <w:sz w:val="20"/>
          <w:szCs w:val="20"/>
        </w:rPr>
        <w:t>luated by the chief operating decision maker (“CODM”), which is the Company’s chief executive officer, in deciding how to allocate resources and assess performance. The Company’s CODM evaluates the Company’s financial information and resources and assesses</w:t>
      </w:r>
      <w:r>
        <w:rPr>
          <w:sz w:val="20"/>
          <w:szCs w:val="20"/>
        </w:rPr>
        <w:t xml:space="preserve"> the performance of these resources on a consolidated basis. Since the Company operates in one operating segment, all required financial segment information can be found in the consolidated financia</w:t>
      </w:r>
      <w:r>
        <w:rPr>
          <w:sz w:val="20"/>
          <w:szCs w:val="20"/>
        </w:rPr>
        <w:t>l</w:t>
      </w:r>
      <w:r>
        <w:rPr>
          <w:sz w:val="20"/>
          <w:szCs w:val="20"/>
        </w:rPr>
        <w:t xml:space="preserve"> </w:t>
      </w:r>
    </w:p>
    <w:p w14:paraId="2F9CDE2E" w14:textId="77777777" w:rsidR="00000000" w:rsidRDefault="003C49E9">
      <w:pPr>
        <w:pStyle w:val="a3"/>
        <w:spacing w:before="240" w:beforeAutospacing="0" w:after="0" w:afterAutospacing="0"/>
        <w:jc w:val="center"/>
        <w:divId w:val="915363661"/>
        <w:rPr>
          <w:sz w:val="20"/>
          <w:szCs w:val="20"/>
        </w:rPr>
      </w:pPr>
      <w:r>
        <w:rPr>
          <w:sz w:val="20"/>
          <w:szCs w:val="20"/>
        </w:rPr>
        <w:t>2</w:t>
      </w:r>
      <w:r>
        <w:rPr>
          <w:sz w:val="20"/>
          <w:szCs w:val="20"/>
        </w:rPr>
        <w:t>0</w:t>
      </w:r>
    </w:p>
    <w:p w14:paraId="30045A5C" w14:textId="77777777" w:rsidR="00000000" w:rsidRDefault="003C49E9">
      <w:pPr>
        <w:divId w:val="915363661"/>
        <w:rPr>
          <w:rFonts w:eastAsia="Times New Roman"/>
          <w:sz w:val="20"/>
          <w:szCs w:val="20"/>
        </w:rPr>
      </w:pPr>
      <w:r>
        <w:rPr>
          <w:rFonts w:eastAsia="Times New Roman"/>
          <w:sz w:val="20"/>
          <w:szCs w:val="20"/>
        </w:rPr>
        <w:pict w14:anchorId="7AEE3DE2">
          <v:rect id="_x0000_i1044" style="width:0;height:1.5pt" o:hralign="center" o:hrstd="t" o:hr="t" fillcolor="#a0a0a0" stroked="f"/>
        </w:pict>
      </w:r>
    </w:p>
    <w:p w14:paraId="320B587C" w14:textId="77777777" w:rsidR="00000000" w:rsidRDefault="003C49E9">
      <w:pPr>
        <w:pStyle w:val="a3"/>
        <w:spacing w:before="0" w:beforeAutospacing="0" w:after="0" w:afterAutospacing="0"/>
        <w:divId w:val="915363661"/>
        <w:rPr>
          <w:sz w:val="20"/>
          <w:szCs w:val="20"/>
        </w:rPr>
      </w:pPr>
      <w:r>
        <w:rPr>
          <w:sz w:val="20"/>
          <w:szCs w:val="20"/>
        </w:rPr>
        <w:t> </w:t>
      </w:r>
    </w:p>
    <w:p w14:paraId="784E5773" w14:textId="77777777" w:rsidR="00000000" w:rsidRDefault="003C49E9">
      <w:pPr>
        <w:pStyle w:val="a3"/>
        <w:spacing w:before="200" w:beforeAutospacing="0" w:after="0" w:afterAutospacing="0"/>
        <w:divId w:val="915363661"/>
        <w:rPr>
          <w:sz w:val="20"/>
          <w:szCs w:val="20"/>
        </w:rPr>
      </w:pPr>
      <w:r>
        <w:rPr>
          <w:sz w:val="20"/>
          <w:szCs w:val="20"/>
        </w:rPr>
        <w:t>statements. Revenue</w:t>
      </w:r>
      <w:r>
        <w:rPr>
          <w:sz w:val="20"/>
          <w:szCs w:val="20"/>
        </w:rPr>
        <w:t xml:space="preserve"> </w:t>
      </w:r>
      <w:r>
        <w:rPr>
          <w:sz w:val="20"/>
          <w:szCs w:val="20"/>
        </w:rPr>
        <w:t>and long-lived assets by geographic region, based on the physical location of the operations recording the sale or the asset, are as follows</w:t>
      </w:r>
      <w:r>
        <w:rPr>
          <w:sz w:val="20"/>
          <w:szCs w:val="20"/>
        </w:rPr>
        <w:t>:</w:t>
      </w:r>
      <w:r>
        <w:rPr>
          <w:sz w:val="20"/>
          <w:szCs w:val="20"/>
        </w:rPr>
        <w:t xml:space="preserve"> </w:t>
      </w:r>
    </w:p>
    <w:p w14:paraId="707DBEC6" w14:textId="77777777" w:rsidR="00000000" w:rsidRDefault="003C49E9">
      <w:pPr>
        <w:pStyle w:val="a3"/>
        <w:spacing w:before="200" w:beforeAutospacing="0" w:after="0" w:afterAutospacing="0"/>
        <w:ind w:firstLine="555"/>
        <w:divId w:val="742338599"/>
        <w:rPr>
          <w:sz w:val="20"/>
          <w:szCs w:val="20"/>
        </w:rPr>
      </w:pPr>
      <w:r>
        <w:rPr>
          <w:sz w:val="20"/>
          <w:szCs w:val="20"/>
        </w:rPr>
        <w:t>Revenues by geographical region:</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27"/>
        <w:gridCol w:w="110"/>
        <w:gridCol w:w="160"/>
        <w:gridCol w:w="710"/>
        <w:gridCol w:w="227"/>
        <w:gridCol w:w="110"/>
        <w:gridCol w:w="160"/>
        <w:gridCol w:w="710"/>
        <w:gridCol w:w="227"/>
        <w:gridCol w:w="115"/>
        <w:gridCol w:w="160"/>
        <w:gridCol w:w="710"/>
        <w:gridCol w:w="227"/>
        <w:gridCol w:w="110"/>
        <w:gridCol w:w="160"/>
        <w:gridCol w:w="710"/>
        <w:gridCol w:w="242"/>
      </w:tblGrid>
      <w:tr w:rsidR="00000000" w14:paraId="653785BE" w14:textId="77777777">
        <w:trPr>
          <w:divId w:val="742338599"/>
          <w:tblCellSpacing w:w="15" w:type="dxa"/>
        </w:trPr>
        <w:tc>
          <w:tcPr>
            <w:tcW w:w="1985" w:type="pct"/>
            <w:vAlign w:val="center"/>
            <w:hideMark/>
          </w:tcPr>
          <w:p w14:paraId="230CB6A1" w14:textId="77777777" w:rsidR="00000000" w:rsidRDefault="003C49E9">
            <w:pPr>
              <w:rPr>
                <w:sz w:val="20"/>
                <w:szCs w:val="20"/>
              </w:rPr>
            </w:pPr>
          </w:p>
        </w:tc>
        <w:tc>
          <w:tcPr>
            <w:tcW w:w="63" w:type="pct"/>
            <w:vAlign w:val="center"/>
            <w:hideMark/>
          </w:tcPr>
          <w:p w14:paraId="39C70C57" w14:textId="77777777" w:rsidR="00000000" w:rsidRDefault="003C49E9">
            <w:pPr>
              <w:rPr>
                <w:rFonts w:eastAsia="Times New Roman"/>
                <w:sz w:val="20"/>
                <w:szCs w:val="20"/>
              </w:rPr>
            </w:pPr>
          </w:p>
        </w:tc>
        <w:tc>
          <w:tcPr>
            <w:tcW w:w="50" w:type="pct"/>
            <w:vAlign w:val="center"/>
            <w:hideMark/>
          </w:tcPr>
          <w:p w14:paraId="243134E2" w14:textId="77777777" w:rsidR="00000000" w:rsidRDefault="003C49E9">
            <w:pPr>
              <w:rPr>
                <w:rFonts w:eastAsia="Times New Roman"/>
                <w:sz w:val="20"/>
                <w:szCs w:val="20"/>
              </w:rPr>
            </w:pPr>
          </w:p>
        </w:tc>
        <w:tc>
          <w:tcPr>
            <w:tcW w:w="574" w:type="pct"/>
            <w:vAlign w:val="center"/>
            <w:hideMark/>
          </w:tcPr>
          <w:p w14:paraId="0EC67C53" w14:textId="77777777" w:rsidR="00000000" w:rsidRDefault="003C49E9">
            <w:pPr>
              <w:rPr>
                <w:rFonts w:eastAsia="Times New Roman"/>
                <w:sz w:val="20"/>
                <w:szCs w:val="20"/>
              </w:rPr>
            </w:pPr>
          </w:p>
        </w:tc>
        <w:tc>
          <w:tcPr>
            <w:tcW w:w="50" w:type="pct"/>
            <w:vAlign w:val="center"/>
            <w:hideMark/>
          </w:tcPr>
          <w:p w14:paraId="6F9C34CC" w14:textId="77777777" w:rsidR="00000000" w:rsidRDefault="003C49E9">
            <w:pPr>
              <w:rPr>
                <w:rFonts w:eastAsia="Times New Roman"/>
                <w:sz w:val="20"/>
                <w:szCs w:val="20"/>
              </w:rPr>
            </w:pPr>
          </w:p>
        </w:tc>
        <w:tc>
          <w:tcPr>
            <w:tcW w:w="58" w:type="pct"/>
            <w:vAlign w:val="center"/>
            <w:hideMark/>
          </w:tcPr>
          <w:p w14:paraId="56A25C3C" w14:textId="77777777" w:rsidR="00000000" w:rsidRDefault="003C49E9">
            <w:pPr>
              <w:rPr>
                <w:rFonts w:eastAsia="Times New Roman"/>
                <w:sz w:val="20"/>
                <w:szCs w:val="20"/>
              </w:rPr>
            </w:pPr>
          </w:p>
        </w:tc>
        <w:tc>
          <w:tcPr>
            <w:tcW w:w="50" w:type="pct"/>
            <w:vAlign w:val="center"/>
            <w:hideMark/>
          </w:tcPr>
          <w:p w14:paraId="2DB959D1" w14:textId="77777777" w:rsidR="00000000" w:rsidRDefault="003C49E9">
            <w:pPr>
              <w:rPr>
                <w:rFonts w:eastAsia="Times New Roman"/>
                <w:sz w:val="20"/>
                <w:szCs w:val="20"/>
              </w:rPr>
            </w:pPr>
          </w:p>
        </w:tc>
        <w:tc>
          <w:tcPr>
            <w:tcW w:w="636" w:type="pct"/>
            <w:vAlign w:val="center"/>
            <w:hideMark/>
          </w:tcPr>
          <w:p w14:paraId="3AB76F9B" w14:textId="77777777" w:rsidR="00000000" w:rsidRDefault="003C49E9">
            <w:pPr>
              <w:rPr>
                <w:rFonts w:eastAsia="Times New Roman"/>
                <w:sz w:val="20"/>
                <w:szCs w:val="20"/>
              </w:rPr>
            </w:pPr>
          </w:p>
        </w:tc>
        <w:tc>
          <w:tcPr>
            <w:tcW w:w="50" w:type="pct"/>
            <w:vAlign w:val="center"/>
            <w:hideMark/>
          </w:tcPr>
          <w:p w14:paraId="2A416E7E" w14:textId="77777777" w:rsidR="00000000" w:rsidRDefault="003C49E9">
            <w:pPr>
              <w:rPr>
                <w:rFonts w:eastAsia="Times New Roman"/>
                <w:sz w:val="20"/>
                <w:szCs w:val="20"/>
              </w:rPr>
            </w:pPr>
          </w:p>
        </w:tc>
        <w:tc>
          <w:tcPr>
            <w:tcW w:w="49" w:type="pct"/>
            <w:vAlign w:val="center"/>
            <w:hideMark/>
          </w:tcPr>
          <w:p w14:paraId="2B38A1CE" w14:textId="77777777" w:rsidR="00000000" w:rsidRDefault="003C49E9">
            <w:pPr>
              <w:rPr>
                <w:rFonts w:eastAsia="Times New Roman"/>
                <w:sz w:val="20"/>
                <w:szCs w:val="20"/>
              </w:rPr>
            </w:pPr>
          </w:p>
        </w:tc>
        <w:tc>
          <w:tcPr>
            <w:tcW w:w="50" w:type="pct"/>
            <w:vAlign w:val="center"/>
            <w:hideMark/>
          </w:tcPr>
          <w:p w14:paraId="36A420FF" w14:textId="77777777" w:rsidR="00000000" w:rsidRDefault="003C49E9">
            <w:pPr>
              <w:rPr>
                <w:rFonts w:eastAsia="Times New Roman"/>
                <w:sz w:val="20"/>
                <w:szCs w:val="20"/>
              </w:rPr>
            </w:pPr>
          </w:p>
        </w:tc>
        <w:tc>
          <w:tcPr>
            <w:tcW w:w="574" w:type="pct"/>
            <w:vAlign w:val="center"/>
            <w:hideMark/>
          </w:tcPr>
          <w:p w14:paraId="5192A336" w14:textId="77777777" w:rsidR="00000000" w:rsidRDefault="003C49E9">
            <w:pPr>
              <w:rPr>
                <w:rFonts w:eastAsia="Times New Roman"/>
                <w:sz w:val="20"/>
                <w:szCs w:val="20"/>
              </w:rPr>
            </w:pPr>
          </w:p>
        </w:tc>
        <w:tc>
          <w:tcPr>
            <w:tcW w:w="50" w:type="pct"/>
            <w:vAlign w:val="center"/>
            <w:hideMark/>
          </w:tcPr>
          <w:p w14:paraId="018C40E3" w14:textId="77777777" w:rsidR="00000000" w:rsidRDefault="003C49E9">
            <w:pPr>
              <w:rPr>
                <w:rFonts w:eastAsia="Times New Roman"/>
                <w:sz w:val="20"/>
                <w:szCs w:val="20"/>
              </w:rPr>
            </w:pPr>
          </w:p>
        </w:tc>
        <w:tc>
          <w:tcPr>
            <w:tcW w:w="58" w:type="pct"/>
            <w:vAlign w:val="center"/>
            <w:hideMark/>
          </w:tcPr>
          <w:p w14:paraId="7CA1F803" w14:textId="77777777" w:rsidR="00000000" w:rsidRDefault="003C49E9">
            <w:pPr>
              <w:rPr>
                <w:rFonts w:eastAsia="Times New Roman"/>
                <w:sz w:val="20"/>
                <w:szCs w:val="20"/>
              </w:rPr>
            </w:pPr>
          </w:p>
        </w:tc>
        <w:tc>
          <w:tcPr>
            <w:tcW w:w="50" w:type="pct"/>
            <w:vAlign w:val="center"/>
            <w:hideMark/>
          </w:tcPr>
          <w:p w14:paraId="6CB48A18" w14:textId="77777777" w:rsidR="00000000" w:rsidRDefault="003C49E9">
            <w:pPr>
              <w:rPr>
                <w:rFonts w:eastAsia="Times New Roman"/>
                <w:sz w:val="20"/>
                <w:szCs w:val="20"/>
              </w:rPr>
            </w:pPr>
          </w:p>
        </w:tc>
        <w:tc>
          <w:tcPr>
            <w:tcW w:w="599" w:type="pct"/>
            <w:vAlign w:val="center"/>
            <w:hideMark/>
          </w:tcPr>
          <w:p w14:paraId="65229B99" w14:textId="77777777" w:rsidR="00000000" w:rsidRDefault="003C49E9">
            <w:pPr>
              <w:rPr>
                <w:rFonts w:eastAsia="Times New Roman"/>
                <w:sz w:val="20"/>
                <w:szCs w:val="20"/>
              </w:rPr>
            </w:pPr>
          </w:p>
        </w:tc>
        <w:tc>
          <w:tcPr>
            <w:tcW w:w="50" w:type="pct"/>
            <w:vAlign w:val="center"/>
            <w:hideMark/>
          </w:tcPr>
          <w:p w14:paraId="7BB83789" w14:textId="77777777" w:rsidR="00000000" w:rsidRDefault="003C49E9">
            <w:pPr>
              <w:rPr>
                <w:rFonts w:eastAsia="Times New Roman"/>
                <w:sz w:val="20"/>
                <w:szCs w:val="20"/>
              </w:rPr>
            </w:pPr>
          </w:p>
        </w:tc>
      </w:tr>
      <w:tr w:rsidR="00000000" w14:paraId="2174718B" w14:textId="77777777">
        <w:trPr>
          <w:divId w:val="742338599"/>
          <w:trHeight w:val="160"/>
          <w:tblCellSpacing w:w="15" w:type="dxa"/>
        </w:trPr>
        <w:tc>
          <w:tcPr>
            <w:tcW w:w="0" w:type="auto"/>
            <w:vAlign w:val="bottom"/>
            <w:hideMark/>
          </w:tcPr>
          <w:p w14:paraId="1E12B75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F108555"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47D7E9F7" w14:textId="77777777" w:rsidR="00000000" w:rsidRDefault="003C49E9">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41378BA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AF4BD11"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6A05E846"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7FACC0FC"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A5216F1" w14:textId="77777777">
        <w:trPr>
          <w:divId w:val="742338599"/>
          <w:trHeight w:val="160"/>
          <w:tblCellSpacing w:w="15" w:type="dxa"/>
        </w:trPr>
        <w:tc>
          <w:tcPr>
            <w:tcW w:w="0" w:type="auto"/>
            <w:vAlign w:val="bottom"/>
            <w:hideMark/>
          </w:tcPr>
          <w:p w14:paraId="0B34ADD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EFE3B3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A31AD13"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EC9AFD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A6C4B6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796CA3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ED8D1E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EFAA6E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0E0AC2E"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63A1B2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E309B1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9BA4E64"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B5E438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C96176A" w14:textId="77777777">
        <w:trPr>
          <w:divId w:val="742338599"/>
          <w:trHeight w:val="160"/>
          <w:tblCellSpacing w:w="15" w:type="dxa"/>
        </w:trPr>
        <w:tc>
          <w:tcPr>
            <w:tcW w:w="0" w:type="auto"/>
            <w:vAlign w:val="bottom"/>
            <w:hideMark/>
          </w:tcPr>
          <w:p w14:paraId="4A47078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1F86FB5"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2E225EE"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8D5F79F"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38978A2"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BE5D1F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AB3E46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24DA201"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774CB36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48AD18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D6BC805" w14:textId="77777777">
        <w:trPr>
          <w:divId w:val="742338599"/>
          <w:trHeight w:val="200"/>
          <w:tblCellSpacing w:w="15" w:type="dxa"/>
        </w:trPr>
        <w:tc>
          <w:tcPr>
            <w:tcW w:w="0" w:type="auto"/>
            <w:vAlign w:val="bottom"/>
            <w:hideMark/>
          </w:tcPr>
          <w:p w14:paraId="550D2DC0" w14:textId="77777777" w:rsidR="00000000" w:rsidRDefault="003C49E9">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14:paraId="75A0FC7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0303C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AB5B8E5" w14:textId="77777777" w:rsidR="00000000" w:rsidRDefault="003C49E9">
            <w:pPr>
              <w:pStyle w:val="a3"/>
              <w:spacing w:before="0" w:beforeAutospacing="0" w:after="0" w:afterAutospacing="0"/>
              <w:jc w:val="right"/>
              <w:rPr>
                <w:sz w:val="20"/>
                <w:szCs w:val="20"/>
              </w:rPr>
            </w:pPr>
            <w:r>
              <w:rPr>
                <w:sz w:val="20"/>
                <w:szCs w:val="20"/>
              </w:rPr>
              <w:t>259,31</w:t>
            </w:r>
            <w:r>
              <w:rPr>
                <w:sz w:val="20"/>
                <w:szCs w:val="20"/>
              </w:rPr>
              <w:t>9</w:t>
            </w:r>
          </w:p>
        </w:tc>
        <w:tc>
          <w:tcPr>
            <w:tcW w:w="0" w:type="auto"/>
            <w:noWrap/>
            <w:vAlign w:val="bottom"/>
            <w:hideMark/>
          </w:tcPr>
          <w:p w14:paraId="088318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85C95F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2F1345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A71B5C2" w14:textId="77777777" w:rsidR="00000000" w:rsidRDefault="003C49E9">
            <w:pPr>
              <w:pStyle w:val="a3"/>
              <w:spacing w:before="0" w:beforeAutospacing="0" w:after="0" w:afterAutospacing="0"/>
              <w:jc w:val="right"/>
              <w:rPr>
                <w:sz w:val="20"/>
                <w:szCs w:val="20"/>
              </w:rPr>
            </w:pPr>
            <w:r>
              <w:rPr>
                <w:sz w:val="20"/>
                <w:szCs w:val="20"/>
              </w:rPr>
              <w:t>190,72</w:t>
            </w:r>
            <w:r>
              <w:rPr>
                <w:sz w:val="20"/>
                <w:szCs w:val="20"/>
              </w:rPr>
              <w:t>8</w:t>
            </w:r>
          </w:p>
        </w:tc>
        <w:tc>
          <w:tcPr>
            <w:tcW w:w="0" w:type="auto"/>
            <w:noWrap/>
            <w:vAlign w:val="bottom"/>
            <w:hideMark/>
          </w:tcPr>
          <w:p w14:paraId="7756D09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8DC843"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248993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62ABBE1" w14:textId="77777777" w:rsidR="00000000" w:rsidRDefault="003C49E9">
            <w:pPr>
              <w:pStyle w:val="a3"/>
              <w:spacing w:before="0" w:beforeAutospacing="0" w:after="0" w:afterAutospacing="0"/>
              <w:jc w:val="right"/>
              <w:rPr>
                <w:sz w:val="20"/>
                <w:szCs w:val="20"/>
              </w:rPr>
            </w:pPr>
            <w:r>
              <w:rPr>
                <w:sz w:val="20"/>
                <w:szCs w:val="20"/>
              </w:rPr>
              <w:t>501,34</w:t>
            </w:r>
            <w:r>
              <w:rPr>
                <w:sz w:val="20"/>
                <w:szCs w:val="20"/>
              </w:rPr>
              <w:t>6</w:t>
            </w:r>
          </w:p>
        </w:tc>
        <w:tc>
          <w:tcPr>
            <w:tcW w:w="0" w:type="auto"/>
            <w:noWrap/>
            <w:vAlign w:val="bottom"/>
            <w:hideMark/>
          </w:tcPr>
          <w:p w14:paraId="70768BF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E46BC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C07A49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C42BD0D" w14:textId="77777777" w:rsidR="00000000" w:rsidRDefault="003C49E9">
            <w:pPr>
              <w:pStyle w:val="a3"/>
              <w:spacing w:before="0" w:beforeAutospacing="0" w:after="0" w:afterAutospacing="0"/>
              <w:jc w:val="right"/>
              <w:rPr>
                <w:sz w:val="20"/>
                <w:szCs w:val="20"/>
              </w:rPr>
            </w:pPr>
            <w:r>
              <w:rPr>
                <w:sz w:val="20"/>
                <w:szCs w:val="20"/>
              </w:rPr>
              <w:t>364,59</w:t>
            </w:r>
            <w:r>
              <w:rPr>
                <w:sz w:val="20"/>
                <w:szCs w:val="20"/>
              </w:rPr>
              <w:t>9</w:t>
            </w:r>
          </w:p>
        </w:tc>
        <w:tc>
          <w:tcPr>
            <w:tcW w:w="0" w:type="auto"/>
            <w:noWrap/>
            <w:vAlign w:val="bottom"/>
            <w:hideMark/>
          </w:tcPr>
          <w:p w14:paraId="275B878C" w14:textId="77777777" w:rsidR="00000000" w:rsidRDefault="003C49E9">
            <w:pPr>
              <w:pStyle w:val="a3"/>
              <w:spacing w:before="0" w:beforeAutospacing="0" w:after="0" w:afterAutospacing="0"/>
              <w:rPr>
                <w:sz w:val="20"/>
                <w:szCs w:val="20"/>
              </w:rPr>
            </w:pPr>
            <w:r>
              <w:rPr>
                <w:sz w:val="20"/>
                <w:szCs w:val="20"/>
              </w:rPr>
              <w:t> </w:t>
            </w:r>
          </w:p>
        </w:tc>
      </w:tr>
      <w:tr w:rsidR="00000000" w14:paraId="358BD758" w14:textId="77777777">
        <w:trPr>
          <w:divId w:val="742338599"/>
          <w:trHeight w:val="200"/>
          <w:tblCellSpacing w:w="15" w:type="dxa"/>
        </w:trPr>
        <w:tc>
          <w:tcPr>
            <w:tcW w:w="0" w:type="auto"/>
            <w:vAlign w:val="bottom"/>
            <w:hideMark/>
          </w:tcPr>
          <w:p w14:paraId="2AE55091" w14:textId="77777777" w:rsidR="00000000" w:rsidRDefault="003C49E9">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14:paraId="3A50A21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6831C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49F004" w14:textId="77777777" w:rsidR="00000000" w:rsidRDefault="003C49E9">
            <w:pPr>
              <w:pStyle w:val="a3"/>
              <w:spacing w:before="0" w:beforeAutospacing="0" w:after="0" w:afterAutospacing="0"/>
              <w:jc w:val="right"/>
              <w:rPr>
                <w:sz w:val="20"/>
                <w:szCs w:val="20"/>
              </w:rPr>
            </w:pPr>
            <w:r>
              <w:rPr>
                <w:sz w:val="20"/>
                <w:szCs w:val="20"/>
              </w:rPr>
              <w:t>125,14</w:t>
            </w:r>
            <w:r>
              <w:rPr>
                <w:sz w:val="20"/>
                <w:szCs w:val="20"/>
              </w:rPr>
              <w:t>1</w:t>
            </w:r>
          </w:p>
        </w:tc>
        <w:tc>
          <w:tcPr>
            <w:tcW w:w="0" w:type="auto"/>
            <w:noWrap/>
            <w:vAlign w:val="bottom"/>
            <w:hideMark/>
          </w:tcPr>
          <w:p w14:paraId="59898BB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C0CEA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BC4D63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5A5432" w14:textId="77777777" w:rsidR="00000000" w:rsidRDefault="003C49E9">
            <w:pPr>
              <w:pStyle w:val="a3"/>
              <w:spacing w:before="0" w:beforeAutospacing="0" w:after="0" w:afterAutospacing="0"/>
              <w:jc w:val="right"/>
              <w:rPr>
                <w:sz w:val="20"/>
                <w:szCs w:val="20"/>
              </w:rPr>
            </w:pPr>
            <w:r>
              <w:rPr>
                <w:sz w:val="20"/>
                <w:szCs w:val="20"/>
              </w:rPr>
              <w:t>93,36</w:t>
            </w:r>
            <w:r>
              <w:rPr>
                <w:sz w:val="20"/>
                <w:szCs w:val="20"/>
              </w:rPr>
              <w:t>5</w:t>
            </w:r>
          </w:p>
        </w:tc>
        <w:tc>
          <w:tcPr>
            <w:tcW w:w="0" w:type="auto"/>
            <w:noWrap/>
            <w:vAlign w:val="bottom"/>
            <w:hideMark/>
          </w:tcPr>
          <w:p w14:paraId="095CCAB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D8E1E9"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65F79E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D4F0C7" w14:textId="77777777" w:rsidR="00000000" w:rsidRDefault="003C49E9">
            <w:pPr>
              <w:pStyle w:val="a3"/>
              <w:spacing w:before="0" w:beforeAutospacing="0" w:after="0" w:afterAutospacing="0"/>
              <w:jc w:val="right"/>
              <w:rPr>
                <w:sz w:val="20"/>
                <w:szCs w:val="20"/>
              </w:rPr>
            </w:pPr>
            <w:r>
              <w:rPr>
                <w:sz w:val="20"/>
                <w:szCs w:val="20"/>
              </w:rPr>
              <w:t>244,33</w:t>
            </w:r>
            <w:r>
              <w:rPr>
                <w:sz w:val="20"/>
                <w:szCs w:val="20"/>
              </w:rPr>
              <w:t>0</w:t>
            </w:r>
          </w:p>
        </w:tc>
        <w:tc>
          <w:tcPr>
            <w:tcW w:w="0" w:type="auto"/>
            <w:noWrap/>
            <w:vAlign w:val="bottom"/>
            <w:hideMark/>
          </w:tcPr>
          <w:p w14:paraId="3F25FC4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4BFE8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70F0A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4CD7F41" w14:textId="77777777" w:rsidR="00000000" w:rsidRDefault="003C49E9">
            <w:pPr>
              <w:pStyle w:val="a3"/>
              <w:spacing w:before="0" w:beforeAutospacing="0" w:after="0" w:afterAutospacing="0"/>
              <w:jc w:val="right"/>
              <w:rPr>
                <w:sz w:val="20"/>
                <w:szCs w:val="20"/>
              </w:rPr>
            </w:pPr>
            <w:r>
              <w:rPr>
                <w:sz w:val="20"/>
                <w:szCs w:val="20"/>
              </w:rPr>
              <w:t>176,73</w:t>
            </w:r>
            <w:r>
              <w:rPr>
                <w:sz w:val="20"/>
                <w:szCs w:val="20"/>
              </w:rPr>
              <w:t>5</w:t>
            </w:r>
          </w:p>
        </w:tc>
        <w:tc>
          <w:tcPr>
            <w:tcW w:w="0" w:type="auto"/>
            <w:noWrap/>
            <w:vAlign w:val="bottom"/>
            <w:hideMark/>
          </w:tcPr>
          <w:p w14:paraId="4A979DC1" w14:textId="77777777" w:rsidR="00000000" w:rsidRDefault="003C49E9">
            <w:pPr>
              <w:pStyle w:val="a3"/>
              <w:spacing w:before="0" w:beforeAutospacing="0" w:after="0" w:afterAutospacing="0"/>
              <w:rPr>
                <w:sz w:val="20"/>
                <w:szCs w:val="20"/>
              </w:rPr>
            </w:pPr>
            <w:r>
              <w:rPr>
                <w:sz w:val="20"/>
                <w:szCs w:val="20"/>
              </w:rPr>
              <w:t> </w:t>
            </w:r>
          </w:p>
        </w:tc>
      </w:tr>
      <w:tr w:rsidR="00000000" w14:paraId="22DEFCC8" w14:textId="77777777">
        <w:trPr>
          <w:divId w:val="742338599"/>
          <w:trHeight w:val="200"/>
          <w:tblCellSpacing w:w="15" w:type="dxa"/>
        </w:trPr>
        <w:tc>
          <w:tcPr>
            <w:tcW w:w="0" w:type="auto"/>
            <w:vAlign w:val="bottom"/>
            <w:hideMark/>
          </w:tcPr>
          <w:p w14:paraId="50D129D4" w14:textId="77777777" w:rsidR="00000000" w:rsidRDefault="003C49E9">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14:paraId="033E823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015FD1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9AA93B" w14:textId="77777777" w:rsidR="00000000" w:rsidRDefault="003C49E9">
            <w:pPr>
              <w:pStyle w:val="a3"/>
              <w:spacing w:before="0" w:beforeAutospacing="0" w:after="0" w:afterAutospacing="0"/>
              <w:jc w:val="right"/>
              <w:rPr>
                <w:sz w:val="20"/>
                <w:szCs w:val="20"/>
              </w:rPr>
            </w:pPr>
            <w:r>
              <w:rPr>
                <w:sz w:val="20"/>
                <w:szCs w:val="20"/>
              </w:rPr>
              <w:t>37,29</w:t>
            </w:r>
            <w:r>
              <w:rPr>
                <w:sz w:val="20"/>
                <w:szCs w:val="20"/>
              </w:rPr>
              <w:t>5</w:t>
            </w:r>
          </w:p>
        </w:tc>
        <w:tc>
          <w:tcPr>
            <w:tcW w:w="0" w:type="auto"/>
            <w:noWrap/>
            <w:vAlign w:val="bottom"/>
            <w:hideMark/>
          </w:tcPr>
          <w:p w14:paraId="665B19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EB07A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692173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D92837C" w14:textId="77777777" w:rsidR="00000000" w:rsidRDefault="003C49E9">
            <w:pPr>
              <w:pStyle w:val="a3"/>
              <w:spacing w:before="0" w:beforeAutospacing="0" w:after="0" w:afterAutospacing="0"/>
              <w:jc w:val="right"/>
              <w:rPr>
                <w:sz w:val="20"/>
                <w:szCs w:val="20"/>
              </w:rPr>
            </w:pPr>
            <w:r>
              <w:rPr>
                <w:sz w:val="20"/>
                <w:szCs w:val="20"/>
              </w:rPr>
              <w:t>26,69</w:t>
            </w:r>
            <w:r>
              <w:rPr>
                <w:sz w:val="20"/>
                <w:szCs w:val="20"/>
              </w:rPr>
              <w:t>5</w:t>
            </w:r>
          </w:p>
        </w:tc>
        <w:tc>
          <w:tcPr>
            <w:tcW w:w="0" w:type="auto"/>
            <w:noWrap/>
            <w:vAlign w:val="bottom"/>
            <w:hideMark/>
          </w:tcPr>
          <w:p w14:paraId="68CAFD5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65F5E1"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38969B9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DAF9EC" w14:textId="77777777" w:rsidR="00000000" w:rsidRDefault="003C49E9">
            <w:pPr>
              <w:pStyle w:val="a3"/>
              <w:spacing w:before="0" w:beforeAutospacing="0" w:after="0" w:afterAutospacing="0"/>
              <w:jc w:val="right"/>
              <w:rPr>
                <w:sz w:val="20"/>
                <w:szCs w:val="20"/>
              </w:rPr>
            </w:pPr>
            <w:r>
              <w:rPr>
                <w:sz w:val="20"/>
                <w:szCs w:val="20"/>
              </w:rPr>
              <w:t>71,67</w:t>
            </w:r>
            <w:r>
              <w:rPr>
                <w:sz w:val="20"/>
                <w:szCs w:val="20"/>
              </w:rPr>
              <w:t>8</w:t>
            </w:r>
          </w:p>
        </w:tc>
        <w:tc>
          <w:tcPr>
            <w:tcW w:w="0" w:type="auto"/>
            <w:noWrap/>
            <w:vAlign w:val="bottom"/>
            <w:hideMark/>
          </w:tcPr>
          <w:p w14:paraId="5FB289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F6350D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02079C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EDB4CA" w14:textId="77777777" w:rsidR="00000000" w:rsidRDefault="003C49E9">
            <w:pPr>
              <w:pStyle w:val="a3"/>
              <w:spacing w:before="0" w:beforeAutospacing="0" w:after="0" w:afterAutospacing="0"/>
              <w:jc w:val="right"/>
              <w:rPr>
                <w:sz w:val="20"/>
                <w:szCs w:val="20"/>
              </w:rPr>
            </w:pPr>
            <w:r>
              <w:rPr>
                <w:sz w:val="20"/>
                <w:szCs w:val="20"/>
              </w:rPr>
              <w:t>50,81</w:t>
            </w:r>
            <w:r>
              <w:rPr>
                <w:sz w:val="20"/>
                <w:szCs w:val="20"/>
              </w:rPr>
              <w:t>9</w:t>
            </w:r>
          </w:p>
        </w:tc>
        <w:tc>
          <w:tcPr>
            <w:tcW w:w="0" w:type="auto"/>
            <w:noWrap/>
            <w:vAlign w:val="bottom"/>
            <w:hideMark/>
          </w:tcPr>
          <w:p w14:paraId="523DAB3C" w14:textId="77777777" w:rsidR="00000000" w:rsidRDefault="003C49E9">
            <w:pPr>
              <w:pStyle w:val="a3"/>
              <w:spacing w:before="0" w:beforeAutospacing="0" w:after="0" w:afterAutospacing="0"/>
              <w:rPr>
                <w:sz w:val="20"/>
                <w:szCs w:val="20"/>
              </w:rPr>
            </w:pPr>
            <w:r>
              <w:rPr>
                <w:sz w:val="20"/>
                <w:szCs w:val="20"/>
              </w:rPr>
              <w:t> </w:t>
            </w:r>
          </w:p>
        </w:tc>
      </w:tr>
      <w:tr w:rsidR="00000000" w14:paraId="3E6C51DB" w14:textId="77777777">
        <w:trPr>
          <w:divId w:val="742338599"/>
          <w:trHeight w:val="200"/>
          <w:tblCellSpacing w:w="15" w:type="dxa"/>
        </w:trPr>
        <w:tc>
          <w:tcPr>
            <w:tcW w:w="0" w:type="auto"/>
            <w:vAlign w:val="bottom"/>
            <w:hideMark/>
          </w:tcPr>
          <w:p w14:paraId="5F945248" w14:textId="77777777" w:rsidR="00000000" w:rsidRDefault="003C49E9">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14:paraId="582574E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002156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AFC3B07" w14:textId="77777777" w:rsidR="00000000" w:rsidRDefault="003C49E9">
            <w:pPr>
              <w:pStyle w:val="a3"/>
              <w:spacing w:before="0" w:beforeAutospacing="0" w:after="0" w:afterAutospacing="0"/>
              <w:jc w:val="right"/>
              <w:rPr>
                <w:sz w:val="20"/>
                <w:szCs w:val="20"/>
              </w:rPr>
            </w:pPr>
            <w:r>
              <w:rPr>
                <w:sz w:val="20"/>
                <w:szCs w:val="20"/>
              </w:rPr>
              <w:t>421,75</w:t>
            </w:r>
            <w:r>
              <w:rPr>
                <w:sz w:val="20"/>
                <w:szCs w:val="20"/>
              </w:rPr>
              <w:t>5</w:t>
            </w:r>
          </w:p>
        </w:tc>
        <w:tc>
          <w:tcPr>
            <w:tcW w:w="0" w:type="auto"/>
            <w:noWrap/>
            <w:vAlign w:val="bottom"/>
            <w:hideMark/>
          </w:tcPr>
          <w:p w14:paraId="19716C3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521AD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BDC197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5CA045C" w14:textId="77777777" w:rsidR="00000000" w:rsidRDefault="003C49E9">
            <w:pPr>
              <w:pStyle w:val="a3"/>
              <w:spacing w:before="0" w:beforeAutospacing="0" w:after="0" w:afterAutospacing="0"/>
              <w:jc w:val="right"/>
              <w:rPr>
                <w:sz w:val="20"/>
                <w:szCs w:val="20"/>
              </w:rPr>
            </w:pPr>
            <w:r>
              <w:rPr>
                <w:sz w:val="20"/>
                <w:szCs w:val="20"/>
              </w:rPr>
              <w:t>310,78</w:t>
            </w:r>
            <w:r>
              <w:rPr>
                <w:sz w:val="20"/>
                <w:szCs w:val="20"/>
              </w:rPr>
              <w:t>8</w:t>
            </w:r>
          </w:p>
        </w:tc>
        <w:tc>
          <w:tcPr>
            <w:tcW w:w="0" w:type="auto"/>
            <w:noWrap/>
            <w:vAlign w:val="bottom"/>
            <w:hideMark/>
          </w:tcPr>
          <w:p w14:paraId="721609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708F11"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432D57D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D8EC232" w14:textId="77777777" w:rsidR="00000000" w:rsidRDefault="003C49E9">
            <w:pPr>
              <w:pStyle w:val="a3"/>
              <w:spacing w:before="0" w:beforeAutospacing="0" w:after="0" w:afterAutospacing="0"/>
              <w:jc w:val="right"/>
              <w:rPr>
                <w:sz w:val="20"/>
                <w:szCs w:val="20"/>
              </w:rPr>
            </w:pPr>
            <w:r>
              <w:rPr>
                <w:sz w:val="20"/>
                <w:szCs w:val="20"/>
              </w:rPr>
              <w:t>817,35</w:t>
            </w:r>
            <w:r>
              <w:rPr>
                <w:sz w:val="20"/>
                <w:szCs w:val="20"/>
              </w:rPr>
              <w:t>4</w:t>
            </w:r>
          </w:p>
        </w:tc>
        <w:tc>
          <w:tcPr>
            <w:tcW w:w="0" w:type="auto"/>
            <w:noWrap/>
            <w:vAlign w:val="bottom"/>
            <w:hideMark/>
          </w:tcPr>
          <w:p w14:paraId="28BCC6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22156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F9D210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A0A1F47" w14:textId="77777777" w:rsidR="00000000" w:rsidRDefault="003C49E9">
            <w:pPr>
              <w:pStyle w:val="a3"/>
              <w:spacing w:before="0" w:beforeAutospacing="0" w:after="0" w:afterAutospacing="0"/>
              <w:jc w:val="right"/>
              <w:rPr>
                <w:sz w:val="20"/>
                <w:szCs w:val="20"/>
              </w:rPr>
            </w:pPr>
            <w:r>
              <w:rPr>
                <w:sz w:val="20"/>
                <w:szCs w:val="20"/>
              </w:rPr>
              <w:t>592,15</w:t>
            </w:r>
            <w:r>
              <w:rPr>
                <w:sz w:val="20"/>
                <w:szCs w:val="20"/>
              </w:rPr>
              <w:t>3</w:t>
            </w:r>
          </w:p>
        </w:tc>
        <w:tc>
          <w:tcPr>
            <w:tcW w:w="0" w:type="auto"/>
            <w:noWrap/>
            <w:vAlign w:val="bottom"/>
            <w:hideMark/>
          </w:tcPr>
          <w:p w14:paraId="515ED709" w14:textId="77777777" w:rsidR="00000000" w:rsidRDefault="003C49E9">
            <w:pPr>
              <w:pStyle w:val="a3"/>
              <w:spacing w:before="0" w:beforeAutospacing="0" w:after="0" w:afterAutospacing="0"/>
              <w:rPr>
                <w:sz w:val="20"/>
                <w:szCs w:val="20"/>
              </w:rPr>
            </w:pPr>
            <w:r>
              <w:rPr>
                <w:sz w:val="20"/>
                <w:szCs w:val="20"/>
              </w:rPr>
              <w:t> </w:t>
            </w:r>
          </w:p>
        </w:tc>
      </w:tr>
      <w:tr w:rsidR="00000000" w14:paraId="6DB75A99" w14:textId="77777777">
        <w:trPr>
          <w:divId w:val="742338599"/>
          <w:trHeight w:val="200"/>
          <w:tblCellSpacing w:w="15" w:type="dxa"/>
        </w:trPr>
        <w:tc>
          <w:tcPr>
            <w:tcW w:w="0" w:type="auto"/>
            <w:vAlign w:val="bottom"/>
            <w:hideMark/>
          </w:tcPr>
          <w:p w14:paraId="5C8D1360" w14:textId="77777777" w:rsidR="00000000" w:rsidRDefault="003C49E9">
            <w:pPr>
              <w:pStyle w:val="a3"/>
              <w:spacing w:before="0" w:beforeAutospacing="0" w:after="0" w:afterAutospacing="0"/>
              <w:rPr>
                <w:sz w:val="20"/>
                <w:szCs w:val="20"/>
              </w:rPr>
            </w:pPr>
            <w:r>
              <w:rPr>
                <w:sz w:val="20"/>
                <w:szCs w:val="20"/>
              </w:rPr>
              <w:t xml:space="preserve">Percentage of revenues generated outside of </w:t>
            </w:r>
            <w:r>
              <w:rPr>
                <w:sz w:val="20"/>
                <w:szCs w:val="20"/>
              </w:rPr>
              <w:br/>
              <w:t>  the America</w:t>
            </w:r>
            <w:r>
              <w:rPr>
                <w:sz w:val="20"/>
                <w:szCs w:val="20"/>
              </w:rPr>
              <w:t>s</w:t>
            </w:r>
          </w:p>
        </w:tc>
        <w:tc>
          <w:tcPr>
            <w:tcW w:w="0" w:type="auto"/>
            <w:vAlign w:val="bottom"/>
            <w:hideMark/>
          </w:tcPr>
          <w:p w14:paraId="2B2D3B6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14C4C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7176801" w14:textId="77777777" w:rsidR="00000000" w:rsidRDefault="003C49E9">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14:paraId="07FDE64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276FC2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9B4CC1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05AF32" w14:textId="77777777" w:rsidR="00000000" w:rsidRDefault="003C49E9">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14:paraId="1D1EF72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FC0216"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9E8CFF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37E5B77" w14:textId="77777777" w:rsidR="00000000" w:rsidRDefault="003C49E9">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14:paraId="0187DB4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3F497C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6F64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6A3C7E" w14:textId="77777777" w:rsidR="00000000" w:rsidRDefault="003C49E9">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14:paraId="139F9F85" w14:textId="77777777" w:rsidR="00000000" w:rsidRDefault="003C49E9">
            <w:pPr>
              <w:pStyle w:val="a3"/>
              <w:spacing w:before="0" w:beforeAutospacing="0" w:after="0" w:afterAutospacing="0"/>
              <w:rPr>
                <w:sz w:val="20"/>
                <w:szCs w:val="20"/>
              </w:rPr>
            </w:pPr>
            <w:r>
              <w:rPr>
                <w:sz w:val="20"/>
                <w:szCs w:val="20"/>
              </w:rPr>
              <w:t>%</w:t>
            </w:r>
          </w:p>
        </w:tc>
      </w:tr>
    </w:tbl>
    <w:p w14:paraId="2E1BA302" w14:textId="77777777" w:rsidR="00000000" w:rsidRDefault="003C49E9">
      <w:pPr>
        <w:pStyle w:val="a3"/>
        <w:spacing w:before="200" w:beforeAutospacing="0" w:after="0" w:afterAutospacing="0"/>
        <w:ind w:firstLine="555"/>
        <w:divId w:val="915363661"/>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the three and six months ended June 30, 2022 and 2021</w:t>
      </w:r>
      <w:r>
        <w:rPr>
          <w:sz w:val="20"/>
          <w:szCs w:val="20"/>
        </w:rPr>
        <w:t>.</w:t>
      </w:r>
      <w:r>
        <w:rPr>
          <w:sz w:val="20"/>
          <w:szCs w:val="20"/>
        </w:rPr>
        <w:t xml:space="preserve"> </w:t>
      </w:r>
    </w:p>
    <w:p w14:paraId="75494E47" w14:textId="77777777" w:rsidR="00000000" w:rsidRDefault="003C49E9">
      <w:pPr>
        <w:pStyle w:val="a3"/>
        <w:spacing w:before="200" w:beforeAutospacing="0" w:after="0" w:afterAutospacing="0"/>
        <w:ind w:firstLine="555"/>
        <w:divId w:val="878931627"/>
        <w:rPr>
          <w:sz w:val="20"/>
          <w:szCs w:val="20"/>
        </w:rPr>
      </w:pPr>
      <w:r>
        <w:rPr>
          <w:sz w:val="20"/>
          <w:szCs w:val="20"/>
        </w:rPr>
        <w:t>Total long-lived assets by geographical region:</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91"/>
        <w:gridCol w:w="115"/>
        <w:gridCol w:w="160"/>
        <w:gridCol w:w="1348"/>
        <w:gridCol w:w="227"/>
        <w:gridCol w:w="110"/>
        <w:gridCol w:w="160"/>
        <w:gridCol w:w="1322"/>
        <w:gridCol w:w="242"/>
      </w:tblGrid>
      <w:tr w:rsidR="00000000" w14:paraId="44722CA7" w14:textId="77777777">
        <w:trPr>
          <w:divId w:val="878931627"/>
          <w:tblCellSpacing w:w="15" w:type="dxa"/>
        </w:trPr>
        <w:tc>
          <w:tcPr>
            <w:tcW w:w="2661" w:type="pct"/>
            <w:vAlign w:val="center"/>
            <w:hideMark/>
          </w:tcPr>
          <w:p w14:paraId="184CEFBC" w14:textId="77777777" w:rsidR="00000000" w:rsidRDefault="003C49E9">
            <w:pPr>
              <w:rPr>
                <w:sz w:val="20"/>
                <w:szCs w:val="20"/>
              </w:rPr>
            </w:pPr>
          </w:p>
        </w:tc>
        <w:tc>
          <w:tcPr>
            <w:tcW w:w="110" w:type="pct"/>
            <w:vAlign w:val="center"/>
            <w:hideMark/>
          </w:tcPr>
          <w:p w14:paraId="5A95AF2D" w14:textId="77777777" w:rsidR="00000000" w:rsidRDefault="003C49E9">
            <w:pPr>
              <w:rPr>
                <w:rFonts w:eastAsia="Times New Roman"/>
                <w:sz w:val="20"/>
                <w:szCs w:val="20"/>
              </w:rPr>
            </w:pPr>
          </w:p>
        </w:tc>
        <w:tc>
          <w:tcPr>
            <w:tcW w:w="50" w:type="pct"/>
            <w:vAlign w:val="center"/>
            <w:hideMark/>
          </w:tcPr>
          <w:p w14:paraId="3B6E2DCF" w14:textId="77777777" w:rsidR="00000000" w:rsidRDefault="003C49E9">
            <w:pPr>
              <w:rPr>
                <w:rFonts w:eastAsia="Times New Roman"/>
                <w:sz w:val="20"/>
                <w:szCs w:val="20"/>
              </w:rPr>
            </w:pPr>
          </w:p>
        </w:tc>
        <w:tc>
          <w:tcPr>
            <w:tcW w:w="969" w:type="pct"/>
            <w:vAlign w:val="center"/>
            <w:hideMark/>
          </w:tcPr>
          <w:p w14:paraId="0CE03D96" w14:textId="77777777" w:rsidR="00000000" w:rsidRDefault="003C49E9">
            <w:pPr>
              <w:rPr>
                <w:rFonts w:eastAsia="Times New Roman"/>
                <w:sz w:val="20"/>
                <w:szCs w:val="20"/>
              </w:rPr>
            </w:pPr>
          </w:p>
        </w:tc>
        <w:tc>
          <w:tcPr>
            <w:tcW w:w="50" w:type="pct"/>
            <w:vAlign w:val="center"/>
            <w:hideMark/>
          </w:tcPr>
          <w:p w14:paraId="11A75FBD" w14:textId="77777777" w:rsidR="00000000" w:rsidRDefault="003C49E9">
            <w:pPr>
              <w:rPr>
                <w:rFonts w:eastAsia="Times New Roman"/>
                <w:sz w:val="20"/>
                <w:szCs w:val="20"/>
              </w:rPr>
            </w:pPr>
          </w:p>
        </w:tc>
        <w:tc>
          <w:tcPr>
            <w:tcW w:w="83" w:type="pct"/>
            <w:vAlign w:val="center"/>
            <w:hideMark/>
          </w:tcPr>
          <w:p w14:paraId="5D108AA2" w14:textId="77777777" w:rsidR="00000000" w:rsidRDefault="003C49E9">
            <w:pPr>
              <w:rPr>
                <w:rFonts w:eastAsia="Times New Roman"/>
                <w:sz w:val="20"/>
                <w:szCs w:val="20"/>
              </w:rPr>
            </w:pPr>
          </w:p>
        </w:tc>
        <w:tc>
          <w:tcPr>
            <w:tcW w:w="50" w:type="pct"/>
            <w:vAlign w:val="center"/>
            <w:hideMark/>
          </w:tcPr>
          <w:p w14:paraId="5EA352CC" w14:textId="77777777" w:rsidR="00000000" w:rsidRDefault="003C49E9">
            <w:pPr>
              <w:rPr>
                <w:rFonts w:eastAsia="Times New Roman"/>
                <w:sz w:val="20"/>
                <w:szCs w:val="20"/>
              </w:rPr>
            </w:pPr>
          </w:p>
        </w:tc>
        <w:tc>
          <w:tcPr>
            <w:tcW w:w="975" w:type="pct"/>
            <w:vAlign w:val="center"/>
            <w:hideMark/>
          </w:tcPr>
          <w:p w14:paraId="3AAC562B" w14:textId="77777777" w:rsidR="00000000" w:rsidRDefault="003C49E9">
            <w:pPr>
              <w:rPr>
                <w:rFonts w:eastAsia="Times New Roman"/>
                <w:sz w:val="20"/>
                <w:szCs w:val="20"/>
              </w:rPr>
            </w:pPr>
          </w:p>
        </w:tc>
        <w:tc>
          <w:tcPr>
            <w:tcW w:w="50" w:type="pct"/>
            <w:vAlign w:val="center"/>
            <w:hideMark/>
          </w:tcPr>
          <w:p w14:paraId="00728558" w14:textId="77777777" w:rsidR="00000000" w:rsidRDefault="003C49E9">
            <w:pPr>
              <w:rPr>
                <w:rFonts w:eastAsia="Times New Roman"/>
                <w:sz w:val="20"/>
                <w:szCs w:val="20"/>
              </w:rPr>
            </w:pPr>
          </w:p>
        </w:tc>
      </w:tr>
      <w:tr w:rsidR="00000000" w14:paraId="20D6C9F6" w14:textId="77777777">
        <w:trPr>
          <w:divId w:val="878931627"/>
          <w:trHeight w:val="160"/>
          <w:tblCellSpacing w:w="15" w:type="dxa"/>
        </w:trPr>
        <w:tc>
          <w:tcPr>
            <w:tcW w:w="0" w:type="auto"/>
            <w:vAlign w:val="bottom"/>
            <w:hideMark/>
          </w:tcPr>
          <w:p w14:paraId="6B27D88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2AAEB3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20E891B" w14:textId="77777777" w:rsidR="00000000" w:rsidRDefault="003C49E9">
            <w:pPr>
              <w:pStyle w:val="a3"/>
              <w:spacing w:before="0" w:beforeAutospacing="0" w:after="0" w:afterAutospacing="0"/>
              <w:jc w:val="center"/>
              <w:rPr>
                <w:sz w:val="16"/>
                <w:szCs w:val="16"/>
              </w:rPr>
            </w:pPr>
            <w:r>
              <w:rPr>
                <w:b/>
                <w:bCs/>
                <w:sz w:val="16"/>
                <w:szCs w:val="16"/>
              </w:rPr>
              <w:t>As of June 30, 202</w:t>
            </w:r>
            <w:r>
              <w:rPr>
                <w:b/>
                <w:bCs/>
                <w:sz w:val="16"/>
                <w:szCs w:val="16"/>
              </w:rPr>
              <w:t>2</w:t>
            </w:r>
          </w:p>
        </w:tc>
        <w:tc>
          <w:tcPr>
            <w:tcW w:w="0" w:type="auto"/>
            <w:vAlign w:val="bottom"/>
            <w:hideMark/>
          </w:tcPr>
          <w:p w14:paraId="22AE887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CB6AEF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7627912" w14:textId="77777777" w:rsidR="00000000" w:rsidRDefault="003C49E9">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14:paraId="07CB6462"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91E68D6" w14:textId="77777777">
        <w:trPr>
          <w:divId w:val="878931627"/>
          <w:trHeight w:val="160"/>
          <w:tblCellSpacing w:w="15" w:type="dxa"/>
        </w:trPr>
        <w:tc>
          <w:tcPr>
            <w:tcW w:w="0" w:type="auto"/>
            <w:vAlign w:val="bottom"/>
            <w:hideMark/>
          </w:tcPr>
          <w:p w14:paraId="6B0EAB5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CD04C07"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4E01622A"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61FB2E3"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159D3641" w14:textId="77777777">
        <w:trPr>
          <w:divId w:val="878931627"/>
          <w:trHeight w:val="200"/>
          <w:tblCellSpacing w:w="15" w:type="dxa"/>
        </w:trPr>
        <w:tc>
          <w:tcPr>
            <w:tcW w:w="0" w:type="auto"/>
            <w:vAlign w:val="bottom"/>
            <w:hideMark/>
          </w:tcPr>
          <w:p w14:paraId="0EA8A054" w14:textId="77777777" w:rsidR="00000000" w:rsidRDefault="003C49E9">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14:paraId="761B6E0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5593FF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BF7A167" w14:textId="77777777" w:rsidR="00000000" w:rsidRDefault="003C49E9">
            <w:pPr>
              <w:pStyle w:val="a3"/>
              <w:spacing w:before="0" w:beforeAutospacing="0" w:after="0" w:afterAutospacing="0"/>
              <w:jc w:val="right"/>
              <w:rPr>
                <w:sz w:val="20"/>
                <w:szCs w:val="20"/>
              </w:rPr>
            </w:pPr>
            <w:r>
              <w:rPr>
                <w:sz w:val="20"/>
                <w:szCs w:val="20"/>
              </w:rPr>
              <w:t>227,60</w:t>
            </w:r>
            <w:r>
              <w:rPr>
                <w:sz w:val="20"/>
                <w:szCs w:val="20"/>
              </w:rPr>
              <w:t>8</w:t>
            </w:r>
          </w:p>
        </w:tc>
        <w:tc>
          <w:tcPr>
            <w:tcW w:w="0" w:type="auto"/>
            <w:noWrap/>
            <w:vAlign w:val="bottom"/>
            <w:hideMark/>
          </w:tcPr>
          <w:p w14:paraId="05F7A8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90876F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4C9BA1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9F54A64" w14:textId="77777777" w:rsidR="00000000" w:rsidRDefault="003C49E9">
            <w:pPr>
              <w:pStyle w:val="a3"/>
              <w:spacing w:before="0" w:beforeAutospacing="0" w:after="0" w:afterAutospacing="0"/>
              <w:jc w:val="right"/>
              <w:rPr>
                <w:sz w:val="20"/>
                <w:szCs w:val="20"/>
              </w:rPr>
            </w:pPr>
            <w:r>
              <w:rPr>
                <w:sz w:val="20"/>
                <w:szCs w:val="20"/>
              </w:rPr>
              <w:t>226,84</w:t>
            </w:r>
            <w:r>
              <w:rPr>
                <w:sz w:val="20"/>
                <w:szCs w:val="20"/>
              </w:rPr>
              <w:t>8</w:t>
            </w:r>
          </w:p>
        </w:tc>
        <w:tc>
          <w:tcPr>
            <w:tcW w:w="0" w:type="auto"/>
            <w:noWrap/>
            <w:vAlign w:val="bottom"/>
            <w:hideMark/>
          </w:tcPr>
          <w:p w14:paraId="0233BB18" w14:textId="77777777" w:rsidR="00000000" w:rsidRDefault="003C49E9">
            <w:pPr>
              <w:pStyle w:val="a3"/>
              <w:spacing w:before="0" w:beforeAutospacing="0" w:after="0" w:afterAutospacing="0"/>
              <w:rPr>
                <w:sz w:val="20"/>
                <w:szCs w:val="20"/>
              </w:rPr>
            </w:pPr>
            <w:r>
              <w:rPr>
                <w:sz w:val="20"/>
                <w:szCs w:val="20"/>
              </w:rPr>
              <w:t> </w:t>
            </w:r>
          </w:p>
        </w:tc>
      </w:tr>
      <w:tr w:rsidR="00000000" w14:paraId="792BA9DF" w14:textId="77777777">
        <w:trPr>
          <w:divId w:val="878931627"/>
          <w:trHeight w:val="200"/>
          <w:tblCellSpacing w:w="15" w:type="dxa"/>
        </w:trPr>
        <w:tc>
          <w:tcPr>
            <w:tcW w:w="0" w:type="auto"/>
            <w:vAlign w:val="bottom"/>
            <w:hideMark/>
          </w:tcPr>
          <w:p w14:paraId="4B370760" w14:textId="77777777" w:rsidR="00000000" w:rsidRDefault="003C49E9">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14:paraId="1922BB5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47A3E7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BC3699" w14:textId="77777777" w:rsidR="00000000" w:rsidRDefault="003C49E9">
            <w:pPr>
              <w:pStyle w:val="a3"/>
              <w:spacing w:before="0" w:beforeAutospacing="0" w:after="0" w:afterAutospacing="0"/>
              <w:jc w:val="right"/>
              <w:rPr>
                <w:sz w:val="20"/>
                <w:szCs w:val="20"/>
              </w:rPr>
            </w:pPr>
            <w:r>
              <w:rPr>
                <w:sz w:val="20"/>
                <w:szCs w:val="20"/>
              </w:rPr>
              <w:t>126,41</w:t>
            </w:r>
            <w:r>
              <w:rPr>
                <w:sz w:val="20"/>
                <w:szCs w:val="20"/>
              </w:rPr>
              <w:t>0</w:t>
            </w:r>
          </w:p>
        </w:tc>
        <w:tc>
          <w:tcPr>
            <w:tcW w:w="0" w:type="auto"/>
            <w:noWrap/>
            <w:vAlign w:val="bottom"/>
            <w:hideMark/>
          </w:tcPr>
          <w:p w14:paraId="0F8768B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C92C3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8B21DD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305FA2" w14:textId="77777777" w:rsidR="00000000" w:rsidRDefault="003C49E9">
            <w:pPr>
              <w:pStyle w:val="a3"/>
              <w:spacing w:before="0" w:beforeAutospacing="0" w:after="0" w:afterAutospacing="0"/>
              <w:jc w:val="right"/>
              <w:rPr>
                <w:sz w:val="20"/>
                <w:szCs w:val="20"/>
              </w:rPr>
            </w:pPr>
            <w:r>
              <w:rPr>
                <w:sz w:val="20"/>
                <w:szCs w:val="20"/>
              </w:rPr>
              <w:t>139,84</w:t>
            </w:r>
            <w:r>
              <w:rPr>
                <w:sz w:val="20"/>
                <w:szCs w:val="20"/>
              </w:rPr>
              <w:t>6</w:t>
            </w:r>
          </w:p>
        </w:tc>
        <w:tc>
          <w:tcPr>
            <w:tcW w:w="0" w:type="auto"/>
            <w:noWrap/>
            <w:vAlign w:val="bottom"/>
            <w:hideMark/>
          </w:tcPr>
          <w:p w14:paraId="6ED1941A" w14:textId="77777777" w:rsidR="00000000" w:rsidRDefault="003C49E9">
            <w:pPr>
              <w:pStyle w:val="a3"/>
              <w:spacing w:before="0" w:beforeAutospacing="0" w:after="0" w:afterAutospacing="0"/>
              <w:rPr>
                <w:sz w:val="20"/>
                <w:szCs w:val="20"/>
              </w:rPr>
            </w:pPr>
            <w:r>
              <w:rPr>
                <w:sz w:val="20"/>
                <w:szCs w:val="20"/>
              </w:rPr>
              <w:t> </w:t>
            </w:r>
          </w:p>
        </w:tc>
      </w:tr>
      <w:tr w:rsidR="00000000" w14:paraId="2D65B5C9" w14:textId="77777777">
        <w:trPr>
          <w:divId w:val="878931627"/>
          <w:trHeight w:val="200"/>
          <w:tblCellSpacing w:w="15" w:type="dxa"/>
        </w:trPr>
        <w:tc>
          <w:tcPr>
            <w:tcW w:w="0" w:type="auto"/>
            <w:vAlign w:val="bottom"/>
            <w:hideMark/>
          </w:tcPr>
          <w:p w14:paraId="1B20B6BE" w14:textId="77777777" w:rsidR="00000000" w:rsidRDefault="003C49E9">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14:paraId="510F4BB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2D7E01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BD29A0" w14:textId="77777777" w:rsidR="00000000" w:rsidRDefault="003C49E9">
            <w:pPr>
              <w:pStyle w:val="a3"/>
              <w:spacing w:before="0" w:beforeAutospacing="0" w:after="0" w:afterAutospacing="0"/>
              <w:jc w:val="right"/>
              <w:rPr>
                <w:sz w:val="20"/>
                <w:szCs w:val="20"/>
              </w:rPr>
            </w:pPr>
            <w:r>
              <w:rPr>
                <w:sz w:val="20"/>
                <w:szCs w:val="20"/>
              </w:rPr>
              <w:t>12,14</w:t>
            </w:r>
            <w:r>
              <w:rPr>
                <w:sz w:val="20"/>
                <w:szCs w:val="20"/>
              </w:rPr>
              <w:t>0</w:t>
            </w:r>
          </w:p>
        </w:tc>
        <w:tc>
          <w:tcPr>
            <w:tcW w:w="0" w:type="auto"/>
            <w:noWrap/>
            <w:vAlign w:val="bottom"/>
            <w:hideMark/>
          </w:tcPr>
          <w:p w14:paraId="79F2B3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D7171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C9E1C1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8A83129" w14:textId="77777777" w:rsidR="00000000" w:rsidRDefault="003C49E9">
            <w:pPr>
              <w:pStyle w:val="a3"/>
              <w:spacing w:before="0" w:beforeAutospacing="0" w:after="0" w:afterAutospacing="0"/>
              <w:jc w:val="right"/>
              <w:rPr>
                <w:sz w:val="20"/>
                <w:szCs w:val="20"/>
              </w:rPr>
            </w:pPr>
            <w:r>
              <w:rPr>
                <w:sz w:val="20"/>
                <w:szCs w:val="20"/>
              </w:rPr>
              <w:t>10,26</w:t>
            </w:r>
            <w:r>
              <w:rPr>
                <w:sz w:val="20"/>
                <w:szCs w:val="20"/>
              </w:rPr>
              <w:t>8</w:t>
            </w:r>
          </w:p>
        </w:tc>
        <w:tc>
          <w:tcPr>
            <w:tcW w:w="0" w:type="auto"/>
            <w:noWrap/>
            <w:vAlign w:val="bottom"/>
            <w:hideMark/>
          </w:tcPr>
          <w:p w14:paraId="1772E271" w14:textId="77777777" w:rsidR="00000000" w:rsidRDefault="003C49E9">
            <w:pPr>
              <w:pStyle w:val="a3"/>
              <w:spacing w:before="0" w:beforeAutospacing="0" w:after="0" w:afterAutospacing="0"/>
              <w:rPr>
                <w:sz w:val="20"/>
                <w:szCs w:val="20"/>
              </w:rPr>
            </w:pPr>
            <w:r>
              <w:rPr>
                <w:sz w:val="20"/>
                <w:szCs w:val="20"/>
              </w:rPr>
              <w:t> </w:t>
            </w:r>
          </w:p>
        </w:tc>
      </w:tr>
      <w:tr w:rsidR="00000000" w14:paraId="366F5887" w14:textId="77777777">
        <w:trPr>
          <w:divId w:val="878931627"/>
          <w:trHeight w:val="200"/>
          <w:tblCellSpacing w:w="15" w:type="dxa"/>
        </w:trPr>
        <w:tc>
          <w:tcPr>
            <w:tcW w:w="0" w:type="auto"/>
            <w:vAlign w:val="bottom"/>
            <w:hideMark/>
          </w:tcPr>
          <w:p w14:paraId="31FBA45B" w14:textId="77777777" w:rsidR="00000000" w:rsidRDefault="003C49E9">
            <w:pPr>
              <w:pStyle w:val="a3"/>
              <w:spacing w:before="0" w:beforeAutospacing="0" w:after="0" w:afterAutospacing="0"/>
              <w:ind w:left="200"/>
              <w:rPr>
                <w:sz w:val="20"/>
                <w:szCs w:val="20"/>
              </w:rPr>
            </w:pPr>
            <w:r>
              <w:rPr>
                <w:sz w:val="20"/>
                <w:szCs w:val="20"/>
              </w:rPr>
              <w:t>Total long-lived asset</w:t>
            </w:r>
            <w:r>
              <w:rPr>
                <w:sz w:val="20"/>
                <w:szCs w:val="20"/>
              </w:rPr>
              <w:t>s</w:t>
            </w:r>
          </w:p>
        </w:tc>
        <w:tc>
          <w:tcPr>
            <w:tcW w:w="0" w:type="auto"/>
            <w:vAlign w:val="bottom"/>
            <w:hideMark/>
          </w:tcPr>
          <w:p w14:paraId="1DDD03B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E42FF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11D2B4" w14:textId="77777777" w:rsidR="00000000" w:rsidRDefault="003C49E9">
            <w:pPr>
              <w:pStyle w:val="a3"/>
              <w:spacing w:before="0" w:beforeAutospacing="0" w:after="0" w:afterAutospacing="0"/>
              <w:jc w:val="right"/>
              <w:rPr>
                <w:sz w:val="20"/>
                <w:szCs w:val="20"/>
              </w:rPr>
            </w:pPr>
            <w:r>
              <w:rPr>
                <w:sz w:val="20"/>
                <w:szCs w:val="20"/>
              </w:rPr>
              <w:t>366,15</w:t>
            </w:r>
            <w:r>
              <w:rPr>
                <w:sz w:val="20"/>
                <w:szCs w:val="20"/>
              </w:rPr>
              <w:t>8</w:t>
            </w:r>
          </w:p>
        </w:tc>
        <w:tc>
          <w:tcPr>
            <w:tcW w:w="0" w:type="auto"/>
            <w:noWrap/>
            <w:vAlign w:val="bottom"/>
            <w:hideMark/>
          </w:tcPr>
          <w:p w14:paraId="11CD1C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C7938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73826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55E7386" w14:textId="77777777" w:rsidR="00000000" w:rsidRDefault="003C49E9">
            <w:pPr>
              <w:pStyle w:val="a3"/>
              <w:spacing w:before="0" w:beforeAutospacing="0" w:after="0" w:afterAutospacing="0"/>
              <w:jc w:val="right"/>
              <w:rPr>
                <w:sz w:val="20"/>
                <w:szCs w:val="20"/>
              </w:rPr>
            </w:pPr>
            <w:r>
              <w:rPr>
                <w:sz w:val="20"/>
                <w:szCs w:val="20"/>
              </w:rPr>
              <w:t>376,96</w:t>
            </w:r>
            <w:r>
              <w:rPr>
                <w:sz w:val="20"/>
                <w:szCs w:val="20"/>
              </w:rPr>
              <w:t>2</w:t>
            </w:r>
          </w:p>
        </w:tc>
        <w:tc>
          <w:tcPr>
            <w:tcW w:w="0" w:type="auto"/>
            <w:noWrap/>
            <w:vAlign w:val="bottom"/>
            <w:hideMark/>
          </w:tcPr>
          <w:p w14:paraId="3382A7E2" w14:textId="77777777" w:rsidR="00000000" w:rsidRDefault="003C49E9">
            <w:pPr>
              <w:pStyle w:val="a3"/>
              <w:spacing w:before="0" w:beforeAutospacing="0" w:after="0" w:afterAutospacing="0"/>
              <w:rPr>
                <w:sz w:val="20"/>
                <w:szCs w:val="20"/>
              </w:rPr>
            </w:pPr>
            <w:r>
              <w:rPr>
                <w:sz w:val="20"/>
                <w:szCs w:val="20"/>
              </w:rPr>
              <w:t> </w:t>
            </w:r>
          </w:p>
        </w:tc>
      </w:tr>
      <w:tr w:rsidR="00000000" w14:paraId="6BF511A1" w14:textId="77777777">
        <w:trPr>
          <w:divId w:val="878931627"/>
          <w:trHeight w:val="200"/>
          <w:tblCellSpacing w:w="15" w:type="dxa"/>
        </w:trPr>
        <w:tc>
          <w:tcPr>
            <w:tcW w:w="0" w:type="auto"/>
            <w:vAlign w:val="bottom"/>
            <w:hideMark/>
          </w:tcPr>
          <w:p w14:paraId="68A3FB32" w14:textId="77777777" w:rsidR="00000000" w:rsidRDefault="003C49E9">
            <w:pPr>
              <w:pStyle w:val="a3"/>
              <w:spacing w:before="0" w:beforeAutospacing="0" w:after="0" w:afterAutospacing="0"/>
              <w:rPr>
                <w:sz w:val="20"/>
                <w:szCs w:val="20"/>
              </w:rPr>
            </w:pPr>
            <w:r>
              <w:rPr>
                <w:sz w:val="20"/>
                <w:szCs w:val="20"/>
              </w:rPr>
              <w:t>Percentage of long-lived assets held outside of the America</w:t>
            </w:r>
            <w:r>
              <w:rPr>
                <w:sz w:val="20"/>
                <w:szCs w:val="20"/>
              </w:rPr>
              <w:t>s</w:t>
            </w:r>
          </w:p>
        </w:tc>
        <w:tc>
          <w:tcPr>
            <w:tcW w:w="0" w:type="auto"/>
            <w:vAlign w:val="bottom"/>
            <w:hideMark/>
          </w:tcPr>
          <w:p w14:paraId="75E8AA4B"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9D9E61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5E1C3D" w14:textId="77777777" w:rsidR="00000000" w:rsidRDefault="003C49E9">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14:paraId="306E161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A51761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22B7F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9D8B7AB" w14:textId="77777777" w:rsidR="00000000" w:rsidRDefault="003C49E9">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14:paraId="5A0AD0B2" w14:textId="77777777" w:rsidR="00000000" w:rsidRDefault="003C49E9">
            <w:pPr>
              <w:pStyle w:val="a3"/>
              <w:spacing w:before="0" w:beforeAutospacing="0" w:after="0" w:afterAutospacing="0"/>
              <w:rPr>
                <w:sz w:val="20"/>
                <w:szCs w:val="20"/>
              </w:rPr>
            </w:pPr>
            <w:r>
              <w:rPr>
                <w:sz w:val="20"/>
                <w:szCs w:val="20"/>
              </w:rPr>
              <w:t>%</w:t>
            </w:r>
          </w:p>
        </w:tc>
      </w:tr>
    </w:tbl>
    <w:p w14:paraId="33B24CF1" w14:textId="77777777" w:rsidR="00000000" w:rsidRDefault="003C49E9">
      <w:pPr>
        <w:pStyle w:val="a3"/>
        <w:spacing w:before="200" w:beforeAutospacing="0" w:after="0" w:afterAutospacing="0"/>
        <w:rPr>
          <w:sz w:val="20"/>
          <w:szCs w:val="20"/>
        </w:rPr>
      </w:pPr>
      <w:r>
        <w:rPr>
          <w:sz w:val="20"/>
          <w:szCs w:val="20"/>
        </w:rPr>
        <w:t> </w:t>
      </w:r>
    </w:p>
    <w:p w14:paraId="5A3E9257"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1</w:t>
      </w:r>
    </w:p>
    <w:p w14:paraId="2D80F6D0" w14:textId="77777777" w:rsidR="00000000" w:rsidRDefault="003C49E9">
      <w:pPr>
        <w:rPr>
          <w:rFonts w:eastAsia="Times New Roman"/>
        </w:rPr>
      </w:pPr>
      <w:r>
        <w:rPr>
          <w:rFonts w:eastAsia="Times New Roman"/>
        </w:rPr>
        <w:pict w14:anchorId="20C90F8C">
          <v:rect id="_x0000_i1045" style="width:0;height:1.5pt" o:hralign="center" o:hrstd="t" o:hr="t" fillcolor="#a0a0a0" stroked="f"/>
        </w:pict>
      </w:r>
    </w:p>
    <w:p w14:paraId="47894FEC" w14:textId="77777777" w:rsidR="00000000" w:rsidRDefault="003C49E9">
      <w:pPr>
        <w:pStyle w:val="a3"/>
        <w:spacing w:before="0" w:beforeAutospacing="0" w:after="0" w:afterAutospacing="0"/>
        <w:rPr>
          <w:sz w:val="20"/>
          <w:szCs w:val="20"/>
        </w:rPr>
      </w:pPr>
      <w:r>
        <w:rPr>
          <w:sz w:val="20"/>
          <w:szCs w:val="20"/>
        </w:rPr>
        <w:t> </w:t>
      </w:r>
    </w:p>
    <w:p w14:paraId="79CBD9B6" w14:textId="77777777" w:rsidR="00000000" w:rsidRDefault="003C49E9">
      <w:pPr>
        <w:pStyle w:val="a3"/>
        <w:spacing w:before="200" w:beforeAutospacing="0" w:after="0" w:afterAutospacing="0"/>
        <w:ind w:hanging="122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w:t>
      </w:r>
      <w:r>
        <w:rPr>
          <w:b/>
          <w:bCs/>
          <w:sz w:val="20"/>
          <w:szCs w:val="20"/>
        </w:rPr>
        <w:t>s</w:t>
      </w:r>
    </w:p>
    <w:p w14:paraId="1C6C182D" w14:textId="77777777" w:rsidR="00000000" w:rsidRDefault="003C49E9">
      <w:pPr>
        <w:pStyle w:val="a3"/>
        <w:spacing w:before="200" w:beforeAutospacing="0" w:after="0" w:afterAutospacing="0"/>
        <w:ind w:firstLine="555"/>
        <w:rPr>
          <w:sz w:val="20"/>
          <w:szCs w:val="20"/>
        </w:rPr>
      </w:pPr>
      <w:r>
        <w:rPr>
          <w:i/>
          <w:iCs/>
          <w:sz w:val="20"/>
          <w:szCs w:val="20"/>
        </w:rPr>
        <w:t>The following discussion and analysis of our financial condition and results of operations should be read in conjunction wit</w:t>
      </w:r>
      <w:r>
        <w:rPr>
          <w:i/>
          <w:iCs/>
          <w:sz w:val="20"/>
          <w:szCs w:val="20"/>
        </w:rPr>
        <w:t>h our consolidated financial statements and related notes appearing elsewhere in this Quarterly Report on Form 10-Q and our Annual Report on Form 10-K for the year ended December 31, 2021 filed with the SEC on February 14, 2022. As discussed in the section</w:t>
      </w:r>
      <w:r>
        <w:rPr>
          <w:i/>
          <w:iCs/>
          <w:sz w:val="20"/>
          <w:szCs w:val="20"/>
        </w:rPr>
        <w:t xml:space="preserve"> titled “Special Note Regarding Forward-Looking Statements,” the following discussion and analysis contains forward-looking statements that involve risks and uncertainties, as well as assumptions that, if they never materialize or prove incorrect, could ca</w:t>
      </w:r>
      <w:r>
        <w:rPr>
          <w:i/>
          <w:iCs/>
          <w:sz w:val="20"/>
          <w:szCs w:val="20"/>
        </w:rPr>
        <w:t xml:space="preserve">use our results to differ materially from those expressed or implied by such forward-looking statements. Factors that could cause or contribute to such differences include, but are not limited to, those identified below, and those discussed in the section </w:t>
      </w:r>
      <w:r>
        <w:rPr>
          <w:i/>
          <w:iCs/>
          <w:sz w:val="20"/>
          <w:szCs w:val="20"/>
        </w:rPr>
        <w:t>titled “Risk Factors” included under Part II, Item 1A below</w:t>
      </w:r>
      <w:r>
        <w:rPr>
          <w:i/>
          <w:iCs/>
          <w:sz w:val="20"/>
          <w:szCs w:val="20"/>
        </w:rPr>
        <w:t>.</w:t>
      </w:r>
    </w:p>
    <w:p w14:paraId="79E82FF7" w14:textId="77777777" w:rsidR="00000000" w:rsidRDefault="003C49E9">
      <w:pPr>
        <w:pStyle w:val="a3"/>
        <w:spacing w:before="200" w:beforeAutospacing="0" w:after="0" w:afterAutospacing="0"/>
        <w:rPr>
          <w:sz w:val="20"/>
          <w:szCs w:val="20"/>
        </w:rPr>
      </w:pPr>
      <w:r>
        <w:rPr>
          <w:b/>
          <w:bCs/>
          <w:sz w:val="20"/>
          <w:szCs w:val="20"/>
        </w:rPr>
        <w:t>Company Overvie</w:t>
      </w:r>
      <w:r>
        <w:rPr>
          <w:b/>
          <w:bCs/>
          <w:sz w:val="20"/>
          <w:szCs w:val="20"/>
        </w:rPr>
        <w:t>w</w:t>
      </w:r>
    </w:p>
    <w:p w14:paraId="5B850AB8" w14:textId="77777777" w:rsidR="00000000" w:rsidRDefault="003C49E9">
      <w:pPr>
        <w:pStyle w:val="a3"/>
        <w:spacing w:before="200" w:beforeAutospacing="0" w:after="0" w:afterAutospacing="0"/>
        <w:ind w:firstLine="592"/>
        <w:rPr>
          <w:sz w:val="20"/>
          <w:szCs w:val="20"/>
        </w:rPr>
      </w:pPr>
      <w:r>
        <w:rPr>
          <w:sz w:val="20"/>
          <w:szCs w:val="20"/>
        </w:rPr>
        <w:t>We provide a cloud-based customer relationship management (“CRM”) Platform. Our CRM Platform is comprised of Marketing Hub, Sales Hub, Service Hub, content management system ("CM</w:t>
      </w:r>
      <w:r>
        <w:rPr>
          <w:sz w:val="20"/>
          <w:szCs w:val="20"/>
        </w:rPr>
        <w:t>S") Hub, and Operations Hub as well as other tools, integrations, and a native payment solution that enable companies to attract, engage, and delight customers throughout the customer experience</w:t>
      </w:r>
      <w:r>
        <w:rPr>
          <w:sz w:val="20"/>
          <w:szCs w:val="20"/>
        </w:rPr>
        <w:t>.</w:t>
      </w:r>
    </w:p>
    <w:p w14:paraId="19F91594" w14:textId="77777777" w:rsidR="00000000" w:rsidRDefault="003C49E9">
      <w:pPr>
        <w:pStyle w:val="a3"/>
        <w:spacing w:before="200" w:beforeAutospacing="0" w:after="0" w:afterAutospacing="0"/>
        <w:ind w:firstLine="592"/>
        <w:rPr>
          <w:sz w:val="20"/>
          <w:szCs w:val="20"/>
        </w:rPr>
      </w:pPr>
      <w:r>
        <w:rPr>
          <w:sz w:val="20"/>
          <w:szCs w:val="20"/>
        </w:rPr>
        <w:t>At the core of our CRM Platform is our CRM that our customer</w:t>
      </w:r>
      <w:r>
        <w:rPr>
          <w:sz w:val="20"/>
          <w:szCs w:val="20"/>
        </w:rPr>
        <w:t>s use which creates a single view of all interactions a prospective or existing customer has with their marketing, sales and customer service teams. The CRM shares data across every application in the CRM Platform, automatically informing more personalized</w:t>
      </w:r>
      <w:r>
        <w:rPr>
          <w:sz w:val="20"/>
          <w:szCs w:val="20"/>
        </w:rPr>
        <w:t xml:space="preserve"> emails, website content, ads, and conversations, and enables more accurate timing cues for our customer’s internal teams. Our CRM Platform was built to easily and seamlessly integrate third-party applications to further customize to an individual company’</w:t>
      </w:r>
      <w:r>
        <w:rPr>
          <w:sz w:val="20"/>
          <w:szCs w:val="20"/>
        </w:rPr>
        <w:t>s industry or needs. In addition, an end-to-end native payment solution, Payments, is built within our CRM Platform which enables customers to streamline their payment process. Our CRM Platform starts completely free and grows with our customers to meet th</w:t>
      </w:r>
      <w:r>
        <w:rPr>
          <w:sz w:val="20"/>
          <w:szCs w:val="20"/>
        </w:rPr>
        <w:t>eir needs at different stages in their life-cycles. It supports multiple languages and currencies and offers an array of sophisticated features, including content partitioning at the enterprise level for companies operating in or serving multiple countries</w:t>
      </w:r>
      <w:r>
        <w:rPr>
          <w:sz w:val="20"/>
          <w:szCs w:val="20"/>
        </w:rPr>
        <w:t>.</w:t>
      </w:r>
    </w:p>
    <w:p w14:paraId="03BD955A" w14:textId="77777777" w:rsidR="00000000" w:rsidRDefault="003C49E9">
      <w:pPr>
        <w:pStyle w:val="a3"/>
        <w:spacing w:before="200" w:beforeAutospacing="0" w:after="0" w:afterAutospacing="0"/>
        <w:ind w:firstLine="592"/>
        <w:rPr>
          <w:sz w:val="20"/>
          <w:szCs w:val="20"/>
        </w:rPr>
      </w:pPr>
      <w:r>
        <w:rPr>
          <w:sz w:val="20"/>
          <w:szCs w:val="20"/>
        </w:rPr>
        <w:t>We focus on selling to mid-market business-to-business, or B2B, companies, which we define as companies that have between two and 2,000 employees. While our CRM Platform was built to grow with any company, we focus on selling to mid-market businesses bec</w:t>
      </w:r>
      <w:r>
        <w:rPr>
          <w:sz w:val="20"/>
          <w:szCs w:val="20"/>
        </w:rPr>
        <w:t>ause we believe we have significant competitive advantages attracting and serving this market segment. These mid-market businesses seek an integrated, easy-to-implement and easy-to-use solution to reach customers and compete with organizations that have la</w:t>
      </w:r>
      <w:r>
        <w:rPr>
          <w:sz w:val="20"/>
          <w:szCs w:val="20"/>
        </w:rPr>
        <w:t>rger marketing, sales, and customer service budgets. We efficiently reach these businesses at scale through our proven inbound methodology, our Solutions Partners, and our “freemium” model. A Solutions Partner is a service provider that helps businesses wi</w:t>
      </w:r>
      <w:r>
        <w:rPr>
          <w:sz w:val="20"/>
          <w:szCs w:val="20"/>
        </w:rPr>
        <w:t>th strategy, execution, and implementation of go-to-market activities and technology solutions. Our freemium model attracts customers who begin using our CRM Platform through our free products and then upgrade to our paid products.</w:t>
      </w:r>
      <w:r>
        <w:rPr>
          <w:sz w:val="20"/>
          <w:szCs w:val="20"/>
        </w:rPr>
        <w:t xml:space="preserve"> </w:t>
      </w:r>
      <w:r>
        <w:rPr>
          <w:sz w:val="20"/>
          <w:szCs w:val="20"/>
        </w:rPr>
        <w:t xml:space="preserve">As of June 30, 2022, we </w:t>
      </w:r>
      <w:r>
        <w:rPr>
          <w:sz w:val="20"/>
          <w:szCs w:val="20"/>
        </w:rPr>
        <w:t>had 7,045 full-time employees and 150,865 Customers of varying sizes in more than 120 countries, representing almost every industry</w:t>
      </w:r>
      <w:r>
        <w:rPr>
          <w:sz w:val="20"/>
          <w:szCs w:val="20"/>
        </w:rPr>
        <w:t>.</w:t>
      </w:r>
      <w:r>
        <w:rPr>
          <w:sz w:val="20"/>
          <w:szCs w:val="20"/>
        </w:rPr>
        <w:t xml:space="preserve"> </w:t>
      </w:r>
    </w:p>
    <w:p w14:paraId="1B175538" w14:textId="77777777" w:rsidR="00000000" w:rsidRDefault="003C49E9">
      <w:pPr>
        <w:pStyle w:val="a3"/>
        <w:spacing w:before="200" w:beforeAutospacing="0" w:after="0" w:afterAutospacing="0"/>
        <w:ind w:firstLine="592"/>
        <w:rPr>
          <w:sz w:val="20"/>
          <w:szCs w:val="20"/>
        </w:rPr>
      </w:pPr>
      <w:r>
        <w:rPr>
          <w:sz w:val="20"/>
          <w:szCs w:val="20"/>
        </w:rPr>
        <w:t xml:space="preserve">We derive most of our revenue from subscriptions to our cloud-based CRM Platform and related professional services, which </w:t>
      </w:r>
      <w:r>
        <w:rPr>
          <w:sz w:val="20"/>
          <w:szCs w:val="20"/>
        </w:rPr>
        <w:t>consist of customer on-boarding, training and consulting services. Subscription revenue accounted for 98% of our total revenue for the three and six months ended June 30, 2022, 97% of our total revenue for the three months ended June 30, 2021, and 96% of o</w:t>
      </w:r>
      <w:r>
        <w:rPr>
          <w:sz w:val="20"/>
          <w:szCs w:val="20"/>
        </w:rPr>
        <w:t>ur total revenue for the six months ended June 30, 2021. We sell multiple product plans at different base prices on a subscription basis, each of which includes our CRM and integrated applications to meet the needs of the various customers we serve. Custom</w:t>
      </w:r>
      <w:r>
        <w:rPr>
          <w:sz w:val="20"/>
          <w:szCs w:val="20"/>
        </w:rPr>
        <w:t>ers pay additional fees if the number of contacts stored and tracked in the customer’s database exceeds specified thresholds. We also generate additional revenue based on the purchase of additional subscriptions and products, and the number of account user</w:t>
      </w:r>
      <w:r>
        <w:rPr>
          <w:sz w:val="20"/>
          <w:szCs w:val="20"/>
        </w:rPr>
        <w:t>s and subdomains. Most of our customers’ subscriptions are one year or less in duration</w:t>
      </w:r>
      <w:r>
        <w:rPr>
          <w:sz w:val="20"/>
          <w:szCs w:val="20"/>
        </w:rPr>
        <w:t>.</w:t>
      </w:r>
    </w:p>
    <w:p w14:paraId="692D0FAC" w14:textId="77777777" w:rsidR="00000000" w:rsidRDefault="003C49E9">
      <w:pPr>
        <w:pStyle w:val="a3"/>
        <w:spacing w:before="200" w:beforeAutospacing="0" w:after="0" w:afterAutospacing="0"/>
        <w:ind w:firstLine="592"/>
        <w:rPr>
          <w:sz w:val="20"/>
          <w:szCs w:val="20"/>
        </w:rPr>
      </w:pPr>
      <w:r>
        <w:rPr>
          <w:sz w:val="20"/>
          <w:szCs w:val="20"/>
        </w:rPr>
        <w:t>Subscriptions are billed in advance on various schedules. Because the mix of billing terms for orders can vary from period to period, the annualized value of the order</w:t>
      </w:r>
      <w:r>
        <w:rPr>
          <w:sz w:val="20"/>
          <w:szCs w:val="20"/>
        </w:rPr>
        <w:t>s we enter into with our customers will not be completely reflected in deferred revenue at any single point in time. Accordingly, we do not believe that change in deferred revenue is an accurate indicator of future revenue</w:t>
      </w:r>
      <w:r>
        <w:rPr>
          <w:sz w:val="20"/>
          <w:szCs w:val="20"/>
        </w:rPr>
        <w:t>.</w:t>
      </w:r>
    </w:p>
    <w:p w14:paraId="00BF1A85" w14:textId="77777777" w:rsidR="00000000" w:rsidRDefault="003C49E9">
      <w:pPr>
        <w:pStyle w:val="a3"/>
        <w:spacing w:before="200" w:beforeAutospacing="0" w:after="0" w:afterAutospacing="0"/>
        <w:ind w:firstLine="592"/>
        <w:rPr>
          <w:sz w:val="20"/>
          <w:szCs w:val="20"/>
        </w:rPr>
      </w:pPr>
      <w:r>
        <w:rPr>
          <w:sz w:val="20"/>
          <w:szCs w:val="20"/>
        </w:rPr>
        <w:t>Many of our customers purchase o</w:t>
      </w:r>
      <w:r>
        <w:rPr>
          <w:sz w:val="20"/>
          <w:szCs w:val="20"/>
        </w:rPr>
        <w:t>n-boarding, training, and consulting services, and utilize other tools and Payments, which are designed to help customers enhance their ability to attract, engage and delight their customers using our CRM Platform. Professional services and other revenue a</w:t>
      </w:r>
      <w:r>
        <w:rPr>
          <w:sz w:val="20"/>
          <w:szCs w:val="20"/>
        </w:rPr>
        <w:t>ccounted for 2% of total revenue for three and six months ended June 30, 2022, 3% of our total revenue for the three months ended June 30, 2021, and 4% of our total revenue for the six months ended June 30, 2021</w:t>
      </w:r>
      <w:r>
        <w:rPr>
          <w:sz w:val="20"/>
          <w:szCs w:val="20"/>
        </w:rPr>
        <w:t>.</w:t>
      </w:r>
      <w:r>
        <w:rPr>
          <w:sz w:val="20"/>
          <w:szCs w:val="20"/>
        </w:rPr>
        <w:t xml:space="preserve"> </w:t>
      </w:r>
    </w:p>
    <w:p w14:paraId="3E691C69" w14:textId="77777777" w:rsidR="00000000" w:rsidRDefault="003C49E9">
      <w:pPr>
        <w:pStyle w:val="a3"/>
        <w:spacing w:before="200" w:beforeAutospacing="0" w:after="0" w:afterAutospacing="0"/>
        <w:ind w:firstLine="592"/>
        <w:rPr>
          <w:sz w:val="20"/>
          <w:szCs w:val="20"/>
        </w:rPr>
      </w:pPr>
      <w:r>
        <w:rPr>
          <w:sz w:val="20"/>
          <w:szCs w:val="20"/>
        </w:rPr>
        <w:t>We have focused on rapidly growing our bus</w:t>
      </w:r>
      <w:r>
        <w:rPr>
          <w:sz w:val="20"/>
          <w:szCs w:val="20"/>
        </w:rPr>
        <w:t>iness and plan to continue to make investments to help us address some of the challenges facing us to support this growth, such as demand for our CRM Platform by existing and new customers, significan</w:t>
      </w:r>
      <w:r>
        <w:rPr>
          <w:sz w:val="20"/>
          <w:szCs w:val="20"/>
        </w:rPr>
        <w:t>t</w:t>
      </w:r>
      <w:r>
        <w:rPr>
          <w:sz w:val="20"/>
          <w:szCs w:val="20"/>
        </w:rPr>
        <w:t xml:space="preserve"> </w:t>
      </w:r>
    </w:p>
    <w:p w14:paraId="6173B58B"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2</w:t>
      </w:r>
    </w:p>
    <w:p w14:paraId="2F089327" w14:textId="77777777" w:rsidR="00000000" w:rsidRDefault="003C49E9">
      <w:pPr>
        <w:rPr>
          <w:rFonts w:eastAsia="Times New Roman"/>
        </w:rPr>
      </w:pPr>
      <w:r>
        <w:rPr>
          <w:rFonts w:eastAsia="Times New Roman"/>
        </w:rPr>
        <w:pict w14:anchorId="5C663EDB">
          <v:rect id="_x0000_i1046" style="width:0;height:1.5pt" o:hralign="center" o:hrstd="t" o:hr="t" fillcolor="#a0a0a0" stroked="f"/>
        </w:pict>
      </w:r>
    </w:p>
    <w:p w14:paraId="77020A18" w14:textId="77777777" w:rsidR="00000000" w:rsidRDefault="003C49E9">
      <w:pPr>
        <w:pStyle w:val="a3"/>
        <w:spacing w:before="0" w:beforeAutospacing="0" w:after="0" w:afterAutospacing="0"/>
        <w:rPr>
          <w:sz w:val="20"/>
          <w:szCs w:val="20"/>
        </w:rPr>
      </w:pPr>
      <w:r>
        <w:rPr>
          <w:sz w:val="20"/>
          <w:szCs w:val="20"/>
        </w:rPr>
        <w:t> </w:t>
      </w:r>
    </w:p>
    <w:p w14:paraId="244A2D23" w14:textId="77777777" w:rsidR="00000000" w:rsidRDefault="003C49E9">
      <w:pPr>
        <w:pStyle w:val="a3"/>
        <w:spacing w:before="200" w:beforeAutospacing="0" w:after="0" w:afterAutospacing="0"/>
        <w:rPr>
          <w:sz w:val="20"/>
          <w:szCs w:val="20"/>
        </w:rPr>
      </w:pPr>
      <w:r>
        <w:rPr>
          <w:sz w:val="20"/>
          <w:szCs w:val="20"/>
        </w:rPr>
        <w:t>competition from other providers of marketing, sales, customer service, operations, and content management software and related applications and rapid technological change in our industry</w:t>
      </w:r>
      <w:r>
        <w:rPr>
          <w:sz w:val="20"/>
          <w:szCs w:val="20"/>
        </w:rPr>
        <w:t>.</w:t>
      </w:r>
      <w:r>
        <w:rPr>
          <w:sz w:val="20"/>
          <w:szCs w:val="20"/>
        </w:rPr>
        <w:t xml:space="preserve"> </w:t>
      </w:r>
    </w:p>
    <w:p w14:paraId="4CB25947" w14:textId="77777777" w:rsidR="00000000" w:rsidRDefault="003C49E9">
      <w:pPr>
        <w:pStyle w:val="a3"/>
        <w:spacing w:before="200" w:beforeAutospacing="0" w:after="0" w:afterAutospacing="0"/>
        <w:ind w:firstLine="592"/>
        <w:rPr>
          <w:sz w:val="20"/>
          <w:szCs w:val="20"/>
        </w:rPr>
      </w:pPr>
      <w:r>
        <w:rPr>
          <w:sz w:val="20"/>
          <w:szCs w:val="20"/>
        </w:rPr>
        <w:t>We believe that the growth of our business is dependent on many fa</w:t>
      </w:r>
      <w:r>
        <w:rPr>
          <w:sz w:val="20"/>
          <w:szCs w:val="20"/>
        </w:rPr>
        <w:t>ctors, including our ability to expand our customer base, increase adoption of our CRM Platform within existing customers, develop new products and applications to extend the functionality of our CRM Platform and provide a high level of customer service. W</w:t>
      </w:r>
      <w:r>
        <w:rPr>
          <w:sz w:val="20"/>
          <w:szCs w:val="20"/>
        </w:rPr>
        <w:t>e expect to continue to invest in sales and marketing and expand our international operations. We also expect to increase our investment in research and development as we continue to introduce new products and applications to extend the functionality of ou</w:t>
      </w:r>
      <w:r>
        <w:rPr>
          <w:sz w:val="20"/>
          <w:szCs w:val="20"/>
        </w:rPr>
        <w:t>r CRM Platform. We also intend to maintain a high level of customer service and support which we consider critical for our continued success. We plan to continue investing in our data center infrastructure and services capabilities in order to support cont</w:t>
      </w:r>
      <w:r>
        <w:rPr>
          <w:sz w:val="20"/>
          <w:szCs w:val="20"/>
        </w:rPr>
        <w:t>inued future customer growth. We also expect to continue to incur additional general and administrative expenses as a result of both our growth and the infrastructure required to be a public company. We expect to use our cash flow from operations and the p</w:t>
      </w:r>
      <w:r>
        <w:rPr>
          <w:sz w:val="20"/>
          <w:szCs w:val="20"/>
        </w:rPr>
        <w:t xml:space="preserve">roceeds from our convertible debt and prior stock offerings to fund these growth strategies and support our business and do not expect to be profitable in the near term. </w:t>
      </w:r>
      <w:r>
        <w:rPr>
          <w:sz w:val="20"/>
          <w:szCs w:val="20"/>
        </w:rPr>
        <w:br/>
      </w:r>
      <w:r>
        <w:rPr>
          <w:sz w:val="20"/>
          <w:szCs w:val="20"/>
        </w:rPr>
        <w:br/>
      </w:r>
      <w:r>
        <w:rPr>
          <w:sz w:val="20"/>
          <w:szCs w:val="20"/>
        </w:rPr>
        <w:br/>
      </w:r>
      <w:r>
        <w:rPr>
          <w:sz w:val="20"/>
          <w:szCs w:val="20"/>
        </w:rPr>
        <w:br/>
      </w:r>
      <w:r>
        <w:rPr>
          <w:b/>
          <w:bCs/>
          <w:sz w:val="20"/>
          <w:szCs w:val="20"/>
        </w:rPr>
        <w:t>COVID-19 and Other Global Economic Condition</w:t>
      </w:r>
      <w:r>
        <w:rPr>
          <w:b/>
          <w:bCs/>
          <w:sz w:val="20"/>
          <w:szCs w:val="20"/>
        </w:rPr>
        <w:t>s</w:t>
      </w:r>
      <w:r>
        <w:rPr>
          <w:b/>
          <w:bCs/>
          <w:sz w:val="20"/>
          <w:szCs w:val="20"/>
        </w:rPr>
        <w:t xml:space="preserve"> </w:t>
      </w:r>
    </w:p>
    <w:p w14:paraId="7117D028" w14:textId="77777777" w:rsidR="00000000" w:rsidRDefault="003C49E9">
      <w:pPr>
        <w:pStyle w:val="a3"/>
        <w:spacing w:before="200" w:beforeAutospacing="0" w:after="0" w:afterAutospacing="0"/>
        <w:ind w:firstLine="592"/>
        <w:rPr>
          <w:sz w:val="20"/>
          <w:szCs w:val="20"/>
        </w:rPr>
      </w:pPr>
      <w:r>
        <w:rPr>
          <w:sz w:val="20"/>
          <w:szCs w:val="20"/>
        </w:rPr>
        <w:t>Our results of operations can be si</w:t>
      </w:r>
      <w:r>
        <w:rPr>
          <w:sz w:val="20"/>
          <w:szCs w:val="20"/>
        </w:rPr>
        <w:t>gnificantly influenced by general macroeconomic conditions, including but not limited to, the impact of the pandemic, foreign currency fluctuations, interest rates, inflation, recession risks, existing and new domestic and foreign laws and regulations, all</w:t>
      </w:r>
      <w:r>
        <w:rPr>
          <w:sz w:val="20"/>
          <w:szCs w:val="20"/>
        </w:rPr>
        <w:t xml:space="preserve"> of which are beyond our control. Fluctuations in foreign exchange rates and rising inflation has had, and may continue to have an adverse impact on our financial condition and operating results in future periods.. As we continue to monitor the direct and </w:t>
      </w:r>
      <w:r>
        <w:rPr>
          <w:sz w:val="20"/>
          <w:szCs w:val="20"/>
        </w:rPr>
        <w:t>indirect impacts of these circumstances, the broader implications of these macroeconomic events on our business, results of operations and overall financial position, particularly in the long term, remain uncertain. See the section titled “Risk Factors'' i</w:t>
      </w:r>
      <w:r>
        <w:rPr>
          <w:sz w:val="20"/>
          <w:szCs w:val="20"/>
        </w:rPr>
        <w:t>ncluded under Part II, Item 1A below for further discussion of the possible impact of these factors and other risks on our business</w:t>
      </w:r>
      <w:r>
        <w:rPr>
          <w:sz w:val="20"/>
          <w:szCs w:val="20"/>
        </w:rPr>
        <w:t>.</w:t>
      </w:r>
    </w:p>
    <w:p w14:paraId="399986CB" w14:textId="77777777" w:rsidR="00000000" w:rsidRDefault="003C49E9">
      <w:pPr>
        <w:pStyle w:val="a3"/>
        <w:spacing w:before="0" w:beforeAutospacing="0" w:after="0" w:afterAutospacing="0"/>
        <w:rPr>
          <w:sz w:val="20"/>
          <w:szCs w:val="20"/>
        </w:rPr>
      </w:pPr>
      <w:r>
        <w:rPr>
          <w:sz w:val="20"/>
          <w:szCs w:val="20"/>
        </w:rPr>
        <w:t> </w:t>
      </w:r>
    </w:p>
    <w:p w14:paraId="51D4E1C0" w14:textId="77777777" w:rsidR="00000000" w:rsidRDefault="003C49E9">
      <w:pPr>
        <w:pStyle w:val="a3"/>
        <w:spacing w:before="0" w:beforeAutospacing="0" w:after="0" w:afterAutospacing="0"/>
        <w:rPr>
          <w:sz w:val="20"/>
          <w:szCs w:val="20"/>
        </w:rPr>
      </w:pPr>
      <w:r>
        <w:rPr>
          <w:sz w:val="20"/>
          <w:szCs w:val="20"/>
        </w:rPr>
        <w:t> </w:t>
      </w:r>
    </w:p>
    <w:p w14:paraId="6EE571F1" w14:textId="77777777" w:rsidR="00000000" w:rsidRDefault="003C49E9">
      <w:pPr>
        <w:pStyle w:val="a3"/>
        <w:spacing w:before="200" w:beforeAutospacing="0" w:after="0" w:afterAutospacing="0"/>
        <w:ind w:firstLine="592"/>
        <w:rPr>
          <w:sz w:val="20"/>
          <w:szCs w:val="20"/>
        </w:rPr>
      </w:pPr>
      <w:r>
        <w:rPr>
          <w:sz w:val="20"/>
          <w:szCs w:val="20"/>
        </w:rPr>
        <w:t> </w:t>
      </w:r>
    </w:p>
    <w:p w14:paraId="735119AB" w14:textId="77777777" w:rsidR="00000000" w:rsidRDefault="003C49E9">
      <w:pPr>
        <w:pStyle w:val="a3"/>
        <w:spacing w:before="200" w:beforeAutospacing="0" w:after="0" w:afterAutospacing="0"/>
        <w:ind w:firstLine="592"/>
        <w:rPr>
          <w:sz w:val="20"/>
          <w:szCs w:val="20"/>
        </w:rPr>
      </w:pPr>
      <w:r>
        <w:rPr>
          <w:sz w:val="20"/>
          <w:szCs w:val="20"/>
        </w:rPr>
        <w:t> </w:t>
      </w:r>
    </w:p>
    <w:p w14:paraId="09529D5A" w14:textId="77777777" w:rsidR="00000000" w:rsidRDefault="003C49E9">
      <w:pPr>
        <w:pStyle w:val="a3"/>
        <w:spacing w:before="200" w:beforeAutospacing="0" w:after="0" w:afterAutospacing="0"/>
        <w:ind w:firstLine="592"/>
        <w:rPr>
          <w:sz w:val="20"/>
          <w:szCs w:val="20"/>
        </w:rPr>
      </w:pPr>
      <w:r>
        <w:rPr>
          <w:sz w:val="20"/>
          <w:szCs w:val="20"/>
        </w:rPr>
        <w:t> </w:t>
      </w:r>
    </w:p>
    <w:p w14:paraId="416B2C49" w14:textId="77777777" w:rsidR="00000000" w:rsidRDefault="003C49E9">
      <w:pPr>
        <w:pStyle w:val="a3"/>
        <w:spacing w:before="200" w:beforeAutospacing="0" w:after="0" w:afterAutospacing="0"/>
        <w:ind w:firstLine="592"/>
        <w:rPr>
          <w:sz w:val="20"/>
          <w:szCs w:val="20"/>
        </w:rPr>
      </w:pPr>
      <w:r>
        <w:rPr>
          <w:sz w:val="20"/>
          <w:szCs w:val="20"/>
        </w:rPr>
        <w:t> </w:t>
      </w:r>
    </w:p>
    <w:p w14:paraId="478EB4E6" w14:textId="77777777" w:rsidR="00000000" w:rsidRDefault="003C49E9">
      <w:pPr>
        <w:pStyle w:val="a3"/>
        <w:spacing w:before="200" w:beforeAutospacing="0" w:after="0" w:afterAutospacing="0"/>
        <w:ind w:firstLine="592"/>
        <w:rPr>
          <w:sz w:val="20"/>
          <w:szCs w:val="20"/>
        </w:rPr>
      </w:pPr>
      <w:r>
        <w:rPr>
          <w:sz w:val="20"/>
          <w:szCs w:val="20"/>
        </w:rPr>
        <w:t> </w:t>
      </w:r>
    </w:p>
    <w:p w14:paraId="48BEC73A"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3</w:t>
      </w:r>
    </w:p>
    <w:p w14:paraId="59EDD695" w14:textId="77777777" w:rsidR="00000000" w:rsidRDefault="003C49E9">
      <w:pPr>
        <w:rPr>
          <w:rFonts w:eastAsia="Times New Roman"/>
        </w:rPr>
      </w:pPr>
      <w:r>
        <w:rPr>
          <w:rFonts w:eastAsia="Times New Roman"/>
        </w:rPr>
        <w:pict w14:anchorId="59863EF5">
          <v:rect id="_x0000_i1047" style="width:0;height:1.5pt" o:hralign="center" o:hrstd="t" o:hr="t" fillcolor="#a0a0a0" stroked="f"/>
        </w:pict>
      </w:r>
    </w:p>
    <w:p w14:paraId="144DFC28" w14:textId="77777777" w:rsidR="00000000" w:rsidRDefault="003C49E9">
      <w:pPr>
        <w:pStyle w:val="a3"/>
        <w:spacing w:before="0" w:beforeAutospacing="0" w:after="0" w:afterAutospacing="0"/>
        <w:rPr>
          <w:sz w:val="20"/>
          <w:szCs w:val="20"/>
        </w:rPr>
      </w:pPr>
      <w:r>
        <w:rPr>
          <w:sz w:val="20"/>
          <w:szCs w:val="20"/>
        </w:rPr>
        <w:t> </w:t>
      </w:r>
    </w:p>
    <w:p w14:paraId="0ECF3ED6" w14:textId="77777777" w:rsidR="00000000" w:rsidRDefault="003C49E9">
      <w:pPr>
        <w:pStyle w:val="a3"/>
        <w:spacing w:before="200" w:beforeAutospacing="0" w:after="0" w:afterAutospacing="0"/>
        <w:rPr>
          <w:sz w:val="20"/>
          <w:szCs w:val="20"/>
        </w:rPr>
      </w:pPr>
      <w:r>
        <w:rPr>
          <w:b/>
          <w:bCs/>
          <w:sz w:val="20"/>
          <w:szCs w:val="20"/>
        </w:rPr>
        <w:t>Results of Operations for the Three Months Ended June 30, 2022 and 2</w:t>
      </w:r>
      <w:r>
        <w:rPr>
          <w:b/>
          <w:bCs/>
          <w:sz w:val="20"/>
          <w:szCs w:val="20"/>
        </w:rPr>
        <w:t>02</w:t>
      </w:r>
      <w:r>
        <w:rPr>
          <w:b/>
          <w:bCs/>
          <w:sz w:val="20"/>
          <w:szCs w:val="20"/>
        </w:rPr>
        <w:t>1</w:t>
      </w:r>
    </w:p>
    <w:p w14:paraId="3FAA42FA" w14:textId="77777777" w:rsidR="00000000" w:rsidRDefault="003C49E9">
      <w:pPr>
        <w:pStyle w:val="a3"/>
        <w:spacing w:before="200" w:beforeAutospacing="0" w:after="0" w:afterAutospacing="0"/>
        <w:ind w:firstLine="555"/>
        <w:rPr>
          <w:sz w:val="20"/>
          <w:szCs w:val="20"/>
        </w:rPr>
      </w:pPr>
      <w:r>
        <w:rPr>
          <w:sz w:val="20"/>
          <w:szCs w:val="20"/>
        </w:rPr>
        <w:t>The following tables set forth our results of operations for the periods presented and as a percentage of our total revenue for those periods. The data has been derived from the unaudited consolidated financial statements contained in this Quarterly Re</w:t>
      </w:r>
      <w:r>
        <w:rPr>
          <w:sz w:val="20"/>
          <w:szCs w:val="20"/>
        </w:rPr>
        <w:t>port on Form 10-Q which include, in our opinion, all adjustments, consisting only of normal recurring adjustments, that we consider necessary for a fair statement of the financial position and results of operations for the interim periods presented. The pe</w:t>
      </w:r>
      <w:r>
        <w:rPr>
          <w:sz w:val="20"/>
          <w:szCs w:val="20"/>
        </w:rPr>
        <w:t>riod-to-period comparison of financial results is not necessarily indicative of financial results to be achieved in future periods</w:t>
      </w:r>
      <w:r>
        <w:rPr>
          <w:sz w:val="20"/>
          <w:szCs w:val="20"/>
        </w:rPr>
        <w:t>.</w:t>
      </w:r>
      <w:r>
        <w:rPr>
          <w:sz w:val="20"/>
          <w:szCs w:val="20"/>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02"/>
        <w:gridCol w:w="110"/>
        <w:gridCol w:w="160"/>
        <w:gridCol w:w="710"/>
        <w:gridCol w:w="127"/>
        <w:gridCol w:w="110"/>
        <w:gridCol w:w="160"/>
        <w:gridCol w:w="710"/>
        <w:gridCol w:w="127"/>
        <w:gridCol w:w="110"/>
        <w:gridCol w:w="160"/>
        <w:gridCol w:w="710"/>
        <w:gridCol w:w="127"/>
        <w:gridCol w:w="110"/>
        <w:gridCol w:w="160"/>
        <w:gridCol w:w="710"/>
        <w:gridCol w:w="142"/>
      </w:tblGrid>
      <w:tr w:rsidR="00000000" w14:paraId="0D43CC8F" w14:textId="77777777">
        <w:trPr>
          <w:tblCellSpacing w:w="15" w:type="dxa"/>
        </w:trPr>
        <w:tc>
          <w:tcPr>
            <w:tcW w:w="2399" w:type="pct"/>
            <w:vAlign w:val="center"/>
            <w:hideMark/>
          </w:tcPr>
          <w:p w14:paraId="01D8433F" w14:textId="77777777" w:rsidR="00000000" w:rsidRDefault="003C49E9">
            <w:pPr>
              <w:rPr>
                <w:sz w:val="20"/>
                <w:szCs w:val="20"/>
              </w:rPr>
            </w:pPr>
          </w:p>
        </w:tc>
        <w:tc>
          <w:tcPr>
            <w:tcW w:w="48" w:type="pct"/>
            <w:vAlign w:val="center"/>
            <w:hideMark/>
          </w:tcPr>
          <w:p w14:paraId="609873DE" w14:textId="77777777" w:rsidR="00000000" w:rsidRDefault="003C49E9">
            <w:pPr>
              <w:rPr>
                <w:rFonts w:eastAsia="Times New Roman"/>
                <w:sz w:val="20"/>
                <w:szCs w:val="20"/>
              </w:rPr>
            </w:pPr>
          </w:p>
        </w:tc>
        <w:tc>
          <w:tcPr>
            <w:tcW w:w="50" w:type="pct"/>
            <w:vAlign w:val="center"/>
            <w:hideMark/>
          </w:tcPr>
          <w:p w14:paraId="53A1FD64" w14:textId="77777777" w:rsidR="00000000" w:rsidRDefault="003C49E9">
            <w:pPr>
              <w:rPr>
                <w:rFonts w:eastAsia="Times New Roman"/>
                <w:sz w:val="20"/>
                <w:szCs w:val="20"/>
              </w:rPr>
            </w:pPr>
          </w:p>
        </w:tc>
        <w:tc>
          <w:tcPr>
            <w:tcW w:w="460" w:type="pct"/>
            <w:vAlign w:val="center"/>
            <w:hideMark/>
          </w:tcPr>
          <w:p w14:paraId="0882CBD5" w14:textId="77777777" w:rsidR="00000000" w:rsidRDefault="003C49E9">
            <w:pPr>
              <w:rPr>
                <w:rFonts w:eastAsia="Times New Roman"/>
                <w:sz w:val="20"/>
                <w:szCs w:val="20"/>
              </w:rPr>
            </w:pPr>
          </w:p>
        </w:tc>
        <w:tc>
          <w:tcPr>
            <w:tcW w:w="50" w:type="pct"/>
            <w:vAlign w:val="center"/>
            <w:hideMark/>
          </w:tcPr>
          <w:p w14:paraId="1CD27070" w14:textId="77777777" w:rsidR="00000000" w:rsidRDefault="003C49E9">
            <w:pPr>
              <w:rPr>
                <w:rFonts w:eastAsia="Times New Roman"/>
                <w:sz w:val="20"/>
                <w:szCs w:val="20"/>
              </w:rPr>
            </w:pPr>
          </w:p>
        </w:tc>
        <w:tc>
          <w:tcPr>
            <w:tcW w:w="58" w:type="pct"/>
            <w:vAlign w:val="center"/>
            <w:hideMark/>
          </w:tcPr>
          <w:p w14:paraId="50304C28" w14:textId="77777777" w:rsidR="00000000" w:rsidRDefault="003C49E9">
            <w:pPr>
              <w:rPr>
                <w:rFonts w:eastAsia="Times New Roman"/>
                <w:sz w:val="20"/>
                <w:szCs w:val="20"/>
              </w:rPr>
            </w:pPr>
          </w:p>
        </w:tc>
        <w:tc>
          <w:tcPr>
            <w:tcW w:w="50" w:type="pct"/>
            <w:vAlign w:val="center"/>
            <w:hideMark/>
          </w:tcPr>
          <w:p w14:paraId="67E681B5" w14:textId="77777777" w:rsidR="00000000" w:rsidRDefault="003C49E9">
            <w:pPr>
              <w:rPr>
                <w:rFonts w:eastAsia="Times New Roman"/>
                <w:sz w:val="20"/>
                <w:szCs w:val="20"/>
              </w:rPr>
            </w:pPr>
          </w:p>
        </w:tc>
        <w:tc>
          <w:tcPr>
            <w:tcW w:w="576" w:type="pct"/>
            <w:vAlign w:val="center"/>
            <w:hideMark/>
          </w:tcPr>
          <w:p w14:paraId="110ADB2B" w14:textId="77777777" w:rsidR="00000000" w:rsidRDefault="003C49E9">
            <w:pPr>
              <w:rPr>
                <w:rFonts w:eastAsia="Times New Roman"/>
                <w:sz w:val="20"/>
                <w:szCs w:val="20"/>
              </w:rPr>
            </w:pPr>
          </w:p>
        </w:tc>
        <w:tc>
          <w:tcPr>
            <w:tcW w:w="50" w:type="pct"/>
            <w:vAlign w:val="center"/>
            <w:hideMark/>
          </w:tcPr>
          <w:p w14:paraId="6886AF00" w14:textId="77777777" w:rsidR="00000000" w:rsidRDefault="003C49E9">
            <w:pPr>
              <w:rPr>
                <w:rFonts w:eastAsia="Times New Roman"/>
                <w:sz w:val="20"/>
                <w:szCs w:val="20"/>
              </w:rPr>
            </w:pPr>
          </w:p>
        </w:tc>
        <w:tc>
          <w:tcPr>
            <w:tcW w:w="48" w:type="pct"/>
            <w:vAlign w:val="center"/>
            <w:hideMark/>
          </w:tcPr>
          <w:p w14:paraId="11F47D8D" w14:textId="77777777" w:rsidR="00000000" w:rsidRDefault="003C49E9">
            <w:pPr>
              <w:rPr>
                <w:rFonts w:eastAsia="Times New Roman"/>
                <w:sz w:val="20"/>
                <w:szCs w:val="20"/>
              </w:rPr>
            </w:pPr>
          </w:p>
        </w:tc>
        <w:tc>
          <w:tcPr>
            <w:tcW w:w="50" w:type="pct"/>
            <w:vAlign w:val="center"/>
            <w:hideMark/>
          </w:tcPr>
          <w:p w14:paraId="6B8148EF" w14:textId="77777777" w:rsidR="00000000" w:rsidRDefault="003C49E9">
            <w:pPr>
              <w:rPr>
                <w:rFonts w:eastAsia="Times New Roman"/>
                <w:sz w:val="20"/>
                <w:szCs w:val="20"/>
              </w:rPr>
            </w:pPr>
          </w:p>
        </w:tc>
        <w:tc>
          <w:tcPr>
            <w:tcW w:w="460" w:type="pct"/>
            <w:vAlign w:val="center"/>
            <w:hideMark/>
          </w:tcPr>
          <w:p w14:paraId="59D7FA4D" w14:textId="77777777" w:rsidR="00000000" w:rsidRDefault="003C49E9">
            <w:pPr>
              <w:rPr>
                <w:rFonts w:eastAsia="Times New Roman"/>
                <w:sz w:val="20"/>
                <w:szCs w:val="20"/>
              </w:rPr>
            </w:pPr>
          </w:p>
        </w:tc>
        <w:tc>
          <w:tcPr>
            <w:tcW w:w="50" w:type="pct"/>
            <w:vAlign w:val="center"/>
            <w:hideMark/>
          </w:tcPr>
          <w:p w14:paraId="4DAA3104" w14:textId="77777777" w:rsidR="00000000" w:rsidRDefault="003C49E9">
            <w:pPr>
              <w:rPr>
                <w:rFonts w:eastAsia="Times New Roman"/>
                <w:sz w:val="20"/>
                <w:szCs w:val="20"/>
              </w:rPr>
            </w:pPr>
          </w:p>
        </w:tc>
        <w:tc>
          <w:tcPr>
            <w:tcW w:w="58" w:type="pct"/>
            <w:vAlign w:val="center"/>
            <w:hideMark/>
          </w:tcPr>
          <w:p w14:paraId="15274684" w14:textId="77777777" w:rsidR="00000000" w:rsidRDefault="003C49E9">
            <w:pPr>
              <w:rPr>
                <w:rFonts w:eastAsia="Times New Roman"/>
                <w:sz w:val="20"/>
                <w:szCs w:val="20"/>
              </w:rPr>
            </w:pPr>
          </w:p>
        </w:tc>
        <w:tc>
          <w:tcPr>
            <w:tcW w:w="50" w:type="pct"/>
            <w:vAlign w:val="center"/>
            <w:hideMark/>
          </w:tcPr>
          <w:p w14:paraId="1EC8E430" w14:textId="77777777" w:rsidR="00000000" w:rsidRDefault="003C49E9">
            <w:pPr>
              <w:rPr>
                <w:rFonts w:eastAsia="Times New Roman"/>
                <w:sz w:val="20"/>
                <w:szCs w:val="20"/>
              </w:rPr>
            </w:pPr>
          </w:p>
        </w:tc>
        <w:tc>
          <w:tcPr>
            <w:tcW w:w="487" w:type="pct"/>
            <w:vAlign w:val="center"/>
            <w:hideMark/>
          </w:tcPr>
          <w:p w14:paraId="1BE6BBB0" w14:textId="77777777" w:rsidR="00000000" w:rsidRDefault="003C49E9">
            <w:pPr>
              <w:rPr>
                <w:rFonts w:eastAsia="Times New Roman"/>
                <w:sz w:val="20"/>
                <w:szCs w:val="20"/>
              </w:rPr>
            </w:pPr>
          </w:p>
        </w:tc>
        <w:tc>
          <w:tcPr>
            <w:tcW w:w="50" w:type="pct"/>
            <w:vAlign w:val="center"/>
            <w:hideMark/>
          </w:tcPr>
          <w:p w14:paraId="7DBB15E4" w14:textId="77777777" w:rsidR="00000000" w:rsidRDefault="003C49E9">
            <w:pPr>
              <w:rPr>
                <w:rFonts w:eastAsia="Times New Roman"/>
                <w:sz w:val="20"/>
                <w:szCs w:val="20"/>
              </w:rPr>
            </w:pPr>
          </w:p>
        </w:tc>
      </w:tr>
      <w:tr w:rsidR="00000000" w14:paraId="3212FDB3" w14:textId="77777777">
        <w:trPr>
          <w:trHeight w:val="160"/>
          <w:tblCellSpacing w:w="15" w:type="dxa"/>
        </w:trPr>
        <w:tc>
          <w:tcPr>
            <w:tcW w:w="0" w:type="auto"/>
            <w:vAlign w:val="bottom"/>
            <w:hideMark/>
          </w:tcPr>
          <w:p w14:paraId="7D0B3FD2"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39C4C22"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0E217D1C" w14:textId="77777777" w:rsidR="00000000" w:rsidRDefault="003C49E9">
            <w:pPr>
              <w:pStyle w:val="a3"/>
              <w:spacing w:before="0" w:beforeAutospacing="0" w:after="0" w:afterAutospacing="0"/>
              <w:jc w:val="center"/>
              <w:rPr>
                <w:sz w:val="16"/>
                <w:szCs w:val="16"/>
              </w:rPr>
            </w:pPr>
            <w:r>
              <w:rPr>
                <w:b/>
                <w:bCs/>
                <w:sz w:val="16"/>
                <w:szCs w:val="16"/>
              </w:rPr>
              <w:t>Three Months</w:t>
            </w:r>
            <w:r>
              <w:rPr>
                <w:b/>
                <w:bCs/>
                <w:sz w:val="16"/>
                <w:szCs w:val="16"/>
              </w:rPr>
              <w:br/>
              <w:t> Ended June 30</w:t>
            </w:r>
            <w:r>
              <w:rPr>
                <w:b/>
                <w:bCs/>
                <w:sz w:val="16"/>
                <w:szCs w:val="16"/>
              </w:rPr>
              <w:t>,</w:t>
            </w:r>
          </w:p>
        </w:tc>
        <w:tc>
          <w:tcPr>
            <w:tcW w:w="0" w:type="auto"/>
            <w:vAlign w:val="bottom"/>
            <w:hideMark/>
          </w:tcPr>
          <w:p w14:paraId="35C95CF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9000F4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256DC53" w14:textId="77777777" w:rsidR="00000000" w:rsidRDefault="003C49E9">
            <w:pPr>
              <w:pStyle w:val="a3"/>
              <w:spacing w:before="0" w:beforeAutospacing="0" w:after="0" w:afterAutospacing="0"/>
              <w:jc w:val="center"/>
              <w:rPr>
                <w:sz w:val="16"/>
                <w:szCs w:val="16"/>
              </w:rPr>
            </w:pPr>
            <w:r>
              <w:rPr>
                <w:b/>
                <w:bCs/>
                <w:sz w:val="16"/>
                <w:szCs w:val="16"/>
              </w:rPr>
              <w:t>Six Months</w:t>
            </w:r>
            <w:r>
              <w:rPr>
                <w:b/>
                <w:bCs/>
                <w:sz w:val="16"/>
                <w:szCs w:val="16"/>
              </w:rPr>
              <w:br/>
              <w:t> Ended June 30</w:t>
            </w:r>
            <w:r>
              <w:rPr>
                <w:b/>
                <w:bCs/>
                <w:sz w:val="16"/>
                <w:szCs w:val="16"/>
              </w:rPr>
              <w:t>,</w:t>
            </w:r>
          </w:p>
        </w:tc>
        <w:tc>
          <w:tcPr>
            <w:tcW w:w="0" w:type="auto"/>
            <w:vAlign w:val="bottom"/>
            <w:hideMark/>
          </w:tcPr>
          <w:p w14:paraId="394F4B92"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AA5590A" w14:textId="77777777">
        <w:trPr>
          <w:trHeight w:val="160"/>
          <w:tblCellSpacing w:w="15" w:type="dxa"/>
        </w:trPr>
        <w:tc>
          <w:tcPr>
            <w:tcW w:w="0" w:type="auto"/>
            <w:vAlign w:val="bottom"/>
            <w:hideMark/>
          </w:tcPr>
          <w:p w14:paraId="1D9B97D1" w14:textId="77777777" w:rsidR="00000000" w:rsidRDefault="003C49E9">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751BF3F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C6ADF56"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B06BE4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CBEBA68"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C01F0FD"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186DF25"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E2B61F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15AEEB2"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883D6B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4D1F3B8"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57F9244"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A1B0BED"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2D7FD6F" w14:textId="77777777">
        <w:trPr>
          <w:trHeight w:val="200"/>
          <w:tblCellSpacing w:w="15" w:type="dxa"/>
        </w:trPr>
        <w:tc>
          <w:tcPr>
            <w:tcW w:w="0" w:type="auto"/>
            <w:vAlign w:val="bottom"/>
            <w:hideMark/>
          </w:tcPr>
          <w:p w14:paraId="6455BB95" w14:textId="77777777" w:rsidR="00000000" w:rsidRDefault="003C49E9">
            <w:pPr>
              <w:pStyle w:val="a3"/>
              <w:spacing w:before="0" w:beforeAutospacing="0" w:after="0" w:afterAutospacing="0"/>
              <w:rPr>
                <w:sz w:val="20"/>
                <w:szCs w:val="20"/>
              </w:rPr>
            </w:pPr>
            <w:r>
              <w:rPr>
                <w:sz w:val="20"/>
                <w:szCs w:val="20"/>
              </w:rPr>
              <w:t>Revenues</w:t>
            </w:r>
            <w:r>
              <w:rPr>
                <w:sz w:val="20"/>
                <w:szCs w:val="20"/>
              </w:rPr>
              <w:t>:</w:t>
            </w:r>
          </w:p>
        </w:tc>
        <w:tc>
          <w:tcPr>
            <w:tcW w:w="0" w:type="auto"/>
            <w:vAlign w:val="bottom"/>
            <w:hideMark/>
          </w:tcPr>
          <w:p w14:paraId="480A32FF"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A5341B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70DFF7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F0DA80E"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9F513C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A057CE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F95BD9A"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E97974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8948DC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6103AE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7B166F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C72B60" w14:textId="77777777" w:rsidR="00000000" w:rsidRDefault="003C49E9">
            <w:pPr>
              <w:pStyle w:val="a3"/>
              <w:spacing w:before="0" w:beforeAutospacing="0" w:after="0" w:afterAutospacing="0"/>
              <w:jc w:val="right"/>
              <w:rPr>
                <w:sz w:val="20"/>
                <w:szCs w:val="20"/>
              </w:rPr>
            </w:pPr>
            <w:r>
              <w:rPr>
                <w:sz w:val="20"/>
                <w:szCs w:val="20"/>
              </w:rPr>
              <w:t> </w:t>
            </w:r>
          </w:p>
        </w:tc>
      </w:tr>
      <w:tr w:rsidR="00000000" w14:paraId="77F25A66" w14:textId="77777777">
        <w:trPr>
          <w:trHeight w:val="200"/>
          <w:tblCellSpacing w:w="15" w:type="dxa"/>
        </w:trPr>
        <w:tc>
          <w:tcPr>
            <w:tcW w:w="0" w:type="auto"/>
            <w:vAlign w:val="bottom"/>
            <w:hideMark/>
          </w:tcPr>
          <w:p w14:paraId="53225308"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14:paraId="66D82D3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E4BE35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05C345B" w14:textId="77777777" w:rsidR="00000000" w:rsidRDefault="003C49E9">
            <w:pPr>
              <w:pStyle w:val="a3"/>
              <w:spacing w:before="0" w:beforeAutospacing="0" w:after="0" w:afterAutospacing="0"/>
              <w:jc w:val="right"/>
              <w:rPr>
                <w:sz w:val="20"/>
                <w:szCs w:val="20"/>
              </w:rPr>
            </w:pPr>
            <w:r>
              <w:rPr>
                <w:sz w:val="20"/>
                <w:szCs w:val="20"/>
              </w:rPr>
              <w:t>412,40</w:t>
            </w:r>
            <w:r>
              <w:rPr>
                <w:sz w:val="20"/>
                <w:szCs w:val="20"/>
              </w:rPr>
              <w:t>1</w:t>
            </w:r>
          </w:p>
        </w:tc>
        <w:tc>
          <w:tcPr>
            <w:tcW w:w="0" w:type="auto"/>
            <w:noWrap/>
            <w:vAlign w:val="bottom"/>
            <w:hideMark/>
          </w:tcPr>
          <w:p w14:paraId="3C5134B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5F358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9563F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328F876" w14:textId="77777777" w:rsidR="00000000" w:rsidRDefault="003C49E9">
            <w:pPr>
              <w:pStyle w:val="a3"/>
              <w:spacing w:before="0" w:beforeAutospacing="0" w:after="0" w:afterAutospacing="0"/>
              <w:jc w:val="right"/>
              <w:rPr>
                <w:sz w:val="20"/>
                <w:szCs w:val="20"/>
              </w:rPr>
            </w:pPr>
            <w:r>
              <w:rPr>
                <w:sz w:val="20"/>
                <w:szCs w:val="20"/>
              </w:rPr>
              <w:t>300,42</w:t>
            </w:r>
            <w:r>
              <w:rPr>
                <w:sz w:val="20"/>
                <w:szCs w:val="20"/>
              </w:rPr>
              <w:t>3</w:t>
            </w:r>
          </w:p>
        </w:tc>
        <w:tc>
          <w:tcPr>
            <w:tcW w:w="0" w:type="auto"/>
            <w:noWrap/>
            <w:vAlign w:val="bottom"/>
            <w:hideMark/>
          </w:tcPr>
          <w:p w14:paraId="75D098C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815F2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42B839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46391A5" w14:textId="77777777" w:rsidR="00000000" w:rsidRDefault="003C49E9">
            <w:pPr>
              <w:pStyle w:val="a3"/>
              <w:spacing w:before="0" w:beforeAutospacing="0" w:after="0" w:afterAutospacing="0"/>
              <w:jc w:val="right"/>
              <w:rPr>
                <w:sz w:val="20"/>
                <w:szCs w:val="20"/>
              </w:rPr>
            </w:pPr>
            <w:r>
              <w:rPr>
                <w:sz w:val="20"/>
                <w:szCs w:val="20"/>
              </w:rPr>
              <w:t>797,35</w:t>
            </w:r>
            <w:r>
              <w:rPr>
                <w:sz w:val="20"/>
                <w:szCs w:val="20"/>
              </w:rPr>
              <w:t>6</w:t>
            </w:r>
          </w:p>
        </w:tc>
        <w:tc>
          <w:tcPr>
            <w:tcW w:w="0" w:type="auto"/>
            <w:noWrap/>
            <w:vAlign w:val="bottom"/>
            <w:hideMark/>
          </w:tcPr>
          <w:p w14:paraId="6AD7285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33F47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337398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8A79D68" w14:textId="77777777" w:rsidR="00000000" w:rsidRDefault="003C49E9">
            <w:pPr>
              <w:pStyle w:val="a3"/>
              <w:spacing w:before="0" w:beforeAutospacing="0" w:after="0" w:afterAutospacing="0"/>
              <w:jc w:val="right"/>
              <w:rPr>
                <w:sz w:val="20"/>
                <w:szCs w:val="20"/>
              </w:rPr>
            </w:pPr>
            <w:r>
              <w:rPr>
                <w:sz w:val="20"/>
                <w:szCs w:val="20"/>
              </w:rPr>
              <w:t>570,68</w:t>
            </w:r>
            <w:r>
              <w:rPr>
                <w:sz w:val="20"/>
                <w:szCs w:val="20"/>
              </w:rPr>
              <w:t>6</w:t>
            </w:r>
          </w:p>
        </w:tc>
        <w:tc>
          <w:tcPr>
            <w:tcW w:w="0" w:type="auto"/>
            <w:noWrap/>
            <w:vAlign w:val="bottom"/>
            <w:hideMark/>
          </w:tcPr>
          <w:p w14:paraId="414E67D6" w14:textId="77777777" w:rsidR="00000000" w:rsidRDefault="003C49E9">
            <w:pPr>
              <w:pStyle w:val="a3"/>
              <w:spacing w:before="0" w:beforeAutospacing="0" w:after="0" w:afterAutospacing="0"/>
              <w:rPr>
                <w:sz w:val="20"/>
                <w:szCs w:val="20"/>
              </w:rPr>
            </w:pPr>
            <w:r>
              <w:rPr>
                <w:sz w:val="20"/>
                <w:szCs w:val="20"/>
              </w:rPr>
              <w:t> </w:t>
            </w:r>
          </w:p>
        </w:tc>
      </w:tr>
      <w:tr w:rsidR="00000000" w14:paraId="714F440E" w14:textId="77777777">
        <w:trPr>
          <w:trHeight w:val="200"/>
          <w:tblCellSpacing w:w="15" w:type="dxa"/>
        </w:trPr>
        <w:tc>
          <w:tcPr>
            <w:tcW w:w="0" w:type="auto"/>
            <w:vAlign w:val="bottom"/>
            <w:hideMark/>
          </w:tcPr>
          <w:p w14:paraId="2782FD35"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14:paraId="6738A15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2932EB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374430D" w14:textId="77777777" w:rsidR="00000000" w:rsidRDefault="003C49E9">
            <w:pPr>
              <w:pStyle w:val="a3"/>
              <w:spacing w:before="0" w:beforeAutospacing="0" w:after="0" w:afterAutospacing="0"/>
              <w:jc w:val="right"/>
              <w:rPr>
                <w:sz w:val="20"/>
                <w:szCs w:val="20"/>
              </w:rPr>
            </w:pPr>
            <w:r>
              <w:rPr>
                <w:sz w:val="20"/>
                <w:szCs w:val="20"/>
              </w:rPr>
              <w:t>9,35</w:t>
            </w:r>
            <w:r>
              <w:rPr>
                <w:sz w:val="20"/>
                <w:szCs w:val="20"/>
              </w:rPr>
              <w:t>4</w:t>
            </w:r>
          </w:p>
        </w:tc>
        <w:tc>
          <w:tcPr>
            <w:tcW w:w="0" w:type="auto"/>
            <w:noWrap/>
            <w:vAlign w:val="bottom"/>
            <w:hideMark/>
          </w:tcPr>
          <w:p w14:paraId="7E3D2D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02C30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10170E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557469" w14:textId="77777777" w:rsidR="00000000" w:rsidRDefault="003C49E9">
            <w:pPr>
              <w:pStyle w:val="a3"/>
              <w:spacing w:before="0" w:beforeAutospacing="0" w:after="0" w:afterAutospacing="0"/>
              <w:jc w:val="right"/>
              <w:rPr>
                <w:sz w:val="20"/>
                <w:szCs w:val="20"/>
              </w:rPr>
            </w:pPr>
            <w:r>
              <w:rPr>
                <w:sz w:val="20"/>
                <w:szCs w:val="20"/>
              </w:rPr>
              <w:t>10,36</w:t>
            </w:r>
            <w:r>
              <w:rPr>
                <w:sz w:val="20"/>
                <w:szCs w:val="20"/>
              </w:rPr>
              <w:t>5</w:t>
            </w:r>
          </w:p>
        </w:tc>
        <w:tc>
          <w:tcPr>
            <w:tcW w:w="0" w:type="auto"/>
            <w:noWrap/>
            <w:vAlign w:val="bottom"/>
            <w:hideMark/>
          </w:tcPr>
          <w:p w14:paraId="5C5FAAD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2A245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4C111D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D57490" w14:textId="77777777" w:rsidR="00000000" w:rsidRDefault="003C49E9">
            <w:pPr>
              <w:pStyle w:val="a3"/>
              <w:spacing w:before="0" w:beforeAutospacing="0" w:after="0" w:afterAutospacing="0"/>
              <w:jc w:val="right"/>
              <w:rPr>
                <w:sz w:val="20"/>
                <w:szCs w:val="20"/>
              </w:rPr>
            </w:pPr>
            <w:r>
              <w:rPr>
                <w:sz w:val="20"/>
                <w:szCs w:val="20"/>
              </w:rPr>
              <w:t>19,99</w:t>
            </w:r>
            <w:r>
              <w:rPr>
                <w:sz w:val="20"/>
                <w:szCs w:val="20"/>
              </w:rPr>
              <w:t>8</w:t>
            </w:r>
          </w:p>
        </w:tc>
        <w:tc>
          <w:tcPr>
            <w:tcW w:w="0" w:type="auto"/>
            <w:noWrap/>
            <w:vAlign w:val="bottom"/>
            <w:hideMark/>
          </w:tcPr>
          <w:p w14:paraId="30E598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27684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9D8328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172A81" w14:textId="77777777" w:rsidR="00000000" w:rsidRDefault="003C49E9">
            <w:pPr>
              <w:pStyle w:val="a3"/>
              <w:spacing w:before="0" w:beforeAutospacing="0" w:after="0" w:afterAutospacing="0"/>
              <w:jc w:val="right"/>
              <w:rPr>
                <w:sz w:val="20"/>
                <w:szCs w:val="20"/>
              </w:rPr>
            </w:pPr>
            <w:r>
              <w:rPr>
                <w:sz w:val="20"/>
                <w:szCs w:val="20"/>
              </w:rPr>
              <w:t>21,46</w:t>
            </w:r>
            <w:r>
              <w:rPr>
                <w:sz w:val="20"/>
                <w:szCs w:val="20"/>
              </w:rPr>
              <w:t>7</w:t>
            </w:r>
          </w:p>
        </w:tc>
        <w:tc>
          <w:tcPr>
            <w:tcW w:w="0" w:type="auto"/>
            <w:noWrap/>
            <w:vAlign w:val="bottom"/>
            <w:hideMark/>
          </w:tcPr>
          <w:p w14:paraId="41C658F3" w14:textId="77777777" w:rsidR="00000000" w:rsidRDefault="003C49E9">
            <w:pPr>
              <w:pStyle w:val="a3"/>
              <w:spacing w:before="0" w:beforeAutospacing="0" w:after="0" w:afterAutospacing="0"/>
              <w:rPr>
                <w:sz w:val="20"/>
                <w:szCs w:val="20"/>
              </w:rPr>
            </w:pPr>
            <w:r>
              <w:rPr>
                <w:sz w:val="20"/>
                <w:szCs w:val="20"/>
              </w:rPr>
              <w:t> </w:t>
            </w:r>
          </w:p>
        </w:tc>
      </w:tr>
      <w:tr w:rsidR="00000000" w14:paraId="30CFCC13" w14:textId="77777777">
        <w:trPr>
          <w:trHeight w:val="200"/>
          <w:tblCellSpacing w:w="15" w:type="dxa"/>
        </w:trPr>
        <w:tc>
          <w:tcPr>
            <w:tcW w:w="0" w:type="auto"/>
            <w:vAlign w:val="bottom"/>
            <w:hideMark/>
          </w:tcPr>
          <w:p w14:paraId="08F2CEDE" w14:textId="77777777" w:rsidR="00000000" w:rsidRDefault="003C49E9">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14:paraId="65F6BE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6040D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8DA24E" w14:textId="77777777" w:rsidR="00000000" w:rsidRDefault="003C49E9">
            <w:pPr>
              <w:pStyle w:val="a3"/>
              <w:spacing w:before="0" w:beforeAutospacing="0" w:after="0" w:afterAutospacing="0"/>
              <w:jc w:val="right"/>
              <w:rPr>
                <w:sz w:val="20"/>
                <w:szCs w:val="20"/>
              </w:rPr>
            </w:pPr>
            <w:r>
              <w:rPr>
                <w:sz w:val="20"/>
                <w:szCs w:val="20"/>
              </w:rPr>
              <w:t>421,75</w:t>
            </w:r>
            <w:r>
              <w:rPr>
                <w:sz w:val="20"/>
                <w:szCs w:val="20"/>
              </w:rPr>
              <w:t>5</w:t>
            </w:r>
          </w:p>
        </w:tc>
        <w:tc>
          <w:tcPr>
            <w:tcW w:w="0" w:type="auto"/>
            <w:noWrap/>
            <w:vAlign w:val="bottom"/>
            <w:hideMark/>
          </w:tcPr>
          <w:p w14:paraId="689858D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95D78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A7AF7B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7E09DD" w14:textId="77777777" w:rsidR="00000000" w:rsidRDefault="003C49E9">
            <w:pPr>
              <w:pStyle w:val="a3"/>
              <w:spacing w:before="0" w:beforeAutospacing="0" w:after="0" w:afterAutospacing="0"/>
              <w:jc w:val="right"/>
              <w:rPr>
                <w:sz w:val="20"/>
                <w:szCs w:val="20"/>
              </w:rPr>
            </w:pPr>
            <w:r>
              <w:rPr>
                <w:sz w:val="20"/>
                <w:szCs w:val="20"/>
              </w:rPr>
              <w:t>310,78</w:t>
            </w:r>
            <w:r>
              <w:rPr>
                <w:sz w:val="20"/>
                <w:szCs w:val="20"/>
              </w:rPr>
              <w:t>8</w:t>
            </w:r>
          </w:p>
        </w:tc>
        <w:tc>
          <w:tcPr>
            <w:tcW w:w="0" w:type="auto"/>
            <w:noWrap/>
            <w:vAlign w:val="bottom"/>
            <w:hideMark/>
          </w:tcPr>
          <w:p w14:paraId="404D29B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4647C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23D09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9B48DB" w14:textId="77777777" w:rsidR="00000000" w:rsidRDefault="003C49E9">
            <w:pPr>
              <w:pStyle w:val="a3"/>
              <w:spacing w:before="0" w:beforeAutospacing="0" w:after="0" w:afterAutospacing="0"/>
              <w:jc w:val="right"/>
              <w:rPr>
                <w:sz w:val="20"/>
                <w:szCs w:val="20"/>
              </w:rPr>
            </w:pPr>
            <w:r>
              <w:rPr>
                <w:sz w:val="20"/>
                <w:szCs w:val="20"/>
              </w:rPr>
              <w:t>817,35</w:t>
            </w:r>
            <w:r>
              <w:rPr>
                <w:sz w:val="20"/>
                <w:szCs w:val="20"/>
              </w:rPr>
              <w:t>4</w:t>
            </w:r>
          </w:p>
        </w:tc>
        <w:tc>
          <w:tcPr>
            <w:tcW w:w="0" w:type="auto"/>
            <w:noWrap/>
            <w:vAlign w:val="bottom"/>
            <w:hideMark/>
          </w:tcPr>
          <w:p w14:paraId="3246F0F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9845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AB790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403302" w14:textId="77777777" w:rsidR="00000000" w:rsidRDefault="003C49E9">
            <w:pPr>
              <w:pStyle w:val="a3"/>
              <w:spacing w:before="0" w:beforeAutospacing="0" w:after="0" w:afterAutospacing="0"/>
              <w:jc w:val="right"/>
              <w:rPr>
                <w:sz w:val="20"/>
                <w:szCs w:val="20"/>
              </w:rPr>
            </w:pPr>
            <w:r>
              <w:rPr>
                <w:sz w:val="20"/>
                <w:szCs w:val="20"/>
              </w:rPr>
              <w:t>592,15</w:t>
            </w:r>
            <w:r>
              <w:rPr>
                <w:sz w:val="20"/>
                <w:szCs w:val="20"/>
              </w:rPr>
              <w:t>3</w:t>
            </w:r>
          </w:p>
        </w:tc>
        <w:tc>
          <w:tcPr>
            <w:tcW w:w="0" w:type="auto"/>
            <w:noWrap/>
            <w:vAlign w:val="bottom"/>
            <w:hideMark/>
          </w:tcPr>
          <w:p w14:paraId="0CF1BC41" w14:textId="77777777" w:rsidR="00000000" w:rsidRDefault="003C49E9">
            <w:pPr>
              <w:pStyle w:val="a3"/>
              <w:spacing w:before="0" w:beforeAutospacing="0" w:after="0" w:afterAutospacing="0"/>
              <w:rPr>
                <w:sz w:val="20"/>
                <w:szCs w:val="20"/>
              </w:rPr>
            </w:pPr>
            <w:r>
              <w:rPr>
                <w:sz w:val="20"/>
                <w:szCs w:val="20"/>
              </w:rPr>
              <w:t> </w:t>
            </w:r>
          </w:p>
        </w:tc>
      </w:tr>
      <w:tr w:rsidR="00000000" w14:paraId="0598AA28" w14:textId="77777777">
        <w:trPr>
          <w:trHeight w:val="200"/>
          <w:tblCellSpacing w:w="15" w:type="dxa"/>
        </w:trPr>
        <w:tc>
          <w:tcPr>
            <w:tcW w:w="0" w:type="auto"/>
            <w:vAlign w:val="bottom"/>
            <w:hideMark/>
          </w:tcPr>
          <w:p w14:paraId="2ED4D32A" w14:textId="77777777" w:rsidR="00000000" w:rsidRDefault="003C49E9">
            <w:pPr>
              <w:pStyle w:val="a3"/>
              <w:spacing w:before="0" w:beforeAutospacing="0" w:after="0" w:afterAutospacing="0"/>
              <w:rPr>
                <w:sz w:val="20"/>
                <w:szCs w:val="20"/>
              </w:rPr>
            </w:pPr>
            <w:r>
              <w:rPr>
                <w:sz w:val="20"/>
                <w:szCs w:val="20"/>
              </w:rPr>
              <w:t>Cost of revenues</w:t>
            </w:r>
            <w:r>
              <w:rPr>
                <w:sz w:val="20"/>
                <w:szCs w:val="20"/>
              </w:rPr>
              <w:t>:</w:t>
            </w:r>
          </w:p>
        </w:tc>
        <w:tc>
          <w:tcPr>
            <w:tcW w:w="0" w:type="auto"/>
            <w:vAlign w:val="bottom"/>
            <w:hideMark/>
          </w:tcPr>
          <w:p w14:paraId="35B5B911"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7898D9B"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30A314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9112C97"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2E84E61"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513E1E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6CE9F74"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FC80FF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91A37A5"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DD5B3F2"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A65202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49079AD" w14:textId="77777777" w:rsidR="00000000" w:rsidRDefault="003C49E9">
            <w:pPr>
              <w:pStyle w:val="a3"/>
              <w:spacing w:before="0" w:beforeAutospacing="0" w:after="0" w:afterAutospacing="0"/>
              <w:jc w:val="right"/>
              <w:rPr>
                <w:sz w:val="20"/>
                <w:szCs w:val="20"/>
              </w:rPr>
            </w:pPr>
            <w:r>
              <w:rPr>
                <w:sz w:val="20"/>
                <w:szCs w:val="20"/>
              </w:rPr>
              <w:t> </w:t>
            </w:r>
          </w:p>
        </w:tc>
      </w:tr>
      <w:tr w:rsidR="00000000" w14:paraId="5E7482CA" w14:textId="77777777">
        <w:trPr>
          <w:trHeight w:val="200"/>
          <w:tblCellSpacing w:w="15" w:type="dxa"/>
        </w:trPr>
        <w:tc>
          <w:tcPr>
            <w:tcW w:w="0" w:type="auto"/>
            <w:vAlign w:val="bottom"/>
            <w:hideMark/>
          </w:tcPr>
          <w:p w14:paraId="4CC47EDF"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14:paraId="29440FA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19169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847D0A" w14:textId="77777777" w:rsidR="00000000" w:rsidRDefault="003C49E9">
            <w:pPr>
              <w:pStyle w:val="a3"/>
              <w:spacing w:before="0" w:beforeAutospacing="0" w:after="0" w:afterAutospacing="0"/>
              <w:jc w:val="right"/>
              <w:rPr>
                <w:sz w:val="20"/>
                <w:szCs w:val="20"/>
              </w:rPr>
            </w:pPr>
            <w:r>
              <w:rPr>
                <w:sz w:val="20"/>
                <w:szCs w:val="20"/>
              </w:rPr>
              <w:t>64,43</w:t>
            </w:r>
            <w:r>
              <w:rPr>
                <w:sz w:val="20"/>
                <w:szCs w:val="20"/>
              </w:rPr>
              <w:t>1</w:t>
            </w:r>
          </w:p>
        </w:tc>
        <w:tc>
          <w:tcPr>
            <w:tcW w:w="0" w:type="auto"/>
            <w:noWrap/>
            <w:vAlign w:val="bottom"/>
            <w:hideMark/>
          </w:tcPr>
          <w:p w14:paraId="49BDCED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1B4B84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0ED2D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BB416C" w14:textId="77777777" w:rsidR="00000000" w:rsidRDefault="003C49E9">
            <w:pPr>
              <w:pStyle w:val="a3"/>
              <w:spacing w:before="0" w:beforeAutospacing="0" w:after="0" w:afterAutospacing="0"/>
              <w:jc w:val="right"/>
              <w:rPr>
                <w:sz w:val="20"/>
                <w:szCs w:val="20"/>
              </w:rPr>
            </w:pPr>
            <w:r>
              <w:rPr>
                <w:sz w:val="20"/>
                <w:szCs w:val="20"/>
              </w:rPr>
              <w:t>51,13</w:t>
            </w:r>
            <w:r>
              <w:rPr>
                <w:sz w:val="20"/>
                <w:szCs w:val="20"/>
              </w:rPr>
              <w:t>4</w:t>
            </w:r>
          </w:p>
        </w:tc>
        <w:tc>
          <w:tcPr>
            <w:tcW w:w="0" w:type="auto"/>
            <w:noWrap/>
            <w:vAlign w:val="bottom"/>
            <w:hideMark/>
          </w:tcPr>
          <w:p w14:paraId="56C9925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00FA97"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69A2F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1EECA4" w14:textId="77777777" w:rsidR="00000000" w:rsidRDefault="003C49E9">
            <w:pPr>
              <w:pStyle w:val="a3"/>
              <w:spacing w:before="0" w:beforeAutospacing="0" w:after="0" w:afterAutospacing="0"/>
              <w:jc w:val="right"/>
              <w:rPr>
                <w:sz w:val="20"/>
                <w:szCs w:val="20"/>
              </w:rPr>
            </w:pPr>
            <w:r>
              <w:rPr>
                <w:sz w:val="20"/>
                <w:szCs w:val="20"/>
              </w:rPr>
              <w:t>123,81</w:t>
            </w:r>
            <w:r>
              <w:rPr>
                <w:sz w:val="20"/>
                <w:szCs w:val="20"/>
              </w:rPr>
              <w:t>6</w:t>
            </w:r>
          </w:p>
        </w:tc>
        <w:tc>
          <w:tcPr>
            <w:tcW w:w="0" w:type="auto"/>
            <w:noWrap/>
            <w:vAlign w:val="bottom"/>
            <w:hideMark/>
          </w:tcPr>
          <w:p w14:paraId="6169472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EDBEC3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60147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200331" w14:textId="77777777" w:rsidR="00000000" w:rsidRDefault="003C49E9">
            <w:pPr>
              <w:pStyle w:val="a3"/>
              <w:spacing w:before="0" w:beforeAutospacing="0" w:after="0" w:afterAutospacing="0"/>
              <w:jc w:val="right"/>
              <w:rPr>
                <w:sz w:val="20"/>
                <w:szCs w:val="20"/>
              </w:rPr>
            </w:pPr>
            <w:r>
              <w:rPr>
                <w:sz w:val="20"/>
                <w:szCs w:val="20"/>
              </w:rPr>
              <w:t>94,98</w:t>
            </w:r>
            <w:r>
              <w:rPr>
                <w:sz w:val="20"/>
                <w:szCs w:val="20"/>
              </w:rPr>
              <w:t>6</w:t>
            </w:r>
          </w:p>
        </w:tc>
        <w:tc>
          <w:tcPr>
            <w:tcW w:w="0" w:type="auto"/>
            <w:noWrap/>
            <w:vAlign w:val="bottom"/>
            <w:hideMark/>
          </w:tcPr>
          <w:p w14:paraId="2927299F" w14:textId="77777777" w:rsidR="00000000" w:rsidRDefault="003C49E9">
            <w:pPr>
              <w:pStyle w:val="a3"/>
              <w:spacing w:before="0" w:beforeAutospacing="0" w:after="0" w:afterAutospacing="0"/>
              <w:rPr>
                <w:sz w:val="20"/>
                <w:szCs w:val="20"/>
              </w:rPr>
            </w:pPr>
            <w:r>
              <w:rPr>
                <w:sz w:val="20"/>
                <w:szCs w:val="20"/>
              </w:rPr>
              <w:t> </w:t>
            </w:r>
          </w:p>
        </w:tc>
      </w:tr>
      <w:tr w:rsidR="00000000" w14:paraId="77335C1D" w14:textId="77777777">
        <w:trPr>
          <w:trHeight w:val="200"/>
          <w:tblCellSpacing w:w="15" w:type="dxa"/>
        </w:trPr>
        <w:tc>
          <w:tcPr>
            <w:tcW w:w="0" w:type="auto"/>
            <w:vAlign w:val="bottom"/>
            <w:hideMark/>
          </w:tcPr>
          <w:p w14:paraId="36CA6AE8"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14:paraId="0E7412D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6044D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2A7191" w14:textId="77777777" w:rsidR="00000000" w:rsidRDefault="003C49E9">
            <w:pPr>
              <w:pStyle w:val="a3"/>
              <w:spacing w:before="0" w:beforeAutospacing="0" w:after="0" w:afterAutospacing="0"/>
              <w:jc w:val="right"/>
              <w:rPr>
                <w:sz w:val="20"/>
                <w:szCs w:val="20"/>
              </w:rPr>
            </w:pPr>
            <w:r>
              <w:rPr>
                <w:sz w:val="20"/>
                <w:szCs w:val="20"/>
              </w:rPr>
              <w:t>14,50</w:t>
            </w:r>
            <w:r>
              <w:rPr>
                <w:sz w:val="20"/>
                <w:szCs w:val="20"/>
              </w:rPr>
              <w:t>0</w:t>
            </w:r>
          </w:p>
        </w:tc>
        <w:tc>
          <w:tcPr>
            <w:tcW w:w="0" w:type="auto"/>
            <w:noWrap/>
            <w:vAlign w:val="bottom"/>
            <w:hideMark/>
          </w:tcPr>
          <w:p w14:paraId="7D53A05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3A18B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BD233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0B3FAD" w14:textId="77777777" w:rsidR="00000000" w:rsidRDefault="003C49E9">
            <w:pPr>
              <w:pStyle w:val="a3"/>
              <w:spacing w:before="0" w:beforeAutospacing="0" w:after="0" w:afterAutospacing="0"/>
              <w:jc w:val="right"/>
              <w:rPr>
                <w:sz w:val="20"/>
                <w:szCs w:val="20"/>
              </w:rPr>
            </w:pPr>
            <w:r>
              <w:rPr>
                <w:sz w:val="20"/>
                <w:szCs w:val="20"/>
              </w:rPr>
              <w:t>11,74</w:t>
            </w:r>
            <w:r>
              <w:rPr>
                <w:sz w:val="20"/>
                <w:szCs w:val="20"/>
              </w:rPr>
              <w:t>3</w:t>
            </w:r>
          </w:p>
        </w:tc>
        <w:tc>
          <w:tcPr>
            <w:tcW w:w="0" w:type="auto"/>
            <w:noWrap/>
            <w:vAlign w:val="bottom"/>
            <w:hideMark/>
          </w:tcPr>
          <w:p w14:paraId="5C96A5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A51DE1D"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1C2BA6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75E047" w14:textId="77777777" w:rsidR="00000000" w:rsidRDefault="003C49E9">
            <w:pPr>
              <w:pStyle w:val="a3"/>
              <w:spacing w:before="0" w:beforeAutospacing="0" w:after="0" w:afterAutospacing="0"/>
              <w:jc w:val="right"/>
              <w:rPr>
                <w:sz w:val="20"/>
                <w:szCs w:val="20"/>
              </w:rPr>
            </w:pPr>
            <w:r>
              <w:rPr>
                <w:sz w:val="20"/>
                <w:szCs w:val="20"/>
              </w:rPr>
              <w:t>28,05</w:t>
            </w:r>
            <w:r>
              <w:rPr>
                <w:sz w:val="20"/>
                <w:szCs w:val="20"/>
              </w:rPr>
              <w:t>3</w:t>
            </w:r>
          </w:p>
        </w:tc>
        <w:tc>
          <w:tcPr>
            <w:tcW w:w="0" w:type="auto"/>
            <w:noWrap/>
            <w:vAlign w:val="bottom"/>
            <w:hideMark/>
          </w:tcPr>
          <w:p w14:paraId="6329DBF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7E9245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62511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1C3B4D" w14:textId="77777777" w:rsidR="00000000" w:rsidRDefault="003C49E9">
            <w:pPr>
              <w:pStyle w:val="a3"/>
              <w:spacing w:before="0" w:beforeAutospacing="0" w:after="0" w:afterAutospacing="0"/>
              <w:jc w:val="right"/>
              <w:rPr>
                <w:sz w:val="20"/>
                <w:szCs w:val="20"/>
              </w:rPr>
            </w:pPr>
            <w:r>
              <w:rPr>
                <w:sz w:val="20"/>
                <w:szCs w:val="20"/>
              </w:rPr>
              <w:t>22,62</w:t>
            </w:r>
            <w:r>
              <w:rPr>
                <w:sz w:val="20"/>
                <w:szCs w:val="20"/>
              </w:rPr>
              <w:t>5</w:t>
            </w:r>
          </w:p>
        </w:tc>
        <w:tc>
          <w:tcPr>
            <w:tcW w:w="0" w:type="auto"/>
            <w:noWrap/>
            <w:vAlign w:val="bottom"/>
            <w:hideMark/>
          </w:tcPr>
          <w:p w14:paraId="111BEBD7" w14:textId="77777777" w:rsidR="00000000" w:rsidRDefault="003C49E9">
            <w:pPr>
              <w:pStyle w:val="a3"/>
              <w:spacing w:before="0" w:beforeAutospacing="0" w:after="0" w:afterAutospacing="0"/>
              <w:rPr>
                <w:sz w:val="20"/>
                <w:szCs w:val="20"/>
              </w:rPr>
            </w:pPr>
            <w:r>
              <w:rPr>
                <w:sz w:val="20"/>
                <w:szCs w:val="20"/>
              </w:rPr>
              <w:t> </w:t>
            </w:r>
          </w:p>
        </w:tc>
      </w:tr>
      <w:tr w:rsidR="00000000" w14:paraId="1918A9EB" w14:textId="77777777">
        <w:trPr>
          <w:trHeight w:val="200"/>
          <w:tblCellSpacing w:w="15" w:type="dxa"/>
        </w:trPr>
        <w:tc>
          <w:tcPr>
            <w:tcW w:w="0" w:type="auto"/>
            <w:vAlign w:val="bottom"/>
            <w:hideMark/>
          </w:tcPr>
          <w:p w14:paraId="0861A98B" w14:textId="77777777" w:rsidR="00000000" w:rsidRDefault="003C49E9">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14:paraId="25B1E74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50267F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5B01B0" w14:textId="77777777" w:rsidR="00000000" w:rsidRDefault="003C49E9">
            <w:pPr>
              <w:pStyle w:val="a3"/>
              <w:spacing w:before="0" w:beforeAutospacing="0" w:after="0" w:afterAutospacing="0"/>
              <w:jc w:val="right"/>
              <w:rPr>
                <w:sz w:val="20"/>
                <w:szCs w:val="20"/>
              </w:rPr>
            </w:pPr>
            <w:r>
              <w:rPr>
                <w:sz w:val="20"/>
                <w:szCs w:val="20"/>
              </w:rPr>
              <w:t>78,93</w:t>
            </w:r>
            <w:r>
              <w:rPr>
                <w:sz w:val="20"/>
                <w:szCs w:val="20"/>
              </w:rPr>
              <w:t>1</w:t>
            </w:r>
          </w:p>
        </w:tc>
        <w:tc>
          <w:tcPr>
            <w:tcW w:w="0" w:type="auto"/>
            <w:noWrap/>
            <w:vAlign w:val="bottom"/>
            <w:hideMark/>
          </w:tcPr>
          <w:p w14:paraId="165C950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CF04F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8FD56A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F170F9" w14:textId="77777777" w:rsidR="00000000" w:rsidRDefault="003C49E9">
            <w:pPr>
              <w:pStyle w:val="a3"/>
              <w:spacing w:before="0" w:beforeAutospacing="0" w:after="0" w:afterAutospacing="0"/>
              <w:jc w:val="right"/>
              <w:rPr>
                <w:sz w:val="20"/>
                <w:szCs w:val="20"/>
              </w:rPr>
            </w:pPr>
            <w:r>
              <w:rPr>
                <w:sz w:val="20"/>
                <w:szCs w:val="20"/>
              </w:rPr>
              <w:t>62,87</w:t>
            </w:r>
            <w:r>
              <w:rPr>
                <w:sz w:val="20"/>
                <w:szCs w:val="20"/>
              </w:rPr>
              <w:t>7</w:t>
            </w:r>
          </w:p>
        </w:tc>
        <w:tc>
          <w:tcPr>
            <w:tcW w:w="0" w:type="auto"/>
            <w:noWrap/>
            <w:vAlign w:val="bottom"/>
            <w:hideMark/>
          </w:tcPr>
          <w:p w14:paraId="6E87DE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D6C802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67DCE9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36BFA2E" w14:textId="77777777" w:rsidR="00000000" w:rsidRDefault="003C49E9">
            <w:pPr>
              <w:pStyle w:val="a3"/>
              <w:spacing w:before="0" w:beforeAutospacing="0" w:after="0" w:afterAutospacing="0"/>
              <w:jc w:val="right"/>
              <w:rPr>
                <w:sz w:val="20"/>
                <w:szCs w:val="20"/>
              </w:rPr>
            </w:pPr>
            <w:r>
              <w:rPr>
                <w:sz w:val="20"/>
                <w:szCs w:val="20"/>
              </w:rPr>
              <w:t>151,86</w:t>
            </w:r>
            <w:r>
              <w:rPr>
                <w:sz w:val="20"/>
                <w:szCs w:val="20"/>
              </w:rPr>
              <w:t>9</w:t>
            </w:r>
          </w:p>
        </w:tc>
        <w:tc>
          <w:tcPr>
            <w:tcW w:w="0" w:type="auto"/>
            <w:noWrap/>
            <w:vAlign w:val="bottom"/>
            <w:hideMark/>
          </w:tcPr>
          <w:p w14:paraId="7069A9E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0A6D72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B99F3A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241AE4" w14:textId="77777777" w:rsidR="00000000" w:rsidRDefault="003C49E9">
            <w:pPr>
              <w:pStyle w:val="a3"/>
              <w:spacing w:before="0" w:beforeAutospacing="0" w:after="0" w:afterAutospacing="0"/>
              <w:jc w:val="right"/>
              <w:rPr>
                <w:sz w:val="20"/>
                <w:szCs w:val="20"/>
              </w:rPr>
            </w:pPr>
            <w:r>
              <w:rPr>
                <w:sz w:val="20"/>
                <w:szCs w:val="20"/>
              </w:rPr>
              <w:t>117,61</w:t>
            </w:r>
            <w:r>
              <w:rPr>
                <w:sz w:val="20"/>
                <w:szCs w:val="20"/>
              </w:rPr>
              <w:t>1</w:t>
            </w:r>
          </w:p>
        </w:tc>
        <w:tc>
          <w:tcPr>
            <w:tcW w:w="0" w:type="auto"/>
            <w:noWrap/>
            <w:vAlign w:val="bottom"/>
            <w:hideMark/>
          </w:tcPr>
          <w:p w14:paraId="30286788" w14:textId="77777777" w:rsidR="00000000" w:rsidRDefault="003C49E9">
            <w:pPr>
              <w:pStyle w:val="a3"/>
              <w:spacing w:before="0" w:beforeAutospacing="0" w:after="0" w:afterAutospacing="0"/>
              <w:rPr>
                <w:sz w:val="20"/>
                <w:szCs w:val="20"/>
              </w:rPr>
            </w:pPr>
            <w:r>
              <w:rPr>
                <w:sz w:val="20"/>
                <w:szCs w:val="20"/>
              </w:rPr>
              <w:t> </w:t>
            </w:r>
          </w:p>
        </w:tc>
      </w:tr>
      <w:tr w:rsidR="00000000" w14:paraId="339074BC" w14:textId="77777777">
        <w:trPr>
          <w:trHeight w:val="200"/>
          <w:tblCellSpacing w:w="15" w:type="dxa"/>
        </w:trPr>
        <w:tc>
          <w:tcPr>
            <w:tcW w:w="0" w:type="auto"/>
            <w:vAlign w:val="bottom"/>
            <w:hideMark/>
          </w:tcPr>
          <w:p w14:paraId="623B6A38" w14:textId="77777777" w:rsidR="00000000" w:rsidRDefault="003C49E9">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14:paraId="1C66DBF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1120C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809A37" w14:textId="77777777" w:rsidR="00000000" w:rsidRDefault="003C49E9">
            <w:pPr>
              <w:pStyle w:val="a3"/>
              <w:spacing w:before="0" w:beforeAutospacing="0" w:after="0" w:afterAutospacing="0"/>
              <w:jc w:val="right"/>
              <w:rPr>
                <w:sz w:val="20"/>
                <w:szCs w:val="20"/>
              </w:rPr>
            </w:pPr>
            <w:r>
              <w:rPr>
                <w:sz w:val="20"/>
                <w:szCs w:val="20"/>
              </w:rPr>
              <w:t>342,82</w:t>
            </w:r>
            <w:r>
              <w:rPr>
                <w:sz w:val="20"/>
                <w:szCs w:val="20"/>
              </w:rPr>
              <w:t>4</w:t>
            </w:r>
          </w:p>
        </w:tc>
        <w:tc>
          <w:tcPr>
            <w:tcW w:w="0" w:type="auto"/>
            <w:noWrap/>
            <w:vAlign w:val="bottom"/>
            <w:hideMark/>
          </w:tcPr>
          <w:p w14:paraId="0CA8EFB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8023BF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C35AC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97F7624" w14:textId="77777777" w:rsidR="00000000" w:rsidRDefault="003C49E9">
            <w:pPr>
              <w:pStyle w:val="a3"/>
              <w:spacing w:before="0" w:beforeAutospacing="0" w:after="0" w:afterAutospacing="0"/>
              <w:jc w:val="right"/>
              <w:rPr>
                <w:sz w:val="20"/>
                <w:szCs w:val="20"/>
              </w:rPr>
            </w:pPr>
            <w:r>
              <w:rPr>
                <w:sz w:val="20"/>
                <w:szCs w:val="20"/>
              </w:rPr>
              <w:t>247,91</w:t>
            </w:r>
            <w:r>
              <w:rPr>
                <w:sz w:val="20"/>
                <w:szCs w:val="20"/>
              </w:rPr>
              <w:t>1</w:t>
            </w:r>
          </w:p>
        </w:tc>
        <w:tc>
          <w:tcPr>
            <w:tcW w:w="0" w:type="auto"/>
            <w:noWrap/>
            <w:vAlign w:val="bottom"/>
            <w:hideMark/>
          </w:tcPr>
          <w:p w14:paraId="49E40CB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C950F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234680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86B865" w14:textId="77777777" w:rsidR="00000000" w:rsidRDefault="003C49E9">
            <w:pPr>
              <w:pStyle w:val="a3"/>
              <w:spacing w:before="0" w:beforeAutospacing="0" w:after="0" w:afterAutospacing="0"/>
              <w:jc w:val="right"/>
              <w:rPr>
                <w:sz w:val="20"/>
                <w:szCs w:val="20"/>
              </w:rPr>
            </w:pPr>
            <w:r>
              <w:rPr>
                <w:sz w:val="20"/>
                <w:szCs w:val="20"/>
              </w:rPr>
              <w:t>665,48</w:t>
            </w:r>
            <w:r>
              <w:rPr>
                <w:sz w:val="20"/>
                <w:szCs w:val="20"/>
              </w:rPr>
              <w:t>5</w:t>
            </w:r>
          </w:p>
        </w:tc>
        <w:tc>
          <w:tcPr>
            <w:tcW w:w="0" w:type="auto"/>
            <w:noWrap/>
            <w:vAlign w:val="bottom"/>
            <w:hideMark/>
          </w:tcPr>
          <w:p w14:paraId="3E5CBFD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38DAC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B2DA9D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1D92A4C" w14:textId="77777777" w:rsidR="00000000" w:rsidRDefault="003C49E9">
            <w:pPr>
              <w:pStyle w:val="a3"/>
              <w:spacing w:before="0" w:beforeAutospacing="0" w:after="0" w:afterAutospacing="0"/>
              <w:jc w:val="right"/>
              <w:rPr>
                <w:sz w:val="20"/>
                <w:szCs w:val="20"/>
              </w:rPr>
            </w:pPr>
            <w:r>
              <w:rPr>
                <w:sz w:val="20"/>
                <w:szCs w:val="20"/>
              </w:rPr>
              <w:t>474,54</w:t>
            </w:r>
            <w:r>
              <w:rPr>
                <w:sz w:val="20"/>
                <w:szCs w:val="20"/>
              </w:rPr>
              <w:t>2</w:t>
            </w:r>
          </w:p>
        </w:tc>
        <w:tc>
          <w:tcPr>
            <w:tcW w:w="0" w:type="auto"/>
            <w:noWrap/>
            <w:vAlign w:val="bottom"/>
            <w:hideMark/>
          </w:tcPr>
          <w:p w14:paraId="533857E3" w14:textId="77777777" w:rsidR="00000000" w:rsidRDefault="003C49E9">
            <w:pPr>
              <w:pStyle w:val="a3"/>
              <w:spacing w:before="0" w:beforeAutospacing="0" w:after="0" w:afterAutospacing="0"/>
              <w:rPr>
                <w:sz w:val="20"/>
                <w:szCs w:val="20"/>
              </w:rPr>
            </w:pPr>
            <w:r>
              <w:rPr>
                <w:sz w:val="20"/>
                <w:szCs w:val="20"/>
              </w:rPr>
              <w:t> </w:t>
            </w:r>
          </w:p>
        </w:tc>
      </w:tr>
      <w:tr w:rsidR="00000000" w14:paraId="71773BB4" w14:textId="77777777">
        <w:trPr>
          <w:trHeight w:val="200"/>
          <w:tblCellSpacing w:w="15" w:type="dxa"/>
        </w:trPr>
        <w:tc>
          <w:tcPr>
            <w:tcW w:w="0" w:type="auto"/>
            <w:vAlign w:val="bottom"/>
            <w:hideMark/>
          </w:tcPr>
          <w:p w14:paraId="47DB1EE6" w14:textId="77777777" w:rsidR="00000000" w:rsidRDefault="003C49E9">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3C3D25C9"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0DF6DC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68267D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3D798EC"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112777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C7CFE7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23C1CE4"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2D06B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5672A3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1CB5F5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5216556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DD6B8AB" w14:textId="77777777" w:rsidR="00000000" w:rsidRDefault="003C49E9">
            <w:pPr>
              <w:pStyle w:val="a3"/>
              <w:spacing w:before="0" w:beforeAutospacing="0" w:after="0" w:afterAutospacing="0"/>
              <w:jc w:val="right"/>
              <w:rPr>
                <w:sz w:val="20"/>
                <w:szCs w:val="20"/>
              </w:rPr>
            </w:pPr>
            <w:r>
              <w:rPr>
                <w:sz w:val="20"/>
                <w:szCs w:val="20"/>
              </w:rPr>
              <w:t> </w:t>
            </w:r>
          </w:p>
        </w:tc>
      </w:tr>
      <w:tr w:rsidR="00000000" w14:paraId="339ACF7A" w14:textId="77777777">
        <w:trPr>
          <w:trHeight w:val="200"/>
          <w:tblCellSpacing w:w="15" w:type="dxa"/>
        </w:trPr>
        <w:tc>
          <w:tcPr>
            <w:tcW w:w="0" w:type="auto"/>
            <w:vAlign w:val="bottom"/>
            <w:hideMark/>
          </w:tcPr>
          <w:p w14:paraId="063A6274" w14:textId="77777777" w:rsidR="00000000" w:rsidRDefault="003C49E9">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14:paraId="08DFAB9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7C5D90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24BFD5" w14:textId="77777777" w:rsidR="00000000" w:rsidRDefault="003C49E9">
            <w:pPr>
              <w:pStyle w:val="a3"/>
              <w:spacing w:before="0" w:beforeAutospacing="0" w:after="0" w:afterAutospacing="0"/>
              <w:jc w:val="right"/>
              <w:rPr>
                <w:sz w:val="20"/>
                <w:szCs w:val="20"/>
              </w:rPr>
            </w:pPr>
            <w:r>
              <w:rPr>
                <w:sz w:val="20"/>
                <w:szCs w:val="20"/>
              </w:rPr>
              <w:t>118,91</w:t>
            </w:r>
            <w:r>
              <w:rPr>
                <w:sz w:val="20"/>
                <w:szCs w:val="20"/>
              </w:rPr>
              <w:t>4</w:t>
            </w:r>
          </w:p>
        </w:tc>
        <w:tc>
          <w:tcPr>
            <w:tcW w:w="0" w:type="auto"/>
            <w:noWrap/>
            <w:vAlign w:val="bottom"/>
            <w:hideMark/>
          </w:tcPr>
          <w:p w14:paraId="38E02E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B6DD2C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F3B755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110655" w14:textId="77777777" w:rsidR="00000000" w:rsidRDefault="003C49E9">
            <w:pPr>
              <w:pStyle w:val="a3"/>
              <w:spacing w:before="0" w:beforeAutospacing="0" w:after="0" w:afterAutospacing="0"/>
              <w:jc w:val="right"/>
              <w:rPr>
                <w:sz w:val="20"/>
                <w:szCs w:val="20"/>
              </w:rPr>
            </w:pPr>
            <w:r>
              <w:rPr>
                <w:sz w:val="20"/>
                <w:szCs w:val="20"/>
              </w:rPr>
              <w:t>72,10</w:t>
            </w:r>
            <w:r>
              <w:rPr>
                <w:sz w:val="20"/>
                <w:szCs w:val="20"/>
              </w:rPr>
              <w:t>4</w:t>
            </w:r>
          </w:p>
        </w:tc>
        <w:tc>
          <w:tcPr>
            <w:tcW w:w="0" w:type="auto"/>
            <w:noWrap/>
            <w:vAlign w:val="bottom"/>
            <w:hideMark/>
          </w:tcPr>
          <w:p w14:paraId="632CDD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3B0DD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38F82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39D5A18" w14:textId="77777777" w:rsidR="00000000" w:rsidRDefault="003C49E9">
            <w:pPr>
              <w:pStyle w:val="a3"/>
              <w:spacing w:before="0" w:beforeAutospacing="0" w:after="0" w:afterAutospacing="0"/>
              <w:jc w:val="right"/>
              <w:rPr>
                <w:sz w:val="20"/>
                <w:szCs w:val="20"/>
              </w:rPr>
            </w:pPr>
            <w:r>
              <w:rPr>
                <w:sz w:val="20"/>
                <w:szCs w:val="20"/>
              </w:rPr>
              <w:t>211,65</w:t>
            </w:r>
            <w:r>
              <w:rPr>
                <w:sz w:val="20"/>
                <w:szCs w:val="20"/>
              </w:rPr>
              <w:t>0</w:t>
            </w:r>
          </w:p>
        </w:tc>
        <w:tc>
          <w:tcPr>
            <w:tcW w:w="0" w:type="auto"/>
            <w:noWrap/>
            <w:vAlign w:val="bottom"/>
            <w:hideMark/>
          </w:tcPr>
          <w:p w14:paraId="6696087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CF641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340B72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BF2E5C" w14:textId="77777777" w:rsidR="00000000" w:rsidRDefault="003C49E9">
            <w:pPr>
              <w:pStyle w:val="a3"/>
              <w:spacing w:before="0" w:beforeAutospacing="0" w:after="0" w:afterAutospacing="0"/>
              <w:jc w:val="right"/>
              <w:rPr>
                <w:sz w:val="20"/>
                <w:szCs w:val="20"/>
              </w:rPr>
            </w:pPr>
            <w:r>
              <w:rPr>
                <w:sz w:val="20"/>
                <w:szCs w:val="20"/>
              </w:rPr>
              <w:t>140,50</w:t>
            </w:r>
            <w:r>
              <w:rPr>
                <w:sz w:val="20"/>
                <w:szCs w:val="20"/>
              </w:rPr>
              <w:t>0</w:t>
            </w:r>
          </w:p>
        </w:tc>
        <w:tc>
          <w:tcPr>
            <w:tcW w:w="0" w:type="auto"/>
            <w:noWrap/>
            <w:vAlign w:val="bottom"/>
            <w:hideMark/>
          </w:tcPr>
          <w:p w14:paraId="55623512" w14:textId="77777777" w:rsidR="00000000" w:rsidRDefault="003C49E9">
            <w:pPr>
              <w:pStyle w:val="a3"/>
              <w:spacing w:before="0" w:beforeAutospacing="0" w:after="0" w:afterAutospacing="0"/>
              <w:rPr>
                <w:sz w:val="20"/>
                <w:szCs w:val="20"/>
              </w:rPr>
            </w:pPr>
            <w:r>
              <w:rPr>
                <w:sz w:val="20"/>
                <w:szCs w:val="20"/>
              </w:rPr>
              <w:t> </w:t>
            </w:r>
          </w:p>
        </w:tc>
      </w:tr>
      <w:tr w:rsidR="00000000" w14:paraId="0748404B" w14:textId="77777777">
        <w:trPr>
          <w:trHeight w:val="200"/>
          <w:tblCellSpacing w:w="15" w:type="dxa"/>
        </w:trPr>
        <w:tc>
          <w:tcPr>
            <w:tcW w:w="0" w:type="auto"/>
            <w:vAlign w:val="bottom"/>
            <w:hideMark/>
          </w:tcPr>
          <w:p w14:paraId="5516504A" w14:textId="77777777" w:rsidR="00000000" w:rsidRDefault="003C49E9">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14:paraId="5412FFF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F2CC2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8F9039" w14:textId="77777777" w:rsidR="00000000" w:rsidRDefault="003C49E9">
            <w:pPr>
              <w:pStyle w:val="a3"/>
              <w:spacing w:before="0" w:beforeAutospacing="0" w:after="0" w:afterAutospacing="0"/>
              <w:jc w:val="right"/>
              <w:rPr>
                <w:sz w:val="20"/>
                <w:szCs w:val="20"/>
              </w:rPr>
            </w:pPr>
            <w:r>
              <w:rPr>
                <w:sz w:val="20"/>
                <w:szCs w:val="20"/>
              </w:rPr>
              <w:t>224,26</w:t>
            </w:r>
            <w:r>
              <w:rPr>
                <w:sz w:val="20"/>
                <w:szCs w:val="20"/>
              </w:rPr>
              <w:t>2</w:t>
            </w:r>
          </w:p>
        </w:tc>
        <w:tc>
          <w:tcPr>
            <w:tcW w:w="0" w:type="auto"/>
            <w:noWrap/>
            <w:vAlign w:val="bottom"/>
            <w:hideMark/>
          </w:tcPr>
          <w:p w14:paraId="769CA5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7CCAE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881494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E3F8C9" w14:textId="77777777" w:rsidR="00000000" w:rsidRDefault="003C49E9">
            <w:pPr>
              <w:pStyle w:val="a3"/>
              <w:spacing w:before="0" w:beforeAutospacing="0" w:after="0" w:afterAutospacing="0"/>
              <w:jc w:val="right"/>
              <w:rPr>
                <w:sz w:val="20"/>
                <w:szCs w:val="20"/>
              </w:rPr>
            </w:pPr>
            <w:r>
              <w:rPr>
                <w:sz w:val="20"/>
                <w:szCs w:val="20"/>
              </w:rPr>
              <w:t>157,79</w:t>
            </w:r>
            <w:r>
              <w:rPr>
                <w:sz w:val="20"/>
                <w:szCs w:val="20"/>
              </w:rPr>
              <w:t>9</w:t>
            </w:r>
          </w:p>
        </w:tc>
        <w:tc>
          <w:tcPr>
            <w:tcW w:w="0" w:type="auto"/>
            <w:noWrap/>
            <w:vAlign w:val="bottom"/>
            <w:hideMark/>
          </w:tcPr>
          <w:p w14:paraId="0ECC1D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8FA3F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C93495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71C1C2" w14:textId="77777777" w:rsidR="00000000" w:rsidRDefault="003C49E9">
            <w:pPr>
              <w:pStyle w:val="a3"/>
              <w:spacing w:before="0" w:beforeAutospacing="0" w:after="0" w:afterAutospacing="0"/>
              <w:jc w:val="right"/>
              <w:rPr>
                <w:sz w:val="20"/>
                <w:szCs w:val="20"/>
              </w:rPr>
            </w:pPr>
            <w:r>
              <w:rPr>
                <w:sz w:val="20"/>
                <w:szCs w:val="20"/>
              </w:rPr>
              <w:t>421,39</w:t>
            </w:r>
            <w:r>
              <w:rPr>
                <w:sz w:val="20"/>
                <w:szCs w:val="20"/>
              </w:rPr>
              <w:t>6</w:t>
            </w:r>
          </w:p>
        </w:tc>
        <w:tc>
          <w:tcPr>
            <w:tcW w:w="0" w:type="auto"/>
            <w:noWrap/>
            <w:vAlign w:val="bottom"/>
            <w:hideMark/>
          </w:tcPr>
          <w:p w14:paraId="4C23150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E9A5E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68F31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6791E4" w14:textId="77777777" w:rsidR="00000000" w:rsidRDefault="003C49E9">
            <w:pPr>
              <w:pStyle w:val="a3"/>
              <w:spacing w:before="0" w:beforeAutospacing="0" w:after="0" w:afterAutospacing="0"/>
              <w:jc w:val="right"/>
              <w:rPr>
                <w:sz w:val="20"/>
                <w:szCs w:val="20"/>
              </w:rPr>
            </w:pPr>
            <w:r>
              <w:rPr>
                <w:sz w:val="20"/>
                <w:szCs w:val="20"/>
              </w:rPr>
              <w:t>298,81</w:t>
            </w:r>
            <w:r>
              <w:rPr>
                <w:sz w:val="20"/>
                <w:szCs w:val="20"/>
              </w:rPr>
              <w:t>7</w:t>
            </w:r>
          </w:p>
        </w:tc>
        <w:tc>
          <w:tcPr>
            <w:tcW w:w="0" w:type="auto"/>
            <w:noWrap/>
            <w:vAlign w:val="bottom"/>
            <w:hideMark/>
          </w:tcPr>
          <w:p w14:paraId="56549E42" w14:textId="77777777" w:rsidR="00000000" w:rsidRDefault="003C49E9">
            <w:pPr>
              <w:pStyle w:val="a3"/>
              <w:spacing w:before="0" w:beforeAutospacing="0" w:after="0" w:afterAutospacing="0"/>
              <w:rPr>
                <w:sz w:val="20"/>
                <w:szCs w:val="20"/>
              </w:rPr>
            </w:pPr>
            <w:r>
              <w:rPr>
                <w:sz w:val="20"/>
                <w:szCs w:val="20"/>
              </w:rPr>
              <w:t> </w:t>
            </w:r>
          </w:p>
        </w:tc>
      </w:tr>
      <w:tr w:rsidR="00000000" w14:paraId="47BD1E8F" w14:textId="77777777">
        <w:trPr>
          <w:trHeight w:val="200"/>
          <w:tblCellSpacing w:w="15" w:type="dxa"/>
        </w:trPr>
        <w:tc>
          <w:tcPr>
            <w:tcW w:w="0" w:type="auto"/>
            <w:vAlign w:val="bottom"/>
            <w:hideMark/>
          </w:tcPr>
          <w:p w14:paraId="79D72973" w14:textId="77777777" w:rsidR="00000000" w:rsidRDefault="003C49E9">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4E5E276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D1B43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05336A" w14:textId="77777777" w:rsidR="00000000" w:rsidRDefault="003C49E9">
            <w:pPr>
              <w:pStyle w:val="a3"/>
              <w:spacing w:before="0" w:beforeAutospacing="0" w:after="0" w:afterAutospacing="0"/>
              <w:jc w:val="right"/>
              <w:rPr>
                <w:sz w:val="20"/>
                <w:szCs w:val="20"/>
              </w:rPr>
            </w:pPr>
            <w:r>
              <w:rPr>
                <w:sz w:val="20"/>
                <w:szCs w:val="20"/>
              </w:rPr>
              <w:t>51,89</w:t>
            </w:r>
            <w:r>
              <w:rPr>
                <w:sz w:val="20"/>
                <w:szCs w:val="20"/>
              </w:rPr>
              <w:t>8</w:t>
            </w:r>
          </w:p>
        </w:tc>
        <w:tc>
          <w:tcPr>
            <w:tcW w:w="0" w:type="auto"/>
            <w:noWrap/>
            <w:vAlign w:val="bottom"/>
            <w:hideMark/>
          </w:tcPr>
          <w:p w14:paraId="649253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A6E28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94E22B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9600F3" w14:textId="77777777" w:rsidR="00000000" w:rsidRDefault="003C49E9">
            <w:pPr>
              <w:pStyle w:val="a3"/>
              <w:spacing w:before="0" w:beforeAutospacing="0" w:after="0" w:afterAutospacing="0"/>
              <w:jc w:val="right"/>
              <w:rPr>
                <w:sz w:val="20"/>
                <w:szCs w:val="20"/>
              </w:rPr>
            </w:pPr>
            <w:r>
              <w:rPr>
                <w:sz w:val="20"/>
                <w:szCs w:val="20"/>
              </w:rPr>
              <w:t>34,61</w:t>
            </w:r>
            <w:r>
              <w:rPr>
                <w:sz w:val="20"/>
                <w:szCs w:val="20"/>
              </w:rPr>
              <w:t>0</w:t>
            </w:r>
          </w:p>
        </w:tc>
        <w:tc>
          <w:tcPr>
            <w:tcW w:w="0" w:type="auto"/>
            <w:noWrap/>
            <w:vAlign w:val="bottom"/>
            <w:hideMark/>
          </w:tcPr>
          <w:p w14:paraId="36AF2E8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99929D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3E60DE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B0C5DE" w14:textId="77777777" w:rsidR="00000000" w:rsidRDefault="003C49E9">
            <w:pPr>
              <w:pStyle w:val="a3"/>
              <w:spacing w:before="0" w:beforeAutospacing="0" w:after="0" w:afterAutospacing="0"/>
              <w:jc w:val="right"/>
              <w:rPr>
                <w:sz w:val="20"/>
                <w:szCs w:val="20"/>
              </w:rPr>
            </w:pPr>
            <w:r>
              <w:rPr>
                <w:sz w:val="20"/>
                <w:szCs w:val="20"/>
              </w:rPr>
              <w:t>95,84</w:t>
            </w:r>
            <w:r>
              <w:rPr>
                <w:sz w:val="20"/>
                <w:szCs w:val="20"/>
              </w:rPr>
              <w:t>4</w:t>
            </w:r>
          </w:p>
        </w:tc>
        <w:tc>
          <w:tcPr>
            <w:tcW w:w="0" w:type="auto"/>
            <w:noWrap/>
            <w:vAlign w:val="bottom"/>
            <w:hideMark/>
          </w:tcPr>
          <w:p w14:paraId="37A392C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943319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1D332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545361" w14:textId="77777777" w:rsidR="00000000" w:rsidRDefault="003C49E9">
            <w:pPr>
              <w:pStyle w:val="a3"/>
              <w:spacing w:before="0" w:beforeAutospacing="0" w:after="0" w:afterAutospacing="0"/>
              <w:jc w:val="right"/>
              <w:rPr>
                <w:sz w:val="20"/>
                <w:szCs w:val="20"/>
              </w:rPr>
            </w:pPr>
            <w:r>
              <w:rPr>
                <w:sz w:val="20"/>
                <w:szCs w:val="20"/>
              </w:rPr>
              <w:t>66,86</w:t>
            </w:r>
            <w:r>
              <w:rPr>
                <w:sz w:val="20"/>
                <w:szCs w:val="20"/>
              </w:rPr>
              <w:t>0</w:t>
            </w:r>
          </w:p>
        </w:tc>
        <w:tc>
          <w:tcPr>
            <w:tcW w:w="0" w:type="auto"/>
            <w:noWrap/>
            <w:vAlign w:val="bottom"/>
            <w:hideMark/>
          </w:tcPr>
          <w:p w14:paraId="640FA86C" w14:textId="77777777" w:rsidR="00000000" w:rsidRDefault="003C49E9">
            <w:pPr>
              <w:pStyle w:val="a3"/>
              <w:spacing w:before="0" w:beforeAutospacing="0" w:after="0" w:afterAutospacing="0"/>
              <w:rPr>
                <w:sz w:val="20"/>
                <w:szCs w:val="20"/>
              </w:rPr>
            </w:pPr>
            <w:r>
              <w:rPr>
                <w:sz w:val="20"/>
                <w:szCs w:val="20"/>
              </w:rPr>
              <w:t> </w:t>
            </w:r>
          </w:p>
        </w:tc>
      </w:tr>
      <w:tr w:rsidR="00000000" w14:paraId="79961208" w14:textId="77777777">
        <w:trPr>
          <w:trHeight w:val="200"/>
          <w:tblCellSpacing w:w="15" w:type="dxa"/>
        </w:trPr>
        <w:tc>
          <w:tcPr>
            <w:tcW w:w="0" w:type="auto"/>
            <w:vAlign w:val="bottom"/>
            <w:hideMark/>
          </w:tcPr>
          <w:p w14:paraId="3D4A404C" w14:textId="77777777" w:rsidR="00000000" w:rsidRDefault="003C49E9">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14:paraId="6491701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A86CD7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8552A1" w14:textId="77777777" w:rsidR="00000000" w:rsidRDefault="003C49E9">
            <w:pPr>
              <w:pStyle w:val="a3"/>
              <w:spacing w:before="0" w:beforeAutospacing="0" w:after="0" w:afterAutospacing="0"/>
              <w:jc w:val="right"/>
              <w:rPr>
                <w:sz w:val="20"/>
                <w:szCs w:val="20"/>
              </w:rPr>
            </w:pPr>
            <w:r>
              <w:rPr>
                <w:sz w:val="20"/>
                <w:szCs w:val="20"/>
              </w:rPr>
              <w:t>395,07</w:t>
            </w:r>
            <w:r>
              <w:rPr>
                <w:sz w:val="20"/>
                <w:szCs w:val="20"/>
              </w:rPr>
              <w:t>4</w:t>
            </w:r>
          </w:p>
        </w:tc>
        <w:tc>
          <w:tcPr>
            <w:tcW w:w="0" w:type="auto"/>
            <w:noWrap/>
            <w:vAlign w:val="bottom"/>
            <w:hideMark/>
          </w:tcPr>
          <w:p w14:paraId="75BFC2C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9F3EE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3D07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49FCDA" w14:textId="77777777" w:rsidR="00000000" w:rsidRDefault="003C49E9">
            <w:pPr>
              <w:pStyle w:val="a3"/>
              <w:spacing w:before="0" w:beforeAutospacing="0" w:after="0" w:afterAutospacing="0"/>
              <w:jc w:val="right"/>
              <w:rPr>
                <w:sz w:val="20"/>
                <w:szCs w:val="20"/>
              </w:rPr>
            </w:pPr>
            <w:r>
              <w:rPr>
                <w:sz w:val="20"/>
                <w:szCs w:val="20"/>
              </w:rPr>
              <w:t>264,51</w:t>
            </w:r>
            <w:r>
              <w:rPr>
                <w:sz w:val="20"/>
                <w:szCs w:val="20"/>
              </w:rPr>
              <w:t>3</w:t>
            </w:r>
          </w:p>
        </w:tc>
        <w:tc>
          <w:tcPr>
            <w:tcW w:w="0" w:type="auto"/>
            <w:noWrap/>
            <w:vAlign w:val="bottom"/>
            <w:hideMark/>
          </w:tcPr>
          <w:p w14:paraId="617622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133A04"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8A5687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A4B1B5" w14:textId="77777777" w:rsidR="00000000" w:rsidRDefault="003C49E9">
            <w:pPr>
              <w:pStyle w:val="a3"/>
              <w:spacing w:before="0" w:beforeAutospacing="0" w:after="0" w:afterAutospacing="0"/>
              <w:jc w:val="right"/>
              <w:rPr>
                <w:sz w:val="20"/>
                <w:szCs w:val="20"/>
              </w:rPr>
            </w:pPr>
            <w:r>
              <w:rPr>
                <w:sz w:val="20"/>
                <w:szCs w:val="20"/>
              </w:rPr>
              <w:t>728,89</w:t>
            </w:r>
            <w:r>
              <w:rPr>
                <w:sz w:val="20"/>
                <w:szCs w:val="20"/>
              </w:rPr>
              <w:t>0</w:t>
            </w:r>
          </w:p>
        </w:tc>
        <w:tc>
          <w:tcPr>
            <w:tcW w:w="0" w:type="auto"/>
            <w:noWrap/>
            <w:vAlign w:val="bottom"/>
            <w:hideMark/>
          </w:tcPr>
          <w:p w14:paraId="354253D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97D00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1368D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EAAD075" w14:textId="77777777" w:rsidR="00000000" w:rsidRDefault="003C49E9">
            <w:pPr>
              <w:pStyle w:val="a3"/>
              <w:spacing w:before="0" w:beforeAutospacing="0" w:after="0" w:afterAutospacing="0"/>
              <w:jc w:val="right"/>
              <w:rPr>
                <w:sz w:val="20"/>
                <w:szCs w:val="20"/>
              </w:rPr>
            </w:pPr>
            <w:r>
              <w:rPr>
                <w:sz w:val="20"/>
                <w:szCs w:val="20"/>
              </w:rPr>
              <w:t>506,17</w:t>
            </w:r>
            <w:r>
              <w:rPr>
                <w:sz w:val="20"/>
                <w:szCs w:val="20"/>
              </w:rPr>
              <w:t>7</w:t>
            </w:r>
          </w:p>
        </w:tc>
        <w:tc>
          <w:tcPr>
            <w:tcW w:w="0" w:type="auto"/>
            <w:noWrap/>
            <w:vAlign w:val="bottom"/>
            <w:hideMark/>
          </w:tcPr>
          <w:p w14:paraId="3A0C012E" w14:textId="77777777" w:rsidR="00000000" w:rsidRDefault="003C49E9">
            <w:pPr>
              <w:pStyle w:val="a3"/>
              <w:spacing w:before="0" w:beforeAutospacing="0" w:after="0" w:afterAutospacing="0"/>
              <w:rPr>
                <w:sz w:val="20"/>
                <w:szCs w:val="20"/>
              </w:rPr>
            </w:pPr>
            <w:r>
              <w:rPr>
                <w:sz w:val="20"/>
                <w:szCs w:val="20"/>
              </w:rPr>
              <w:t> </w:t>
            </w:r>
          </w:p>
        </w:tc>
      </w:tr>
      <w:tr w:rsidR="00000000" w14:paraId="103DBAE2" w14:textId="77777777">
        <w:trPr>
          <w:trHeight w:val="200"/>
          <w:tblCellSpacing w:w="15" w:type="dxa"/>
        </w:trPr>
        <w:tc>
          <w:tcPr>
            <w:tcW w:w="0" w:type="auto"/>
            <w:vAlign w:val="bottom"/>
            <w:hideMark/>
          </w:tcPr>
          <w:p w14:paraId="0D3EB253" w14:textId="77777777" w:rsidR="00000000" w:rsidRDefault="003C49E9">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14:paraId="394BBF8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A0003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9219D6" w14:textId="77777777" w:rsidR="00000000" w:rsidRDefault="003C49E9">
            <w:pPr>
              <w:pStyle w:val="a3"/>
              <w:spacing w:before="0" w:beforeAutospacing="0" w:after="0" w:afterAutospacing="0"/>
              <w:jc w:val="right"/>
              <w:rPr>
                <w:sz w:val="20"/>
                <w:szCs w:val="20"/>
              </w:rPr>
            </w:pPr>
            <w:r>
              <w:rPr>
                <w:sz w:val="20"/>
                <w:szCs w:val="20"/>
              </w:rPr>
              <w:t>(52,25</w:t>
            </w:r>
            <w:r>
              <w:rPr>
                <w:sz w:val="20"/>
                <w:szCs w:val="20"/>
              </w:rPr>
              <w:t>0</w:t>
            </w:r>
          </w:p>
        </w:tc>
        <w:tc>
          <w:tcPr>
            <w:tcW w:w="0" w:type="auto"/>
            <w:noWrap/>
            <w:vAlign w:val="bottom"/>
            <w:hideMark/>
          </w:tcPr>
          <w:p w14:paraId="48F621A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574CCC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E06CA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B4CFEF" w14:textId="77777777" w:rsidR="00000000" w:rsidRDefault="003C49E9">
            <w:pPr>
              <w:pStyle w:val="a3"/>
              <w:spacing w:before="0" w:beforeAutospacing="0" w:after="0" w:afterAutospacing="0"/>
              <w:jc w:val="right"/>
              <w:rPr>
                <w:sz w:val="20"/>
                <w:szCs w:val="20"/>
              </w:rPr>
            </w:pPr>
            <w:r>
              <w:rPr>
                <w:sz w:val="20"/>
                <w:szCs w:val="20"/>
              </w:rPr>
              <w:t>(16,60</w:t>
            </w:r>
            <w:r>
              <w:rPr>
                <w:sz w:val="20"/>
                <w:szCs w:val="20"/>
              </w:rPr>
              <w:t>2</w:t>
            </w:r>
          </w:p>
        </w:tc>
        <w:tc>
          <w:tcPr>
            <w:tcW w:w="0" w:type="auto"/>
            <w:noWrap/>
            <w:vAlign w:val="bottom"/>
            <w:hideMark/>
          </w:tcPr>
          <w:p w14:paraId="6B99BD1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3F72CB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C7A2AF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CFF797" w14:textId="77777777" w:rsidR="00000000" w:rsidRDefault="003C49E9">
            <w:pPr>
              <w:pStyle w:val="a3"/>
              <w:spacing w:before="0" w:beforeAutospacing="0" w:after="0" w:afterAutospacing="0"/>
              <w:jc w:val="right"/>
              <w:rPr>
                <w:sz w:val="20"/>
                <w:szCs w:val="20"/>
              </w:rPr>
            </w:pPr>
            <w:r>
              <w:rPr>
                <w:sz w:val="20"/>
                <w:szCs w:val="20"/>
              </w:rPr>
              <w:t>(63,40</w:t>
            </w:r>
            <w:r>
              <w:rPr>
                <w:sz w:val="20"/>
                <w:szCs w:val="20"/>
              </w:rPr>
              <w:t>5</w:t>
            </w:r>
          </w:p>
        </w:tc>
        <w:tc>
          <w:tcPr>
            <w:tcW w:w="0" w:type="auto"/>
            <w:noWrap/>
            <w:vAlign w:val="bottom"/>
            <w:hideMark/>
          </w:tcPr>
          <w:p w14:paraId="065A20D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ABA34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5A4220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BA3FB4" w14:textId="77777777" w:rsidR="00000000" w:rsidRDefault="003C49E9">
            <w:pPr>
              <w:pStyle w:val="a3"/>
              <w:spacing w:before="0" w:beforeAutospacing="0" w:after="0" w:afterAutospacing="0"/>
              <w:jc w:val="right"/>
              <w:rPr>
                <w:sz w:val="20"/>
                <w:szCs w:val="20"/>
              </w:rPr>
            </w:pPr>
            <w:r>
              <w:rPr>
                <w:sz w:val="20"/>
                <w:szCs w:val="20"/>
              </w:rPr>
              <w:t>(31,63</w:t>
            </w:r>
            <w:r>
              <w:rPr>
                <w:sz w:val="20"/>
                <w:szCs w:val="20"/>
              </w:rPr>
              <w:t>5</w:t>
            </w:r>
          </w:p>
        </w:tc>
        <w:tc>
          <w:tcPr>
            <w:tcW w:w="0" w:type="auto"/>
            <w:noWrap/>
            <w:vAlign w:val="bottom"/>
            <w:hideMark/>
          </w:tcPr>
          <w:p w14:paraId="282AE270" w14:textId="77777777" w:rsidR="00000000" w:rsidRDefault="003C49E9">
            <w:pPr>
              <w:pStyle w:val="a3"/>
              <w:spacing w:before="0" w:beforeAutospacing="0" w:after="0" w:afterAutospacing="0"/>
              <w:rPr>
                <w:sz w:val="20"/>
                <w:szCs w:val="20"/>
              </w:rPr>
            </w:pPr>
            <w:r>
              <w:rPr>
                <w:sz w:val="20"/>
                <w:szCs w:val="20"/>
              </w:rPr>
              <w:t>)</w:t>
            </w:r>
          </w:p>
        </w:tc>
      </w:tr>
      <w:tr w:rsidR="00000000" w14:paraId="2E08B7A0" w14:textId="77777777">
        <w:trPr>
          <w:trHeight w:val="200"/>
          <w:tblCellSpacing w:w="15" w:type="dxa"/>
        </w:trPr>
        <w:tc>
          <w:tcPr>
            <w:tcW w:w="0" w:type="auto"/>
            <w:vAlign w:val="bottom"/>
            <w:hideMark/>
          </w:tcPr>
          <w:p w14:paraId="2B371B90" w14:textId="77777777" w:rsidR="00000000" w:rsidRDefault="003C49E9">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14:paraId="7C29244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51617DC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42307F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EF4A1C8"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39EF71D0"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1EE11A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5280C63"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C6FE7D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C1DED9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3305C1A"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14A054C"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FBA02C2" w14:textId="77777777" w:rsidR="00000000" w:rsidRDefault="003C49E9">
            <w:pPr>
              <w:pStyle w:val="a3"/>
              <w:spacing w:before="0" w:beforeAutospacing="0" w:after="0" w:afterAutospacing="0"/>
              <w:jc w:val="right"/>
              <w:rPr>
                <w:sz w:val="20"/>
                <w:szCs w:val="20"/>
              </w:rPr>
            </w:pPr>
            <w:r>
              <w:rPr>
                <w:sz w:val="20"/>
                <w:szCs w:val="20"/>
              </w:rPr>
              <w:t> </w:t>
            </w:r>
          </w:p>
        </w:tc>
      </w:tr>
      <w:tr w:rsidR="00000000" w14:paraId="0EE7FCB4" w14:textId="77777777">
        <w:trPr>
          <w:trHeight w:val="200"/>
          <w:tblCellSpacing w:w="15" w:type="dxa"/>
        </w:trPr>
        <w:tc>
          <w:tcPr>
            <w:tcW w:w="0" w:type="auto"/>
            <w:vAlign w:val="bottom"/>
            <w:hideMark/>
          </w:tcPr>
          <w:p w14:paraId="1F79453A" w14:textId="77777777" w:rsidR="00000000" w:rsidRDefault="003C49E9">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14:paraId="0A617C3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8E7220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110411" w14:textId="77777777" w:rsidR="00000000" w:rsidRDefault="003C49E9">
            <w:pPr>
              <w:pStyle w:val="a3"/>
              <w:spacing w:before="0" w:beforeAutospacing="0" w:after="0" w:afterAutospacing="0"/>
              <w:jc w:val="right"/>
              <w:rPr>
                <w:sz w:val="20"/>
                <w:szCs w:val="20"/>
              </w:rPr>
            </w:pPr>
            <w:r>
              <w:rPr>
                <w:sz w:val="20"/>
                <w:szCs w:val="20"/>
              </w:rPr>
              <w:t>2,05</w:t>
            </w:r>
            <w:r>
              <w:rPr>
                <w:sz w:val="20"/>
                <w:szCs w:val="20"/>
              </w:rPr>
              <w:t>0</w:t>
            </w:r>
          </w:p>
        </w:tc>
        <w:tc>
          <w:tcPr>
            <w:tcW w:w="0" w:type="auto"/>
            <w:noWrap/>
            <w:vAlign w:val="bottom"/>
            <w:hideMark/>
          </w:tcPr>
          <w:p w14:paraId="45D5C96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9B79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89DDA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ACC10AA" w14:textId="77777777" w:rsidR="00000000" w:rsidRDefault="003C49E9">
            <w:pPr>
              <w:pStyle w:val="a3"/>
              <w:spacing w:before="0" w:beforeAutospacing="0" w:after="0" w:afterAutospacing="0"/>
              <w:jc w:val="right"/>
              <w:rPr>
                <w:sz w:val="20"/>
                <w:szCs w:val="20"/>
              </w:rPr>
            </w:pPr>
            <w:r>
              <w:rPr>
                <w:sz w:val="20"/>
                <w:szCs w:val="20"/>
              </w:rPr>
              <w:t>34</w:t>
            </w:r>
            <w:r>
              <w:rPr>
                <w:sz w:val="20"/>
                <w:szCs w:val="20"/>
              </w:rPr>
              <w:t>1</w:t>
            </w:r>
          </w:p>
        </w:tc>
        <w:tc>
          <w:tcPr>
            <w:tcW w:w="0" w:type="auto"/>
            <w:noWrap/>
            <w:vAlign w:val="bottom"/>
            <w:hideMark/>
          </w:tcPr>
          <w:p w14:paraId="11A8240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7BB57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6EDF05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2A56E2" w14:textId="77777777" w:rsidR="00000000" w:rsidRDefault="003C49E9">
            <w:pPr>
              <w:pStyle w:val="a3"/>
              <w:spacing w:before="0" w:beforeAutospacing="0" w:after="0" w:afterAutospacing="0"/>
              <w:jc w:val="right"/>
              <w:rPr>
                <w:sz w:val="20"/>
                <w:szCs w:val="20"/>
              </w:rPr>
            </w:pPr>
            <w:r>
              <w:rPr>
                <w:sz w:val="20"/>
                <w:szCs w:val="20"/>
              </w:rPr>
              <w:t>2,56</w:t>
            </w:r>
            <w:r>
              <w:rPr>
                <w:sz w:val="20"/>
                <w:szCs w:val="20"/>
              </w:rPr>
              <w:t>4</w:t>
            </w:r>
          </w:p>
        </w:tc>
        <w:tc>
          <w:tcPr>
            <w:tcW w:w="0" w:type="auto"/>
            <w:noWrap/>
            <w:vAlign w:val="bottom"/>
            <w:hideMark/>
          </w:tcPr>
          <w:p w14:paraId="7053D9C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BD620D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0B70D5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98844CF" w14:textId="77777777" w:rsidR="00000000" w:rsidRDefault="003C49E9">
            <w:pPr>
              <w:pStyle w:val="a3"/>
              <w:spacing w:before="0" w:beforeAutospacing="0" w:after="0" w:afterAutospacing="0"/>
              <w:jc w:val="right"/>
              <w:rPr>
                <w:sz w:val="20"/>
                <w:szCs w:val="20"/>
              </w:rPr>
            </w:pPr>
            <w:r>
              <w:rPr>
                <w:sz w:val="20"/>
                <w:szCs w:val="20"/>
              </w:rPr>
              <w:t>81</w:t>
            </w:r>
            <w:r>
              <w:rPr>
                <w:sz w:val="20"/>
                <w:szCs w:val="20"/>
              </w:rPr>
              <w:t>6</w:t>
            </w:r>
          </w:p>
        </w:tc>
        <w:tc>
          <w:tcPr>
            <w:tcW w:w="0" w:type="auto"/>
            <w:noWrap/>
            <w:vAlign w:val="bottom"/>
            <w:hideMark/>
          </w:tcPr>
          <w:p w14:paraId="0BC4907F" w14:textId="77777777" w:rsidR="00000000" w:rsidRDefault="003C49E9">
            <w:pPr>
              <w:pStyle w:val="a3"/>
              <w:spacing w:before="0" w:beforeAutospacing="0" w:after="0" w:afterAutospacing="0"/>
              <w:rPr>
                <w:sz w:val="20"/>
                <w:szCs w:val="20"/>
              </w:rPr>
            </w:pPr>
            <w:r>
              <w:rPr>
                <w:sz w:val="20"/>
                <w:szCs w:val="20"/>
              </w:rPr>
              <w:t> </w:t>
            </w:r>
          </w:p>
        </w:tc>
      </w:tr>
      <w:tr w:rsidR="00000000" w14:paraId="63908A9F" w14:textId="77777777">
        <w:trPr>
          <w:trHeight w:val="200"/>
          <w:tblCellSpacing w:w="15" w:type="dxa"/>
        </w:trPr>
        <w:tc>
          <w:tcPr>
            <w:tcW w:w="0" w:type="auto"/>
            <w:vAlign w:val="bottom"/>
            <w:hideMark/>
          </w:tcPr>
          <w:p w14:paraId="74D65171" w14:textId="77777777" w:rsidR="00000000" w:rsidRDefault="003C49E9">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14:paraId="5CFF43E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DCC57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904A2E" w14:textId="77777777" w:rsidR="00000000" w:rsidRDefault="003C49E9">
            <w:pPr>
              <w:pStyle w:val="a3"/>
              <w:spacing w:before="0" w:beforeAutospacing="0" w:after="0" w:afterAutospacing="0"/>
              <w:jc w:val="right"/>
              <w:rPr>
                <w:sz w:val="20"/>
                <w:szCs w:val="20"/>
              </w:rPr>
            </w:pPr>
            <w:r>
              <w:rPr>
                <w:sz w:val="20"/>
                <w:szCs w:val="20"/>
              </w:rPr>
              <w:t>(94</w:t>
            </w:r>
            <w:r>
              <w:rPr>
                <w:sz w:val="20"/>
                <w:szCs w:val="20"/>
              </w:rPr>
              <w:t>9</w:t>
            </w:r>
          </w:p>
        </w:tc>
        <w:tc>
          <w:tcPr>
            <w:tcW w:w="0" w:type="auto"/>
            <w:noWrap/>
            <w:vAlign w:val="bottom"/>
            <w:hideMark/>
          </w:tcPr>
          <w:p w14:paraId="697AD2C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7F3FC5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623B7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337D819" w14:textId="77777777" w:rsidR="00000000" w:rsidRDefault="003C49E9">
            <w:pPr>
              <w:pStyle w:val="a3"/>
              <w:spacing w:before="0" w:beforeAutospacing="0" w:after="0" w:afterAutospacing="0"/>
              <w:jc w:val="right"/>
              <w:rPr>
                <w:sz w:val="20"/>
                <w:szCs w:val="20"/>
              </w:rPr>
            </w:pPr>
            <w:r>
              <w:rPr>
                <w:sz w:val="20"/>
                <w:szCs w:val="20"/>
              </w:rPr>
              <w:t>(7,17</w:t>
            </w:r>
            <w:r>
              <w:rPr>
                <w:sz w:val="20"/>
                <w:szCs w:val="20"/>
              </w:rPr>
              <w:t>9</w:t>
            </w:r>
          </w:p>
        </w:tc>
        <w:tc>
          <w:tcPr>
            <w:tcW w:w="0" w:type="auto"/>
            <w:noWrap/>
            <w:vAlign w:val="bottom"/>
            <w:hideMark/>
          </w:tcPr>
          <w:p w14:paraId="006A163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0E4163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93570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263A1B" w14:textId="77777777" w:rsidR="00000000" w:rsidRDefault="003C49E9">
            <w:pPr>
              <w:pStyle w:val="a3"/>
              <w:spacing w:before="0" w:beforeAutospacing="0" w:after="0" w:afterAutospacing="0"/>
              <w:jc w:val="right"/>
              <w:rPr>
                <w:sz w:val="20"/>
                <w:szCs w:val="20"/>
              </w:rPr>
            </w:pPr>
            <w:r>
              <w:rPr>
                <w:sz w:val="20"/>
                <w:szCs w:val="20"/>
              </w:rPr>
              <w:t>(1,89</w:t>
            </w:r>
            <w:r>
              <w:rPr>
                <w:sz w:val="20"/>
                <w:szCs w:val="20"/>
              </w:rPr>
              <w:t>8</w:t>
            </w:r>
          </w:p>
        </w:tc>
        <w:tc>
          <w:tcPr>
            <w:tcW w:w="0" w:type="auto"/>
            <w:noWrap/>
            <w:vAlign w:val="bottom"/>
            <w:hideMark/>
          </w:tcPr>
          <w:p w14:paraId="2F8FF3C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086F3B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44009E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C8774C" w14:textId="77777777" w:rsidR="00000000" w:rsidRDefault="003C49E9">
            <w:pPr>
              <w:pStyle w:val="a3"/>
              <w:spacing w:before="0" w:beforeAutospacing="0" w:after="0" w:afterAutospacing="0"/>
              <w:jc w:val="right"/>
              <w:rPr>
                <w:sz w:val="20"/>
                <w:szCs w:val="20"/>
              </w:rPr>
            </w:pPr>
            <w:r>
              <w:rPr>
                <w:sz w:val="20"/>
                <w:szCs w:val="20"/>
              </w:rPr>
              <w:t>(16,57</w:t>
            </w:r>
            <w:r>
              <w:rPr>
                <w:sz w:val="20"/>
                <w:szCs w:val="20"/>
              </w:rPr>
              <w:t>8</w:t>
            </w:r>
          </w:p>
        </w:tc>
        <w:tc>
          <w:tcPr>
            <w:tcW w:w="0" w:type="auto"/>
            <w:noWrap/>
            <w:vAlign w:val="bottom"/>
            <w:hideMark/>
          </w:tcPr>
          <w:p w14:paraId="60958808" w14:textId="77777777" w:rsidR="00000000" w:rsidRDefault="003C49E9">
            <w:pPr>
              <w:pStyle w:val="a3"/>
              <w:spacing w:before="0" w:beforeAutospacing="0" w:after="0" w:afterAutospacing="0"/>
              <w:rPr>
                <w:sz w:val="20"/>
                <w:szCs w:val="20"/>
              </w:rPr>
            </w:pPr>
            <w:r>
              <w:rPr>
                <w:sz w:val="20"/>
                <w:szCs w:val="20"/>
              </w:rPr>
              <w:t>)</w:t>
            </w:r>
          </w:p>
        </w:tc>
      </w:tr>
      <w:tr w:rsidR="00000000" w14:paraId="33944A4E" w14:textId="77777777">
        <w:trPr>
          <w:trHeight w:val="200"/>
          <w:tblCellSpacing w:w="15" w:type="dxa"/>
        </w:trPr>
        <w:tc>
          <w:tcPr>
            <w:tcW w:w="0" w:type="auto"/>
            <w:vAlign w:val="bottom"/>
            <w:hideMark/>
          </w:tcPr>
          <w:p w14:paraId="3B22EF4C" w14:textId="77777777" w:rsidR="00000000" w:rsidRDefault="003C49E9">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vAlign w:val="bottom"/>
            <w:hideMark/>
          </w:tcPr>
          <w:p w14:paraId="464301E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3AD368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121F60" w14:textId="77777777" w:rsidR="00000000" w:rsidRDefault="003C49E9">
            <w:pPr>
              <w:pStyle w:val="a3"/>
              <w:spacing w:before="0" w:beforeAutospacing="0" w:after="0" w:afterAutospacing="0"/>
              <w:jc w:val="right"/>
              <w:rPr>
                <w:sz w:val="20"/>
                <w:szCs w:val="20"/>
              </w:rPr>
            </w:pPr>
            <w:r>
              <w:rPr>
                <w:sz w:val="20"/>
                <w:szCs w:val="20"/>
              </w:rPr>
              <w:t>(3,09</w:t>
            </w:r>
            <w:r>
              <w:rPr>
                <w:sz w:val="20"/>
                <w:szCs w:val="20"/>
              </w:rPr>
              <w:t>1</w:t>
            </w:r>
          </w:p>
        </w:tc>
        <w:tc>
          <w:tcPr>
            <w:tcW w:w="0" w:type="auto"/>
            <w:noWrap/>
            <w:vAlign w:val="bottom"/>
            <w:hideMark/>
          </w:tcPr>
          <w:p w14:paraId="0D4A9E8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2AFCC2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37AF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4F494B" w14:textId="77777777" w:rsidR="00000000" w:rsidRDefault="003C49E9">
            <w:pPr>
              <w:pStyle w:val="a3"/>
              <w:spacing w:before="0" w:beforeAutospacing="0" w:after="0" w:afterAutospacing="0"/>
              <w:jc w:val="right"/>
              <w:rPr>
                <w:sz w:val="20"/>
                <w:szCs w:val="20"/>
              </w:rPr>
            </w:pPr>
            <w:r>
              <w:rPr>
                <w:sz w:val="20"/>
                <w:szCs w:val="20"/>
              </w:rPr>
              <w:t>52</w:t>
            </w:r>
            <w:r>
              <w:rPr>
                <w:sz w:val="20"/>
                <w:szCs w:val="20"/>
              </w:rPr>
              <w:t>8</w:t>
            </w:r>
          </w:p>
        </w:tc>
        <w:tc>
          <w:tcPr>
            <w:tcW w:w="0" w:type="auto"/>
            <w:noWrap/>
            <w:vAlign w:val="bottom"/>
            <w:hideMark/>
          </w:tcPr>
          <w:p w14:paraId="18BBB02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62270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77F32D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CE6E73" w14:textId="77777777" w:rsidR="00000000" w:rsidRDefault="003C49E9">
            <w:pPr>
              <w:pStyle w:val="a3"/>
              <w:spacing w:before="0" w:beforeAutospacing="0" w:after="0" w:afterAutospacing="0"/>
              <w:jc w:val="right"/>
              <w:rPr>
                <w:sz w:val="20"/>
                <w:szCs w:val="20"/>
              </w:rPr>
            </w:pPr>
            <w:r>
              <w:rPr>
                <w:sz w:val="20"/>
                <w:szCs w:val="20"/>
              </w:rPr>
              <w:t>60</w:t>
            </w:r>
            <w:r>
              <w:rPr>
                <w:sz w:val="20"/>
                <w:szCs w:val="20"/>
              </w:rPr>
              <w:t>2</w:t>
            </w:r>
          </w:p>
        </w:tc>
        <w:tc>
          <w:tcPr>
            <w:tcW w:w="0" w:type="auto"/>
            <w:noWrap/>
            <w:vAlign w:val="bottom"/>
            <w:hideMark/>
          </w:tcPr>
          <w:p w14:paraId="5B6FED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F4123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16A9FF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288A41E" w14:textId="77777777" w:rsidR="00000000" w:rsidRDefault="003C49E9">
            <w:pPr>
              <w:pStyle w:val="a3"/>
              <w:spacing w:before="0" w:beforeAutospacing="0" w:after="0" w:afterAutospacing="0"/>
              <w:jc w:val="right"/>
              <w:rPr>
                <w:sz w:val="20"/>
                <w:szCs w:val="20"/>
              </w:rPr>
            </w:pPr>
            <w:r>
              <w:rPr>
                <w:sz w:val="20"/>
                <w:szCs w:val="20"/>
              </w:rPr>
              <w:t>1,18</w:t>
            </w:r>
            <w:r>
              <w:rPr>
                <w:sz w:val="20"/>
                <w:szCs w:val="20"/>
              </w:rPr>
              <w:t>8</w:t>
            </w:r>
          </w:p>
        </w:tc>
        <w:tc>
          <w:tcPr>
            <w:tcW w:w="0" w:type="auto"/>
            <w:noWrap/>
            <w:vAlign w:val="bottom"/>
            <w:hideMark/>
          </w:tcPr>
          <w:p w14:paraId="7F0D12B9" w14:textId="77777777" w:rsidR="00000000" w:rsidRDefault="003C49E9">
            <w:pPr>
              <w:pStyle w:val="a3"/>
              <w:spacing w:before="0" w:beforeAutospacing="0" w:after="0" w:afterAutospacing="0"/>
              <w:rPr>
                <w:sz w:val="20"/>
                <w:szCs w:val="20"/>
              </w:rPr>
            </w:pPr>
            <w:r>
              <w:rPr>
                <w:sz w:val="20"/>
                <w:szCs w:val="20"/>
              </w:rPr>
              <w:t> </w:t>
            </w:r>
          </w:p>
        </w:tc>
      </w:tr>
      <w:tr w:rsidR="00000000" w14:paraId="6A9F7B33" w14:textId="77777777">
        <w:trPr>
          <w:trHeight w:val="200"/>
          <w:tblCellSpacing w:w="15" w:type="dxa"/>
        </w:trPr>
        <w:tc>
          <w:tcPr>
            <w:tcW w:w="0" w:type="auto"/>
            <w:vAlign w:val="bottom"/>
            <w:hideMark/>
          </w:tcPr>
          <w:p w14:paraId="5AF358FE" w14:textId="77777777" w:rsidR="00000000" w:rsidRDefault="003C49E9">
            <w:pPr>
              <w:pStyle w:val="a3"/>
              <w:spacing w:before="0" w:beforeAutospacing="0" w:after="0" w:afterAutospacing="0"/>
              <w:ind w:left="400"/>
              <w:rPr>
                <w:sz w:val="20"/>
                <w:szCs w:val="20"/>
              </w:rPr>
            </w:pPr>
            <w:r>
              <w:rPr>
                <w:sz w:val="20"/>
                <w:szCs w:val="20"/>
              </w:rPr>
              <w:t>Total other (expense) incom</w:t>
            </w:r>
            <w:r>
              <w:rPr>
                <w:sz w:val="20"/>
                <w:szCs w:val="20"/>
              </w:rPr>
              <w:t>e</w:t>
            </w:r>
          </w:p>
        </w:tc>
        <w:tc>
          <w:tcPr>
            <w:tcW w:w="0" w:type="auto"/>
            <w:vAlign w:val="bottom"/>
            <w:hideMark/>
          </w:tcPr>
          <w:p w14:paraId="44A9ED2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5FAD1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384C92" w14:textId="77777777" w:rsidR="00000000" w:rsidRDefault="003C49E9">
            <w:pPr>
              <w:pStyle w:val="a3"/>
              <w:spacing w:before="0" w:beforeAutospacing="0" w:after="0" w:afterAutospacing="0"/>
              <w:jc w:val="right"/>
              <w:rPr>
                <w:sz w:val="20"/>
                <w:szCs w:val="20"/>
              </w:rPr>
            </w:pPr>
            <w:r>
              <w:rPr>
                <w:sz w:val="20"/>
                <w:szCs w:val="20"/>
              </w:rPr>
              <w:t>(1,99</w:t>
            </w:r>
            <w:r>
              <w:rPr>
                <w:sz w:val="20"/>
                <w:szCs w:val="20"/>
              </w:rPr>
              <w:t>0</w:t>
            </w:r>
          </w:p>
        </w:tc>
        <w:tc>
          <w:tcPr>
            <w:tcW w:w="0" w:type="auto"/>
            <w:noWrap/>
            <w:vAlign w:val="bottom"/>
            <w:hideMark/>
          </w:tcPr>
          <w:p w14:paraId="04DE5BF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17B3E9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1E011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1D03C9" w14:textId="77777777" w:rsidR="00000000" w:rsidRDefault="003C49E9">
            <w:pPr>
              <w:pStyle w:val="a3"/>
              <w:spacing w:before="0" w:beforeAutospacing="0" w:after="0" w:afterAutospacing="0"/>
              <w:jc w:val="right"/>
              <w:rPr>
                <w:sz w:val="20"/>
                <w:szCs w:val="20"/>
              </w:rPr>
            </w:pPr>
            <w:r>
              <w:rPr>
                <w:sz w:val="20"/>
                <w:szCs w:val="20"/>
              </w:rPr>
              <w:t>(6,31</w:t>
            </w:r>
            <w:r>
              <w:rPr>
                <w:sz w:val="20"/>
                <w:szCs w:val="20"/>
              </w:rPr>
              <w:t>0</w:t>
            </w:r>
          </w:p>
        </w:tc>
        <w:tc>
          <w:tcPr>
            <w:tcW w:w="0" w:type="auto"/>
            <w:noWrap/>
            <w:vAlign w:val="bottom"/>
            <w:hideMark/>
          </w:tcPr>
          <w:p w14:paraId="3626F87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01764F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C885EB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6A6ABA2" w14:textId="77777777" w:rsidR="00000000" w:rsidRDefault="003C49E9">
            <w:pPr>
              <w:pStyle w:val="a3"/>
              <w:spacing w:before="0" w:beforeAutospacing="0" w:after="0" w:afterAutospacing="0"/>
              <w:jc w:val="right"/>
              <w:rPr>
                <w:sz w:val="20"/>
                <w:szCs w:val="20"/>
              </w:rPr>
            </w:pPr>
            <w:r>
              <w:rPr>
                <w:sz w:val="20"/>
                <w:szCs w:val="20"/>
              </w:rPr>
              <w:t>1,26</w:t>
            </w:r>
            <w:r>
              <w:rPr>
                <w:sz w:val="20"/>
                <w:szCs w:val="20"/>
              </w:rPr>
              <w:t>8</w:t>
            </w:r>
          </w:p>
        </w:tc>
        <w:tc>
          <w:tcPr>
            <w:tcW w:w="0" w:type="auto"/>
            <w:noWrap/>
            <w:vAlign w:val="bottom"/>
            <w:hideMark/>
          </w:tcPr>
          <w:p w14:paraId="03134A2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611A8D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E88248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EEB574" w14:textId="77777777" w:rsidR="00000000" w:rsidRDefault="003C49E9">
            <w:pPr>
              <w:pStyle w:val="a3"/>
              <w:spacing w:before="0" w:beforeAutospacing="0" w:after="0" w:afterAutospacing="0"/>
              <w:jc w:val="right"/>
              <w:rPr>
                <w:sz w:val="20"/>
                <w:szCs w:val="20"/>
              </w:rPr>
            </w:pPr>
            <w:r>
              <w:rPr>
                <w:sz w:val="20"/>
                <w:szCs w:val="20"/>
              </w:rPr>
              <w:t>(14,57</w:t>
            </w:r>
            <w:r>
              <w:rPr>
                <w:sz w:val="20"/>
                <w:szCs w:val="20"/>
              </w:rPr>
              <w:t>4</w:t>
            </w:r>
          </w:p>
        </w:tc>
        <w:tc>
          <w:tcPr>
            <w:tcW w:w="0" w:type="auto"/>
            <w:noWrap/>
            <w:vAlign w:val="bottom"/>
            <w:hideMark/>
          </w:tcPr>
          <w:p w14:paraId="6BB3C528" w14:textId="77777777" w:rsidR="00000000" w:rsidRDefault="003C49E9">
            <w:pPr>
              <w:pStyle w:val="a3"/>
              <w:spacing w:before="0" w:beforeAutospacing="0" w:after="0" w:afterAutospacing="0"/>
              <w:rPr>
                <w:sz w:val="20"/>
                <w:szCs w:val="20"/>
              </w:rPr>
            </w:pPr>
            <w:r>
              <w:rPr>
                <w:sz w:val="20"/>
                <w:szCs w:val="20"/>
              </w:rPr>
              <w:t>)</w:t>
            </w:r>
          </w:p>
        </w:tc>
      </w:tr>
      <w:tr w:rsidR="00000000" w14:paraId="7776A72B" w14:textId="77777777">
        <w:trPr>
          <w:trHeight w:val="200"/>
          <w:tblCellSpacing w:w="15" w:type="dxa"/>
        </w:trPr>
        <w:tc>
          <w:tcPr>
            <w:tcW w:w="0" w:type="auto"/>
            <w:vAlign w:val="bottom"/>
            <w:hideMark/>
          </w:tcPr>
          <w:p w14:paraId="0346547C" w14:textId="77777777" w:rsidR="00000000" w:rsidRDefault="003C49E9">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14:paraId="3C23BD5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227C9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132F49" w14:textId="77777777" w:rsidR="00000000" w:rsidRDefault="003C49E9">
            <w:pPr>
              <w:pStyle w:val="a3"/>
              <w:spacing w:before="0" w:beforeAutospacing="0" w:after="0" w:afterAutospacing="0"/>
              <w:jc w:val="right"/>
              <w:rPr>
                <w:sz w:val="20"/>
                <w:szCs w:val="20"/>
              </w:rPr>
            </w:pPr>
            <w:r>
              <w:rPr>
                <w:sz w:val="20"/>
                <w:szCs w:val="20"/>
              </w:rPr>
              <w:t>(54,24</w:t>
            </w:r>
            <w:r>
              <w:rPr>
                <w:sz w:val="20"/>
                <w:szCs w:val="20"/>
              </w:rPr>
              <w:t>0</w:t>
            </w:r>
          </w:p>
        </w:tc>
        <w:tc>
          <w:tcPr>
            <w:tcW w:w="0" w:type="auto"/>
            <w:noWrap/>
            <w:vAlign w:val="bottom"/>
            <w:hideMark/>
          </w:tcPr>
          <w:p w14:paraId="3B09C95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17E66A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933D54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8AC843" w14:textId="77777777" w:rsidR="00000000" w:rsidRDefault="003C49E9">
            <w:pPr>
              <w:pStyle w:val="a3"/>
              <w:spacing w:before="0" w:beforeAutospacing="0" w:after="0" w:afterAutospacing="0"/>
              <w:jc w:val="right"/>
              <w:rPr>
                <w:sz w:val="20"/>
                <w:szCs w:val="20"/>
              </w:rPr>
            </w:pPr>
            <w:r>
              <w:rPr>
                <w:sz w:val="20"/>
                <w:szCs w:val="20"/>
              </w:rPr>
              <w:t>(22,91</w:t>
            </w:r>
            <w:r>
              <w:rPr>
                <w:sz w:val="20"/>
                <w:szCs w:val="20"/>
              </w:rPr>
              <w:t>2</w:t>
            </w:r>
          </w:p>
        </w:tc>
        <w:tc>
          <w:tcPr>
            <w:tcW w:w="0" w:type="auto"/>
            <w:noWrap/>
            <w:vAlign w:val="bottom"/>
            <w:hideMark/>
          </w:tcPr>
          <w:p w14:paraId="5B3176B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3A5775F"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DE1464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514E82" w14:textId="77777777" w:rsidR="00000000" w:rsidRDefault="003C49E9">
            <w:pPr>
              <w:pStyle w:val="a3"/>
              <w:spacing w:before="0" w:beforeAutospacing="0" w:after="0" w:afterAutospacing="0"/>
              <w:jc w:val="right"/>
              <w:rPr>
                <w:sz w:val="20"/>
                <w:szCs w:val="20"/>
              </w:rPr>
            </w:pPr>
            <w:r>
              <w:rPr>
                <w:sz w:val="20"/>
                <w:szCs w:val="20"/>
              </w:rPr>
              <w:t>(62,13</w:t>
            </w:r>
            <w:r>
              <w:rPr>
                <w:sz w:val="20"/>
                <w:szCs w:val="20"/>
              </w:rPr>
              <w:t>7</w:t>
            </w:r>
          </w:p>
        </w:tc>
        <w:tc>
          <w:tcPr>
            <w:tcW w:w="0" w:type="auto"/>
            <w:noWrap/>
            <w:vAlign w:val="bottom"/>
            <w:hideMark/>
          </w:tcPr>
          <w:p w14:paraId="083DA6B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031C45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466C9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BFAF2C" w14:textId="77777777" w:rsidR="00000000" w:rsidRDefault="003C49E9">
            <w:pPr>
              <w:pStyle w:val="a3"/>
              <w:spacing w:before="0" w:beforeAutospacing="0" w:after="0" w:afterAutospacing="0"/>
              <w:jc w:val="right"/>
              <w:rPr>
                <w:sz w:val="20"/>
                <w:szCs w:val="20"/>
              </w:rPr>
            </w:pPr>
            <w:r>
              <w:rPr>
                <w:sz w:val="20"/>
                <w:szCs w:val="20"/>
              </w:rPr>
              <w:t>(46,20</w:t>
            </w:r>
            <w:r>
              <w:rPr>
                <w:sz w:val="20"/>
                <w:szCs w:val="20"/>
              </w:rPr>
              <w:t>9</w:t>
            </w:r>
          </w:p>
        </w:tc>
        <w:tc>
          <w:tcPr>
            <w:tcW w:w="0" w:type="auto"/>
            <w:noWrap/>
            <w:vAlign w:val="bottom"/>
            <w:hideMark/>
          </w:tcPr>
          <w:p w14:paraId="2CB0032D" w14:textId="77777777" w:rsidR="00000000" w:rsidRDefault="003C49E9">
            <w:pPr>
              <w:pStyle w:val="a3"/>
              <w:spacing w:before="0" w:beforeAutospacing="0" w:after="0" w:afterAutospacing="0"/>
              <w:rPr>
                <w:sz w:val="20"/>
                <w:szCs w:val="20"/>
              </w:rPr>
            </w:pPr>
            <w:r>
              <w:rPr>
                <w:sz w:val="20"/>
                <w:szCs w:val="20"/>
              </w:rPr>
              <w:t>)</w:t>
            </w:r>
          </w:p>
        </w:tc>
      </w:tr>
      <w:tr w:rsidR="00000000" w14:paraId="75BCE40D" w14:textId="77777777">
        <w:trPr>
          <w:trHeight w:val="200"/>
          <w:tblCellSpacing w:w="15" w:type="dxa"/>
        </w:trPr>
        <w:tc>
          <w:tcPr>
            <w:tcW w:w="0" w:type="auto"/>
            <w:vAlign w:val="bottom"/>
            <w:hideMark/>
          </w:tcPr>
          <w:p w14:paraId="1DF803F3" w14:textId="77777777" w:rsidR="00000000" w:rsidRDefault="003C49E9">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14:paraId="4EBC475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80981B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C20A4C" w14:textId="77777777" w:rsidR="00000000" w:rsidRDefault="003C49E9">
            <w:pPr>
              <w:pStyle w:val="a3"/>
              <w:spacing w:before="0" w:beforeAutospacing="0" w:after="0" w:afterAutospacing="0"/>
              <w:jc w:val="right"/>
              <w:rPr>
                <w:sz w:val="20"/>
                <w:szCs w:val="20"/>
              </w:rPr>
            </w:pPr>
            <w:r>
              <w:rPr>
                <w:sz w:val="20"/>
                <w:szCs w:val="20"/>
              </w:rPr>
              <w:t>(2,12</w:t>
            </w:r>
            <w:r>
              <w:rPr>
                <w:sz w:val="20"/>
                <w:szCs w:val="20"/>
              </w:rPr>
              <w:t>1</w:t>
            </w:r>
          </w:p>
        </w:tc>
        <w:tc>
          <w:tcPr>
            <w:tcW w:w="0" w:type="auto"/>
            <w:noWrap/>
            <w:vAlign w:val="bottom"/>
            <w:hideMark/>
          </w:tcPr>
          <w:p w14:paraId="2211BDA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DA5AAC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95587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7702566" w14:textId="77777777" w:rsidR="00000000" w:rsidRDefault="003C49E9">
            <w:pPr>
              <w:pStyle w:val="a3"/>
              <w:spacing w:before="0" w:beforeAutospacing="0" w:after="0" w:afterAutospacing="0"/>
              <w:jc w:val="right"/>
              <w:rPr>
                <w:sz w:val="20"/>
                <w:szCs w:val="20"/>
              </w:rPr>
            </w:pPr>
            <w:r>
              <w:rPr>
                <w:sz w:val="20"/>
                <w:szCs w:val="20"/>
              </w:rPr>
              <w:t>(1,66</w:t>
            </w:r>
            <w:r>
              <w:rPr>
                <w:sz w:val="20"/>
                <w:szCs w:val="20"/>
              </w:rPr>
              <w:t>0</w:t>
            </w:r>
          </w:p>
        </w:tc>
        <w:tc>
          <w:tcPr>
            <w:tcW w:w="0" w:type="auto"/>
            <w:noWrap/>
            <w:vAlign w:val="bottom"/>
            <w:hideMark/>
          </w:tcPr>
          <w:p w14:paraId="6457953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F05478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8962EB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48AAABA" w14:textId="77777777" w:rsidR="00000000" w:rsidRDefault="003C49E9">
            <w:pPr>
              <w:pStyle w:val="a3"/>
              <w:spacing w:before="0" w:beforeAutospacing="0" w:after="0" w:afterAutospacing="0"/>
              <w:jc w:val="right"/>
              <w:rPr>
                <w:sz w:val="20"/>
                <w:szCs w:val="20"/>
              </w:rPr>
            </w:pPr>
            <w:r>
              <w:rPr>
                <w:sz w:val="20"/>
                <w:szCs w:val="20"/>
              </w:rPr>
              <w:t>(3,56</w:t>
            </w:r>
            <w:r>
              <w:rPr>
                <w:sz w:val="20"/>
                <w:szCs w:val="20"/>
              </w:rPr>
              <w:t>5</w:t>
            </w:r>
          </w:p>
        </w:tc>
        <w:tc>
          <w:tcPr>
            <w:tcW w:w="0" w:type="auto"/>
            <w:noWrap/>
            <w:vAlign w:val="bottom"/>
            <w:hideMark/>
          </w:tcPr>
          <w:p w14:paraId="26C4544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4E2C05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9F90C6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5D22D0" w14:textId="77777777" w:rsidR="00000000" w:rsidRDefault="003C49E9">
            <w:pPr>
              <w:pStyle w:val="a3"/>
              <w:spacing w:before="0" w:beforeAutospacing="0" w:after="0" w:afterAutospacing="0"/>
              <w:jc w:val="right"/>
              <w:rPr>
                <w:sz w:val="20"/>
                <w:szCs w:val="20"/>
              </w:rPr>
            </w:pPr>
            <w:r>
              <w:rPr>
                <w:sz w:val="20"/>
                <w:szCs w:val="20"/>
              </w:rPr>
              <w:t>(1,52</w:t>
            </w:r>
            <w:r>
              <w:rPr>
                <w:sz w:val="20"/>
                <w:szCs w:val="20"/>
              </w:rPr>
              <w:t>2</w:t>
            </w:r>
          </w:p>
        </w:tc>
        <w:tc>
          <w:tcPr>
            <w:tcW w:w="0" w:type="auto"/>
            <w:noWrap/>
            <w:vAlign w:val="bottom"/>
            <w:hideMark/>
          </w:tcPr>
          <w:p w14:paraId="4A0D27CE" w14:textId="77777777" w:rsidR="00000000" w:rsidRDefault="003C49E9">
            <w:pPr>
              <w:pStyle w:val="a3"/>
              <w:spacing w:before="0" w:beforeAutospacing="0" w:after="0" w:afterAutospacing="0"/>
              <w:rPr>
                <w:sz w:val="20"/>
                <w:szCs w:val="20"/>
              </w:rPr>
            </w:pPr>
            <w:r>
              <w:rPr>
                <w:sz w:val="20"/>
                <w:szCs w:val="20"/>
              </w:rPr>
              <w:t>)</w:t>
            </w:r>
          </w:p>
        </w:tc>
      </w:tr>
      <w:tr w:rsidR="00000000" w14:paraId="4905CDB1" w14:textId="77777777">
        <w:trPr>
          <w:trHeight w:val="200"/>
          <w:tblCellSpacing w:w="15" w:type="dxa"/>
        </w:trPr>
        <w:tc>
          <w:tcPr>
            <w:tcW w:w="0" w:type="auto"/>
            <w:vAlign w:val="bottom"/>
            <w:hideMark/>
          </w:tcPr>
          <w:p w14:paraId="6A85ABE0" w14:textId="77777777" w:rsidR="00000000" w:rsidRDefault="003C49E9">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251F929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48232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57A00D0" w14:textId="77777777" w:rsidR="00000000" w:rsidRDefault="003C49E9">
            <w:pPr>
              <w:pStyle w:val="a3"/>
              <w:spacing w:before="0" w:beforeAutospacing="0" w:after="0" w:afterAutospacing="0"/>
              <w:jc w:val="right"/>
              <w:rPr>
                <w:sz w:val="20"/>
                <w:szCs w:val="20"/>
              </w:rPr>
            </w:pPr>
            <w:r>
              <w:rPr>
                <w:sz w:val="20"/>
                <w:szCs w:val="20"/>
              </w:rPr>
              <w:t>(56,36</w:t>
            </w:r>
            <w:r>
              <w:rPr>
                <w:sz w:val="20"/>
                <w:szCs w:val="20"/>
              </w:rPr>
              <w:t>1</w:t>
            </w:r>
          </w:p>
        </w:tc>
        <w:tc>
          <w:tcPr>
            <w:tcW w:w="0" w:type="auto"/>
            <w:noWrap/>
            <w:vAlign w:val="bottom"/>
            <w:hideMark/>
          </w:tcPr>
          <w:p w14:paraId="247DFD6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06E7FE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A2E937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7DB48EA" w14:textId="77777777" w:rsidR="00000000" w:rsidRDefault="003C49E9">
            <w:pPr>
              <w:pStyle w:val="a3"/>
              <w:spacing w:before="0" w:beforeAutospacing="0" w:after="0" w:afterAutospacing="0"/>
              <w:jc w:val="right"/>
              <w:rPr>
                <w:sz w:val="20"/>
                <w:szCs w:val="20"/>
              </w:rPr>
            </w:pPr>
            <w:r>
              <w:rPr>
                <w:sz w:val="20"/>
                <w:szCs w:val="20"/>
              </w:rPr>
              <w:t>(24,57</w:t>
            </w:r>
            <w:r>
              <w:rPr>
                <w:sz w:val="20"/>
                <w:szCs w:val="20"/>
              </w:rPr>
              <w:t>2</w:t>
            </w:r>
          </w:p>
        </w:tc>
        <w:tc>
          <w:tcPr>
            <w:tcW w:w="0" w:type="auto"/>
            <w:noWrap/>
            <w:vAlign w:val="bottom"/>
            <w:hideMark/>
          </w:tcPr>
          <w:p w14:paraId="6289246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245823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FA258A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230714A" w14:textId="77777777" w:rsidR="00000000" w:rsidRDefault="003C49E9">
            <w:pPr>
              <w:pStyle w:val="a3"/>
              <w:spacing w:before="0" w:beforeAutospacing="0" w:after="0" w:afterAutospacing="0"/>
              <w:jc w:val="right"/>
              <w:rPr>
                <w:sz w:val="20"/>
                <w:szCs w:val="20"/>
              </w:rPr>
            </w:pPr>
            <w:r>
              <w:rPr>
                <w:sz w:val="20"/>
                <w:szCs w:val="20"/>
              </w:rPr>
              <w:t>(65,70</w:t>
            </w:r>
            <w:r>
              <w:rPr>
                <w:sz w:val="20"/>
                <w:szCs w:val="20"/>
              </w:rPr>
              <w:t>2</w:t>
            </w:r>
          </w:p>
        </w:tc>
        <w:tc>
          <w:tcPr>
            <w:tcW w:w="0" w:type="auto"/>
            <w:noWrap/>
            <w:vAlign w:val="bottom"/>
            <w:hideMark/>
          </w:tcPr>
          <w:p w14:paraId="6776DD5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616ABB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EC7A75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C6C609F" w14:textId="77777777" w:rsidR="00000000" w:rsidRDefault="003C49E9">
            <w:pPr>
              <w:pStyle w:val="a3"/>
              <w:spacing w:before="0" w:beforeAutospacing="0" w:after="0" w:afterAutospacing="0"/>
              <w:jc w:val="right"/>
              <w:rPr>
                <w:sz w:val="20"/>
                <w:szCs w:val="20"/>
              </w:rPr>
            </w:pPr>
            <w:r>
              <w:rPr>
                <w:sz w:val="20"/>
                <w:szCs w:val="20"/>
              </w:rPr>
              <w:t>(47,73</w:t>
            </w:r>
            <w:r>
              <w:rPr>
                <w:sz w:val="20"/>
                <w:szCs w:val="20"/>
              </w:rPr>
              <w:t>1</w:t>
            </w:r>
          </w:p>
        </w:tc>
        <w:tc>
          <w:tcPr>
            <w:tcW w:w="0" w:type="auto"/>
            <w:noWrap/>
            <w:vAlign w:val="bottom"/>
            <w:hideMark/>
          </w:tcPr>
          <w:p w14:paraId="34C37254" w14:textId="77777777" w:rsidR="00000000" w:rsidRDefault="003C49E9">
            <w:pPr>
              <w:pStyle w:val="a3"/>
              <w:spacing w:before="0" w:beforeAutospacing="0" w:after="0" w:afterAutospacing="0"/>
              <w:rPr>
                <w:sz w:val="20"/>
                <w:szCs w:val="20"/>
              </w:rPr>
            </w:pPr>
            <w:r>
              <w:rPr>
                <w:sz w:val="20"/>
                <w:szCs w:val="20"/>
              </w:rPr>
              <w:t>)</w:t>
            </w:r>
          </w:p>
        </w:tc>
      </w:tr>
    </w:tbl>
    <w:p w14:paraId="7EB0DC95" w14:textId="77777777" w:rsidR="00000000" w:rsidRDefault="003C49E9">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20"/>
        <w:gridCol w:w="110"/>
        <w:gridCol w:w="110"/>
        <w:gridCol w:w="441"/>
        <w:gridCol w:w="294"/>
        <w:gridCol w:w="110"/>
        <w:gridCol w:w="110"/>
        <w:gridCol w:w="390"/>
        <w:gridCol w:w="294"/>
        <w:gridCol w:w="110"/>
        <w:gridCol w:w="110"/>
        <w:gridCol w:w="442"/>
        <w:gridCol w:w="294"/>
        <w:gridCol w:w="110"/>
        <w:gridCol w:w="110"/>
        <w:gridCol w:w="481"/>
        <w:gridCol w:w="309"/>
      </w:tblGrid>
      <w:tr w:rsidR="00000000" w14:paraId="405FCB7D" w14:textId="77777777">
        <w:trPr>
          <w:tblCellSpacing w:w="15" w:type="dxa"/>
        </w:trPr>
        <w:tc>
          <w:tcPr>
            <w:tcW w:w="2419" w:type="pct"/>
            <w:vAlign w:val="center"/>
            <w:hideMark/>
          </w:tcPr>
          <w:p w14:paraId="620B45CD" w14:textId="77777777" w:rsidR="00000000" w:rsidRDefault="003C49E9">
            <w:pPr>
              <w:rPr>
                <w:sz w:val="20"/>
                <w:szCs w:val="20"/>
              </w:rPr>
            </w:pPr>
          </w:p>
        </w:tc>
        <w:tc>
          <w:tcPr>
            <w:tcW w:w="63" w:type="pct"/>
            <w:vAlign w:val="center"/>
            <w:hideMark/>
          </w:tcPr>
          <w:p w14:paraId="6581A51C" w14:textId="77777777" w:rsidR="00000000" w:rsidRDefault="003C49E9">
            <w:pPr>
              <w:rPr>
                <w:rFonts w:eastAsia="Times New Roman"/>
                <w:sz w:val="20"/>
                <w:szCs w:val="20"/>
              </w:rPr>
            </w:pPr>
          </w:p>
        </w:tc>
        <w:tc>
          <w:tcPr>
            <w:tcW w:w="50" w:type="pct"/>
            <w:vAlign w:val="center"/>
            <w:hideMark/>
          </w:tcPr>
          <w:p w14:paraId="39A802A2" w14:textId="77777777" w:rsidR="00000000" w:rsidRDefault="003C49E9">
            <w:pPr>
              <w:rPr>
                <w:rFonts w:eastAsia="Times New Roman"/>
                <w:sz w:val="20"/>
                <w:szCs w:val="20"/>
              </w:rPr>
            </w:pPr>
          </w:p>
        </w:tc>
        <w:tc>
          <w:tcPr>
            <w:tcW w:w="485" w:type="pct"/>
            <w:vAlign w:val="center"/>
            <w:hideMark/>
          </w:tcPr>
          <w:p w14:paraId="7D79C40F" w14:textId="77777777" w:rsidR="00000000" w:rsidRDefault="003C49E9">
            <w:pPr>
              <w:rPr>
                <w:rFonts w:eastAsia="Times New Roman"/>
                <w:sz w:val="20"/>
                <w:szCs w:val="20"/>
              </w:rPr>
            </w:pPr>
          </w:p>
        </w:tc>
        <w:tc>
          <w:tcPr>
            <w:tcW w:w="50" w:type="pct"/>
            <w:vAlign w:val="center"/>
            <w:hideMark/>
          </w:tcPr>
          <w:p w14:paraId="43637107" w14:textId="77777777" w:rsidR="00000000" w:rsidRDefault="003C49E9">
            <w:pPr>
              <w:rPr>
                <w:rFonts w:eastAsia="Times New Roman"/>
                <w:sz w:val="20"/>
                <w:szCs w:val="20"/>
              </w:rPr>
            </w:pPr>
          </w:p>
        </w:tc>
        <w:tc>
          <w:tcPr>
            <w:tcW w:w="63" w:type="pct"/>
            <w:vAlign w:val="center"/>
            <w:hideMark/>
          </w:tcPr>
          <w:p w14:paraId="58F403DD" w14:textId="77777777" w:rsidR="00000000" w:rsidRDefault="003C49E9">
            <w:pPr>
              <w:rPr>
                <w:rFonts w:eastAsia="Times New Roman"/>
                <w:sz w:val="20"/>
                <w:szCs w:val="20"/>
              </w:rPr>
            </w:pPr>
          </w:p>
        </w:tc>
        <w:tc>
          <w:tcPr>
            <w:tcW w:w="50" w:type="pct"/>
            <w:vAlign w:val="center"/>
            <w:hideMark/>
          </w:tcPr>
          <w:p w14:paraId="24452BD3" w14:textId="77777777" w:rsidR="00000000" w:rsidRDefault="003C49E9">
            <w:pPr>
              <w:rPr>
                <w:rFonts w:eastAsia="Times New Roman"/>
                <w:sz w:val="20"/>
                <w:szCs w:val="20"/>
              </w:rPr>
            </w:pPr>
          </w:p>
        </w:tc>
        <w:tc>
          <w:tcPr>
            <w:tcW w:w="443" w:type="pct"/>
            <w:vAlign w:val="center"/>
            <w:hideMark/>
          </w:tcPr>
          <w:p w14:paraId="0CAEFEC5" w14:textId="77777777" w:rsidR="00000000" w:rsidRDefault="003C49E9">
            <w:pPr>
              <w:rPr>
                <w:rFonts w:eastAsia="Times New Roman"/>
                <w:sz w:val="20"/>
                <w:szCs w:val="20"/>
              </w:rPr>
            </w:pPr>
          </w:p>
        </w:tc>
        <w:tc>
          <w:tcPr>
            <w:tcW w:w="50" w:type="pct"/>
            <w:vAlign w:val="center"/>
            <w:hideMark/>
          </w:tcPr>
          <w:p w14:paraId="30707920" w14:textId="77777777" w:rsidR="00000000" w:rsidRDefault="003C49E9">
            <w:pPr>
              <w:rPr>
                <w:rFonts w:eastAsia="Times New Roman"/>
                <w:sz w:val="20"/>
                <w:szCs w:val="20"/>
              </w:rPr>
            </w:pPr>
          </w:p>
        </w:tc>
        <w:tc>
          <w:tcPr>
            <w:tcW w:w="58" w:type="pct"/>
            <w:vAlign w:val="center"/>
            <w:hideMark/>
          </w:tcPr>
          <w:p w14:paraId="65E384E2" w14:textId="77777777" w:rsidR="00000000" w:rsidRDefault="003C49E9">
            <w:pPr>
              <w:rPr>
                <w:rFonts w:eastAsia="Times New Roman"/>
                <w:sz w:val="20"/>
                <w:szCs w:val="20"/>
              </w:rPr>
            </w:pPr>
          </w:p>
        </w:tc>
        <w:tc>
          <w:tcPr>
            <w:tcW w:w="50" w:type="pct"/>
            <w:vAlign w:val="center"/>
            <w:hideMark/>
          </w:tcPr>
          <w:p w14:paraId="646DBE25" w14:textId="77777777" w:rsidR="00000000" w:rsidRDefault="003C49E9">
            <w:pPr>
              <w:rPr>
                <w:rFonts w:eastAsia="Times New Roman"/>
                <w:sz w:val="20"/>
                <w:szCs w:val="20"/>
              </w:rPr>
            </w:pPr>
          </w:p>
        </w:tc>
        <w:tc>
          <w:tcPr>
            <w:tcW w:w="485" w:type="pct"/>
            <w:vAlign w:val="center"/>
            <w:hideMark/>
          </w:tcPr>
          <w:p w14:paraId="61248ECB" w14:textId="77777777" w:rsidR="00000000" w:rsidRDefault="003C49E9">
            <w:pPr>
              <w:rPr>
                <w:rFonts w:eastAsia="Times New Roman"/>
                <w:sz w:val="20"/>
                <w:szCs w:val="20"/>
              </w:rPr>
            </w:pPr>
          </w:p>
        </w:tc>
        <w:tc>
          <w:tcPr>
            <w:tcW w:w="50" w:type="pct"/>
            <w:vAlign w:val="center"/>
            <w:hideMark/>
          </w:tcPr>
          <w:p w14:paraId="5286FD87" w14:textId="77777777" w:rsidR="00000000" w:rsidRDefault="003C49E9">
            <w:pPr>
              <w:rPr>
                <w:rFonts w:eastAsia="Times New Roman"/>
                <w:sz w:val="20"/>
                <w:szCs w:val="20"/>
              </w:rPr>
            </w:pPr>
          </w:p>
        </w:tc>
        <w:tc>
          <w:tcPr>
            <w:tcW w:w="63" w:type="pct"/>
            <w:vAlign w:val="center"/>
            <w:hideMark/>
          </w:tcPr>
          <w:p w14:paraId="1FB90095" w14:textId="77777777" w:rsidR="00000000" w:rsidRDefault="003C49E9">
            <w:pPr>
              <w:rPr>
                <w:rFonts w:eastAsia="Times New Roman"/>
                <w:sz w:val="20"/>
                <w:szCs w:val="20"/>
              </w:rPr>
            </w:pPr>
          </w:p>
        </w:tc>
        <w:tc>
          <w:tcPr>
            <w:tcW w:w="50" w:type="pct"/>
            <w:vAlign w:val="center"/>
            <w:hideMark/>
          </w:tcPr>
          <w:p w14:paraId="1758141F" w14:textId="77777777" w:rsidR="00000000" w:rsidRDefault="003C49E9">
            <w:pPr>
              <w:rPr>
                <w:rFonts w:eastAsia="Times New Roman"/>
                <w:sz w:val="20"/>
                <w:szCs w:val="20"/>
              </w:rPr>
            </w:pPr>
          </w:p>
        </w:tc>
        <w:tc>
          <w:tcPr>
            <w:tcW w:w="517" w:type="pct"/>
            <w:vAlign w:val="center"/>
            <w:hideMark/>
          </w:tcPr>
          <w:p w14:paraId="2908A162" w14:textId="77777777" w:rsidR="00000000" w:rsidRDefault="003C49E9">
            <w:pPr>
              <w:rPr>
                <w:rFonts w:eastAsia="Times New Roman"/>
                <w:sz w:val="20"/>
                <w:szCs w:val="20"/>
              </w:rPr>
            </w:pPr>
          </w:p>
        </w:tc>
        <w:tc>
          <w:tcPr>
            <w:tcW w:w="50" w:type="pct"/>
            <w:vAlign w:val="center"/>
            <w:hideMark/>
          </w:tcPr>
          <w:p w14:paraId="4B240850" w14:textId="77777777" w:rsidR="00000000" w:rsidRDefault="003C49E9">
            <w:pPr>
              <w:rPr>
                <w:rFonts w:eastAsia="Times New Roman"/>
                <w:sz w:val="20"/>
                <w:szCs w:val="20"/>
              </w:rPr>
            </w:pPr>
          </w:p>
        </w:tc>
      </w:tr>
      <w:tr w:rsidR="00000000" w14:paraId="079A89BE" w14:textId="77777777">
        <w:trPr>
          <w:trHeight w:val="160"/>
          <w:tblCellSpacing w:w="15" w:type="dxa"/>
        </w:trPr>
        <w:tc>
          <w:tcPr>
            <w:tcW w:w="0" w:type="auto"/>
            <w:vAlign w:val="bottom"/>
            <w:hideMark/>
          </w:tcPr>
          <w:p w14:paraId="360E5FDD"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08078E0"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BAA102D" w14:textId="77777777" w:rsidR="00000000" w:rsidRDefault="003C49E9">
            <w:pPr>
              <w:pStyle w:val="a3"/>
              <w:spacing w:before="0" w:beforeAutospacing="0" w:after="0" w:afterAutospacing="0"/>
              <w:jc w:val="center"/>
              <w:rPr>
                <w:sz w:val="16"/>
                <w:szCs w:val="16"/>
              </w:rPr>
            </w:pPr>
            <w:r>
              <w:rPr>
                <w:b/>
                <w:bCs/>
                <w:sz w:val="16"/>
                <w:szCs w:val="16"/>
              </w:rPr>
              <w:t>Three Months</w:t>
            </w:r>
            <w:r>
              <w:rPr>
                <w:b/>
                <w:bCs/>
                <w:sz w:val="16"/>
                <w:szCs w:val="16"/>
              </w:rPr>
              <w:br/>
              <w:t> Ended June 30</w:t>
            </w:r>
            <w:r>
              <w:rPr>
                <w:b/>
                <w:bCs/>
                <w:sz w:val="16"/>
                <w:szCs w:val="16"/>
              </w:rPr>
              <w:t>,</w:t>
            </w:r>
          </w:p>
        </w:tc>
        <w:tc>
          <w:tcPr>
            <w:tcW w:w="0" w:type="auto"/>
            <w:vAlign w:val="bottom"/>
            <w:hideMark/>
          </w:tcPr>
          <w:p w14:paraId="063B704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14F3D25"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7E976C1" w14:textId="77777777" w:rsidR="00000000" w:rsidRDefault="003C49E9">
            <w:pPr>
              <w:pStyle w:val="a3"/>
              <w:spacing w:before="0" w:beforeAutospacing="0" w:after="0" w:afterAutospacing="0"/>
              <w:jc w:val="center"/>
              <w:rPr>
                <w:sz w:val="16"/>
                <w:szCs w:val="16"/>
              </w:rPr>
            </w:pPr>
            <w:r>
              <w:rPr>
                <w:b/>
                <w:bCs/>
                <w:sz w:val="16"/>
                <w:szCs w:val="16"/>
              </w:rPr>
              <w:t>Six Months</w:t>
            </w:r>
            <w:r>
              <w:rPr>
                <w:b/>
                <w:bCs/>
                <w:sz w:val="16"/>
                <w:szCs w:val="16"/>
              </w:rPr>
              <w:br/>
              <w:t> Ended June 30</w:t>
            </w:r>
            <w:r>
              <w:rPr>
                <w:b/>
                <w:bCs/>
                <w:sz w:val="16"/>
                <w:szCs w:val="16"/>
              </w:rPr>
              <w:t>,</w:t>
            </w:r>
          </w:p>
        </w:tc>
        <w:tc>
          <w:tcPr>
            <w:tcW w:w="0" w:type="auto"/>
            <w:vAlign w:val="bottom"/>
            <w:hideMark/>
          </w:tcPr>
          <w:p w14:paraId="627D9A6F"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F86014A" w14:textId="77777777">
        <w:trPr>
          <w:trHeight w:val="160"/>
          <w:tblCellSpacing w:w="15" w:type="dxa"/>
        </w:trPr>
        <w:tc>
          <w:tcPr>
            <w:tcW w:w="0" w:type="auto"/>
            <w:vAlign w:val="bottom"/>
            <w:hideMark/>
          </w:tcPr>
          <w:p w14:paraId="4EA2E356"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9F8459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4937D0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930BCC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DC6F775"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5102331"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722C0A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B44B24F"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5796806"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D989A9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26FD96A"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7F49EAF"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E787DF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65535D4" w14:textId="77777777">
        <w:trPr>
          <w:trHeight w:val="200"/>
          <w:tblCellSpacing w:w="15" w:type="dxa"/>
        </w:trPr>
        <w:tc>
          <w:tcPr>
            <w:tcW w:w="0" w:type="auto"/>
            <w:vAlign w:val="bottom"/>
            <w:hideMark/>
          </w:tcPr>
          <w:p w14:paraId="62EC5E6E" w14:textId="77777777" w:rsidR="00000000" w:rsidRDefault="003C49E9">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14:paraId="20EF870B"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201C65B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C78256D"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840CD05"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59060D8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843117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0031A38"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2118B1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611ECC3"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8B4D4E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2C585026"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53079E6A" w14:textId="77777777" w:rsidR="00000000" w:rsidRDefault="003C49E9">
            <w:pPr>
              <w:pStyle w:val="a3"/>
              <w:spacing w:before="0" w:beforeAutospacing="0" w:after="0" w:afterAutospacing="0"/>
              <w:jc w:val="right"/>
              <w:rPr>
                <w:sz w:val="20"/>
                <w:szCs w:val="20"/>
              </w:rPr>
            </w:pPr>
            <w:r>
              <w:rPr>
                <w:sz w:val="20"/>
                <w:szCs w:val="20"/>
              </w:rPr>
              <w:t> </w:t>
            </w:r>
          </w:p>
        </w:tc>
      </w:tr>
      <w:tr w:rsidR="00000000" w14:paraId="1206B284" w14:textId="77777777">
        <w:trPr>
          <w:trHeight w:val="200"/>
          <w:tblCellSpacing w:w="15" w:type="dxa"/>
        </w:trPr>
        <w:tc>
          <w:tcPr>
            <w:tcW w:w="0" w:type="auto"/>
            <w:vAlign w:val="bottom"/>
            <w:hideMark/>
          </w:tcPr>
          <w:p w14:paraId="6DFEE060"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14:paraId="65F2C55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88E42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A4C42A" w14:textId="77777777" w:rsidR="00000000" w:rsidRDefault="003C49E9">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14:paraId="07067AF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EA82B6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494CCF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8786A1" w14:textId="77777777" w:rsidR="00000000" w:rsidRDefault="003C49E9">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14:paraId="2944AE1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AD7C63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2DC94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3644DA" w14:textId="77777777" w:rsidR="00000000" w:rsidRDefault="003C49E9">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14:paraId="03FC4EB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1639A9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2D845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E3AEB61" w14:textId="77777777" w:rsidR="00000000" w:rsidRDefault="003C49E9">
            <w:pPr>
              <w:pStyle w:val="a3"/>
              <w:spacing w:before="0" w:beforeAutospacing="0" w:after="0" w:afterAutospacing="0"/>
              <w:jc w:val="right"/>
              <w:rPr>
                <w:sz w:val="20"/>
                <w:szCs w:val="20"/>
              </w:rPr>
            </w:pPr>
            <w:r>
              <w:rPr>
                <w:sz w:val="20"/>
                <w:szCs w:val="20"/>
              </w:rPr>
              <w:t>9</w:t>
            </w:r>
            <w:r>
              <w:rPr>
                <w:sz w:val="20"/>
                <w:szCs w:val="20"/>
              </w:rPr>
              <w:t>6</w:t>
            </w:r>
          </w:p>
        </w:tc>
        <w:tc>
          <w:tcPr>
            <w:tcW w:w="0" w:type="auto"/>
            <w:noWrap/>
            <w:vAlign w:val="bottom"/>
            <w:hideMark/>
          </w:tcPr>
          <w:p w14:paraId="5564AB26" w14:textId="77777777" w:rsidR="00000000" w:rsidRDefault="003C49E9">
            <w:pPr>
              <w:pStyle w:val="a3"/>
              <w:spacing w:before="0" w:beforeAutospacing="0" w:after="0" w:afterAutospacing="0"/>
              <w:rPr>
                <w:sz w:val="20"/>
                <w:szCs w:val="20"/>
              </w:rPr>
            </w:pPr>
            <w:r>
              <w:rPr>
                <w:sz w:val="20"/>
                <w:szCs w:val="20"/>
              </w:rPr>
              <w:t>%</w:t>
            </w:r>
          </w:p>
        </w:tc>
      </w:tr>
      <w:tr w:rsidR="00000000" w14:paraId="7729950A" w14:textId="77777777">
        <w:trPr>
          <w:trHeight w:val="200"/>
          <w:tblCellSpacing w:w="15" w:type="dxa"/>
        </w:trPr>
        <w:tc>
          <w:tcPr>
            <w:tcW w:w="0" w:type="auto"/>
            <w:vAlign w:val="bottom"/>
            <w:hideMark/>
          </w:tcPr>
          <w:p w14:paraId="25FB2009"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14:paraId="2E08C7F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1EB5E1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865826" w14:textId="77777777" w:rsidR="00000000" w:rsidRDefault="003C49E9">
            <w:pPr>
              <w:pStyle w:val="a3"/>
              <w:spacing w:before="0" w:beforeAutospacing="0" w:after="0" w:afterAutospacing="0"/>
              <w:jc w:val="right"/>
              <w:rPr>
                <w:sz w:val="20"/>
                <w:szCs w:val="20"/>
              </w:rPr>
            </w:pPr>
            <w:r>
              <w:rPr>
                <w:sz w:val="20"/>
                <w:szCs w:val="20"/>
              </w:rPr>
              <w:t>2</w:t>
            </w:r>
          </w:p>
        </w:tc>
        <w:tc>
          <w:tcPr>
            <w:tcW w:w="0" w:type="auto"/>
            <w:noWrap/>
            <w:vAlign w:val="bottom"/>
            <w:hideMark/>
          </w:tcPr>
          <w:p w14:paraId="05F08CF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85B929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C1304D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AE8F0B" w14:textId="77777777" w:rsidR="00000000" w:rsidRDefault="003C49E9">
            <w:pPr>
              <w:pStyle w:val="a3"/>
              <w:spacing w:before="0" w:beforeAutospacing="0" w:after="0" w:afterAutospacing="0"/>
              <w:jc w:val="right"/>
              <w:rPr>
                <w:sz w:val="20"/>
                <w:szCs w:val="20"/>
              </w:rPr>
            </w:pPr>
            <w:r>
              <w:rPr>
                <w:sz w:val="20"/>
                <w:szCs w:val="20"/>
              </w:rPr>
              <w:t>3</w:t>
            </w:r>
          </w:p>
        </w:tc>
        <w:tc>
          <w:tcPr>
            <w:tcW w:w="0" w:type="auto"/>
            <w:noWrap/>
            <w:vAlign w:val="bottom"/>
            <w:hideMark/>
          </w:tcPr>
          <w:p w14:paraId="33B25D1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AAB2EB"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B9EC09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44FCEFB" w14:textId="77777777" w:rsidR="00000000" w:rsidRDefault="003C49E9">
            <w:pPr>
              <w:pStyle w:val="a3"/>
              <w:spacing w:before="0" w:beforeAutospacing="0" w:after="0" w:afterAutospacing="0"/>
              <w:jc w:val="right"/>
              <w:rPr>
                <w:sz w:val="20"/>
                <w:szCs w:val="20"/>
              </w:rPr>
            </w:pPr>
            <w:r>
              <w:rPr>
                <w:sz w:val="20"/>
                <w:szCs w:val="20"/>
              </w:rPr>
              <w:t>2</w:t>
            </w:r>
          </w:p>
        </w:tc>
        <w:tc>
          <w:tcPr>
            <w:tcW w:w="0" w:type="auto"/>
            <w:noWrap/>
            <w:vAlign w:val="bottom"/>
            <w:hideMark/>
          </w:tcPr>
          <w:p w14:paraId="74C430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81A24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93A725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41BF43" w14:textId="77777777" w:rsidR="00000000" w:rsidRDefault="003C49E9">
            <w:pPr>
              <w:pStyle w:val="a3"/>
              <w:spacing w:before="0" w:beforeAutospacing="0" w:after="0" w:afterAutospacing="0"/>
              <w:jc w:val="right"/>
              <w:rPr>
                <w:sz w:val="20"/>
                <w:szCs w:val="20"/>
              </w:rPr>
            </w:pPr>
            <w:r>
              <w:rPr>
                <w:sz w:val="20"/>
                <w:szCs w:val="20"/>
              </w:rPr>
              <w:t>4</w:t>
            </w:r>
          </w:p>
        </w:tc>
        <w:tc>
          <w:tcPr>
            <w:tcW w:w="0" w:type="auto"/>
            <w:noWrap/>
            <w:vAlign w:val="bottom"/>
            <w:hideMark/>
          </w:tcPr>
          <w:p w14:paraId="3F533BCA" w14:textId="77777777" w:rsidR="00000000" w:rsidRDefault="003C49E9">
            <w:pPr>
              <w:pStyle w:val="a3"/>
              <w:spacing w:before="0" w:beforeAutospacing="0" w:after="0" w:afterAutospacing="0"/>
              <w:rPr>
                <w:sz w:val="20"/>
                <w:szCs w:val="20"/>
              </w:rPr>
            </w:pPr>
            <w:r>
              <w:rPr>
                <w:sz w:val="20"/>
                <w:szCs w:val="20"/>
              </w:rPr>
              <w:t> </w:t>
            </w:r>
          </w:p>
        </w:tc>
      </w:tr>
      <w:tr w:rsidR="00000000" w14:paraId="28C797FF" w14:textId="77777777">
        <w:trPr>
          <w:trHeight w:val="200"/>
          <w:tblCellSpacing w:w="15" w:type="dxa"/>
        </w:trPr>
        <w:tc>
          <w:tcPr>
            <w:tcW w:w="0" w:type="auto"/>
            <w:vAlign w:val="bottom"/>
            <w:hideMark/>
          </w:tcPr>
          <w:p w14:paraId="1147869D" w14:textId="77777777" w:rsidR="00000000" w:rsidRDefault="003C49E9">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14:paraId="0003F0C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237ED0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68D52B5" w14:textId="77777777" w:rsidR="00000000" w:rsidRDefault="003C49E9">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16AAA24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20B96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1747AD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988B71" w14:textId="77777777" w:rsidR="00000000" w:rsidRDefault="003C49E9">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532A324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4D77CD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9DBFD6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94F09E" w14:textId="77777777" w:rsidR="00000000" w:rsidRDefault="003C49E9">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27DFD0F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05F649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6A4150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FC6C120" w14:textId="77777777" w:rsidR="00000000" w:rsidRDefault="003C49E9">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56EBA28B" w14:textId="77777777" w:rsidR="00000000" w:rsidRDefault="003C49E9">
            <w:pPr>
              <w:pStyle w:val="a3"/>
              <w:spacing w:before="0" w:beforeAutospacing="0" w:after="0" w:afterAutospacing="0"/>
              <w:rPr>
                <w:sz w:val="20"/>
                <w:szCs w:val="20"/>
              </w:rPr>
            </w:pPr>
            <w:r>
              <w:rPr>
                <w:sz w:val="20"/>
                <w:szCs w:val="20"/>
              </w:rPr>
              <w:t> </w:t>
            </w:r>
          </w:p>
        </w:tc>
      </w:tr>
      <w:tr w:rsidR="00000000" w14:paraId="7B997C98" w14:textId="77777777">
        <w:trPr>
          <w:trHeight w:val="200"/>
          <w:tblCellSpacing w:w="15" w:type="dxa"/>
        </w:trPr>
        <w:tc>
          <w:tcPr>
            <w:tcW w:w="0" w:type="auto"/>
            <w:vAlign w:val="bottom"/>
            <w:hideMark/>
          </w:tcPr>
          <w:p w14:paraId="0C1EE1E3" w14:textId="77777777" w:rsidR="00000000" w:rsidRDefault="003C49E9">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14:paraId="17CC898C"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CC58FA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2250B07"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224F411"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EB418EE"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E2D1363"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24DAE42"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922E608"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ADF826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1B9A2D18"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04C0A174"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CFE874D" w14:textId="77777777" w:rsidR="00000000" w:rsidRDefault="003C49E9">
            <w:pPr>
              <w:pStyle w:val="a3"/>
              <w:spacing w:before="0" w:beforeAutospacing="0" w:after="0" w:afterAutospacing="0"/>
              <w:jc w:val="right"/>
              <w:rPr>
                <w:sz w:val="20"/>
                <w:szCs w:val="20"/>
              </w:rPr>
            </w:pPr>
            <w:r>
              <w:rPr>
                <w:sz w:val="20"/>
                <w:szCs w:val="20"/>
              </w:rPr>
              <w:t> </w:t>
            </w:r>
          </w:p>
        </w:tc>
      </w:tr>
      <w:tr w:rsidR="00000000" w14:paraId="7913B4C5" w14:textId="77777777">
        <w:trPr>
          <w:trHeight w:val="200"/>
          <w:tblCellSpacing w:w="15" w:type="dxa"/>
        </w:trPr>
        <w:tc>
          <w:tcPr>
            <w:tcW w:w="0" w:type="auto"/>
            <w:vAlign w:val="bottom"/>
            <w:hideMark/>
          </w:tcPr>
          <w:p w14:paraId="4A4DDB83" w14:textId="77777777" w:rsidR="00000000" w:rsidRDefault="003C49E9">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14:paraId="27EB1A0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151D4B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5AFC80" w14:textId="77777777" w:rsidR="00000000" w:rsidRDefault="003C49E9">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2C9589E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D91CB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72F8D9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57D677" w14:textId="77777777" w:rsidR="00000000" w:rsidRDefault="003C49E9">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14:paraId="72CB495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BC8FAE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84E2C3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A03DC2E" w14:textId="77777777" w:rsidR="00000000" w:rsidRDefault="003C49E9">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2122972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0D366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0EC6CE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1A93D6" w14:textId="77777777" w:rsidR="00000000" w:rsidRDefault="003C49E9">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14:paraId="3BA6623E" w14:textId="77777777" w:rsidR="00000000" w:rsidRDefault="003C49E9">
            <w:pPr>
              <w:pStyle w:val="a3"/>
              <w:spacing w:before="0" w:beforeAutospacing="0" w:after="0" w:afterAutospacing="0"/>
              <w:rPr>
                <w:sz w:val="20"/>
                <w:szCs w:val="20"/>
              </w:rPr>
            </w:pPr>
            <w:r>
              <w:rPr>
                <w:sz w:val="20"/>
                <w:szCs w:val="20"/>
              </w:rPr>
              <w:t> </w:t>
            </w:r>
          </w:p>
        </w:tc>
      </w:tr>
      <w:tr w:rsidR="00000000" w14:paraId="0E14A4F6" w14:textId="77777777">
        <w:trPr>
          <w:trHeight w:val="200"/>
          <w:tblCellSpacing w:w="15" w:type="dxa"/>
        </w:trPr>
        <w:tc>
          <w:tcPr>
            <w:tcW w:w="0" w:type="auto"/>
            <w:vAlign w:val="bottom"/>
            <w:hideMark/>
          </w:tcPr>
          <w:p w14:paraId="040AD804" w14:textId="77777777" w:rsidR="00000000" w:rsidRDefault="003C49E9">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14:paraId="2F0DBB0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CD413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4B482D" w14:textId="77777777" w:rsidR="00000000" w:rsidRDefault="003C49E9">
            <w:pPr>
              <w:pStyle w:val="a3"/>
              <w:spacing w:before="0" w:beforeAutospacing="0" w:after="0" w:afterAutospacing="0"/>
              <w:jc w:val="right"/>
              <w:rPr>
                <w:sz w:val="20"/>
                <w:szCs w:val="20"/>
              </w:rPr>
            </w:pPr>
            <w:r>
              <w:rPr>
                <w:sz w:val="20"/>
                <w:szCs w:val="20"/>
              </w:rPr>
              <w:t>3</w:t>
            </w:r>
          </w:p>
        </w:tc>
        <w:tc>
          <w:tcPr>
            <w:tcW w:w="0" w:type="auto"/>
            <w:noWrap/>
            <w:vAlign w:val="bottom"/>
            <w:hideMark/>
          </w:tcPr>
          <w:p w14:paraId="481CA9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9ECA4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CC38DB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51F8F19" w14:textId="77777777" w:rsidR="00000000" w:rsidRDefault="003C49E9">
            <w:pPr>
              <w:pStyle w:val="a3"/>
              <w:spacing w:before="0" w:beforeAutospacing="0" w:after="0" w:afterAutospacing="0"/>
              <w:jc w:val="right"/>
              <w:rPr>
                <w:sz w:val="20"/>
                <w:szCs w:val="20"/>
              </w:rPr>
            </w:pPr>
            <w:r>
              <w:rPr>
                <w:sz w:val="20"/>
                <w:szCs w:val="20"/>
              </w:rPr>
              <w:t>4</w:t>
            </w:r>
          </w:p>
        </w:tc>
        <w:tc>
          <w:tcPr>
            <w:tcW w:w="0" w:type="auto"/>
            <w:noWrap/>
            <w:vAlign w:val="bottom"/>
            <w:hideMark/>
          </w:tcPr>
          <w:p w14:paraId="56C19D2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B6D0B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C72A7E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9FCFBE" w14:textId="77777777" w:rsidR="00000000" w:rsidRDefault="003C49E9">
            <w:pPr>
              <w:pStyle w:val="a3"/>
              <w:spacing w:before="0" w:beforeAutospacing="0" w:after="0" w:afterAutospacing="0"/>
              <w:jc w:val="right"/>
              <w:rPr>
                <w:sz w:val="20"/>
                <w:szCs w:val="20"/>
              </w:rPr>
            </w:pPr>
            <w:r>
              <w:rPr>
                <w:sz w:val="20"/>
                <w:szCs w:val="20"/>
              </w:rPr>
              <w:t>3</w:t>
            </w:r>
          </w:p>
        </w:tc>
        <w:tc>
          <w:tcPr>
            <w:tcW w:w="0" w:type="auto"/>
            <w:noWrap/>
            <w:vAlign w:val="bottom"/>
            <w:hideMark/>
          </w:tcPr>
          <w:p w14:paraId="5EF14D8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37A23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356C29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274E86F" w14:textId="77777777" w:rsidR="00000000" w:rsidRDefault="003C49E9">
            <w:pPr>
              <w:pStyle w:val="a3"/>
              <w:spacing w:before="0" w:beforeAutospacing="0" w:after="0" w:afterAutospacing="0"/>
              <w:jc w:val="right"/>
              <w:rPr>
                <w:sz w:val="20"/>
                <w:szCs w:val="20"/>
              </w:rPr>
            </w:pPr>
            <w:r>
              <w:rPr>
                <w:sz w:val="20"/>
                <w:szCs w:val="20"/>
              </w:rPr>
              <w:t>4</w:t>
            </w:r>
          </w:p>
        </w:tc>
        <w:tc>
          <w:tcPr>
            <w:tcW w:w="0" w:type="auto"/>
            <w:noWrap/>
            <w:vAlign w:val="bottom"/>
            <w:hideMark/>
          </w:tcPr>
          <w:p w14:paraId="3A05DDA4" w14:textId="77777777" w:rsidR="00000000" w:rsidRDefault="003C49E9">
            <w:pPr>
              <w:pStyle w:val="a3"/>
              <w:spacing w:before="0" w:beforeAutospacing="0" w:after="0" w:afterAutospacing="0"/>
              <w:rPr>
                <w:sz w:val="20"/>
                <w:szCs w:val="20"/>
              </w:rPr>
            </w:pPr>
            <w:r>
              <w:rPr>
                <w:sz w:val="20"/>
                <w:szCs w:val="20"/>
              </w:rPr>
              <w:t> </w:t>
            </w:r>
          </w:p>
        </w:tc>
      </w:tr>
      <w:tr w:rsidR="00000000" w14:paraId="6321A2C3" w14:textId="77777777">
        <w:trPr>
          <w:trHeight w:val="200"/>
          <w:tblCellSpacing w:w="15" w:type="dxa"/>
        </w:trPr>
        <w:tc>
          <w:tcPr>
            <w:tcW w:w="0" w:type="auto"/>
            <w:vAlign w:val="bottom"/>
            <w:hideMark/>
          </w:tcPr>
          <w:p w14:paraId="490936AD" w14:textId="77777777" w:rsidR="00000000" w:rsidRDefault="003C49E9">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14:paraId="0183655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8D4647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71E4413" w14:textId="77777777" w:rsidR="00000000" w:rsidRDefault="003C49E9">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14:paraId="5F2690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7D20F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C66942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4D54C8" w14:textId="77777777" w:rsidR="00000000" w:rsidRDefault="003C49E9">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14:paraId="6FBA6F9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E580C7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72E3CB0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7F0F7E1" w14:textId="77777777" w:rsidR="00000000" w:rsidRDefault="003C49E9">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14:paraId="626243E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D32A7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60FF5C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54030C" w14:textId="77777777" w:rsidR="00000000" w:rsidRDefault="003C49E9">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14:paraId="3B05A898" w14:textId="77777777" w:rsidR="00000000" w:rsidRDefault="003C49E9">
            <w:pPr>
              <w:pStyle w:val="a3"/>
              <w:spacing w:before="0" w:beforeAutospacing="0" w:after="0" w:afterAutospacing="0"/>
              <w:rPr>
                <w:sz w:val="20"/>
                <w:szCs w:val="20"/>
              </w:rPr>
            </w:pPr>
            <w:r>
              <w:rPr>
                <w:sz w:val="20"/>
                <w:szCs w:val="20"/>
              </w:rPr>
              <w:t> </w:t>
            </w:r>
          </w:p>
        </w:tc>
      </w:tr>
      <w:tr w:rsidR="00000000" w14:paraId="2E47F6A6" w14:textId="77777777">
        <w:trPr>
          <w:trHeight w:val="200"/>
          <w:tblCellSpacing w:w="15" w:type="dxa"/>
        </w:trPr>
        <w:tc>
          <w:tcPr>
            <w:tcW w:w="0" w:type="auto"/>
            <w:vAlign w:val="bottom"/>
            <w:hideMark/>
          </w:tcPr>
          <w:p w14:paraId="1C6E00FD" w14:textId="77777777" w:rsidR="00000000" w:rsidRDefault="003C49E9">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14:paraId="43289DD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3BEFD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6DB1F2" w14:textId="77777777" w:rsidR="00000000" w:rsidRDefault="003C49E9">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515087C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974ADE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C3FAE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232BA0" w14:textId="77777777" w:rsidR="00000000" w:rsidRDefault="003C49E9">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14:paraId="3A4D517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33B593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56DA46A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D667CB" w14:textId="77777777" w:rsidR="00000000" w:rsidRDefault="003C49E9">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52587D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7CFF47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E36D5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E5E40B" w14:textId="77777777" w:rsidR="00000000" w:rsidRDefault="003C49E9">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14:paraId="486A3A36" w14:textId="77777777" w:rsidR="00000000" w:rsidRDefault="003C49E9">
            <w:pPr>
              <w:pStyle w:val="a3"/>
              <w:spacing w:before="0" w:beforeAutospacing="0" w:after="0" w:afterAutospacing="0"/>
              <w:rPr>
                <w:sz w:val="20"/>
                <w:szCs w:val="20"/>
              </w:rPr>
            </w:pPr>
            <w:r>
              <w:rPr>
                <w:sz w:val="20"/>
                <w:szCs w:val="20"/>
              </w:rPr>
              <w:t> </w:t>
            </w:r>
          </w:p>
        </w:tc>
      </w:tr>
      <w:tr w:rsidR="00000000" w14:paraId="6AEF7EE6" w14:textId="77777777">
        <w:trPr>
          <w:trHeight w:val="200"/>
          <w:tblCellSpacing w:w="15" w:type="dxa"/>
        </w:trPr>
        <w:tc>
          <w:tcPr>
            <w:tcW w:w="0" w:type="auto"/>
            <w:vAlign w:val="bottom"/>
            <w:hideMark/>
          </w:tcPr>
          <w:p w14:paraId="19CDFE4C" w14:textId="77777777" w:rsidR="00000000" w:rsidRDefault="003C49E9">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0EA161BC"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602F1EA5"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AB7865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DAAA99A"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5739508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CD37E9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68AB88F8" w14:textId="77777777" w:rsidR="00000000" w:rsidRDefault="003C49E9">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7B27B7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53686B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07DB5DE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05ADE93F"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7BD9BB33" w14:textId="77777777" w:rsidR="00000000" w:rsidRDefault="003C49E9">
            <w:pPr>
              <w:pStyle w:val="a3"/>
              <w:spacing w:before="0" w:beforeAutospacing="0" w:after="0" w:afterAutospacing="0"/>
              <w:jc w:val="right"/>
              <w:rPr>
                <w:sz w:val="20"/>
                <w:szCs w:val="20"/>
              </w:rPr>
            </w:pPr>
            <w:r>
              <w:rPr>
                <w:sz w:val="20"/>
                <w:szCs w:val="20"/>
              </w:rPr>
              <w:t> </w:t>
            </w:r>
          </w:p>
        </w:tc>
      </w:tr>
      <w:tr w:rsidR="00000000" w14:paraId="54324B93" w14:textId="77777777">
        <w:trPr>
          <w:trHeight w:val="200"/>
          <w:tblCellSpacing w:w="15" w:type="dxa"/>
        </w:trPr>
        <w:tc>
          <w:tcPr>
            <w:tcW w:w="0" w:type="auto"/>
            <w:vAlign w:val="bottom"/>
            <w:hideMark/>
          </w:tcPr>
          <w:p w14:paraId="00E422A3" w14:textId="77777777" w:rsidR="00000000" w:rsidRDefault="003C49E9">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14:paraId="4B117C0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8D067A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250C57" w14:textId="77777777" w:rsidR="00000000" w:rsidRDefault="003C49E9">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14:paraId="1E5758E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7FB1E3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7C20A1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0977A9" w14:textId="77777777" w:rsidR="00000000" w:rsidRDefault="003C49E9">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14:paraId="2840526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6A71D1A"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41451C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92F9C4" w14:textId="77777777" w:rsidR="00000000" w:rsidRDefault="003C49E9">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14:paraId="2384BB4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61276C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D63892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91ADB4" w14:textId="77777777" w:rsidR="00000000" w:rsidRDefault="003C49E9">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65C1BB10" w14:textId="77777777" w:rsidR="00000000" w:rsidRDefault="003C49E9">
            <w:pPr>
              <w:pStyle w:val="a3"/>
              <w:spacing w:before="0" w:beforeAutospacing="0" w:after="0" w:afterAutospacing="0"/>
              <w:rPr>
                <w:sz w:val="20"/>
                <w:szCs w:val="20"/>
              </w:rPr>
            </w:pPr>
            <w:r>
              <w:rPr>
                <w:sz w:val="20"/>
                <w:szCs w:val="20"/>
              </w:rPr>
              <w:t> </w:t>
            </w:r>
          </w:p>
        </w:tc>
      </w:tr>
      <w:tr w:rsidR="00000000" w14:paraId="25DBADDD" w14:textId="77777777">
        <w:trPr>
          <w:trHeight w:val="200"/>
          <w:tblCellSpacing w:w="15" w:type="dxa"/>
        </w:trPr>
        <w:tc>
          <w:tcPr>
            <w:tcW w:w="0" w:type="auto"/>
            <w:vAlign w:val="bottom"/>
            <w:hideMark/>
          </w:tcPr>
          <w:p w14:paraId="288A1C6C" w14:textId="77777777" w:rsidR="00000000" w:rsidRDefault="003C49E9">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14:paraId="557122C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508B2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F65278" w14:textId="77777777" w:rsidR="00000000" w:rsidRDefault="003C49E9">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14:paraId="70C6AB9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0B0E20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CDCB05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964D19D" w14:textId="77777777" w:rsidR="00000000" w:rsidRDefault="003C49E9">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14:paraId="5BCA6B3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81295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91C36E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729088" w14:textId="77777777" w:rsidR="00000000" w:rsidRDefault="003C49E9">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bottom"/>
            <w:hideMark/>
          </w:tcPr>
          <w:p w14:paraId="481FAB1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1F36A9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24D2FD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6325203" w14:textId="77777777" w:rsidR="00000000" w:rsidRDefault="003C49E9">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14:paraId="2380F8F6" w14:textId="77777777" w:rsidR="00000000" w:rsidRDefault="003C49E9">
            <w:pPr>
              <w:pStyle w:val="a3"/>
              <w:spacing w:before="0" w:beforeAutospacing="0" w:after="0" w:afterAutospacing="0"/>
              <w:rPr>
                <w:sz w:val="20"/>
                <w:szCs w:val="20"/>
              </w:rPr>
            </w:pPr>
            <w:r>
              <w:rPr>
                <w:sz w:val="20"/>
                <w:szCs w:val="20"/>
              </w:rPr>
              <w:t> </w:t>
            </w:r>
          </w:p>
        </w:tc>
      </w:tr>
      <w:tr w:rsidR="00000000" w14:paraId="14E68811" w14:textId="77777777">
        <w:trPr>
          <w:trHeight w:val="200"/>
          <w:tblCellSpacing w:w="15" w:type="dxa"/>
        </w:trPr>
        <w:tc>
          <w:tcPr>
            <w:tcW w:w="0" w:type="auto"/>
            <w:vAlign w:val="bottom"/>
            <w:hideMark/>
          </w:tcPr>
          <w:p w14:paraId="77A9CF79" w14:textId="77777777" w:rsidR="00000000" w:rsidRDefault="003C49E9">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48894D2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661456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CB06CC3" w14:textId="77777777" w:rsidR="00000000" w:rsidRDefault="003C49E9">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14:paraId="474967B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1C4FC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72CD0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54C29D" w14:textId="77777777" w:rsidR="00000000" w:rsidRDefault="003C49E9">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77BADA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51B636"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7C80D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C69005" w14:textId="77777777" w:rsidR="00000000" w:rsidRDefault="003C49E9">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14:paraId="0C8FF72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090C8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315DF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8EEDA45" w14:textId="77777777" w:rsidR="00000000" w:rsidRDefault="003C49E9">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3E38677A" w14:textId="77777777" w:rsidR="00000000" w:rsidRDefault="003C49E9">
            <w:pPr>
              <w:pStyle w:val="a3"/>
              <w:spacing w:before="0" w:beforeAutospacing="0" w:after="0" w:afterAutospacing="0"/>
              <w:rPr>
                <w:sz w:val="20"/>
                <w:szCs w:val="20"/>
              </w:rPr>
            </w:pPr>
            <w:r>
              <w:rPr>
                <w:sz w:val="20"/>
                <w:szCs w:val="20"/>
              </w:rPr>
              <w:t> </w:t>
            </w:r>
          </w:p>
        </w:tc>
      </w:tr>
      <w:tr w:rsidR="00000000" w14:paraId="2CEE4450" w14:textId="77777777">
        <w:trPr>
          <w:trHeight w:val="200"/>
          <w:tblCellSpacing w:w="15" w:type="dxa"/>
        </w:trPr>
        <w:tc>
          <w:tcPr>
            <w:tcW w:w="0" w:type="auto"/>
            <w:vAlign w:val="bottom"/>
            <w:hideMark/>
          </w:tcPr>
          <w:p w14:paraId="6AFEB85C" w14:textId="77777777" w:rsidR="00000000" w:rsidRDefault="003C49E9">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14:paraId="48F3868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17BB7B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42B6F3" w14:textId="77777777" w:rsidR="00000000" w:rsidRDefault="003C49E9">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14:paraId="1471643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1E66F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260515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1E5BDC" w14:textId="77777777" w:rsidR="00000000" w:rsidRDefault="003C49E9">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14:paraId="4BB7098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F5243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27BE1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81CF9C" w14:textId="77777777" w:rsidR="00000000" w:rsidRDefault="003C49E9">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14:paraId="60063BD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32420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51B023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3100BA" w14:textId="77777777" w:rsidR="00000000" w:rsidRDefault="003C49E9">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14:paraId="2AF5A601" w14:textId="77777777" w:rsidR="00000000" w:rsidRDefault="003C49E9">
            <w:pPr>
              <w:pStyle w:val="a3"/>
              <w:spacing w:before="0" w:beforeAutospacing="0" w:after="0" w:afterAutospacing="0"/>
              <w:rPr>
                <w:sz w:val="20"/>
                <w:szCs w:val="20"/>
              </w:rPr>
            </w:pPr>
            <w:r>
              <w:rPr>
                <w:sz w:val="20"/>
                <w:szCs w:val="20"/>
              </w:rPr>
              <w:t> </w:t>
            </w:r>
          </w:p>
        </w:tc>
      </w:tr>
      <w:tr w:rsidR="00000000" w14:paraId="41D580E5" w14:textId="77777777">
        <w:trPr>
          <w:trHeight w:val="200"/>
          <w:tblCellSpacing w:w="15" w:type="dxa"/>
        </w:trPr>
        <w:tc>
          <w:tcPr>
            <w:tcW w:w="0" w:type="auto"/>
            <w:vAlign w:val="bottom"/>
            <w:hideMark/>
          </w:tcPr>
          <w:p w14:paraId="4BBF83A2" w14:textId="77777777" w:rsidR="00000000" w:rsidRDefault="003C49E9">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14:paraId="0D29BE2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57007D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EA0673" w14:textId="77777777" w:rsidR="00000000" w:rsidRDefault="003C49E9">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14:paraId="7E060B7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8F3D6E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D8979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E1635B0" w14:textId="77777777" w:rsidR="00000000" w:rsidRDefault="003C49E9">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14:paraId="25165F3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64F258E"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560A65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7DACEDE"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503F045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C9795AB"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E557CD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0A31507" w14:textId="77777777" w:rsidR="00000000" w:rsidRDefault="003C49E9">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14:paraId="7B6A8DF9" w14:textId="77777777" w:rsidR="00000000" w:rsidRDefault="003C49E9">
            <w:pPr>
              <w:pStyle w:val="a3"/>
              <w:spacing w:before="0" w:beforeAutospacing="0" w:after="0" w:afterAutospacing="0"/>
              <w:rPr>
                <w:sz w:val="20"/>
                <w:szCs w:val="20"/>
              </w:rPr>
            </w:pPr>
            <w:r>
              <w:rPr>
                <w:sz w:val="20"/>
                <w:szCs w:val="20"/>
              </w:rPr>
              <w:t>)</w:t>
            </w:r>
          </w:p>
        </w:tc>
      </w:tr>
      <w:tr w:rsidR="00000000" w14:paraId="640532F9" w14:textId="77777777">
        <w:trPr>
          <w:trHeight w:val="200"/>
          <w:tblCellSpacing w:w="15" w:type="dxa"/>
        </w:trPr>
        <w:tc>
          <w:tcPr>
            <w:tcW w:w="0" w:type="auto"/>
            <w:vAlign w:val="bottom"/>
            <w:hideMark/>
          </w:tcPr>
          <w:p w14:paraId="36BE9959" w14:textId="77777777" w:rsidR="00000000" w:rsidRDefault="003C49E9">
            <w:pPr>
              <w:pStyle w:val="a3"/>
              <w:spacing w:before="0" w:beforeAutospacing="0" w:after="0" w:afterAutospacing="0"/>
              <w:ind w:left="400"/>
              <w:rPr>
                <w:sz w:val="20"/>
                <w:szCs w:val="20"/>
              </w:rPr>
            </w:pPr>
            <w:r>
              <w:rPr>
                <w:sz w:val="20"/>
                <w:szCs w:val="20"/>
              </w:rPr>
              <w:t>Total other (expense) incom</w:t>
            </w:r>
            <w:r>
              <w:rPr>
                <w:sz w:val="20"/>
                <w:szCs w:val="20"/>
              </w:rPr>
              <w:t>e</w:t>
            </w:r>
          </w:p>
        </w:tc>
        <w:tc>
          <w:tcPr>
            <w:tcW w:w="0" w:type="auto"/>
            <w:vAlign w:val="bottom"/>
            <w:hideMark/>
          </w:tcPr>
          <w:p w14:paraId="490DC21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FDC1FF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C2E2E8" w14:textId="77777777" w:rsidR="00000000" w:rsidRDefault="003C49E9">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14:paraId="11879D2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AA47D7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36F179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E84336" w14:textId="77777777" w:rsidR="00000000" w:rsidRDefault="003C49E9">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34673C2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77C176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6E99FBA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58ACB5" w14:textId="77777777" w:rsidR="00000000" w:rsidRDefault="003C49E9">
            <w:pPr>
              <w:pStyle w:val="a3"/>
              <w:spacing w:before="0" w:beforeAutospacing="0" w:after="0" w:afterAutospacing="0"/>
              <w:jc w:val="right"/>
              <w:rPr>
                <w:sz w:val="20"/>
                <w:szCs w:val="20"/>
              </w:rPr>
            </w:pPr>
            <w:r>
              <w:rPr>
                <w:sz w:val="20"/>
                <w:szCs w:val="20"/>
              </w:rPr>
              <w:t>0</w:t>
            </w:r>
          </w:p>
        </w:tc>
        <w:tc>
          <w:tcPr>
            <w:tcW w:w="0" w:type="auto"/>
            <w:noWrap/>
            <w:vAlign w:val="bottom"/>
            <w:hideMark/>
          </w:tcPr>
          <w:p w14:paraId="78E670A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7C626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D8CC6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279A2F" w14:textId="77777777" w:rsidR="00000000" w:rsidRDefault="003C49E9">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1752F171" w14:textId="77777777" w:rsidR="00000000" w:rsidRDefault="003C49E9">
            <w:pPr>
              <w:pStyle w:val="a3"/>
              <w:spacing w:before="0" w:beforeAutospacing="0" w:after="0" w:afterAutospacing="0"/>
              <w:rPr>
                <w:sz w:val="20"/>
                <w:szCs w:val="20"/>
              </w:rPr>
            </w:pPr>
            <w:r>
              <w:rPr>
                <w:sz w:val="20"/>
                <w:szCs w:val="20"/>
              </w:rPr>
              <w:t>)</w:t>
            </w:r>
          </w:p>
        </w:tc>
      </w:tr>
      <w:tr w:rsidR="00000000" w14:paraId="568D1852" w14:textId="77777777">
        <w:trPr>
          <w:trHeight w:val="200"/>
          <w:tblCellSpacing w:w="15" w:type="dxa"/>
        </w:trPr>
        <w:tc>
          <w:tcPr>
            <w:tcW w:w="0" w:type="auto"/>
            <w:vAlign w:val="bottom"/>
            <w:hideMark/>
          </w:tcPr>
          <w:p w14:paraId="368159C4" w14:textId="77777777" w:rsidR="00000000" w:rsidRDefault="003C49E9">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14:paraId="1B5D8FD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640A9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F61FE2" w14:textId="77777777" w:rsidR="00000000" w:rsidRDefault="003C49E9">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14:paraId="5C321EC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9D2C37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5A218B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69A951E" w14:textId="77777777" w:rsidR="00000000" w:rsidRDefault="003C49E9">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14:paraId="5357971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24CE6A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B38D06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A013C8"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512385A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ACAE84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53EB84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2F46C4"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2ABAAD0A" w14:textId="77777777" w:rsidR="00000000" w:rsidRDefault="003C49E9">
            <w:pPr>
              <w:pStyle w:val="a3"/>
              <w:spacing w:before="0" w:beforeAutospacing="0" w:after="0" w:afterAutospacing="0"/>
              <w:rPr>
                <w:sz w:val="20"/>
                <w:szCs w:val="20"/>
              </w:rPr>
            </w:pPr>
            <w:r>
              <w:rPr>
                <w:sz w:val="20"/>
                <w:szCs w:val="20"/>
              </w:rPr>
              <w:t>)</w:t>
            </w:r>
          </w:p>
        </w:tc>
      </w:tr>
      <w:tr w:rsidR="00000000" w14:paraId="6409BB79" w14:textId="77777777">
        <w:trPr>
          <w:trHeight w:val="200"/>
          <w:tblCellSpacing w:w="15" w:type="dxa"/>
        </w:trPr>
        <w:tc>
          <w:tcPr>
            <w:tcW w:w="0" w:type="auto"/>
            <w:vAlign w:val="bottom"/>
            <w:hideMark/>
          </w:tcPr>
          <w:p w14:paraId="7DEAEAC3" w14:textId="77777777" w:rsidR="00000000" w:rsidRDefault="003C49E9">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14:paraId="383D270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D0F693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4396B3" w14:textId="77777777" w:rsidR="00000000" w:rsidRDefault="003C49E9">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02F954A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232503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F3CCA0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A1FD3F9" w14:textId="77777777" w:rsidR="00000000" w:rsidRDefault="003C49E9">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6213D85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E5F5620"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1A77DF4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3BD2526" w14:textId="77777777" w:rsidR="00000000" w:rsidRDefault="003C49E9">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14:paraId="0A46D66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A9D199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7EAC72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E84B69" w14:textId="77777777" w:rsidR="00000000" w:rsidRDefault="003C49E9">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14:paraId="3EA1E638" w14:textId="77777777" w:rsidR="00000000" w:rsidRDefault="003C49E9">
            <w:pPr>
              <w:pStyle w:val="a3"/>
              <w:spacing w:before="0" w:beforeAutospacing="0" w:after="0" w:afterAutospacing="0"/>
              <w:rPr>
                <w:sz w:val="20"/>
                <w:szCs w:val="20"/>
              </w:rPr>
            </w:pPr>
            <w:r>
              <w:rPr>
                <w:sz w:val="20"/>
                <w:szCs w:val="20"/>
              </w:rPr>
              <w:t>)</w:t>
            </w:r>
          </w:p>
        </w:tc>
      </w:tr>
      <w:tr w:rsidR="00000000" w14:paraId="302C8DA0" w14:textId="77777777">
        <w:trPr>
          <w:trHeight w:val="200"/>
          <w:tblCellSpacing w:w="15" w:type="dxa"/>
        </w:trPr>
        <w:tc>
          <w:tcPr>
            <w:tcW w:w="0" w:type="auto"/>
            <w:vAlign w:val="bottom"/>
            <w:hideMark/>
          </w:tcPr>
          <w:p w14:paraId="6469F595" w14:textId="77777777" w:rsidR="00000000" w:rsidRDefault="003C49E9">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4FFF532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126134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CBF4EC8" w14:textId="77777777" w:rsidR="00000000" w:rsidRDefault="003C49E9">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14:paraId="523E3861" w14:textId="77777777" w:rsidR="00000000" w:rsidRDefault="003C49E9">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14:paraId="3805C67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9BAC4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2D12F4"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7F3D21CF" w14:textId="77777777" w:rsidR="00000000" w:rsidRDefault="003C49E9">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14:paraId="6746F61C"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85C90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1B848D"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74B8C83F" w14:textId="77777777" w:rsidR="00000000" w:rsidRDefault="003C49E9">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14:paraId="6FE70D7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DFCE42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9C9761F" w14:textId="77777777" w:rsidR="00000000" w:rsidRDefault="003C49E9">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14:paraId="00C567D2" w14:textId="77777777" w:rsidR="00000000" w:rsidRDefault="003C49E9">
            <w:pPr>
              <w:pStyle w:val="a3"/>
              <w:spacing w:before="0" w:beforeAutospacing="0" w:after="0" w:afterAutospacing="0"/>
              <w:rPr>
                <w:sz w:val="20"/>
                <w:szCs w:val="20"/>
              </w:rPr>
            </w:pPr>
            <w:r>
              <w:rPr>
                <w:sz w:val="20"/>
                <w:szCs w:val="20"/>
              </w:rPr>
              <w:t>)</w:t>
            </w:r>
            <w:r>
              <w:rPr>
                <w:sz w:val="20"/>
                <w:szCs w:val="20"/>
              </w:rPr>
              <w:t>%</w:t>
            </w:r>
          </w:p>
        </w:tc>
      </w:tr>
    </w:tbl>
    <w:p w14:paraId="3841FEA8" w14:textId="77777777" w:rsidR="00000000" w:rsidRDefault="003C49E9">
      <w:pPr>
        <w:pStyle w:val="a3"/>
        <w:spacing w:before="0" w:beforeAutospacing="0" w:after="0" w:afterAutospacing="0"/>
        <w:ind w:firstLine="555"/>
        <w:rPr>
          <w:sz w:val="20"/>
          <w:szCs w:val="20"/>
        </w:rPr>
      </w:pPr>
      <w:r>
        <w:rPr>
          <w:sz w:val="20"/>
          <w:szCs w:val="20"/>
        </w:rPr>
        <w:t>Percentages are based on actual values. Totals may not sum due to rounding</w:t>
      </w:r>
      <w:r>
        <w:rPr>
          <w:sz w:val="20"/>
          <w:szCs w:val="20"/>
        </w:rPr>
        <w:t>.</w:t>
      </w:r>
    </w:p>
    <w:p w14:paraId="56D3359B"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4</w:t>
      </w:r>
    </w:p>
    <w:p w14:paraId="7FBC50E0" w14:textId="77777777" w:rsidR="00000000" w:rsidRDefault="003C49E9">
      <w:pPr>
        <w:rPr>
          <w:rFonts w:eastAsia="Times New Roman"/>
        </w:rPr>
      </w:pPr>
      <w:r>
        <w:rPr>
          <w:rFonts w:eastAsia="Times New Roman"/>
        </w:rPr>
        <w:pict w14:anchorId="0E2A3052">
          <v:rect id="_x0000_i1048" style="width:0;height:1.5pt" o:hralign="center" o:hrstd="t" o:hr="t" fillcolor="#a0a0a0" stroked="f"/>
        </w:pict>
      </w:r>
    </w:p>
    <w:p w14:paraId="76778BD8" w14:textId="77777777" w:rsidR="00000000" w:rsidRDefault="003C49E9">
      <w:pPr>
        <w:pStyle w:val="a3"/>
        <w:spacing w:before="0" w:beforeAutospacing="0" w:after="0" w:afterAutospacing="0"/>
        <w:rPr>
          <w:sz w:val="20"/>
          <w:szCs w:val="20"/>
        </w:rPr>
      </w:pPr>
      <w:r>
        <w:rPr>
          <w:sz w:val="20"/>
          <w:szCs w:val="20"/>
        </w:rPr>
        <w:t> </w:t>
      </w:r>
    </w:p>
    <w:p w14:paraId="633CE204" w14:textId="77777777" w:rsidR="00000000" w:rsidRDefault="003C49E9">
      <w:pPr>
        <w:pStyle w:val="a3"/>
        <w:spacing w:before="200" w:beforeAutospacing="0" w:after="0" w:afterAutospacing="0"/>
        <w:rPr>
          <w:sz w:val="20"/>
          <w:szCs w:val="20"/>
        </w:rPr>
      </w:pPr>
      <w:r>
        <w:rPr>
          <w:b/>
          <w:bCs/>
          <w:sz w:val="20"/>
          <w:szCs w:val="20"/>
        </w:rPr>
        <w:t>Three Months Ended June 30, 2022 Compared to the Three Months Ended June 30, 202</w:t>
      </w:r>
      <w:r>
        <w:rPr>
          <w:b/>
          <w:bCs/>
          <w:sz w:val="20"/>
          <w:szCs w:val="20"/>
        </w:rPr>
        <w:t>1</w:t>
      </w:r>
    </w:p>
    <w:p w14:paraId="31B799BB" w14:textId="77777777" w:rsidR="00000000" w:rsidRDefault="003C49E9">
      <w:pPr>
        <w:pStyle w:val="a3"/>
        <w:spacing w:before="200" w:beforeAutospacing="0" w:after="0" w:afterAutospacing="0"/>
        <w:ind w:left="476"/>
        <w:rPr>
          <w:sz w:val="20"/>
          <w:szCs w:val="20"/>
        </w:rPr>
      </w:pPr>
      <w:r>
        <w:rPr>
          <w:b/>
          <w:bCs/>
          <w:i/>
          <w:iCs/>
          <w:sz w:val="20"/>
          <w:szCs w:val="20"/>
        </w:rPr>
        <w:t>Revenu</w:t>
      </w:r>
      <w:r>
        <w:rPr>
          <w:b/>
          <w:bCs/>
          <w:i/>
          <w:iCs/>
          <w:sz w:val="20"/>
          <w:szCs w:val="20"/>
        </w:rPr>
        <w:t>e</w:t>
      </w:r>
      <w:r>
        <w:rPr>
          <w:sz w:val="20"/>
          <w:szCs w:val="20"/>
        </w:rPr>
        <w:t xml:space="preserve"> </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6"/>
        <w:gridCol w:w="105"/>
        <w:gridCol w:w="150"/>
        <w:gridCol w:w="645"/>
        <w:gridCol w:w="105"/>
        <w:gridCol w:w="105"/>
        <w:gridCol w:w="150"/>
        <w:gridCol w:w="645"/>
        <w:gridCol w:w="105"/>
        <w:gridCol w:w="105"/>
        <w:gridCol w:w="150"/>
        <w:gridCol w:w="645"/>
        <w:gridCol w:w="120"/>
        <w:gridCol w:w="105"/>
        <w:gridCol w:w="106"/>
        <w:gridCol w:w="499"/>
        <w:gridCol w:w="270"/>
        <w:gridCol w:w="105"/>
        <w:gridCol w:w="150"/>
        <w:gridCol w:w="645"/>
        <w:gridCol w:w="105"/>
        <w:gridCol w:w="105"/>
        <w:gridCol w:w="150"/>
        <w:gridCol w:w="645"/>
        <w:gridCol w:w="105"/>
        <w:gridCol w:w="105"/>
        <w:gridCol w:w="150"/>
        <w:gridCol w:w="645"/>
        <w:gridCol w:w="120"/>
        <w:gridCol w:w="105"/>
        <w:gridCol w:w="106"/>
        <w:gridCol w:w="502"/>
        <w:gridCol w:w="285"/>
      </w:tblGrid>
      <w:tr w:rsidR="00000000" w14:paraId="0A3298C7" w14:textId="77777777">
        <w:trPr>
          <w:tblCellSpacing w:w="15" w:type="dxa"/>
        </w:trPr>
        <w:tc>
          <w:tcPr>
            <w:tcW w:w="1139" w:type="pct"/>
            <w:vAlign w:val="center"/>
            <w:hideMark/>
          </w:tcPr>
          <w:p w14:paraId="6B917273" w14:textId="77777777" w:rsidR="00000000" w:rsidRDefault="003C49E9">
            <w:pPr>
              <w:rPr>
                <w:sz w:val="20"/>
                <w:szCs w:val="20"/>
              </w:rPr>
            </w:pPr>
          </w:p>
        </w:tc>
        <w:tc>
          <w:tcPr>
            <w:tcW w:w="45" w:type="pct"/>
            <w:vAlign w:val="center"/>
            <w:hideMark/>
          </w:tcPr>
          <w:p w14:paraId="45E0859C" w14:textId="77777777" w:rsidR="00000000" w:rsidRDefault="003C49E9">
            <w:pPr>
              <w:rPr>
                <w:rFonts w:eastAsia="Times New Roman"/>
                <w:sz w:val="20"/>
                <w:szCs w:val="20"/>
              </w:rPr>
            </w:pPr>
          </w:p>
        </w:tc>
        <w:tc>
          <w:tcPr>
            <w:tcW w:w="50" w:type="pct"/>
            <w:vAlign w:val="center"/>
            <w:hideMark/>
          </w:tcPr>
          <w:p w14:paraId="517297CC" w14:textId="77777777" w:rsidR="00000000" w:rsidRDefault="003C49E9">
            <w:pPr>
              <w:rPr>
                <w:rFonts w:eastAsia="Times New Roman"/>
                <w:sz w:val="20"/>
                <w:szCs w:val="20"/>
              </w:rPr>
            </w:pPr>
          </w:p>
        </w:tc>
        <w:tc>
          <w:tcPr>
            <w:tcW w:w="278" w:type="pct"/>
            <w:vAlign w:val="center"/>
            <w:hideMark/>
          </w:tcPr>
          <w:p w14:paraId="34365D0E" w14:textId="77777777" w:rsidR="00000000" w:rsidRDefault="003C49E9">
            <w:pPr>
              <w:rPr>
                <w:rFonts w:eastAsia="Times New Roman"/>
                <w:sz w:val="20"/>
                <w:szCs w:val="20"/>
              </w:rPr>
            </w:pPr>
          </w:p>
        </w:tc>
        <w:tc>
          <w:tcPr>
            <w:tcW w:w="50" w:type="pct"/>
            <w:vAlign w:val="center"/>
            <w:hideMark/>
          </w:tcPr>
          <w:p w14:paraId="249CA3CD" w14:textId="77777777" w:rsidR="00000000" w:rsidRDefault="003C49E9">
            <w:pPr>
              <w:rPr>
                <w:rFonts w:eastAsia="Times New Roman"/>
                <w:sz w:val="20"/>
                <w:szCs w:val="20"/>
              </w:rPr>
            </w:pPr>
          </w:p>
        </w:tc>
        <w:tc>
          <w:tcPr>
            <w:tcW w:w="45" w:type="pct"/>
            <w:vAlign w:val="center"/>
            <w:hideMark/>
          </w:tcPr>
          <w:p w14:paraId="2844AE6A" w14:textId="77777777" w:rsidR="00000000" w:rsidRDefault="003C49E9">
            <w:pPr>
              <w:rPr>
                <w:rFonts w:eastAsia="Times New Roman"/>
                <w:sz w:val="20"/>
                <w:szCs w:val="20"/>
              </w:rPr>
            </w:pPr>
          </w:p>
        </w:tc>
        <w:tc>
          <w:tcPr>
            <w:tcW w:w="50" w:type="pct"/>
            <w:vAlign w:val="center"/>
            <w:hideMark/>
          </w:tcPr>
          <w:p w14:paraId="6DE3E229" w14:textId="77777777" w:rsidR="00000000" w:rsidRDefault="003C49E9">
            <w:pPr>
              <w:rPr>
                <w:rFonts w:eastAsia="Times New Roman"/>
                <w:sz w:val="20"/>
                <w:szCs w:val="20"/>
              </w:rPr>
            </w:pPr>
          </w:p>
        </w:tc>
        <w:tc>
          <w:tcPr>
            <w:tcW w:w="315" w:type="pct"/>
            <w:vAlign w:val="center"/>
            <w:hideMark/>
          </w:tcPr>
          <w:p w14:paraId="5A682DF0" w14:textId="77777777" w:rsidR="00000000" w:rsidRDefault="003C49E9">
            <w:pPr>
              <w:rPr>
                <w:rFonts w:eastAsia="Times New Roman"/>
                <w:sz w:val="20"/>
                <w:szCs w:val="20"/>
              </w:rPr>
            </w:pPr>
          </w:p>
        </w:tc>
        <w:tc>
          <w:tcPr>
            <w:tcW w:w="50" w:type="pct"/>
            <w:vAlign w:val="center"/>
            <w:hideMark/>
          </w:tcPr>
          <w:p w14:paraId="69B73184" w14:textId="77777777" w:rsidR="00000000" w:rsidRDefault="003C49E9">
            <w:pPr>
              <w:rPr>
                <w:rFonts w:eastAsia="Times New Roman"/>
                <w:sz w:val="20"/>
                <w:szCs w:val="20"/>
              </w:rPr>
            </w:pPr>
          </w:p>
        </w:tc>
        <w:tc>
          <w:tcPr>
            <w:tcW w:w="45" w:type="pct"/>
            <w:vAlign w:val="center"/>
            <w:hideMark/>
          </w:tcPr>
          <w:p w14:paraId="33F39349" w14:textId="77777777" w:rsidR="00000000" w:rsidRDefault="003C49E9">
            <w:pPr>
              <w:rPr>
                <w:rFonts w:eastAsia="Times New Roman"/>
                <w:sz w:val="20"/>
                <w:szCs w:val="20"/>
              </w:rPr>
            </w:pPr>
          </w:p>
        </w:tc>
        <w:tc>
          <w:tcPr>
            <w:tcW w:w="50" w:type="pct"/>
            <w:vAlign w:val="center"/>
            <w:hideMark/>
          </w:tcPr>
          <w:p w14:paraId="22661470" w14:textId="77777777" w:rsidR="00000000" w:rsidRDefault="003C49E9">
            <w:pPr>
              <w:rPr>
                <w:rFonts w:eastAsia="Times New Roman"/>
                <w:sz w:val="20"/>
                <w:szCs w:val="20"/>
              </w:rPr>
            </w:pPr>
          </w:p>
        </w:tc>
        <w:tc>
          <w:tcPr>
            <w:tcW w:w="314" w:type="pct"/>
            <w:vAlign w:val="center"/>
            <w:hideMark/>
          </w:tcPr>
          <w:p w14:paraId="412ADA04" w14:textId="77777777" w:rsidR="00000000" w:rsidRDefault="003C49E9">
            <w:pPr>
              <w:rPr>
                <w:rFonts w:eastAsia="Times New Roman"/>
                <w:sz w:val="20"/>
                <w:szCs w:val="20"/>
              </w:rPr>
            </w:pPr>
          </w:p>
        </w:tc>
        <w:tc>
          <w:tcPr>
            <w:tcW w:w="50" w:type="pct"/>
            <w:vAlign w:val="center"/>
            <w:hideMark/>
          </w:tcPr>
          <w:p w14:paraId="23FA9050" w14:textId="77777777" w:rsidR="00000000" w:rsidRDefault="003C49E9">
            <w:pPr>
              <w:rPr>
                <w:rFonts w:eastAsia="Times New Roman"/>
                <w:sz w:val="20"/>
                <w:szCs w:val="20"/>
              </w:rPr>
            </w:pPr>
          </w:p>
        </w:tc>
        <w:tc>
          <w:tcPr>
            <w:tcW w:w="45" w:type="pct"/>
            <w:vAlign w:val="center"/>
            <w:hideMark/>
          </w:tcPr>
          <w:p w14:paraId="5E7F2421" w14:textId="77777777" w:rsidR="00000000" w:rsidRDefault="003C49E9">
            <w:pPr>
              <w:rPr>
                <w:rFonts w:eastAsia="Times New Roman"/>
                <w:sz w:val="20"/>
                <w:szCs w:val="20"/>
              </w:rPr>
            </w:pPr>
          </w:p>
        </w:tc>
        <w:tc>
          <w:tcPr>
            <w:tcW w:w="50" w:type="pct"/>
            <w:vAlign w:val="center"/>
            <w:hideMark/>
          </w:tcPr>
          <w:p w14:paraId="4E99E260" w14:textId="77777777" w:rsidR="00000000" w:rsidRDefault="003C49E9">
            <w:pPr>
              <w:rPr>
                <w:rFonts w:eastAsia="Times New Roman"/>
                <w:sz w:val="20"/>
                <w:szCs w:val="20"/>
              </w:rPr>
            </w:pPr>
          </w:p>
        </w:tc>
        <w:tc>
          <w:tcPr>
            <w:tcW w:w="421" w:type="pct"/>
            <w:vAlign w:val="center"/>
            <w:hideMark/>
          </w:tcPr>
          <w:p w14:paraId="008E554B" w14:textId="77777777" w:rsidR="00000000" w:rsidRDefault="003C49E9">
            <w:pPr>
              <w:rPr>
                <w:rFonts w:eastAsia="Times New Roman"/>
                <w:sz w:val="20"/>
                <w:szCs w:val="20"/>
              </w:rPr>
            </w:pPr>
          </w:p>
        </w:tc>
        <w:tc>
          <w:tcPr>
            <w:tcW w:w="50" w:type="pct"/>
            <w:vAlign w:val="center"/>
            <w:hideMark/>
          </w:tcPr>
          <w:p w14:paraId="6F6ADE9B" w14:textId="77777777" w:rsidR="00000000" w:rsidRDefault="003C49E9">
            <w:pPr>
              <w:rPr>
                <w:rFonts w:eastAsia="Times New Roman"/>
                <w:sz w:val="20"/>
                <w:szCs w:val="20"/>
              </w:rPr>
            </w:pPr>
          </w:p>
        </w:tc>
        <w:tc>
          <w:tcPr>
            <w:tcW w:w="45" w:type="pct"/>
            <w:vAlign w:val="center"/>
            <w:hideMark/>
          </w:tcPr>
          <w:p w14:paraId="71EAE1A2" w14:textId="77777777" w:rsidR="00000000" w:rsidRDefault="003C49E9">
            <w:pPr>
              <w:rPr>
                <w:rFonts w:eastAsia="Times New Roman"/>
                <w:sz w:val="20"/>
                <w:szCs w:val="20"/>
              </w:rPr>
            </w:pPr>
          </w:p>
        </w:tc>
        <w:tc>
          <w:tcPr>
            <w:tcW w:w="50" w:type="pct"/>
            <w:vAlign w:val="center"/>
            <w:hideMark/>
          </w:tcPr>
          <w:p w14:paraId="5ADEFCDC" w14:textId="77777777" w:rsidR="00000000" w:rsidRDefault="003C49E9">
            <w:pPr>
              <w:rPr>
                <w:rFonts w:eastAsia="Times New Roman"/>
                <w:sz w:val="20"/>
                <w:szCs w:val="20"/>
              </w:rPr>
            </w:pPr>
          </w:p>
        </w:tc>
        <w:tc>
          <w:tcPr>
            <w:tcW w:w="278" w:type="pct"/>
            <w:vAlign w:val="center"/>
            <w:hideMark/>
          </w:tcPr>
          <w:p w14:paraId="37976B40" w14:textId="77777777" w:rsidR="00000000" w:rsidRDefault="003C49E9">
            <w:pPr>
              <w:rPr>
                <w:rFonts w:eastAsia="Times New Roman"/>
                <w:sz w:val="20"/>
                <w:szCs w:val="20"/>
              </w:rPr>
            </w:pPr>
          </w:p>
        </w:tc>
        <w:tc>
          <w:tcPr>
            <w:tcW w:w="50" w:type="pct"/>
            <w:vAlign w:val="center"/>
            <w:hideMark/>
          </w:tcPr>
          <w:p w14:paraId="46FA3C3C" w14:textId="77777777" w:rsidR="00000000" w:rsidRDefault="003C49E9">
            <w:pPr>
              <w:rPr>
                <w:rFonts w:eastAsia="Times New Roman"/>
                <w:sz w:val="20"/>
                <w:szCs w:val="20"/>
              </w:rPr>
            </w:pPr>
          </w:p>
        </w:tc>
        <w:tc>
          <w:tcPr>
            <w:tcW w:w="45" w:type="pct"/>
            <w:vAlign w:val="center"/>
            <w:hideMark/>
          </w:tcPr>
          <w:p w14:paraId="08E5964D" w14:textId="77777777" w:rsidR="00000000" w:rsidRDefault="003C49E9">
            <w:pPr>
              <w:rPr>
                <w:rFonts w:eastAsia="Times New Roman"/>
                <w:sz w:val="20"/>
                <w:szCs w:val="20"/>
              </w:rPr>
            </w:pPr>
          </w:p>
        </w:tc>
        <w:tc>
          <w:tcPr>
            <w:tcW w:w="50" w:type="pct"/>
            <w:vAlign w:val="center"/>
            <w:hideMark/>
          </w:tcPr>
          <w:p w14:paraId="6AC3CCE8" w14:textId="77777777" w:rsidR="00000000" w:rsidRDefault="003C49E9">
            <w:pPr>
              <w:rPr>
                <w:rFonts w:eastAsia="Times New Roman"/>
                <w:sz w:val="20"/>
                <w:szCs w:val="20"/>
              </w:rPr>
            </w:pPr>
          </w:p>
        </w:tc>
        <w:tc>
          <w:tcPr>
            <w:tcW w:w="321" w:type="pct"/>
            <w:vAlign w:val="center"/>
            <w:hideMark/>
          </w:tcPr>
          <w:p w14:paraId="7498BE50" w14:textId="77777777" w:rsidR="00000000" w:rsidRDefault="003C49E9">
            <w:pPr>
              <w:rPr>
                <w:rFonts w:eastAsia="Times New Roman"/>
                <w:sz w:val="20"/>
                <w:szCs w:val="20"/>
              </w:rPr>
            </w:pPr>
          </w:p>
        </w:tc>
        <w:tc>
          <w:tcPr>
            <w:tcW w:w="50" w:type="pct"/>
            <w:vAlign w:val="center"/>
            <w:hideMark/>
          </w:tcPr>
          <w:p w14:paraId="22CA01B2" w14:textId="77777777" w:rsidR="00000000" w:rsidRDefault="003C49E9">
            <w:pPr>
              <w:rPr>
                <w:rFonts w:eastAsia="Times New Roman"/>
                <w:sz w:val="20"/>
                <w:szCs w:val="20"/>
              </w:rPr>
            </w:pPr>
          </w:p>
        </w:tc>
        <w:tc>
          <w:tcPr>
            <w:tcW w:w="45" w:type="pct"/>
            <w:vAlign w:val="center"/>
            <w:hideMark/>
          </w:tcPr>
          <w:p w14:paraId="3AAFBC3E" w14:textId="77777777" w:rsidR="00000000" w:rsidRDefault="003C49E9">
            <w:pPr>
              <w:rPr>
                <w:rFonts w:eastAsia="Times New Roman"/>
                <w:sz w:val="20"/>
                <w:szCs w:val="20"/>
              </w:rPr>
            </w:pPr>
          </w:p>
        </w:tc>
        <w:tc>
          <w:tcPr>
            <w:tcW w:w="50" w:type="pct"/>
            <w:vAlign w:val="center"/>
            <w:hideMark/>
          </w:tcPr>
          <w:p w14:paraId="02D5614E" w14:textId="77777777" w:rsidR="00000000" w:rsidRDefault="003C49E9">
            <w:pPr>
              <w:rPr>
                <w:rFonts w:eastAsia="Times New Roman"/>
                <w:sz w:val="20"/>
                <w:szCs w:val="20"/>
              </w:rPr>
            </w:pPr>
          </w:p>
        </w:tc>
        <w:tc>
          <w:tcPr>
            <w:tcW w:w="314" w:type="pct"/>
            <w:vAlign w:val="center"/>
            <w:hideMark/>
          </w:tcPr>
          <w:p w14:paraId="4F02AB73" w14:textId="77777777" w:rsidR="00000000" w:rsidRDefault="003C49E9">
            <w:pPr>
              <w:rPr>
                <w:rFonts w:eastAsia="Times New Roman"/>
                <w:sz w:val="20"/>
                <w:szCs w:val="20"/>
              </w:rPr>
            </w:pPr>
          </w:p>
        </w:tc>
        <w:tc>
          <w:tcPr>
            <w:tcW w:w="50" w:type="pct"/>
            <w:vAlign w:val="center"/>
            <w:hideMark/>
          </w:tcPr>
          <w:p w14:paraId="34784AE0" w14:textId="77777777" w:rsidR="00000000" w:rsidRDefault="003C49E9">
            <w:pPr>
              <w:rPr>
                <w:rFonts w:eastAsia="Times New Roman"/>
                <w:sz w:val="20"/>
                <w:szCs w:val="20"/>
              </w:rPr>
            </w:pPr>
          </w:p>
        </w:tc>
        <w:tc>
          <w:tcPr>
            <w:tcW w:w="45" w:type="pct"/>
            <w:vAlign w:val="center"/>
            <w:hideMark/>
          </w:tcPr>
          <w:p w14:paraId="05DD33AB" w14:textId="77777777" w:rsidR="00000000" w:rsidRDefault="003C49E9">
            <w:pPr>
              <w:rPr>
                <w:rFonts w:eastAsia="Times New Roman"/>
                <w:sz w:val="20"/>
                <w:szCs w:val="20"/>
              </w:rPr>
            </w:pPr>
          </w:p>
        </w:tc>
        <w:tc>
          <w:tcPr>
            <w:tcW w:w="50" w:type="pct"/>
            <w:vAlign w:val="center"/>
            <w:hideMark/>
          </w:tcPr>
          <w:p w14:paraId="1213D4C1" w14:textId="77777777" w:rsidR="00000000" w:rsidRDefault="003C49E9">
            <w:pPr>
              <w:rPr>
                <w:rFonts w:eastAsia="Times New Roman"/>
                <w:sz w:val="20"/>
                <w:szCs w:val="20"/>
              </w:rPr>
            </w:pPr>
          </w:p>
        </w:tc>
        <w:tc>
          <w:tcPr>
            <w:tcW w:w="448" w:type="pct"/>
            <w:vAlign w:val="center"/>
            <w:hideMark/>
          </w:tcPr>
          <w:p w14:paraId="1DD5BB58" w14:textId="77777777" w:rsidR="00000000" w:rsidRDefault="003C49E9">
            <w:pPr>
              <w:rPr>
                <w:rFonts w:eastAsia="Times New Roman"/>
                <w:sz w:val="20"/>
                <w:szCs w:val="20"/>
              </w:rPr>
            </w:pPr>
          </w:p>
        </w:tc>
        <w:tc>
          <w:tcPr>
            <w:tcW w:w="50" w:type="pct"/>
            <w:vAlign w:val="center"/>
            <w:hideMark/>
          </w:tcPr>
          <w:p w14:paraId="2B80E088" w14:textId="77777777" w:rsidR="00000000" w:rsidRDefault="003C49E9">
            <w:pPr>
              <w:rPr>
                <w:rFonts w:eastAsia="Times New Roman"/>
                <w:sz w:val="20"/>
                <w:szCs w:val="20"/>
              </w:rPr>
            </w:pPr>
          </w:p>
        </w:tc>
      </w:tr>
      <w:tr w:rsidR="00000000" w14:paraId="65454FE1" w14:textId="77777777">
        <w:trPr>
          <w:trHeight w:val="160"/>
          <w:tblCellSpacing w:w="15" w:type="dxa"/>
        </w:trPr>
        <w:tc>
          <w:tcPr>
            <w:tcW w:w="0" w:type="auto"/>
            <w:vAlign w:val="bottom"/>
            <w:hideMark/>
          </w:tcPr>
          <w:p w14:paraId="521BB5D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C1B4DF3"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0E8A2525" w14:textId="77777777" w:rsidR="00000000" w:rsidRDefault="003C49E9">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June 30</w:t>
            </w:r>
            <w:r>
              <w:rPr>
                <w:b/>
                <w:bCs/>
                <w:sz w:val="16"/>
                <w:szCs w:val="16"/>
              </w:rPr>
              <w:t>,</w:t>
            </w:r>
          </w:p>
        </w:tc>
        <w:tc>
          <w:tcPr>
            <w:tcW w:w="0" w:type="auto"/>
            <w:vAlign w:val="bottom"/>
            <w:hideMark/>
          </w:tcPr>
          <w:p w14:paraId="64BFA2F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6DB526B"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6F59C4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77A101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0C8EFB9"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7A12EC0"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D8B4B7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3DB5074"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2FAA3068" w14:textId="77777777" w:rsidR="00000000" w:rsidRDefault="003C49E9">
            <w:pPr>
              <w:pStyle w:val="a3"/>
              <w:spacing w:before="0" w:beforeAutospacing="0" w:after="0" w:afterAutospacing="0"/>
              <w:jc w:val="center"/>
              <w:rPr>
                <w:sz w:val="16"/>
                <w:szCs w:val="16"/>
              </w:rPr>
            </w:pPr>
            <w:r>
              <w:rPr>
                <w:b/>
                <w:bCs/>
                <w:sz w:val="16"/>
                <w:szCs w:val="16"/>
              </w:rPr>
              <w:t>Six Months</w:t>
            </w:r>
            <w:r>
              <w:rPr>
                <w:b/>
                <w:bCs/>
                <w:sz w:val="16"/>
                <w:szCs w:val="16"/>
              </w:rPr>
              <w:br/>
              <w:t> </w:t>
            </w:r>
            <w:r>
              <w:rPr>
                <w:b/>
                <w:bCs/>
                <w:sz w:val="16"/>
                <w:szCs w:val="16"/>
              </w:rPr>
              <w:t>Ended June 30</w:t>
            </w:r>
            <w:r>
              <w:rPr>
                <w:b/>
                <w:bCs/>
                <w:sz w:val="16"/>
                <w:szCs w:val="16"/>
              </w:rPr>
              <w:t>,</w:t>
            </w:r>
          </w:p>
        </w:tc>
        <w:tc>
          <w:tcPr>
            <w:tcW w:w="0" w:type="auto"/>
            <w:vAlign w:val="bottom"/>
            <w:hideMark/>
          </w:tcPr>
          <w:p w14:paraId="2F0FDD7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EAF4C30"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0A84E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C98BBD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A6A72E1"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0C60AC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898B43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DB4F023" w14:textId="77777777">
        <w:trPr>
          <w:trHeight w:val="160"/>
          <w:tblCellSpacing w:w="15" w:type="dxa"/>
        </w:trPr>
        <w:tc>
          <w:tcPr>
            <w:tcW w:w="0" w:type="auto"/>
            <w:vAlign w:val="bottom"/>
            <w:hideMark/>
          </w:tcPr>
          <w:p w14:paraId="2F165EA7" w14:textId="77777777" w:rsidR="00000000" w:rsidRDefault="003C49E9">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083A0670"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5159B07"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8E9390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63E9BF0"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AF11576"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DD1307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D3C8ADD"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6A80705"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6722104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0D735E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B3ADA84"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1BDDFBBB"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E0EFF7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106C2DFD"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12CF2A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4654C1A"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D256912"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F3CB96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7A13A12"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F3DB157"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4CC9003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6192A5F"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E7B5ECC"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7DF07B3E"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A14B372" w14:textId="77777777">
        <w:trPr>
          <w:trHeight w:val="180"/>
          <w:tblCellSpacing w:w="15" w:type="dxa"/>
        </w:trPr>
        <w:tc>
          <w:tcPr>
            <w:tcW w:w="0" w:type="auto"/>
            <w:vAlign w:val="bottom"/>
            <w:hideMark/>
          </w:tcPr>
          <w:p w14:paraId="716D36DE" w14:textId="77777777" w:rsidR="00000000" w:rsidRDefault="003C49E9">
            <w:pPr>
              <w:pStyle w:val="a3"/>
              <w:spacing w:before="0" w:beforeAutospacing="0" w:after="0" w:afterAutospacing="0"/>
              <w:rPr>
                <w:sz w:val="18"/>
                <w:szCs w:val="18"/>
              </w:rPr>
            </w:pPr>
            <w:r>
              <w:rPr>
                <w:sz w:val="18"/>
                <w:szCs w:val="18"/>
              </w:rPr>
              <w:t>Revenues</w:t>
            </w:r>
            <w:r>
              <w:rPr>
                <w:sz w:val="18"/>
                <w:szCs w:val="18"/>
              </w:rPr>
              <w:t>:</w:t>
            </w:r>
          </w:p>
        </w:tc>
        <w:tc>
          <w:tcPr>
            <w:tcW w:w="0" w:type="auto"/>
            <w:vAlign w:val="bottom"/>
            <w:hideMark/>
          </w:tcPr>
          <w:p w14:paraId="05DEDFC8"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523BBC52"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58B46643"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BC3F554"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47A75AF3"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A590865"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4A40F04"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4E0DDE6"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21ADAB6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E956902"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4EA3C5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91A459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FECF6EB"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50C96445"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59188F2B"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E39583D"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8FADA0E"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6A8BFFE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7E569A9"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57132DF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5D75811"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015A36E8"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7CF914A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A996716" w14:textId="77777777" w:rsidR="00000000" w:rsidRDefault="003C49E9">
            <w:pPr>
              <w:pStyle w:val="a3"/>
              <w:spacing w:before="0" w:beforeAutospacing="0" w:after="0" w:afterAutospacing="0"/>
              <w:rPr>
                <w:sz w:val="18"/>
                <w:szCs w:val="18"/>
              </w:rPr>
            </w:pPr>
            <w:r>
              <w:rPr>
                <w:sz w:val="18"/>
                <w:szCs w:val="18"/>
              </w:rPr>
              <w:t> </w:t>
            </w:r>
          </w:p>
        </w:tc>
      </w:tr>
      <w:tr w:rsidR="00000000" w14:paraId="541958CD" w14:textId="77777777">
        <w:trPr>
          <w:trHeight w:val="180"/>
          <w:tblCellSpacing w:w="15" w:type="dxa"/>
        </w:trPr>
        <w:tc>
          <w:tcPr>
            <w:tcW w:w="0" w:type="auto"/>
            <w:vAlign w:val="bottom"/>
            <w:hideMark/>
          </w:tcPr>
          <w:p w14:paraId="37351161" w14:textId="77777777" w:rsidR="00000000" w:rsidRDefault="003C49E9">
            <w:pPr>
              <w:pStyle w:val="a3"/>
              <w:spacing w:before="0" w:beforeAutospacing="0" w:after="0" w:afterAutospacing="0"/>
              <w:ind w:left="200"/>
              <w:rPr>
                <w:sz w:val="18"/>
                <w:szCs w:val="18"/>
              </w:rPr>
            </w:pPr>
            <w:r>
              <w:rPr>
                <w:sz w:val="18"/>
                <w:szCs w:val="18"/>
              </w:rPr>
              <w:t>Subscriptio</w:t>
            </w:r>
            <w:r>
              <w:rPr>
                <w:sz w:val="18"/>
                <w:szCs w:val="18"/>
              </w:rPr>
              <w:t>n</w:t>
            </w:r>
          </w:p>
        </w:tc>
        <w:tc>
          <w:tcPr>
            <w:tcW w:w="0" w:type="auto"/>
            <w:vAlign w:val="bottom"/>
            <w:hideMark/>
          </w:tcPr>
          <w:p w14:paraId="09E87E7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7489F5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8153C45" w14:textId="77777777" w:rsidR="00000000" w:rsidRDefault="003C49E9">
            <w:pPr>
              <w:pStyle w:val="a3"/>
              <w:spacing w:before="0" w:beforeAutospacing="0" w:after="0" w:afterAutospacing="0"/>
              <w:jc w:val="right"/>
              <w:rPr>
                <w:sz w:val="18"/>
                <w:szCs w:val="18"/>
              </w:rPr>
            </w:pPr>
            <w:r>
              <w:rPr>
                <w:sz w:val="18"/>
                <w:szCs w:val="18"/>
              </w:rPr>
              <w:t>412,40</w:t>
            </w:r>
            <w:r>
              <w:rPr>
                <w:sz w:val="18"/>
                <w:szCs w:val="18"/>
              </w:rPr>
              <w:t>1</w:t>
            </w:r>
          </w:p>
        </w:tc>
        <w:tc>
          <w:tcPr>
            <w:tcW w:w="0" w:type="auto"/>
            <w:noWrap/>
            <w:vAlign w:val="bottom"/>
            <w:hideMark/>
          </w:tcPr>
          <w:p w14:paraId="61B60C57"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004476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F337C60"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5375FCA" w14:textId="77777777" w:rsidR="00000000" w:rsidRDefault="003C49E9">
            <w:pPr>
              <w:pStyle w:val="a3"/>
              <w:spacing w:before="0" w:beforeAutospacing="0" w:after="0" w:afterAutospacing="0"/>
              <w:jc w:val="right"/>
              <w:rPr>
                <w:sz w:val="18"/>
                <w:szCs w:val="18"/>
              </w:rPr>
            </w:pPr>
            <w:r>
              <w:rPr>
                <w:sz w:val="18"/>
                <w:szCs w:val="18"/>
              </w:rPr>
              <w:t>300,42</w:t>
            </w:r>
            <w:r>
              <w:rPr>
                <w:sz w:val="18"/>
                <w:szCs w:val="18"/>
              </w:rPr>
              <w:t>3</w:t>
            </w:r>
          </w:p>
        </w:tc>
        <w:tc>
          <w:tcPr>
            <w:tcW w:w="0" w:type="auto"/>
            <w:noWrap/>
            <w:vAlign w:val="bottom"/>
            <w:hideMark/>
          </w:tcPr>
          <w:p w14:paraId="4862BE52"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F2C25E3"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BB61DA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49B6AC1" w14:textId="77777777" w:rsidR="00000000" w:rsidRDefault="003C49E9">
            <w:pPr>
              <w:pStyle w:val="a3"/>
              <w:spacing w:before="0" w:beforeAutospacing="0" w:after="0" w:afterAutospacing="0"/>
              <w:jc w:val="right"/>
              <w:rPr>
                <w:sz w:val="18"/>
                <w:szCs w:val="18"/>
              </w:rPr>
            </w:pPr>
            <w:r>
              <w:rPr>
                <w:sz w:val="18"/>
                <w:szCs w:val="18"/>
              </w:rPr>
              <w:t>111,97</w:t>
            </w:r>
            <w:r>
              <w:rPr>
                <w:sz w:val="18"/>
                <w:szCs w:val="18"/>
              </w:rPr>
              <w:t>8</w:t>
            </w:r>
          </w:p>
        </w:tc>
        <w:tc>
          <w:tcPr>
            <w:tcW w:w="0" w:type="auto"/>
            <w:noWrap/>
            <w:vAlign w:val="bottom"/>
            <w:hideMark/>
          </w:tcPr>
          <w:p w14:paraId="595B299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95801B1"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045A9B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B8D613E" w14:textId="77777777" w:rsidR="00000000" w:rsidRDefault="003C49E9">
            <w:pPr>
              <w:pStyle w:val="a3"/>
              <w:spacing w:before="0" w:beforeAutospacing="0" w:after="0" w:afterAutospacing="0"/>
              <w:jc w:val="right"/>
              <w:rPr>
                <w:sz w:val="18"/>
                <w:szCs w:val="18"/>
              </w:rPr>
            </w:pPr>
            <w:r>
              <w:rPr>
                <w:sz w:val="18"/>
                <w:szCs w:val="18"/>
              </w:rPr>
              <w:t>3</w:t>
            </w:r>
            <w:r>
              <w:rPr>
                <w:sz w:val="18"/>
                <w:szCs w:val="18"/>
              </w:rPr>
              <w:t>7</w:t>
            </w:r>
          </w:p>
        </w:tc>
        <w:tc>
          <w:tcPr>
            <w:tcW w:w="0" w:type="auto"/>
            <w:noWrap/>
            <w:vAlign w:val="bottom"/>
            <w:hideMark/>
          </w:tcPr>
          <w:p w14:paraId="29D88076"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1C4E8E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A291043"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461A280" w14:textId="77777777" w:rsidR="00000000" w:rsidRDefault="003C49E9">
            <w:pPr>
              <w:pStyle w:val="a3"/>
              <w:spacing w:before="0" w:beforeAutospacing="0" w:after="0" w:afterAutospacing="0"/>
              <w:jc w:val="right"/>
              <w:rPr>
                <w:sz w:val="18"/>
                <w:szCs w:val="18"/>
              </w:rPr>
            </w:pPr>
            <w:r>
              <w:rPr>
                <w:sz w:val="18"/>
                <w:szCs w:val="18"/>
              </w:rPr>
              <w:t>797,35</w:t>
            </w:r>
            <w:r>
              <w:rPr>
                <w:sz w:val="18"/>
                <w:szCs w:val="18"/>
              </w:rPr>
              <w:t>6</w:t>
            </w:r>
          </w:p>
        </w:tc>
        <w:tc>
          <w:tcPr>
            <w:tcW w:w="0" w:type="auto"/>
            <w:noWrap/>
            <w:vAlign w:val="bottom"/>
            <w:hideMark/>
          </w:tcPr>
          <w:p w14:paraId="30A3B8E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3F95CC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069C0A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4105F2B" w14:textId="77777777" w:rsidR="00000000" w:rsidRDefault="003C49E9">
            <w:pPr>
              <w:pStyle w:val="a3"/>
              <w:spacing w:before="0" w:beforeAutospacing="0" w:after="0" w:afterAutospacing="0"/>
              <w:jc w:val="right"/>
              <w:rPr>
                <w:sz w:val="18"/>
                <w:szCs w:val="18"/>
              </w:rPr>
            </w:pPr>
            <w:r>
              <w:rPr>
                <w:sz w:val="18"/>
                <w:szCs w:val="18"/>
              </w:rPr>
              <w:t>570,68</w:t>
            </w:r>
            <w:r>
              <w:rPr>
                <w:sz w:val="18"/>
                <w:szCs w:val="18"/>
              </w:rPr>
              <w:t>6</w:t>
            </w:r>
          </w:p>
        </w:tc>
        <w:tc>
          <w:tcPr>
            <w:tcW w:w="0" w:type="auto"/>
            <w:noWrap/>
            <w:vAlign w:val="bottom"/>
            <w:hideMark/>
          </w:tcPr>
          <w:p w14:paraId="131FDDA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887DC4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F1ABD5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FDE0D11" w14:textId="77777777" w:rsidR="00000000" w:rsidRDefault="003C49E9">
            <w:pPr>
              <w:pStyle w:val="a3"/>
              <w:spacing w:before="0" w:beforeAutospacing="0" w:after="0" w:afterAutospacing="0"/>
              <w:jc w:val="right"/>
              <w:rPr>
                <w:sz w:val="18"/>
                <w:szCs w:val="18"/>
              </w:rPr>
            </w:pPr>
            <w:r>
              <w:rPr>
                <w:sz w:val="18"/>
                <w:szCs w:val="18"/>
              </w:rPr>
              <w:t>226,67</w:t>
            </w:r>
            <w:r>
              <w:rPr>
                <w:sz w:val="18"/>
                <w:szCs w:val="18"/>
              </w:rPr>
              <w:t>0</w:t>
            </w:r>
          </w:p>
        </w:tc>
        <w:tc>
          <w:tcPr>
            <w:tcW w:w="0" w:type="auto"/>
            <w:noWrap/>
            <w:vAlign w:val="bottom"/>
            <w:hideMark/>
          </w:tcPr>
          <w:p w14:paraId="64A81EF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0B7CE4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670712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2B0A679" w14:textId="77777777" w:rsidR="00000000" w:rsidRDefault="003C49E9">
            <w:pPr>
              <w:pStyle w:val="a3"/>
              <w:spacing w:before="0" w:beforeAutospacing="0" w:after="0" w:afterAutospacing="0"/>
              <w:jc w:val="right"/>
              <w:rPr>
                <w:sz w:val="18"/>
                <w:szCs w:val="18"/>
              </w:rPr>
            </w:pPr>
            <w:r>
              <w:rPr>
                <w:sz w:val="18"/>
                <w:szCs w:val="18"/>
              </w:rPr>
              <w:t>4</w:t>
            </w:r>
            <w:r>
              <w:rPr>
                <w:sz w:val="18"/>
                <w:szCs w:val="18"/>
              </w:rPr>
              <w:t>0</w:t>
            </w:r>
          </w:p>
        </w:tc>
        <w:tc>
          <w:tcPr>
            <w:tcW w:w="0" w:type="auto"/>
            <w:noWrap/>
            <w:vAlign w:val="bottom"/>
            <w:hideMark/>
          </w:tcPr>
          <w:p w14:paraId="2DEF6599" w14:textId="77777777" w:rsidR="00000000" w:rsidRDefault="003C49E9">
            <w:pPr>
              <w:pStyle w:val="a3"/>
              <w:spacing w:before="0" w:beforeAutospacing="0" w:after="0" w:afterAutospacing="0"/>
              <w:rPr>
                <w:sz w:val="18"/>
                <w:szCs w:val="18"/>
              </w:rPr>
            </w:pPr>
            <w:r>
              <w:rPr>
                <w:sz w:val="18"/>
                <w:szCs w:val="18"/>
              </w:rPr>
              <w:t>%</w:t>
            </w:r>
          </w:p>
        </w:tc>
      </w:tr>
      <w:tr w:rsidR="00000000" w14:paraId="33DD01A7" w14:textId="77777777">
        <w:trPr>
          <w:trHeight w:val="180"/>
          <w:tblCellSpacing w:w="15" w:type="dxa"/>
        </w:trPr>
        <w:tc>
          <w:tcPr>
            <w:tcW w:w="0" w:type="auto"/>
            <w:vAlign w:val="bottom"/>
            <w:hideMark/>
          </w:tcPr>
          <w:p w14:paraId="6B708F7B" w14:textId="77777777" w:rsidR="00000000" w:rsidRDefault="003C49E9">
            <w:pPr>
              <w:pStyle w:val="a3"/>
              <w:spacing w:before="0" w:beforeAutospacing="0" w:after="0" w:afterAutospacing="0"/>
              <w:ind w:left="200"/>
              <w:rPr>
                <w:sz w:val="18"/>
                <w:szCs w:val="18"/>
              </w:rPr>
            </w:pPr>
            <w:r>
              <w:rPr>
                <w:sz w:val="18"/>
                <w:szCs w:val="18"/>
              </w:rPr>
              <w:t>Professional services and othe</w:t>
            </w:r>
            <w:r>
              <w:rPr>
                <w:sz w:val="18"/>
                <w:szCs w:val="18"/>
              </w:rPr>
              <w:t>r</w:t>
            </w:r>
          </w:p>
        </w:tc>
        <w:tc>
          <w:tcPr>
            <w:tcW w:w="0" w:type="auto"/>
            <w:vAlign w:val="bottom"/>
            <w:hideMark/>
          </w:tcPr>
          <w:p w14:paraId="583D47C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1F8C03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EF2ED05" w14:textId="77777777" w:rsidR="00000000" w:rsidRDefault="003C49E9">
            <w:pPr>
              <w:pStyle w:val="a3"/>
              <w:spacing w:before="0" w:beforeAutospacing="0" w:after="0" w:afterAutospacing="0"/>
              <w:jc w:val="right"/>
              <w:rPr>
                <w:sz w:val="18"/>
                <w:szCs w:val="18"/>
              </w:rPr>
            </w:pPr>
            <w:r>
              <w:rPr>
                <w:sz w:val="18"/>
                <w:szCs w:val="18"/>
              </w:rPr>
              <w:t>9,35</w:t>
            </w:r>
            <w:r>
              <w:rPr>
                <w:sz w:val="18"/>
                <w:szCs w:val="18"/>
              </w:rPr>
              <w:t>4</w:t>
            </w:r>
          </w:p>
        </w:tc>
        <w:tc>
          <w:tcPr>
            <w:tcW w:w="0" w:type="auto"/>
            <w:noWrap/>
            <w:vAlign w:val="bottom"/>
            <w:hideMark/>
          </w:tcPr>
          <w:p w14:paraId="487BE05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35B19E3"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8FD0BF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EC07E76" w14:textId="77777777" w:rsidR="00000000" w:rsidRDefault="003C49E9">
            <w:pPr>
              <w:pStyle w:val="a3"/>
              <w:spacing w:before="0" w:beforeAutospacing="0" w:after="0" w:afterAutospacing="0"/>
              <w:jc w:val="right"/>
              <w:rPr>
                <w:sz w:val="18"/>
                <w:szCs w:val="18"/>
              </w:rPr>
            </w:pPr>
            <w:r>
              <w:rPr>
                <w:sz w:val="18"/>
                <w:szCs w:val="18"/>
              </w:rPr>
              <w:t>10,36</w:t>
            </w:r>
            <w:r>
              <w:rPr>
                <w:sz w:val="18"/>
                <w:szCs w:val="18"/>
              </w:rPr>
              <w:t>5</w:t>
            </w:r>
          </w:p>
        </w:tc>
        <w:tc>
          <w:tcPr>
            <w:tcW w:w="0" w:type="auto"/>
            <w:noWrap/>
            <w:vAlign w:val="bottom"/>
            <w:hideMark/>
          </w:tcPr>
          <w:p w14:paraId="49C0412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F8FFED5"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2301BC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AA67870" w14:textId="77777777" w:rsidR="00000000" w:rsidRDefault="003C49E9">
            <w:pPr>
              <w:pStyle w:val="a3"/>
              <w:spacing w:before="0" w:beforeAutospacing="0" w:after="0" w:afterAutospacing="0"/>
              <w:jc w:val="right"/>
              <w:rPr>
                <w:sz w:val="18"/>
                <w:szCs w:val="18"/>
              </w:rPr>
            </w:pPr>
            <w:r>
              <w:rPr>
                <w:sz w:val="18"/>
                <w:szCs w:val="18"/>
              </w:rPr>
              <w:t>(1,01</w:t>
            </w:r>
            <w:r>
              <w:rPr>
                <w:sz w:val="18"/>
                <w:szCs w:val="18"/>
              </w:rPr>
              <w:t>1</w:t>
            </w:r>
          </w:p>
        </w:tc>
        <w:tc>
          <w:tcPr>
            <w:tcW w:w="0" w:type="auto"/>
            <w:noWrap/>
            <w:vAlign w:val="bottom"/>
            <w:hideMark/>
          </w:tcPr>
          <w:p w14:paraId="2F671DAF"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1EA878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D5D084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513C55B" w14:textId="77777777" w:rsidR="00000000" w:rsidRDefault="003C49E9">
            <w:pPr>
              <w:pStyle w:val="a3"/>
              <w:spacing w:before="0" w:beforeAutospacing="0" w:after="0" w:afterAutospacing="0"/>
              <w:jc w:val="right"/>
              <w:rPr>
                <w:sz w:val="18"/>
                <w:szCs w:val="18"/>
              </w:rPr>
            </w:pPr>
            <w:r>
              <w:rPr>
                <w:sz w:val="18"/>
                <w:szCs w:val="18"/>
              </w:rPr>
              <w:t>(1</w:t>
            </w:r>
            <w:r>
              <w:rPr>
                <w:sz w:val="18"/>
                <w:szCs w:val="18"/>
              </w:rPr>
              <w:t>0</w:t>
            </w:r>
          </w:p>
        </w:tc>
        <w:tc>
          <w:tcPr>
            <w:tcW w:w="0" w:type="auto"/>
            <w:noWrap/>
            <w:vAlign w:val="bottom"/>
            <w:hideMark/>
          </w:tcPr>
          <w:p w14:paraId="5286F459" w14:textId="77777777" w:rsidR="00000000" w:rsidRDefault="003C49E9">
            <w:pPr>
              <w:pStyle w:val="a3"/>
              <w:spacing w:before="0" w:beforeAutospacing="0" w:after="0" w:afterAutospacing="0"/>
              <w:rPr>
                <w:sz w:val="18"/>
                <w:szCs w:val="18"/>
              </w:rPr>
            </w:pPr>
            <w:r>
              <w:rPr>
                <w:sz w:val="18"/>
                <w:szCs w:val="18"/>
              </w:rPr>
              <w:t>)</w:t>
            </w:r>
            <w:r>
              <w:rPr>
                <w:sz w:val="18"/>
                <w:szCs w:val="18"/>
              </w:rPr>
              <w:t>%</w:t>
            </w:r>
          </w:p>
        </w:tc>
        <w:tc>
          <w:tcPr>
            <w:tcW w:w="0" w:type="auto"/>
            <w:vAlign w:val="bottom"/>
            <w:hideMark/>
          </w:tcPr>
          <w:p w14:paraId="1E58CE5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FF037BE"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D975BF3" w14:textId="77777777" w:rsidR="00000000" w:rsidRDefault="003C49E9">
            <w:pPr>
              <w:pStyle w:val="a3"/>
              <w:spacing w:before="0" w:beforeAutospacing="0" w:after="0" w:afterAutospacing="0"/>
              <w:jc w:val="right"/>
              <w:rPr>
                <w:sz w:val="18"/>
                <w:szCs w:val="18"/>
              </w:rPr>
            </w:pPr>
            <w:r>
              <w:rPr>
                <w:sz w:val="18"/>
                <w:szCs w:val="18"/>
              </w:rPr>
              <w:t>19,99</w:t>
            </w:r>
            <w:r>
              <w:rPr>
                <w:sz w:val="18"/>
                <w:szCs w:val="18"/>
              </w:rPr>
              <w:t>8</w:t>
            </w:r>
          </w:p>
        </w:tc>
        <w:tc>
          <w:tcPr>
            <w:tcW w:w="0" w:type="auto"/>
            <w:noWrap/>
            <w:vAlign w:val="bottom"/>
            <w:hideMark/>
          </w:tcPr>
          <w:p w14:paraId="42AF50A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AB59BD6"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4284F0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96CF47F" w14:textId="77777777" w:rsidR="00000000" w:rsidRDefault="003C49E9">
            <w:pPr>
              <w:pStyle w:val="a3"/>
              <w:spacing w:before="0" w:beforeAutospacing="0" w:after="0" w:afterAutospacing="0"/>
              <w:jc w:val="right"/>
              <w:rPr>
                <w:sz w:val="18"/>
                <w:szCs w:val="18"/>
              </w:rPr>
            </w:pPr>
            <w:r>
              <w:rPr>
                <w:sz w:val="18"/>
                <w:szCs w:val="18"/>
              </w:rPr>
              <w:t>21,46</w:t>
            </w:r>
            <w:r>
              <w:rPr>
                <w:sz w:val="18"/>
                <w:szCs w:val="18"/>
              </w:rPr>
              <w:t>7</w:t>
            </w:r>
          </w:p>
        </w:tc>
        <w:tc>
          <w:tcPr>
            <w:tcW w:w="0" w:type="auto"/>
            <w:noWrap/>
            <w:vAlign w:val="bottom"/>
            <w:hideMark/>
          </w:tcPr>
          <w:p w14:paraId="03EC790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1EB4FDE"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B63C11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CF2F668" w14:textId="77777777" w:rsidR="00000000" w:rsidRDefault="003C49E9">
            <w:pPr>
              <w:pStyle w:val="a3"/>
              <w:spacing w:before="0" w:beforeAutospacing="0" w:after="0" w:afterAutospacing="0"/>
              <w:jc w:val="right"/>
              <w:rPr>
                <w:sz w:val="18"/>
                <w:szCs w:val="18"/>
              </w:rPr>
            </w:pPr>
            <w:r>
              <w:rPr>
                <w:sz w:val="18"/>
                <w:szCs w:val="18"/>
              </w:rPr>
              <w:t>(1,46</w:t>
            </w:r>
            <w:r>
              <w:rPr>
                <w:sz w:val="18"/>
                <w:szCs w:val="18"/>
              </w:rPr>
              <w:t>9</w:t>
            </w:r>
          </w:p>
        </w:tc>
        <w:tc>
          <w:tcPr>
            <w:tcW w:w="0" w:type="auto"/>
            <w:noWrap/>
            <w:vAlign w:val="bottom"/>
            <w:hideMark/>
          </w:tcPr>
          <w:p w14:paraId="2FE3BAF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E885EA3"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0A362F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7177537" w14:textId="77777777" w:rsidR="00000000" w:rsidRDefault="003C49E9">
            <w:pPr>
              <w:pStyle w:val="a3"/>
              <w:spacing w:before="0" w:beforeAutospacing="0" w:after="0" w:afterAutospacing="0"/>
              <w:jc w:val="right"/>
              <w:rPr>
                <w:sz w:val="18"/>
                <w:szCs w:val="18"/>
              </w:rPr>
            </w:pPr>
            <w:r>
              <w:rPr>
                <w:sz w:val="18"/>
                <w:szCs w:val="18"/>
              </w:rPr>
              <w:t>(</w:t>
            </w:r>
            <w:r>
              <w:rPr>
                <w:sz w:val="18"/>
                <w:szCs w:val="18"/>
              </w:rPr>
              <w:t>7</w:t>
            </w:r>
          </w:p>
        </w:tc>
        <w:tc>
          <w:tcPr>
            <w:tcW w:w="0" w:type="auto"/>
            <w:noWrap/>
            <w:vAlign w:val="bottom"/>
            <w:hideMark/>
          </w:tcPr>
          <w:p w14:paraId="59F8ABA0" w14:textId="77777777" w:rsidR="00000000" w:rsidRDefault="003C49E9">
            <w:pPr>
              <w:pStyle w:val="a3"/>
              <w:spacing w:before="0" w:beforeAutospacing="0" w:after="0" w:afterAutospacing="0"/>
              <w:rPr>
                <w:sz w:val="18"/>
                <w:szCs w:val="18"/>
              </w:rPr>
            </w:pPr>
            <w:r>
              <w:rPr>
                <w:sz w:val="18"/>
                <w:szCs w:val="18"/>
              </w:rPr>
              <w:t>)</w:t>
            </w:r>
            <w:r>
              <w:rPr>
                <w:sz w:val="18"/>
                <w:szCs w:val="18"/>
              </w:rPr>
              <w:t>%</w:t>
            </w:r>
          </w:p>
        </w:tc>
      </w:tr>
      <w:tr w:rsidR="00000000" w14:paraId="70B73E87" w14:textId="77777777">
        <w:trPr>
          <w:trHeight w:val="180"/>
          <w:tblCellSpacing w:w="15" w:type="dxa"/>
        </w:trPr>
        <w:tc>
          <w:tcPr>
            <w:tcW w:w="0" w:type="auto"/>
            <w:vAlign w:val="bottom"/>
            <w:hideMark/>
          </w:tcPr>
          <w:p w14:paraId="4095260E" w14:textId="77777777" w:rsidR="00000000" w:rsidRDefault="003C49E9">
            <w:pPr>
              <w:pStyle w:val="a3"/>
              <w:spacing w:before="0" w:beforeAutospacing="0" w:after="0" w:afterAutospacing="0"/>
              <w:ind w:left="400"/>
              <w:rPr>
                <w:sz w:val="18"/>
                <w:szCs w:val="18"/>
              </w:rPr>
            </w:pPr>
            <w:r>
              <w:rPr>
                <w:sz w:val="18"/>
                <w:szCs w:val="18"/>
              </w:rPr>
              <w:t>Total revenu</w:t>
            </w:r>
            <w:r>
              <w:rPr>
                <w:sz w:val="18"/>
                <w:szCs w:val="18"/>
              </w:rPr>
              <w:t>e</w:t>
            </w:r>
          </w:p>
        </w:tc>
        <w:tc>
          <w:tcPr>
            <w:tcW w:w="0" w:type="auto"/>
            <w:vAlign w:val="bottom"/>
            <w:hideMark/>
          </w:tcPr>
          <w:p w14:paraId="34E1BE61"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3515A2A"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2FCEFAC" w14:textId="77777777" w:rsidR="00000000" w:rsidRDefault="003C49E9">
            <w:pPr>
              <w:pStyle w:val="a3"/>
              <w:spacing w:before="0" w:beforeAutospacing="0" w:after="0" w:afterAutospacing="0"/>
              <w:jc w:val="right"/>
              <w:rPr>
                <w:sz w:val="18"/>
                <w:szCs w:val="18"/>
              </w:rPr>
            </w:pPr>
            <w:r>
              <w:rPr>
                <w:sz w:val="18"/>
                <w:szCs w:val="18"/>
              </w:rPr>
              <w:t>421,75</w:t>
            </w:r>
            <w:r>
              <w:rPr>
                <w:sz w:val="18"/>
                <w:szCs w:val="18"/>
              </w:rPr>
              <w:t>5</w:t>
            </w:r>
          </w:p>
        </w:tc>
        <w:tc>
          <w:tcPr>
            <w:tcW w:w="0" w:type="auto"/>
            <w:noWrap/>
            <w:vAlign w:val="bottom"/>
            <w:hideMark/>
          </w:tcPr>
          <w:p w14:paraId="6C83815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C0590C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C907969"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D8E9DCA" w14:textId="77777777" w:rsidR="00000000" w:rsidRDefault="003C49E9">
            <w:pPr>
              <w:pStyle w:val="a3"/>
              <w:spacing w:before="0" w:beforeAutospacing="0" w:after="0" w:afterAutospacing="0"/>
              <w:jc w:val="right"/>
              <w:rPr>
                <w:sz w:val="18"/>
                <w:szCs w:val="18"/>
              </w:rPr>
            </w:pPr>
            <w:r>
              <w:rPr>
                <w:sz w:val="18"/>
                <w:szCs w:val="18"/>
              </w:rPr>
              <w:t>310,78</w:t>
            </w:r>
            <w:r>
              <w:rPr>
                <w:sz w:val="18"/>
                <w:szCs w:val="18"/>
              </w:rPr>
              <w:t>8</w:t>
            </w:r>
          </w:p>
        </w:tc>
        <w:tc>
          <w:tcPr>
            <w:tcW w:w="0" w:type="auto"/>
            <w:noWrap/>
            <w:vAlign w:val="bottom"/>
            <w:hideMark/>
          </w:tcPr>
          <w:p w14:paraId="434836C2"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4698B4A"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011756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8D2540D" w14:textId="77777777" w:rsidR="00000000" w:rsidRDefault="003C49E9">
            <w:pPr>
              <w:pStyle w:val="a3"/>
              <w:spacing w:before="0" w:beforeAutospacing="0" w:after="0" w:afterAutospacing="0"/>
              <w:jc w:val="right"/>
              <w:rPr>
                <w:sz w:val="18"/>
                <w:szCs w:val="18"/>
              </w:rPr>
            </w:pPr>
            <w:r>
              <w:rPr>
                <w:sz w:val="18"/>
                <w:szCs w:val="18"/>
              </w:rPr>
              <w:t>110,96</w:t>
            </w:r>
            <w:r>
              <w:rPr>
                <w:sz w:val="18"/>
                <w:szCs w:val="18"/>
              </w:rPr>
              <w:t>7</w:t>
            </w:r>
          </w:p>
        </w:tc>
        <w:tc>
          <w:tcPr>
            <w:tcW w:w="0" w:type="auto"/>
            <w:noWrap/>
            <w:vAlign w:val="bottom"/>
            <w:hideMark/>
          </w:tcPr>
          <w:p w14:paraId="17EF49D2"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1EFC19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5E3E3C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2A61C2A" w14:textId="77777777" w:rsidR="00000000" w:rsidRDefault="003C49E9">
            <w:pPr>
              <w:pStyle w:val="a3"/>
              <w:spacing w:before="0" w:beforeAutospacing="0" w:after="0" w:afterAutospacing="0"/>
              <w:jc w:val="right"/>
              <w:rPr>
                <w:sz w:val="18"/>
                <w:szCs w:val="18"/>
              </w:rPr>
            </w:pPr>
            <w:r>
              <w:rPr>
                <w:sz w:val="18"/>
                <w:szCs w:val="18"/>
              </w:rPr>
              <w:t>3</w:t>
            </w:r>
            <w:r>
              <w:rPr>
                <w:sz w:val="18"/>
                <w:szCs w:val="18"/>
              </w:rPr>
              <w:t>6</w:t>
            </w:r>
          </w:p>
        </w:tc>
        <w:tc>
          <w:tcPr>
            <w:tcW w:w="0" w:type="auto"/>
            <w:noWrap/>
            <w:vAlign w:val="bottom"/>
            <w:hideMark/>
          </w:tcPr>
          <w:p w14:paraId="79934D33"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305847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5B82C5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589CE4A" w14:textId="77777777" w:rsidR="00000000" w:rsidRDefault="003C49E9">
            <w:pPr>
              <w:pStyle w:val="a3"/>
              <w:spacing w:before="0" w:beforeAutospacing="0" w:after="0" w:afterAutospacing="0"/>
              <w:jc w:val="right"/>
              <w:rPr>
                <w:sz w:val="18"/>
                <w:szCs w:val="18"/>
              </w:rPr>
            </w:pPr>
            <w:r>
              <w:rPr>
                <w:sz w:val="18"/>
                <w:szCs w:val="18"/>
              </w:rPr>
              <w:t>817,35</w:t>
            </w:r>
            <w:r>
              <w:rPr>
                <w:sz w:val="18"/>
                <w:szCs w:val="18"/>
              </w:rPr>
              <w:t>4</w:t>
            </w:r>
          </w:p>
        </w:tc>
        <w:tc>
          <w:tcPr>
            <w:tcW w:w="0" w:type="auto"/>
            <w:noWrap/>
            <w:vAlign w:val="bottom"/>
            <w:hideMark/>
          </w:tcPr>
          <w:p w14:paraId="32BBA7B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41D6E6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821EA6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829F145" w14:textId="77777777" w:rsidR="00000000" w:rsidRDefault="003C49E9">
            <w:pPr>
              <w:pStyle w:val="a3"/>
              <w:spacing w:before="0" w:beforeAutospacing="0" w:after="0" w:afterAutospacing="0"/>
              <w:jc w:val="right"/>
              <w:rPr>
                <w:sz w:val="18"/>
                <w:szCs w:val="18"/>
              </w:rPr>
            </w:pPr>
            <w:r>
              <w:rPr>
                <w:sz w:val="18"/>
                <w:szCs w:val="18"/>
              </w:rPr>
              <w:t>592,15</w:t>
            </w:r>
            <w:r>
              <w:rPr>
                <w:sz w:val="18"/>
                <w:szCs w:val="18"/>
              </w:rPr>
              <w:t>3</w:t>
            </w:r>
          </w:p>
        </w:tc>
        <w:tc>
          <w:tcPr>
            <w:tcW w:w="0" w:type="auto"/>
            <w:noWrap/>
            <w:vAlign w:val="bottom"/>
            <w:hideMark/>
          </w:tcPr>
          <w:p w14:paraId="6C19AFF7"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080970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02E005E"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FD0EB6C" w14:textId="77777777" w:rsidR="00000000" w:rsidRDefault="003C49E9">
            <w:pPr>
              <w:pStyle w:val="a3"/>
              <w:spacing w:before="0" w:beforeAutospacing="0" w:after="0" w:afterAutospacing="0"/>
              <w:jc w:val="right"/>
              <w:rPr>
                <w:sz w:val="18"/>
                <w:szCs w:val="18"/>
              </w:rPr>
            </w:pPr>
            <w:r>
              <w:rPr>
                <w:sz w:val="18"/>
                <w:szCs w:val="18"/>
              </w:rPr>
              <w:t>225,20</w:t>
            </w:r>
            <w:r>
              <w:rPr>
                <w:sz w:val="18"/>
                <w:szCs w:val="18"/>
              </w:rPr>
              <w:t>1</w:t>
            </w:r>
          </w:p>
        </w:tc>
        <w:tc>
          <w:tcPr>
            <w:tcW w:w="0" w:type="auto"/>
            <w:noWrap/>
            <w:vAlign w:val="bottom"/>
            <w:hideMark/>
          </w:tcPr>
          <w:p w14:paraId="5CE4367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A0A883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117772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C43B5BE" w14:textId="77777777" w:rsidR="00000000" w:rsidRDefault="003C49E9">
            <w:pPr>
              <w:pStyle w:val="a3"/>
              <w:spacing w:before="0" w:beforeAutospacing="0" w:after="0" w:afterAutospacing="0"/>
              <w:jc w:val="right"/>
              <w:rPr>
                <w:sz w:val="18"/>
                <w:szCs w:val="18"/>
              </w:rPr>
            </w:pPr>
            <w:r>
              <w:rPr>
                <w:sz w:val="18"/>
                <w:szCs w:val="18"/>
              </w:rPr>
              <w:t>3</w:t>
            </w:r>
            <w:r>
              <w:rPr>
                <w:sz w:val="18"/>
                <w:szCs w:val="18"/>
              </w:rPr>
              <w:t>8</w:t>
            </w:r>
          </w:p>
        </w:tc>
        <w:tc>
          <w:tcPr>
            <w:tcW w:w="0" w:type="auto"/>
            <w:noWrap/>
            <w:vAlign w:val="bottom"/>
            <w:hideMark/>
          </w:tcPr>
          <w:p w14:paraId="0C9FFCF0" w14:textId="77777777" w:rsidR="00000000" w:rsidRDefault="003C49E9">
            <w:pPr>
              <w:pStyle w:val="a3"/>
              <w:spacing w:before="0" w:beforeAutospacing="0" w:after="0" w:afterAutospacing="0"/>
              <w:rPr>
                <w:sz w:val="18"/>
                <w:szCs w:val="18"/>
              </w:rPr>
            </w:pPr>
            <w:r>
              <w:rPr>
                <w:sz w:val="18"/>
                <w:szCs w:val="18"/>
              </w:rPr>
              <w:t>%</w:t>
            </w:r>
          </w:p>
        </w:tc>
      </w:tr>
    </w:tbl>
    <w:p w14:paraId="40E6BBDA"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6EC168F1" w14:textId="77777777" w:rsidR="00000000" w:rsidRDefault="003C49E9">
      <w:pPr>
        <w:pStyle w:val="a3"/>
        <w:spacing w:before="200" w:beforeAutospacing="0" w:after="0" w:afterAutospacing="0"/>
        <w:ind w:firstLine="555"/>
        <w:rPr>
          <w:sz w:val="20"/>
          <w:szCs w:val="20"/>
        </w:rPr>
      </w:pPr>
      <w:r>
        <w:rPr>
          <w:sz w:val="20"/>
          <w:szCs w:val="20"/>
        </w:rPr>
        <w:t>Subscription revenue increased during the three months ended June 30, 2022 compared to the same period in 2021 primarily due to the increase in Customers, which grew from 121,048 as of June 30, 2021 to 150,865 as of June 30, 2022. Average Subscription Reve</w:t>
      </w:r>
      <w:r>
        <w:rPr>
          <w:sz w:val="20"/>
          <w:szCs w:val="20"/>
        </w:rPr>
        <w:t xml:space="preserve">nue per Customer increased from $10,198 for the three months ended June 30, 2021 to $11,198 for the three months ended June 30, 2022. The growth in Customers was primarily driven by our increased sales representative capacity to meet market demand as well </w:t>
      </w:r>
      <w:r>
        <w:rPr>
          <w:sz w:val="20"/>
          <w:szCs w:val="20"/>
        </w:rPr>
        <w:t>a continued demand for our CRM Platform. The increase in Average Subscription Revenue per Customer was primarily driven by a continued demand for our Professional and Enterprise products, product upgrades by existing customers and impact from customer mix,</w:t>
      </w:r>
      <w:r>
        <w:rPr>
          <w:sz w:val="20"/>
          <w:szCs w:val="20"/>
        </w:rPr>
        <w:t xml:space="preserve"> offset by the impact of foreign currency translations primarily attributable to the decline in the value of the Euro relative to the U.S. Dollar</w:t>
      </w:r>
      <w:r>
        <w:rPr>
          <w:sz w:val="20"/>
          <w:szCs w:val="20"/>
        </w:rPr>
        <w:t>.</w:t>
      </w:r>
      <w:r>
        <w:rPr>
          <w:sz w:val="20"/>
          <w:szCs w:val="20"/>
        </w:rPr>
        <w:t xml:space="preserve"> </w:t>
      </w:r>
    </w:p>
    <w:p w14:paraId="0CE3E216" w14:textId="77777777" w:rsidR="00000000" w:rsidRDefault="003C49E9">
      <w:pPr>
        <w:pStyle w:val="a3"/>
        <w:spacing w:before="200" w:beforeAutospacing="0" w:after="0" w:afterAutospacing="0"/>
        <w:ind w:firstLine="555"/>
        <w:rPr>
          <w:sz w:val="20"/>
          <w:szCs w:val="20"/>
        </w:rPr>
      </w:pPr>
      <w:r>
        <w:rPr>
          <w:sz w:val="20"/>
          <w:szCs w:val="20"/>
        </w:rPr>
        <w:t>Professional services and other revenue decreased during the three months ended June 30, 2022 compared to th</w:t>
      </w:r>
      <w:r>
        <w:rPr>
          <w:sz w:val="20"/>
          <w:szCs w:val="20"/>
        </w:rPr>
        <w:t xml:space="preserve">e same period in 2021 primarily due to lower overall services revenue from onboardings and trainings, and lower fees earned from revenue share arrangements with third parties, partially offset by fees earned from Payments and other revenue streams. </w:t>
      </w:r>
      <w:r>
        <w:rPr>
          <w:sz w:val="20"/>
          <w:szCs w:val="20"/>
        </w:rPr>
        <w:br/>
      </w:r>
      <w:r>
        <w:rPr>
          <w:sz w:val="20"/>
          <w:szCs w:val="20"/>
        </w:rPr>
        <w:br/>
      </w:r>
      <w:r>
        <w:rPr>
          <w:sz w:val="20"/>
          <w:szCs w:val="20"/>
        </w:rPr>
        <w:br/>
      </w:r>
      <w:r>
        <w:rPr>
          <w:sz w:val="20"/>
          <w:szCs w:val="20"/>
        </w:rPr>
        <w:t> </w:t>
      </w:r>
    </w:p>
    <w:p w14:paraId="1D651546" w14:textId="77777777" w:rsidR="00000000" w:rsidRDefault="003C49E9">
      <w:pPr>
        <w:pStyle w:val="a3"/>
        <w:spacing w:before="200" w:beforeAutospacing="0" w:after="0" w:afterAutospacing="0"/>
        <w:ind w:firstLine="555"/>
        <w:rPr>
          <w:sz w:val="20"/>
          <w:szCs w:val="20"/>
        </w:rPr>
      </w:pPr>
      <w:r>
        <w:rPr>
          <w:i/>
          <w:iCs/>
          <w:sz w:val="20"/>
          <w:szCs w:val="20"/>
          <w:u w:val="single"/>
        </w:rPr>
        <w:t>Si</w:t>
      </w:r>
      <w:r>
        <w:rPr>
          <w:i/>
          <w:iCs/>
          <w:sz w:val="20"/>
          <w:szCs w:val="20"/>
          <w:u w:val="single"/>
        </w:rPr>
        <w:t>x month chang</w:t>
      </w:r>
      <w:r>
        <w:rPr>
          <w:i/>
          <w:iCs/>
          <w:sz w:val="20"/>
          <w:szCs w:val="20"/>
          <w:u w:val="single"/>
        </w:rPr>
        <w:t>e</w:t>
      </w:r>
    </w:p>
    <w:p w14:paraId="49EDE982" w14:textId="77777777" w:rsidR="00000000" w:rsidRDefault="003C49E9">
      <w:pPr>
        <w:pStyle w:val="a3"/>
        <w:spacing w:before="200" w:beforeAutospacing="0" w:after="0" w:afterAutospacing="0"/>
        <w:ind w:firstLine="555"/>
        <w:rPr>
          <w:sz w:val="20"/>
          <w:szCs w:val="20"/>
        </w:rPr>
      </w:pPr>
      <w:r>
        <w:rPr>
          <w:sz w:val="20"/>
          <w:szCs w:val="20"/>
        </w:rPr>
        <w:t>Subscription revenue increased during the three months ended June 30, 2022 compared to the same period in 2021 primarily due to the increase in Customers, which grew from 121,048 as of June 30, 2021 to 150,865 as of June 30, 2022. Average Su</w:t>
      </w:r>
      <w:r>
        <w:rPr>
          <w:sz w:val="20"/>
          <w:szCs w:val="20"/>
        </w:rPr>
        <w:t>bscription Revenue per Customer increased from $10,111 for the six months ended June 30, 2021 to $11,137 for the six months ended June 30, 2022. The growth in Customers was primarily driven by our increased sales representative capacity to meet market dema</w:t>
      </w:r>
      <w:r>
        <w:rPr>
          <w:sz w:val="20"/>
          <w:szCs w:val="20"/>
        </w:rPr>
        <w:t>nd as well a continued demand for our CRM Platform. The increase in Average Subscription Revenue per Customer was primarily driven by a continued demand for our Professional and Enterprise products, product upgrades by existing customers and impact from cu</w:t>
      </w:r>
      <w:r>
        <w:rPr>
          <w:sz w:val="20"/>
          <w:szCs w:val="20"/>
        </w:rPr>
        <w:t>stomer mix, offset by the impact of foreign currency translations primarily attributable to the decline in the value of the Euro relative to the U.S. Dollar</w:t>
      </w:r>
      <w:r>
        <w:rPr>
          <w:sz w:val="20"/>
          <w:szCs w:val="20"/>
        </w:rPr>
        <w:t>.</w:t>
      </w:r>
      <w:r>
        <w:rPr>
          <w:sz w:val="20"/>
          <w:szCs w:val="20"/>
        </w:rPr>
        <w:t xml:space="preserve"> </w:t>
      </w:r>
    </w:p>
    <w:p w14:paraId="4723FA37" w14:textId="77777777" w:rsidR="00000000" w:rsidRDefault="003C49E9">
      <w:pPr>
        <w:pStyle w:val="a3"/>
        <w:spacing w:before="200" w:beforeAutospacing="0" w:after="0" w:afterAutospacing="0"/>
        <w:ind w:firstLine="555"/>
        <w:rPr>
          <w:sz w:val="20"/>
          <w:szCs w:val="20"/>
        </w:rPr>
      </w:pPr>
      <w:r>
        <w:rPr>
          <w:sz w:val="20"/>
          <w:szCs w:val="20"/>
        </w:rPr>
        <w:t>Professional services and other revenue decreased during the six months ended June 30, 2022 compa</w:t>
      </w:r>
      <w:r>
        <w:rPr>
          <w:sz w:val="20"/>
          <w:szCs w:val="20"/>
        </w:rPr>
        <w:t>red to the same period in 2021 primarily due to non-recurring advertising revenue generated from our acquisition of the Hustle in the first quarter of 2021, lower overall services revenue from onboardings and trainings, and lower fees earned from revenue s</w:t>
      </w:r>
      <w:r>
        <w:rPr>
          <w:sz w:val="20"/>
          <w:szCs w:val="20"/>
        </w:rPr>
        <w:t>hare arrangements with third parties, partially offset by fees earned from Payments and other revenue streams</w:t>
      </w:r>
      <w:r>
        <w:rPr>
          <w:sz w:val="20"/>
          <w:szCs w:val="20"/>
        </w:rPr>
        <w:t>.</w:t>
      </w:r>
    </w:p>
    <w:p w14:paraId="4A42EF97" w14:textId="77777777" w:rsidR="00000000" w:rsidRDefault="003C49E9">
      <w:pPr>
        <w:pStyle w:val="a3"/>
        <w:spacing w:before="200" w:beforeAutospacing="0" w:after="0" w:afterAutospacing="0"/>
        <w:ind w:firstLine="555"/>
        <w:rPr>
          <w:sz w:val="20"/>
          <w:szCs w:val="20"/>
        </w:rPr>
      </w:pPr>
      <w:r>
        <w:rPr>
          <w:b/>
          <w:bCs/>
          <w:i/>
          <w:iCs/>
          <w:sz w:val="20"/>
          <w:szCs w:val="20"/>
        </w:rPr>
        <w:t>Cost of Revenue, Gross Profit and Gross Margin Percentage</w:t>
      </w:r>
      <w:r>
        <w:rPr>
          <w:b/>
          <w:bCs/>
          <w:i/>
          <w:iCs/>
          <w:sz w:val="20"/>
          <w:szCs w:val="20"/>
        </w:rPr>
        <w:t xml:space="preserve"> </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5"/>
        <w:gridCol w:w="105"/>
        <w:gridCol w:w="150"/>
        <w:gridCol w:w="645"/>
        <w:gridCol w:w="210"/>
        <w:gridCol w:w="105"/>
        <w:gridCol w:w="150"/>
        <w:gridCol w:w="645"/>
        <w:gridCol w:w="210"/>
        <w:gridCol w:w="105"/>
        <w:gridCol w:w="150"/>
        <w:gridCol w:w="555"/>
        <w:gridCol w:w="105"/>
        <w:gridCol w:w="105"/>
        <w:gridCol w:w="106"/>
        <w:gridCol w:w="495"/>
        <w:gridCol w:w="210"/>
        <w:gridCol w:w="105"/>
        <w:gridCol w:w="150"/>
        <w:gridCol w:w="645"/>
        <w:gridCol w:w="210"/>
        <w:gridCol w:w="105"/>
        <w:gridCol w:w="150"/>
        <w:gridCol w:w="645"/>
        <w:gridCol w:w="210"/>
        <w:gridCol w:w="105"/>
        <w:gridCol w:w="150"/>
        <w:gridCol w:w="645"/>
        <w:gridCol w:w="105"/>
        <w:gridCol w:w="105"/>
        <w:gridCol w:w="106"/>
        <w:gridCol w:w="501"/>
        <w:gridCol w:w="225"/>
      </w:tblGrid>
      <w:tr w:rsidR="00000000" w14:paraId="517625C1" w14:textId="77777777">
        <w:trPr>
          <w:tblCellSpacing w:w="15" w:type="dxa"/>
        </w:trPr>
        <w:tc>
          <w:tcPr>
            <w:tcW w:w="888" w:type="pct"/>
            <w:vAlign w:val="center"/>
            <w:hideMark/>
          </w:tcPr>
          <w:p w14:paraId="04EE4502" w14:textId="77777777" w:rsidR="00000000" w:rsidRDefault="003C49E9">
            <w:pPr>
              <w:rPr>
                <w:sz w:val="20"/>
                <w:szCs w:val="20"/>
              </w:rPr>
            </w:pPr>
          </w:p>
        </w:tc>
        <w:tc>
          <w:tcPr>
            <w:tcW w:w="44" w:type="pct"/>
            <w:vAlign w:val="center"/>
            <w:hideMark/>
          </w:tcPr>
          <w:p w14:paraId="43DA0656" w14:textId="77777777" w:rsidR="00000000" w:rsidRDefault="003C49E9">
            <w:pPr>
              <w:rPr>
                <w:rFonts w:eastAsia="Times New Roman"/>
                <w:sz w:val="20"/>
                <w:szCs w:val="20"/>
              </w:rPr>
            </w:pPr>
          </w:p>
        </w:tc>
        <w:tc>
          <w:tcPr>
            <w:tcW w:w="50" w:type="pct"/>
            <w:vAlign w:val="center"/>
            <w:hideMark/>
          </w:tcPr>
          <w:p w14:paraId="1E31FC51" w14:textId="77777777" w:rsidR="00000000" w:rsidRDefault="003C49E9">
            <w:pPr>
              <w:rPr>
                <w:rFonts w:eastAsia="Times New Roman"/>
                <w:sz w:val="20"/>
                <w:szCs w:val="20"/>
              </w:rPr>
            </w:pPr>
          </w:p>
        </w:tc>
        <w:tc>
          <w:tcPr>
            <w:tcW w:w="412" w:type="pct"/>
            <w:vAlign w:val="center"/>
            <w:hideMark/>
          </w:tcPr>
          <w:p w14:paraId="7EA9788D" w14:textId="77777777" w:rsidR="00000000" w:rsidRDefault="003C49E9">
            <w:pPr>
              <w:rPr>
                <w:rFonts w:eastAsia="Times New Roman"/>
                <w:sz w:val="20"/>
                <w:szCs w:val="20"/>
              </w:rPr>
            </w:pPr>
          </w:p>
        </w:tc>
        <w:tc>
          <w:tcPr>
            <w:tcW w:w="50" w:type="pct"/>
            <w:vAlign w:val="center"/>
            <w:hideMark/>
          </w:tcPr>
          <w:p w14:paraId="4682C437" w14:textId="77777777" w:rsidR="00000000" w:rsidRDefault="003C49E9">
            <w:pPr>
              <w:rPr>
                <w:rFonts w:eastAsia="Times New Roman"/>
                <w:sz w:val="20"/>
                <w:szCs w:val="20"/>
              </w:rPr>
            </w:pPr>
          </w:p>
        </w:tc>
        <w:tc>
          <w:tcPr>
            <w:tcW w:w="44" w:type="pct"/>
            <w:vAlign w:val="center"/>
            <w:hideMark/>
          </w:tcPr>
          <w:p w14:paraId="21AE49B9" w14:textId="77777777" w:rsidR="00000000" w:rsidRDefault="003C49E9">
            <w:pPr>
              <w:rPr>
                <w:rFonts w:eastAsia="Times New Roman"/>
                <w:sz w:val="20"/>
                <w:szCs w:val="20"/>
              </w:rPr>
            </w:pPr>
          </w:p>
        </w:tc>
        <w:tc>
          <w:tcPr>
            <w:tcW w:w="50" w:type="pct"/>
            <w:vAlign w:val="center"/>
            <w:hideMark/>
          </w:tcPr>
          <w:p w14:paraId="364F0C95" w14:textId="77777777" w:rsidR="00000000" w:rsidRDefault="003C49E9">
            <w:pPr>
              <w:rPr>
                <w:rFonts w:eastAsia="Times New Roman"/>
                <w:sz w:val="20"/>
                <w:szCs w:val="20"/>
              </w:rPr>
            </w:pPr>
          </w:p>
        </w:tc>
        <w:tc>
          <w:tcPr>
            <w:tcW w:w="355" w:type="pct"/>
            <w:vAlign w:val="center"/>
            <w:hideMark/>
          </w:tcPr>
          <w:p w14:paraId="11A289D2" w14:textId="77777777" w:rsidR="00000000" w:rsidRDefault="003C49E9">
            <w:pPr>
              <w:rPr>
                <w:rFonts w:eastAsia="Times New Roman"/>
                <w:sz w:val="20"/>
                <w:szCs w:val="20"/>
              </w:rPr>
            </w:pPr>
          </w:p>
        </w:tc>
        <w:tc>
          <w:tcPr>
            <w:tcW w:w="50" w:type="pct"/>
            <w:vAlign w:val="center"/>
            <w:hideMark/>
          </w:tcPr>
          <w:p w14:paraId="238E0107" w14:textId="77777777" w:rsidR="00000000" w:rsidRDefault="003C49E9">
            <w:pPr>
              <w:rPr>
                <w:rFonts w:eastAsia="Times New Roman"/>
                <w:sz w:val="20"/>
                <w:szCs w:val="20"/>
              </w:rPr>
            </w:pPr>
          </w:p>
        </w:tc>
        <w:tc>
          <w:tcPr>
            <w:tcW w:w="44" w:type="pct"/>
            <w:vAlign w:val="center"/>
            <w:hideMark/>
          </w:tcPr>
          <w:p w14:paraId="19CA24D0" w14:textId="77777777" w:rsidR="00000000" w:rsidRDefault="003C49E9">
            <w:pPr>
              <w:rPr>
                <w:rFonts w:eastAsia="Times New Roman"/>
                <w:sz w:val="20"/>
                <w:szCs w:val="20"/>
              </w:rPr>
            </w:pPr>
          </w:p>
        </w:tc>
        <w:tc>
          <w:tcPr>
            <w:tcW w:w="50" w:type="pct"/>
            <w:vAlign w:val="center"/>
            <w:hideMark/>
          </w:tcPr>
          <w:p w14:paraId="7AF30D09" w14:textId="77777777" w:rsidR="00000000" w:rsidRDefault="003C49E9">
            <w:pPr>
              <w:rPr>
                <w:rFonts w:eastAsia="Times New Roman"/>
                <w:sz w:val="20"/>
                <w:szCs w:val="20"/>
              </w:rPr>
            </w:pPr>
          </w:p>
        </w:tc>
        <w:tc>
          <w:tcPr>
            <w:tcW w:w="322" w:type="pct"/>
            <w:vAlign w:val="center"/>
            <w:hideMark/>
          </w:tcPr>
          <w:p w14:paraId="59480B6D" w14:textId="77777777" w:rsidR="00000000" w:rsidRDefault="003C49E9">
            <w:pPr>
              <w:rPr>
                <w:rFonts w:eastAsia="Times New Roman"/>
                <w:sz w:val="20"/>
                <w:szCs w:val="20"/>
              </w:rPr>
            </w:pPr>
          </w:p>
        </w:tc>
        <w:tc>
          <w:tcPr>
            <w:tcW w:w="50" w:type="pct"/>
            <w:vAlign w:val="center"/>
            <w:hideMark/>
          </w:tcPr>
          <w:p w14:paraId="3BEB49DC" w14:textId="77777777" w:rsidR="00000000" w:rsidRDefault="003C49E9">
            <w:pPr>
              <w:rPr>
                <w:rFonts w:eastAsia="Times New Roman"/>
                <w:sz w:val="20"/>
                <w:szCs w:val="20"/>
              </w:rPr>
            </w:pPr>
          </w:p>
        </w:tc>
        <w:tc>
          <w:tcPr>
            <w:tcW w:w="44" w:type="pct"/>
            <w:vAlign w:val="center"/>
            <w:hideMark/>
          </w:tcPr>
          <w:p w14:paraId="4C7D6107" w14:textId="77777777" w:rsidR="00000000" w:rsidRDefault="003C49E9">
            <w:pPr>
              <w:rPr>
                <w:rFonts w:eastAsia="Times New Roman"/>
                <w:sz w:val="20"/>
                <w:szCs w:val="20"/>
              </w:rPr>
            </w:pPr>
          </w:p>
        </w:tc>
        <w:tc>
          <w:tcPr>
            <w:tcW w:w="50" w:type="pct"/>
            <w:vAlign w:val="center"/>
            <w:hideMark/>
          </w:tcPr>
          <w:p w14:paraId="010016CC" w14:textId="77777777" w:rsidR="00000000" w:rsidRDefault="003C49E9">
            <w:pPr>
              <w:rPr>
                <w:rFonts w:eastAsia="Times New Roman"/>
                <w:sz w:val="20"/>
                <w:szCs w:val="20"/>
              </w:rPr>
            </w:pPr>
          </w:p>
        </w:tc>
        <w:tc>
          <w:tcPr>
            <w:tcW w:w="389" w:type="pct"/>
            <w:vAlign w:val="center"/>
            <w:hideMark/>
          </w:tcPr>
          <w:p w14:paraId="7B774DFF" w14:textId="77777777" w:rsidR="00000000" w:rsidRDefault="003C49E9">
            <w:pPr>
              <w:rPr>
                <w:rFonts w:eastAsia="Times New Roman"/>
                <w:sz w:val="20"/>
                <w:szCs w:val="20"/>
              </w:rPr>
            </w:pPr>
          </w:p>
        </w:tc>
        <w:tc>
          <w:tcPr>
            <w:tcW w:w="50" w:type="pct"/>
            <w:vAlign w:val="center"/>
            <w:hideMark/>
          </w:tcPr>
          <w:p w14:paraId="2AF83131" w14:textId="77777777" w:rsidR="00000000" w:rsidRDefault="003C49E9">
            <w:pPr>
              <w:rPr>
                <w:rFonts w:eastAsia="Times New Roman"/>
                <w:sz w:val="20"/>
                <w:szCs w:val="20"/>
              </w:rPr>
            </w:pPr>
          </w:p>
        </w:tc>
        <w:tc>
          <w:tcPr>
            <w:tcW w:w="44" w:type="pct"/>
            <w:vAlign w:val="center"/>
            <w:hideMark/>
          </w:tcPr>
          <w:p w14:paraId="0E83E611" w14:textId="77777777" w:rsidR="00000000" w:rsidRDefault="003C49E9">
            <w:pPr>
              <w:rPr>
                <w:rFonts w:eastAsia="Times New Roman"/>
                <w:sz w:val="20"/>
                <w:szCs w:val="20"/>
              </w:rPr>
            </w:pPr>
          </w:p>
        </w:tc>
        <w:tc>
          <w:tcPr>
            <w:tcW w:w="50" w:type="pct"/>
            <w:vAlign w:val="center"/>
            <w:hideMark/>
          </w:tcPr>
          <w:p w14:paraId="751DD5AA" w14:textId="77777777" w:rsidR="00000000" w:rsidRDefault="003C49E9">
            <w:pPr>
              <w:rPr>
                <w:rFonts w:eastAsia="Times New Roman"/>
                <w:sz w:val="20"/>
                <w:szCs w:val="20"/>
              </w:rPr>
            </w:pPr>
          </w:p>
        </w:tc>
        <w:tc>
          <w:tcPr>
            <w:tcW w:w="353" w:type="pct"/>
            <w:vAlign w:val="center"/>
            <w:hideMark/>
          </w:tcPr>
          <w:p w14:paraId="149AE381" w14:textId="77777777" w:rsidR="00000000" w:rsidRDefault="003C49E9">
            <w:pPr>
              <w:rPr>
                <w:rFonts w:eastAsia="Times New Roman"/>
                <w:sz w:val="20"/>
                <w:szCs w:val="20"/>
              </w:rPr>
            </w:pPr>
          </w:p>
        </w:tc>
        <w:tc>
          <w:tcPr>
            <w:tcW w:w="50" w:type="pct"/>
            <w:vAlign w:val="center"/>
            <w:hideMark/>
          </w:tcPr>
          <w:p w14:paraId="15169260" w14:textId="77777777" w:rsidR="00000000" w:rsidRDefault="003C49E9">
            <w:pPr>
              <w:rPr>
                <w:rFonts w:eastAsia="Times New Roman"/>
                <w:sz w:val="20"/>
                <w:szCs w:val="20"/>
              </w:rPr>
            </w:pPr>
          </w:p>
        </w:tc>
        <w:tc>
          <w:tcPr>
            <w:tcW w:w="44" w:type="pct"/>
            <w:vAlign w:val="center"/>
            <w:hideMark/>
          </w:tcPr>
          <w:p w14:paraId="1DFA1D6E" w14:textId="77777777" w:rsidR="00000000" w:rsidRDefault="003C49E9">
            <w:pPr>
              <w:rPr>
                <w:rFonts w:eastAsia="Times New Roman"/>
                <w:sz w:val="20"/>
                <w:szCs w:val="20"/>
              </w:rPr>
            </w:pPr>
          </w:p>
        </w:tc>
        <w:tc>
          <w:tcPr>
            <w:tcW w:w="50" w:type="pct"/>
            <w:vAlign w:val="center"/>
            <w:hideMark/>
          </w:tcPr>
          <w:p w14:paraId="1F47D36A" w14:textId="77777777" w:rsidR="00000000" w:rsidRDefault="003C49E9">
            <w:pPr>
              <w:rPr>
                <w:rFonts w:eastAsia="Times New Roman"/>
                <w:sz w:val="20"/>
                <w:szCs w:val="20"/>
              </w:rPr>
            </w:pPr>
          </w:p>
        </w:tc>
        <w:tc>
          <w:tcPr>
            <w:tcW w:w="355" w:type="pct"/>
            <w:vAlign w:val="center"/>
            <w:hideMark/>
          </w:tcPr>
          <w:p w14:paraId="218643CE" w14:textId="77777777" w:rsidR="00000000" w:rsidRDefault="003C49E9">
            <w:pPr>
              <w:rPr>
                <w:rFonts w:eastAsia="Times New Roman"/>
                <w:sz w:val="20"/>
                <w:szCs w:val="20"/>
              </w:rPr>
            </w:pPr>
          </w:p>
        </w:tc>
        <w:tc>
          <w:tcPr>
            <w:tcW w:w="50" w:type="pct"/>
            <w:vAlign w:val="center"/>
            <w:hideMark/>
          </w:tcPr>
          <w:p w14:paraId="36E3F573" w14:textId="77777777" w:rsidR="00000000" w:rsidRDefault="003C49E9">
            <w:pPr>
              <w:rPr>
                <w:rFonts w:eastAsia="Times New Roman"/>
                <w:sz w:val="20"/>
                <w:szCs w:val="20"/>
              </w:rPr>
            </w:pPr>
          </w:p>
        </w:tc>
        <w:tc>
          <w:tcPr>
            <w:tcW w:w="44" w:type="pct"/>
            <w:vAlign w:val="center"/>
            <w:hideMark/>
          </w:tcPr>
          <w:p w14:paraId="624C1EC8" w14:textId="77777777" w:rsidR="00000000" w:rsidRDefault="003C49E9">
            <w:pPr>
              <w:rPr>
                <w:rFonts w:eastAsia="Times New Roman"/>
                <w:sz w:val="20"/>
                <w:szCs w:val="20"/>
              </w:rPr>
            </w:pPr>
          </w:p>
        </w:tc>
        <w:tc>
          <w:tcPr>
            <w:tcW w:w="50" w:type="pct"/>
            <w:vAlign w:val="center"/>
            <w:hideMark/>
          </w:tcPr>
          <w:p w14:paraId="1D45CEFA" w14:textId="77777777" w:rsidR="00000000" w:rsidRDefault="003C49E9">
            <w:pPr>
              <w:rPr>
                <w:rFonts w:eastAsia="Times New Roman"/>
                <w:sz w:val="20"/>
                <w:szCs w:val="20"/>
              </w:rPr>
            </w:pPr>
          </w:p>
        </w:tc>
        <w:tc>
          <w:tcPr>
            <w:tcW w:w="324" w:type="pct"/>
            <w:vAlign w:val="center"/>
            <w:hideMark/>
          </w:tcPr>
          <w:p w14:paraId="1A220B03" w14:textId="77777777" w:rsidR="00000000" w:rsidRDefault="003C49E9">
            <w:pPr>
              <w:rPr>
                <w:rFonts w:eastAsia="Times New Roman"/>
                <w:sz w:val="20"/>
                <w:szCs w:val="20"/>
              </w:rPr>
            </w:pPr>
          </w:p>
        </w:tc>
        <w:tc>
          <w:tcPr>
            <w:tcW w:w="50" w:type="pct"/>
            <w:vAlign w:val="center"/>
            <w:hideMark/>
          </w:tcPr>
          <w:p w14:paraId="270D42CA" w14:textId="77777777" w:rsidR="00000000" w:rsidRDefault="003C49E9">
            <w:pPr>
              <w:rPr>
                <w:rFonts w:eastAsia="Times New Roman"/>
                <w:sz w:val="20"/>
                <w:szCs w:val="20"/>
              </w:rPr>
            </w:pPr>
          </w:p>
        </w:tc>
        <w:tc>
          <w:tcPr>
            <w:tcW w:w="44" w:type="pct"/>
            <w:vAlign w:val="center"/>
            <w:hideMark/>
          </w:tcPr>
          <w:p w14:paraId="42C80AE9" w14:textId="77777777" w:rsidR="00000000" w:rsidRDefault="003C49E9">
            <w:pPr>
              <w:rPr>
                <w:rFonts w:eastAsia="Times New Roman"/>
                <w:sz w:val="20"/>
                <w:szCs w:val="20"/>
              </w:rPr>
            </w:pPr>
          </w:p>
        </w:tc>
        <w:tc>
          <w:tcPr>
            <w:tcW w:w="50" w:type="pct"/>
            <w:vAlign w:val="center"/>
            <w:hideMark/>
          </w:tcPr>
          <w:p w14:paraId="0F576A15" w14:textId="77777777" w:rsidR="00000000" w:rsidRDefault="003C49E9">
            <w:pPr>
              <w:rPr>
                <w:rFonts w:eastAsia="Times New Roman"/>
                <w:sz w:val="20"/>
                <w:szCs w:val="20"/>
              </w:rPr>
            </w:pPr>
          </w:p>
        </w:tc>
        <w:tc>
          <w:tcPr>
            <w:tcW w:w="438" w:type="pct"/>
            <w:vAlign w:val="center"/>
            <w:hideMark/>
          </w:tcPr>
          <w:p w14:paraId="278D6E83" w14:textId="77777777" w:rsidR="00000000" w:rsidRDefault="003C49E9">
            <w:pPr>
              <w:rPr>
                <w:rFonts w:eastAsia="Times New Roman"/>
                <w:sz w:val="20"/>
                <w:szCs w:val="20"/>
              </w:rPr>
            </w:pPr>
          </w:p>
        </w:tc>
        <w:tc>
          <w:tcPr>
            <w:tcW w:w="50" w:type="pct"/>
            <w:vAlign w:val="center"/>
            <w:hideMark/>
          </w:tcPr>
          <w:p w14:paraId="77D56AFB" w14:textId="77777777" w:rsidR="00000000" w:rsidRDefault="003C49E9">
            <w:pPr>
              <w:rPr>
                <w:rFonts w:eastAsia="Times New Roman"/>
                <w:sz w:val="20"/>
                <w:szCs w:val="20"/>
              </w:rPr>
            </w:pPr>
          </w:p>
        </w:tc>
      </w:tr>
      <w:tr w:rsidR="00000000" w14:paraId="4C3FBA6B" w14:textId="77777777">
        <w:trPr>
          <w:trHeight w:val="160"/>
          <w:tblCellSpacing w:w="15" w:type="dxa"/>
        </w:trPr>
        <w:tc>
          <w:tcPr>
            <w:tcW w:w="0" w:type="auto"/>
            <w:vAlign w:val="bottom"/>
            <w:hideMark/>
          </w:tcPr>
          <w:p w14:paraId="3C933FA5"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7FD714F"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0F0D1C5" w14:textId="77777777" w:rsidR="00000000" w:rsidRDefault="003C49E9">
            <w:pPr>
              <w:pStyle w:val="a3"/>
              <w:spacing w:before="0" w:beforeAutospacing="0" w:after="0" w:afterAutospacing="0"/>
              <w:jc w:val="center"/>
              <w:rPr>
                <w:sz w:val="16"/>
                <w:szCs w:val="16"/>
              </w:rPr>
            </w:pPr>
            <w:r>
              <w:rPr>
                <w:b/>
                <w:bCs/>
                <w:sz w:val="16"/>
                <w:szCs w:val="16"/>
              </w:rPr>
              <w:t xml:space="preserve">Three Months </w:t>
            </w:r>
            <w:r>
              <w:rPr>
                <w:b/>
                <w:bCs/>
                <w:sz w:val="16"/>
                <w:szCs w:val="16"/>
              </w:rPr>
              <w:br/>
              <w:t> Ended June 30</w:t>
            </w:r>
            <w:r>
              <w:rPr>
                <w:b/>
                <w:bCs/>
                <w:sz w:val="16"/>
                <w:szCs w:val="16"/>
              </w:rPr>
              <w:t>,</w:t>
            </w:r>
          </w:p>
        </w:tc>
        <w:tc>
          <w:tcPr>
            <w:tcW w:w="0" w:type="auto"/>
            <w:vAlign w:val="bottom"/>
            <w:hideMark/>
          </w:tcPr>
          <w:p w14:paraId="41AC45F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904CE94"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875BFF0"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8510831"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7B42DD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650976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CCD50F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BA8DC70"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181DAF6C" w14:textId="77777777" w:rsidR="00000000" w:rsidRDefault="003C49E9">
            <w:pPr>
              <w:pStyle w:val="a3"/>
              <w:spacing w:before="0" w:beforeAutospacing="0" w:after="0" w:afterAutospacing="0"/>
              <w:jc w:val="center"/>
              <w:rPr>
                <w:sz w:val="16"/>
                <w:szCs w:val="16"/>
              </w:rPr>
            </w:pPr>
            <w:r>
              <w:rPr>
                <w:b/>
                <w:bCs/>
                <w:sz w:val="16"/>
                <w:szCs w:val="16"/>
              </w:rPr>
              <w:t>Six Months</w:t>
            </w:r>
            <w:r>
              <w:rPr>
                <w:b/>
                <w:bCs/>
                <w:sz w:val="16"/>
                <w:szCs w:val="16"/>
              </w:rPr>
              <w:br/>
              <w:t> Ended June 30</w:t>
            </w:r>
            <w:r>
              <w:rPr>
                <w:b/>
                <w:bCs/>
                <w:sz w:val="16"/>
                <w:szCs w:val="16"/>
              </w:rPr>
              <w:t>,</w:t>
            </w:r>
          </w:p>
        </w:tc>
        <w:tc>
          <w:tcPr>
            <w:tcW w:w="0" w:type="auto"/>
            <w:vAlign w:val="bottom"/>
            <w:hideMark/>
          </w:tcPr>
          <w:p w14:paraId="45DF8A1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BC1759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7C9D90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597EF4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0C476A7"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C08AD0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3E39109"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021B03E" w14:textId="77777777">
        <w:trPr>
          <w:trHeight w:val="160"/>
          <w:tblCellSpacing w:w="15" w:type="dxa"/>
        </w:trPr>
        <w:tc>
          <w:tcPr>
            <w:tcW w:w="0" w:type="auto"/>
            <w:vAlign w:val="bottom"/>
            <w:hideMark/>
          </w:tcPr>
          <w:p w14:paraId="43DF84E5" w14:textId="77777777" w:rsidR="00000000" w:rsidRDefault="003C49E9">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14:paraId="70FA1FDA"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6A4E628"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F1E5F0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B3068DC"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B33872D"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2D5BF95"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D23A918"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C1AE220"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4E61A863"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385B1BD"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B0055FD"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26EF7279"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B076233"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54F1AFC"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6CB3B4A"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DAE8EED"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CADFC7A"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9BBC13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52EF4BB7"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138A04B"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346A3DE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AD5ACE5"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256AF33" w14:textId="77777777" w:rsidR="00000000" w:rsidRDefault="003C49E9">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728C017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1ECF4A8" w14:textId="77777777">
        <w:trPr>
          <w:trHeight w:val="180"/>
          <w:tblCellSpacing w:w="15" w:type="dxa"/>
        </w:trPr>
        <w:tc>
          <w:tcPr>
            <w:tcW w:w="0" w:type="auto"/>
            <w:vAlign w:val="bottom"/>
            <w:hideMark/>
          </w:tcPr>
          <w:p w14:paraId="2772E502" w14:textId="77777777" w:rsidR="00000000" w:rsidRDefault="003C49E9">
            <w:pPr>
              <w:pStyle w:val="a3"/>
              <w:spacing w:before="0" w:beforeAutospacing="0" w:after="0" w:afterAutospacing="0"/>
              <w:rPr>
                <w:sz w:val="18"/>
                <w:szCs w:val="18"/>
              </w:rPr>
            </w:pPr>
            <w:r>
              <w:rPr>
                <w:sz w:val="18"/>
                <w:szCs w:val="18"/>
              </w:rPr>
              <w:t>Total cost of revenu</w:t>
            </w:r>
            <w:r>
              <w:rPr>
                <w:sz w:val="18"/>
                <w:szCs w:val="18"/>
              </w:rPr>
              <w:t>e</w:t>
            </w:r>
          </w:p>
        </w:tc>
        <w:tc>
          <w:tcPr>
            <w:tcW w:w="0" w:type="auto"/>
            <w:vAlign w:val="bottom"/>
            <w:hideMark/>
          </w:tcPr>
          <w:p w14:paraId="7DC8573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9C5D662"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5BE3084" w14:textId="77777777" w:rsidR="00000000" w:rsidRDefault="003C49E9">
            <w:pPr>
              <w:pStyle w:val="a3"/>
              <w:spacing w:before="0" w:beforeAutospacing="0" w:after="0" w:afterAutospacing="0"/>
              <w:jc w:val="right"/>
              <w:rPr>
                <w:sz w:val="18"/>
                <w:szCs w:val="18"/>
              </w:rPr>
            </w:pPr>
            <w:r>
              <w:rPr>
                <w:sz w:val="18"/>
                <w:szCs w:val="18"/>
              </w:rPr>
              <w:t>78,93</w:t>
            </w:r>
            <w:r>
              <w:rPr>
                <w:sz w:val="18"/>
                <w:szCs w:val="18"/>
              </w:rPr>
              <w:t>1</w:t>
            </w:r>
          </w:p>
        </w:tc>
        <w:tc>
          <w:tcPr>
            <w:tcW w:w="0" w:type="auto"/>
            <w:noWrap/>
            <w:vAlign w:val="bottom"/>
            <w:hideMark/>
          </w:tcPr>
          <w:p w14:paraId="6C57F34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51D7F0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7A00AD6"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1CC89E9" w14:textId="77777777" w:rsidR="00000000" w:rsidRDefault="003C49E9">
            <w:pPr>
              <w:pStyle w:val="a3"/>
              <w:spacing w:before="0" w:beforeAutospacing="0" w:after="0" w:afterAutospacing="0"/>
              <w:jc w:val="right"/>
              <w:rPr>
                <w:sz w:val="18"/>
                <w:szCs w:val="18"/>
              </w:rPr>
            </w:pPr>
            <w:r>
              <w:rPr>
                <w:sz w:val="18"/>
                <w:szCs w:val="18"/>
              </w:rPr>
              <w:t>62,87</w:t>
            </w:r>
            <w:r>
              <w:rPr>
                <w:sz w:val="18"/>
                <w:szCs w:val="18"/>
              </w:rPr>
              <w:t>7</w:t>
            </w:r>
          </w:p>
        </w:tc>
        <w:tc>
          <w:tcPr>
            <w:tcW w:w="0" w:type="auto"/>
            <w:noWrap/>
            <w:vAlign w:val="bottom"/>
            <w:hideMark/>
          </w:tcPr>
          <w:p w14:paraId="0ED3852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3A77338"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29FC0D9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5A19F43" w14:textId="77777777" w:rsidR="00000000" w:rsidRDefault="003C49E9">
            <w:pPr>
              <w:pStyle w:val="a3"/>
              <w:spacing w:before="0" w:beforeAutospacing="0" w:after="0" w:afterAutospacing="0"/>
              <w:jc w:val="right"/>
              <w:rPr>
                <w:sz w:val="18"/>
                <w:szCs w:val="18"/>
              </w:rPr>
            </w:pPr>
            <w:r>
              <w:rPr>
                <w:sz w:val="18"/>
                <w:szCs w:val="18"/>
              </w:rPr>
              <w:t>16,05</w:t>
            </w:r>
            <w:r>
              <w:rPr>
                <w:sz w:val="18"/>
                <w:szCs w:val="18"/>
              </w:rPr>
              <w:t>4</w:t>
            </w:r>
          </w:p>
        </w:tc>
        <w:tc>
          <w:tcPr>
            <w:tcW w:w="0" w:type="auto"/>
            <w:noWrap/>
            <w:vAlign w:val="bottom"/>
            <w:hideMark/>
          </w:tcPr>
          <w:p w14:paraId="6467A587"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746243A"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8E8AC6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12A8B1C" w14:textId="77777777" w:rsidR="00000000" w:rsidRDefault="003C49E9">
            <w:pPr>
              <w:pStyle w:val="a3"/>
              <w:spacing w:before="0" w:beforeAutospacing="0" w:after="0" w:afterAutospacing="0"/>
              <w:jc w:val="right"/>
              <w:rPr>
                <w:sz w:val="18"/>
                <w:szCs w:val="18"/>
              </w:rPr>
            </w:pPr>
            <w:r>
              <w:rPr>
                <w:sz w:val="18"/>
                <w:szCs w:val="18"/>
              </w:rPr>
              <w:t>2</w:t>
            </w:r>
            <w:r>
              <w:rPr>
                <w:sz w:val="18"/>
                <w:szCs w:val="18"/>
              </w:rPr>
              <w:t>6</w:t>
            </w:r>
          </w:p>
        </w:tc>
        <w:tc>
          <w:tcPr>
            <w:tcW w:w="0" w:type="auto"/>
            <w:noWrap/>
            <w:vAlign w:val="bottom"/>
            <w:hideMark/>
          </w:tcPr>
          <w:p w14:paraId="0827AB02"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4D82CB0"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24374849"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7DCE52B" w14:textId="77777777" w:rsidR="00000000" w:rsidRDefault="003C49E9">
            <w:pPr>
              <w:pStyle w:val="a3"/>
              <w:spacing w:before="0" w:beforeAutospacing="0" w:after="0" w:afterAutospacing="0"/>
              <w:jc w:val="right"/>
              <w:rPr>
                <w:sz w:val="18"/>
                <w:szCs w:val="18"/>
              </w:rPr>
            </w:pPr>
            <w:r>
              <w:rPr>
                <w:sz w:val="18"/>
                <w:szCs w:val="18"/>
              </w:rPr>
              <w:t>151,86</w:t>
            </w:r>
            <w:r>
              <w:rPr>
                <w:sz w:val="18"/>
                <w:szCs w:val="18"/>
              </w:rPr>
              <w:t>9</w:t>
            </w:r>
          </w:p>
        </w:tc>
        <w:tc>
          <w:tcPr>
            <w:tcW w:w="0" w:type="auto"/>
            <w:noWrap/>
            <w:vAlign w:val="bottom"/>
            <w:hideMark/>
          </w:tcPr>
          <w:p w14:paraId="70509BD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F77F68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838738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8B4D284" w14:textId="77777777" w:rsidR="00000000" w:rsidRDefault="003C49E9">
            <w:pPr>
              <w:pStyle w:val="a3"/>
              <w:spacing w:before="0" w:beforeAutospacing="0" w:after="0" w:afterAutospacing="0"/>
              <w:jc w:val="right"/>
              <w:rPr>
                <w:sz w:val="18"/>
                <w:szCs w:val="18"/>
              </w:rPr>
            </w:pPr>
            <w:r>
              <w:rPr>
                <w:sz w:val="18"/>
                <w:szCs w:val="18"/>
              </w:rPr>
              <w:t>117,61</w:t>
            </w:r>
            <w:r>
              <w:rPr>
                <w:sz w:val="18"/>
                <w:szCs w:val="18"/>
              </w:rPr>
              <w:t>1</w:t>
            </w:r>
          </w:p>
        </w:tc>
        <w:tc>
          <w:tcPr>
            <w:tcW w:w="0" w:type="auto"/>
            <w:noWrap/>
            <w:vAlign w:val="bottom"/>
            <w:hideMark/>
          </w:tcPr>
          <w:p w14:paraId="5BFCEEF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16756F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480EDA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12A9715" w14:textId="77777777" w:rsidR="00000000" w:rsidRDefault="003C49E9">
            <w:pPr>
              <w:pStyle w:val="a3"/>
              <w:spacing w:before="0" w:beforeAutospacing="0" w:after="0" w:afterAutospacing="0"/>
              <w:jc w:val="right"/>
              <w:rPr>
                <w:sz w:val="18"/>
                <w:szCs w:val="18"/>
              </w:rPr>
            </w:pPr>
            <w:r>
              <w:rPr>
                <w:sz w:val="18"/>
                <w:szCs w:val="18"/>
              </w:rPr>
              <w:t>34,25</w:t>
            </w:r>
            <w:r>
              <w:rPr>
                <w:sz w:val="18"/>
                <w:szCs w:val="18"/>
              </w:rPr>
              <w:t>8</w:t>
            </w:r>
          </w:p>
        </w:tc>
        <w:tc>
          <w:tcPr>
            <w:tcW w:w="0" w:type="auto"/>
            <w:noWrap/>
            <w:vAlign w:val="bottom"/>
            <w:hideMark/>
          </w:tcPr>
          <w:p w14:paraId="79F2D1E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36C4E0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CF9858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B8588E8" w14:textId="77777777" w:rsidR="00000000" w:rsidRDefault="003C49E9">
            <w:pPr>
              <w:pStyle w:val="a3"/>
              <w:spacing w:before="0" w:beforeAutospacing="0" w:after="0" w:afterAutospacing="0"/>
              <w:jc w:val="right"/>
              <w:rPr>
                <w:sz w:val="18"/>
                <w:szCs w:val="18"/>
              </w:rPr>
            </w:pPr>
            <w:r>
              <w:rPr>
                <w:sz w:val="18"/>
                <w:szCs w:val="18"/>
              </w:rPr>
              <w:t>2</w:t>
            </w:r>
            <w:r>
              <w:rPr>
                <w:sz w:val="18"/>
                <w:szCs w:val="18"/>
              </w:rPr>
              <w:t>9</w:t>
            </w:r>
          </w:p>
        </w:tc>
        <w:tc>
          <w:tcPr>
            <w:tcW w:w="0" w:type="auto"/>
            <w:noWrap/>
            <w:vAlign w:val="bottom"/>
            <w:hideMark/>
          </w:tcPr>
          <w:p w14:paraId="3CE1EA79" w14:textId="77777777" w:rsidR="00000000" w:rsidRDefault="003C49E9">
            <w:pPr>
              <w:pStyle w:val="a3"/>
              <w:spacing w:before="0" w:beforeAutospacing="0" w:after="0" w:afterAutospacing="0"/>
              <w:rPr>
                <w:sz w:val="18"/>
                <w:szCs w:val="18"/>
              </w:rPr>
            </w:pPr>
            <w:r>
              <w:rPr>
                <w:sz w:val="18"/>
                <w:szCs w:val="18"/>
              </w:rPr>
              <w:t>%</w:t>
            </w:r>
          </w:p>
        </w:tc>
      </w:tr>
      <w:tr w:rsidR="00000000" w14:paraId="18813009" w14:textId="77777777">
        <w:trPr>
          <w:trHeight w:val="180"/>
          <w:tblCellSpacing w:w="15" w:type="dxa"/>
        </w:trPr>
        <w:tc>
          <w:tcPr>
            <w:tcW w:w="0" w:type="auto"/>
            <w:vAlign w:val="bottom"/>
            <w:hideMark/>
          </w:tcPr>
          <w:p w14:paraId="3A729C8F" w14:textId="77777777" w:rsidR="00000000" w:rsidRDefault="003C49E9">
            <w:pPr>
              <w:pStyle w:val="a3"/>
              <w:spacing w:before="0" w:beforeAutospacing="0" w:after="0" w:afterAutospacing="0"/>
              <w:rPr>
                <w:sz w:val="18"/>
                <w:szCs w:val="18"/>
              </w:rPr>
            </w:pPr>
            <w:r>
              <w:rPr>
                <w:sz w:val="18"/>
                <w:szCs w:val="18"/>
              </w:rPr>
              <w:t>Gross profi</w:t>
            </w:r>
            <w:r>
              <w:rPr>
                <w:sz w:val="18"/>
                <w:szCs w:val="18"/>
              </w:rPr>
              <w:t>t</w:t>
            </w:r>
          </w:p>
        </w:tc>
        <w:tc>
          <w:tcPr>
            <w:tcW w:w="0" w:type="auto"/>
            <w:vAlign w:val="bottom"/>
            <w:hideMark/>
          </w:tcPr>
          <w:p w14:paraId="59ECF76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2DB57D8"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3C5F33A" w14:textId="77777777" w:rsidR="00000000" w:rsidRDefault="003C49E9">
            <w:pPr>
              <w:pStyle w:val="a3"/>
              <w:spacing w:before="0" w:beforeAutospacing="0" w:after="0" w:afterAutospacing="0"/>
              <w:jc w:val="right"/>
              <w:rPr>
                <w:sz w:val="18"/>
                <w:szCs w:val="18"/>
              </w:rPr>
            </w:pPr>
            <w:r>
              <w:rPr>
                <w:sz w:val="18"/>
                <w:szCs w:val="18"/>
              </w:rPr>
              <w:t>342,82</w:t>
            </w:r>
            <w:r>
              <w:rPr>
                <w:sz w:val="18"/>
                <w:szCs w:val="18"/>
              </w:rPr>
              <w:t>4</w:t>
            </w:r>
          </w:p>
        </w:tc>
        <w:tc>
          <w:tcPr>
            <w:tcW w:w="0" w:type="auto"/>
            <w:noWrap/>
            <w:vAlign w:val="bottom"/>
            <w:hideMark/>
          </w:tcPr>
          <w:p w14:paraId="3C10D85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D48DE31"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1F80F46A"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12D4EAA" w14:textId="77777777" w:rsidR="00000000" w:rsidRDefault="003C49E9">
            <w:pPr>
              <w:pStyle w:val="a3"/>
              <w:spacing w:before="0" w:beforeAutospacing="0" w:after="0" w:afterAutospacing="0"/>
              <w:jc w:val="right"/>
              <w:rPr>
                <w:sz w:val="18"/>
                <w:szCs w:val="18"/>
              </w:rPr>
            </w:pPr>
            <w:r>
              <w:rPr>
                <w:sz w:val="18"/>
                <w:szCs w:val="18"/>
              </w:rPr>
              <w:t>247,91</w:t>
            </w:r>
            <w:r>
              <w:rPr>
                <w:sz w:val="18"/>
                <w:szCs w:val="18"/>
              </w:rPr>
              <w:t>1</w:t>
            </w:r>
          </w:p>
        </w:tc>
        <w:tc>
          <w:tcPr>
            <w:tcW w:w="0" w:type="auto"/>
            <w:noWrap/>
            <w:vAlign w:val="bottom"/>
            <w:hideMark/>
          </w:tcPr>
          <w:p w14:paraId="322FA687"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914498E"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4A56B57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B7D3B46" w14:textId="77777777" w:rsidR="00000000" w:rsidRDefault="003C49E9">
            <w:pPr>
              <w:pStyle w:val="a3"/>
              <w:spacing w:before="0" w:beforeAutospacing="0" w:after="0" w:afterAutospacing="0"/>
              <w:jc w:val="right"/>
              <w:rPr>
                <w:sz w:val="18"/>
                <w:szCs w:val="18"/>
              </w:rPr>
            </w:pPr>
            <w:r>
              <w:rPr>
                <w:sz w:val="18"/>
                <w:szCs w:val="18"/>
              </w:rPr>
              <w:t>94,91</w:t>
            </w:r>
            <w:r>
              <w:rPr>
                <w:sz w:val="18"/>
                <w:szCs w:val="18"/>
              </w:rPr>
              <w:t>3</w:t>
            </w:r>
          </w:p>
        </w:tc>
        <w:tc>
          <w:tcPr>
            <w:tcW w:w="0" w:type="auto"/>
            <w:noWrap/>
            <w:vAlign w:val="bottom"/>
            <w:hideMark/>
          </w:tcPr>
          <w:p w14:paraId="0E57D57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AA59CA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E76E19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1B96FE4" w14:textId="77777777" w:rsidR="00000000" w:rsidRDefault="003C49E9">
            <w:pPr>
              <w:pStyle w:val="a3"/>
              <w:spacing w:before="0" w:beforeAutospacing="0" w:after="0" w:afterAutospacing="0"/>
              <w:jc w:val="right"/>
              <w:rPr>
                <w:sz w:val="18"/>
                <w:szCs w:val="18"/>
              </w:rPr>
            </w:pPr>
            <w:r>
              <w:rPr>
                <w:sz w:val="18"/>
                <w:szCs w:val="18"/>
              </w:rPr>
              <w:t>3</w:t>
            </w:r>
            <w:r>
              <w:rPr>
                <w:sz w:val="18"/>
                <w:szCs w:val="18"/>
              </w:rPr>
              <w:t>8</w:t>
            </w:r>
          </w:p>
        </w:tc>
        <w:tc>
          <w:tcPr>
            <w:tcW w:w="0" w:type="auto"/>
            <w:noWrap/>
            <w:vAlign w:val="bottom"/>
            <w:hideMark/>
          </w:tcPr>
          <w:p w14:paraId="5206585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877EBA1"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0B975A28"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86A5BC4" w14:textId="77777777" w:rsidR="00000000" w:rsidRDefault="003C49E9">
            <w:pPr>
              <w:pStyle w:val="a3"/>
              <w:spacing w:before="0" w:beforeAutospacing="0" w:after="0" w:afterAutospacing="0"/>
              <w:jc w:val="right"/>
              <w:rPr>
                <w:sz w:val="18"/>
                <w:szCs w:val="18"/>
              </w:rPr>
            </w:pPr>
            <w:r>
              <w:rPr>
                <w:sz w:val="18"/>
                <w:szCs w:val="18"/>
              </w:rPr>
              <w:t>665,48</w:t>
            </w:r>
            <w:r>
              <w:rPr>
                <w:sz w:val="18"/>
                <w:szCs w:val="18"/>
              </w:rPr>
              <w:t>5</w:t>
            </w:r>
          </w:p>
        </w:tc>
        <w:tc>
          <w:tcPr>
            <w:tcW w:w="0" w:type="auto"/>
            <w:noWrap/>
            <w:vAlign w:val="bottom"/>
            <w:hideMark/>
          </w:tcPr>
          <w:p w14:paraId="334F40A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26F0C7A"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93E495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59037BE" w14:textId="77777777" w:rsidR="00000000" w:rsidRDefault="003C49E9">
            <w:pPr>
              <w:pStyle w:val="a3"/>
              <w:spacing w:before="0" w:beforeAutospacing="0" w:after="0" w:afterAutospacing="0"/>
              <w:jc w:val="right"/>
              <w:rPr>
                <w:sz w:val="18"/>
                <w:szCs w:val="18"/>
              </w:rPr>
            </w:pPr>
            <w:r>
              <w:rPr>
                <w:sz w:val="18"/>
                <w:szCs w:val="18"/>
              </w:rPr>
              <w:t>474,54</w:t>
            </w:r>
            <w:r>
              <w:rPr>
                <w:sz w:val="18"/>
                <w:szCs w:val="18"/>
              </w:rPr>
              <w:t>2</w:t>
            </w:r>
          </w:p>
        </w:tc>
        <w:tc>
          <w:tcPr>
            <w:tcW w:w="0" w:type="auto"/>
            <w:noWrap/>
            <w:vAlign w:val="bottom"/>
            <w:hideMark/>
          </w:tcPr>
          <w:p w14:paraId="68B75A2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D0A53B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03BAE76"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CA0CA2C" w14:textId="77777777" w:rsidR="00000000" w:rsidRDefault="003C49E9">
            <w:pPr>
              <w:pStyle w:val="a3"/>
              <w:spacing w:before="0" w:beforeAutospacing="0" w:after="0" w:afterAutospacing="0"/>
              <w:jc w:val="right"/>
              <w:rPr>
                <w:sz w:val="18"/>
                <w:szCs w:val="18"/>
              </w:rPr>
            </w:pPr>
            <w:r>
              <w:rPr>
                <w:sz w:val="18"/>
                <w:szCs w:val="18"/>
              </w:rPr>
              <w:t>190,94</w:t>
            </w:r>
            <w:r>
              <w:rPr>
                <w:sz w:val="18"/>
                <w:szCs w:val="18"/>
              </w:rPr>
              <w:t>3</w:t>
            </w:r>
          </w:p>
        </w:tc>
        <w:tc>
          <w:tcPr>
            <w:tcW w:w="0" w:type="auto"/>
            <w:noWrap/>
            <w:vAlign w:val="bottom"/>
            <w:hideMark/>
          </w:tcPr>
          <w:p w14:paraId="7F78C3A3"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6F6334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E194C4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B914AAA" w14:textId="77777777" w:rsidR="00000000" w:rsidRDefault="003C49E9">
            <w:pPr>
              <w:pStyle w:val="a3"/>
              <w:spacing w:before="0" w:beforeAutospacing="0" w:after="0" w:afterAutospacing="0"/>
              <w:jc w:val="right"/>
              <w:rPr>
                <w:sz w:val="18"/>
                <w:szCs w:val="18"/>
              </w:rPr>
            </w:pPr>
            <w:r>
              <w:rPr>
                <w:sz w:val="18"/>
                <w:szCs w:val="18"/>
              </w:rPr>
              <w:t>4</w:t>
            </w:r>
            <w:r>
              <w:rPr>
                <w:sz w:val="18"/>
                <w:szCs w:val="18"/>
              </w:rPr>
              <w:t>0</w:t>
            </w:r>
          </w:p>
        </w:tc>
        <w:tc>
          <w:tcPr>
            <w:tcW w:w="0" w:type="auto"/>
            <w:noWrap/>
            <w:vAlign w:val="bottom"/>
            <w:hideMark/>
          </w:tcPr>
          <w:p w14:paraId="3FEA3F0A" w14:textId="77777777" w:rsidR="00000000" w:rsidRDefault="003C49E9">
            <w:pPr>
              <w:pStyle w:val="a3"/>
              <w:spacing w:before="0" w:beforeAutospacing="0" w:after="0" w:afterAutospacing="0"/>
              <w:rPr>
                <w:sz w:val="18"/>
                <w:szCs w:val="18"/>
              </w:rPr>
            </w:pPr>
            <w:r>
              <w:rPr>
                <w:sz w:val="18"/>
                <w:szCs w:val="18"/>
              </w:rPr>
              <w:t>%</w:t>
            </w:r>
          </w:p>
        </w:tc>
      </w:tr>
      <w:tr w:rsidR="00000000" w14:paraId="1ED90C70" w14:textId="77777777">
        <w:trPr>
          <w:trHeight w:val="180"/>
          <w:tblCellSpacing w:w="15" w:type="dxa"/>
        </w:trPr>
        <w:tc>
          <w:tcPr>
            <w:tcW w:w="0" w:type="auto"/>
            <w:vAlign w:val="bottom"/>
            <w:hideMark/>
          </w:tcPr>
          <w:p w14:paraId="2F1C9519" w14:textId="77777777" w:rsidR="00000000" w:rsidRDefault="003C49E9">
            <w:pPr>
              <w:pStyle w:val="a3"/>
              <w:spacing w:before="0" w:beforeAutospacing="0" w:after="0" w:afterAutospacing="0"/>
              <w:rPr>
                <w:sz w:val="18"/>
                <w:szCs w:val="18"/>
              </w:rPr>
            </w:pPr>
            <w:r>
              <w:rPr>
                <w:sz w:val="18"/>
                <w:szCs w:val="18"/>
              </w:rPr>
              <w:t>Gross margin percentag</w:t>
            </w:r>
            <w:r>
              <w:rPr>
                <w:sz w:val="18"/>
                <w:szCs w:val="18"/>
              </w:rPr>
              <w:t>e</w:t>
            </w:r>
          </w:p>
        </w:tc>
        <w:tc>
          <w:tcPr>
            <w:tcW w:w="0" w:type="auto"/>
            <w:vAlign w:val="bottom"/>
            <w:hideMark/>
          </w:tcPr>
          <w:p w14:paraId="7690B306"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830F04E"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87FB560" w14:textId="77777777" w:rsidR="00000000" w:rsidRDefault="003C49E9">
            <w:pPr>
              <w:pStyle w:val="a3"/>
              <w:spacing w:before="0" w:beforeAutospacing="0" w:after="0" w:afterAutospacing="0"/>
              <w:jc w:val="right"/>
              <w:rPr>
                <w:sz w:val="18"/>
                <w:szCs w:val="18"/>
              </w:rPr>
            </w:pPr>
            <w:r>
              <w:rPr>
                <w:sz w:val="18"/>
                <w:szCs w:val="18"/>
              </w:rPr>
              <w:t>8</w:t>
            </w:r>
            <w:r>
              <w:rPr>
                <w:sz w:val="18"/>
                <w:szCs w:val="18"/>
              </w:rPr>
              <w:t>1</w:t>
            </w:r>
          </w:p>
        </w:tc>
        <w:tc>
          <w:tcPr>
            <w:tcW w:w="0" w:type="auto"/>
            <w:noWrap/>
            <w:vAlign w:val="bottom"/>
            <w:hideMark/>
          </w:tcPr>
          <w:p w14:paraId="565E2A4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5897A5A"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627B93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CFA64C1" w14:textId="77777777" w:rsidR="00000000" w:rsidRDefault="003C49E9">
            <w:pPr>
              <w:pStyle w:val="a3"/>
              <w:spacing w:before="0" w:beforeAutospacing="0" w:after="0" w:afterAutospacing="0"/>
              <w:jc w:val="right"/>
              <w:rPr>
                <w:sz w:val="18"/>
                <w:szCs w:val="18"/>
              </w:rPr>
            </w:pPr>
            <w:r>
              <w:rPr>
                <w:sz w:val="18"/>
                <w:szCs w:val="18"/>
              </w:rPr>
              <w:t>8</w:t>
            </w:r>
            <w:r>
              <w:rPr>
                <w:sz w:val="18"/>
                <w:szCs w:val="18"/>
              </w:rPr>
              <w:t>0</w:t>
            </w:r>
          </w:p>
        </w:tc>
        <w:tc>
          <w:tcPr>
            <w:tcW w:w="0" w:type="auto"/>
            <w:noWrap/>
            <w:vAlign w:val="bottom"/>
            <w:hideMark/>
          </w:tcPr>
          <w:p w14:paraId="1CF802CD"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1903F45" w14:textId="77777777" w:rsidR="00000000" w:rsidRDefault="003C49E9">
            <w:pPr>
              <w:pStyle w:val="a3"/>
              <w:spacing w:before="0" w:beforeAutospacing="0" w:after="0" w:afterAutospacing="0"/>
              <w:jc w:val="right"/>
              <w:rPr>
                <w:sz w:val="18"/>
                <w:szCs w:val="18"/>
              </w:rPr>
            </w:pPr>
            <w:r>
              <w:rPr>
                <w:sz w:val="18"/>
                <w:szCs w:val="18"/>
              </w:rPr>
              <w:t> </w:t>
            </w:r>
          </w:p>
        </w:tc>
        <w:tc>
          <w:tcPr>
            <w:tcW w:w="0" w:type="auto"/>
            <w:gridSpan w:val="2"/>
            <w:vAlign w:val="bottom"/>
            <w:hideMark/>
          </w:tcPr>
          <w:p w14:paraId="45D8413D"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44B8EB7"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31AEB5E2"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68469CF"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0DBE15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3E60E12F"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25AB976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2DCF1C9" w14:textId="77777777" w:rsidR="00000000" w:rsidRDefault="003C49E9">
            <w:pPr>
              <w:pStyle w:val="a3"/>
              <w:spacing w:before="0" w:beforeAutospacing="0" w:after="0" w:afterAutospacing="0"/>
              <w:jc w:val="right"/>
              <w:rPr>
                <w:sz w:val="18"/>
                <w:szCs w:val="18"/>
              </w:rPr>
            </w:pPr>
            <w:r>
              <w:rPr>
                <w:sz w:val="18"/>
                <w:szCs w:val="18"/>
              </w:rPr>
              <w:t>8</w:t>
            </w:r>
            <w:r>
              <w:rPr>
                <w:sz w:val="18"/>
                <w:szCs w:val="18"/>
              </w:rPr>
              <w:t>1</w:t>
            </w:r>
          </w:p>
        </w:tc>
        <w:tc>
          <w:tcPr>
            <w:tcW w:w="0" w:type="auto"/>
            <w:noWrap/>
            <w:vAlign w:val="bottom"/>
            <w:hideMark/>
          </w:tcPr>
          <w:p w14:paraId="313486E9"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72858C8"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1E2DD13"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7481BBD" w14:textId="77777777" w:rsidR="00000000" w:rsidRDefault="003C49E9">
            <w:pPr>
              <w:pStyle w:val="a3"/>
              <w:spacing w:before="0" w:beforeAutospacing="0" w:after="0" w:afterAutospacing="0"/>
              <w:jc w:val="right"/>
              <w:rPr>
                <w:sz w:val="18"/>
                <w:szCs w:val="18"/>
              </w:rPr>
            </w:pPr>
            <w:r>
              <w:rPr>
                <w:sz w:val="18"/>
                <w:szCs w:val="18"/>
              </w:rPr>
              <w:t>8</w:t>
            </w:r>
            <w:r>
              <w:rPr>
                <w:sz w:val="18"/>
                <w:szCs w:val="18"/>
              </w:rPr>
              <w:t>0</w:t>
            </w:r>
          </w:p>
        </w:tc>
        <w:tc>
          <w:tcPr>
            <w:tcW w:w="0" w:type="auto"/>
            <w:noWrap/>
            <w:vAlign w:val="bottom"/>
            <w:hideMark/>
          </w:tcPr>
          <w:p w14:paraId="145CE2A0"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A6EDA1C"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9B230AD"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640221C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0D6D3B1"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0C840592"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3FD66477" w14:textId="77777777" w:rsidR="00000000" w:rsidRDefault="003C49E9">
            <w:pPr>
              <w:pStyle w:val="a3"/>
              <w:spacing w:before="0" w:beforeAutospacing="0" w:after="0" w:afterAutospacing="0"/>
              <w:jc w:val="right"/>
              <w:rPr>
                <w:sz w:val="18"/>
                <w:szCs w:val="18"/>
              </w:rPr>
            </w:pPr>
            <w:r>
              <w:rPr>
                <w:sz w:val="18"/>
                <w:szCs w:val="18"/>
              </w:rPr>
              <w:t> </w:t>
            </w:r>
          </w:p>
        </w:tc>
      </w:tr>
    </w:tbl>
    <w:p w14:paraId="07BEEB0D" w14:textId="77777777" w:rsidR="00000000" w:rsidRDefault="003C49E9">
      <w:pPr>
        <w:pStyle w:val="a3"/>
        <w:spacing w:before="200" w:beforeAutospacing="0" w:after="0" w:afterAutospacing="0"/>
        <w:ind w:firstLine="555"/>
        <w:rPr>
          <w:sz w:val="20"/>
          <w:szCs w:val="20"/>
        </w:rPr>
      </w:pPr>
      <w:r>
        <w:rPr>
          <w:sz w:val="20"/>
          <w:szCs w:val="20"/>
        </w:rPr>
        <w:t>Total cost of revenue for the three and six months ended June 30, 2022 increased compared to the same period in 2021 primarily due to an increase in subscription and hosting costs, employee-related costs, amortization of capitalized software development co</w:t>
      </w:r>
      <w:r>
        <w:rPr>
          <w:sz w:val="20"/>
          <w:szCs w:val="20"/>
        </w:rPr>
        <w:t>sts</w:t>
      </w:r>
      <w:r>
        <w:rPr>
          <w:sz w:val="20"/>
          <w:szCs w:val="20"/>
        </w:rPr>
        <w:t>,</w:t>
      </w:r>
      <w:r>
        <w:rPr>
          <w:sz w:val="20"/>
          <w:szCs w:val="20"/>
        </w:rPr>
        <w:t xml:space="preserve"> </w:t>
      </w:r>
    </w:p>
    <w:p w14:paraId="424BF457"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5</w:t>
      </w:r>
    </w:p>
    <w:p w14:paraId="76E9844B" w14:textId="77777777" w:rsidR="00000000" w:rsidRDefault="003C49E9">
      <w:pPr>
        <w:rPr>
          <w:rFonts w:eastAsia="Times New Roman"/>
        </w:rPr>
      </w:pPr>
      <w:r>
        <w:rPr>
          <w:rFonts w:eastAsia="Times New Roman"/>
        </w:rPr>
        <w:pict w14:anchorId="038C822C">
          <v:rect id="_x0000_i1049" style="width:0;height:1.5pt" o:hralign="center" o:hrstd="t" o:hr="t" fillcolor="#a0a0a0" stroked="f"/>
        </w:pict>
      </w:r>
    </w:p>
    <w:p w14:paraId="77853784" w14:textId="77777777" w:rsidR="00000000" w:rsidRDefault="003C49E9">
      <w:pPr>
        <w:pStyle w:val="a3"/>
        <w:spacing w:before="0" w:beforeAutospacing="0" w:after="0" w:afterAutospacing="0"/>
        <w:rPr>
          <w:sz w:val="20"/>
          <w:szCs w:val="20"/>
        </w:rPr>
      </w:pPr>
      <w:r>
        <w:rPr>
          <w:sz w:val="20"/>
          <w:szCs w:val="20"/>
        </w:rPr>
        <w:t> </w:t>
      </w:r>
    </w:p>
    <w:p w14:paraId="4CAFAFF9" w14:textId="77777777" w:rsidR="00000000" w:rsidRDefault="003C49E9">
      <w:pPr>
        <w:pStyle w:val="a3"/>
        <w:spacing w:before="200" w:beforeAutospacing="0" w:after="0" w:afterAutospacing="0"/>
        <w:rPr>
          <w:sz w:val="20"/>
          <w:szCs w:val="20"/>
        </w:rPr>
      </w:pPr>
      <w:r>
        <w:rPr>
          <w:sz w:val="20"/>
          <w:szCs w:val="20"/>
        </w:rPr>
        <w:t>allocated overhead expenses, and amortization of acquired technology. Gross margins remained consistent year-over-year.</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6"/>
        <w:gridCol w:w="105"/>
        <w:gridCol w:w="150"/>
        <w:gridCol w:w="555"/>
        <w:gridCol w:w="210"/>
        <w:gridCol w:w="105"/>
        <w:gridCol w:w="150"/>
        <w:gridCol w:w="555"/>
        <w:gridCol w:w="210"/>
        <w:gridCol w:w="105"/>
        <w:gridCol w:w="150"/>
        <w:gridCol w:w="555"/>
        <w:gridCol w:w="105"/>
        <w:gridCol w:w="105"/>
        <w:gridCol w:w="106"/>
        <w:gridCol w:w="466"/>
        <w:gridCol w:w="210"/>
        <w:gridCol w:w="105"/>
        <w:gridCol w:w="150"/>
        <w:gridCol w:w="645"/>
        <w:gridCol w:w="210"/>
        <w:gridCol w:w="105"/>
        <w:gridCol w:w="150"/>
        <w:gridCol w:w="555"/>
        <w:gridCol w:w="210"/>
        <w:gridCol w:w="105"/>
        <w:gridCol w:w="150"/>
        <w:gridCol w:w="555"/>
        <w:gridCol w:w="105"/>
        <w:gridCol w:w="105"/>
        <w:gridCol w:w="106"/>
        <w:gridCol w:w="468"/>
        <w:gridCol w:w="225"/>
      </w:tblGrid>
      <w:tr w:rsidR="00000000" w14:paraId="45B7C0C7" w14:textId="77777777">
        <w:trPr>
          <w:tblCellSpacing w:w="15" w:type="dxa"/>
        </w:trPr>
        <w:tc>
          <w:tcPr>
            <w:tcW w:w="1151" w:type="pct"/>
            <w:vAlign w:val="center"/>
            <w:hideMark/>
          </w:tcPr>
          <w:p w14:paraId="0AFEC864" w14:textId="77777777" w:rsidR="00000000" w:rsidRDefault="003C49E9">
            <w:pPr>
              <w:rPr>
                <w:sz w:val="20"/>
                <w:szCs w:val="20"/>
              </w:rPr>
            </w:pPr>
          </w:p>
        </w:tc>
        <w:tc>
          <w:tcPr>
            <w:tcW w:w="45" w:type="pct"/>
            <w:vAlign w:val="center"/>
            <w:hideMark/>
          </w:tcPr>
          <w:p w14:paraId="6B5A4B23" w14:textId="77777777" w:rsidR="00000000" w:rsidRDefault="003C49E9">
            <w:pPr>
              <w:rPr>
                <w:rFonts w:eastAsia="Times New Roman"/>
                <w:sz w:val="20"/>
                <w:szCs w:val="20"/>
              </w:rPr>
            </w:pPr>
          </w:p>
        </w:tc>
        <w:tc>
          <w:tcPr>
            <w:tcW w:w="50" w:type="pct"/>
            <w:vAlign w:val="center"/>
            <w:hideMark/>
          </w:tcPr>
          <w:p w14:paraId="0201815E" w14:textId="77777777" w:rsidR="00000000" w:rsidRDefault="003C49E9">
            <w:pPr>
              <w:rPr>
                <w:rFonts w:eastAsia="Times New Roman"/>
                <w:sz w:val="20"/>
                <w:szCs w:val="20"/>
              </w:rPr>
            </w:pPr>
          </w:p>
        </w:tc>
        <w:tc>
          <w:tcPr>
            <w:tcW w:w="292" w:type="pct"/>
            <w:vAlign w:val="center"/>
            <w:hideMark/>
          </w:tcPr>
          <w:p w14:paraId="0ECCAC2C" w14:textId="77777777" w:rsidR="00000000" w:rsidRDefault="003C49E9">
            <w:pPr>
              <w:rPr>
                <w:rFonts w:eastAsia="Times New Roman"/>
                <w:sz w:val="20"/>
                <w:szCs w:val="20"/>
              </w:rPr>
            </w:pPr>
          </w:p>
        </w:tc>
        <w:tc>
          <w:tcPr>
            <w:tcW w:w="50" w:type="pct"/>
            <w:vAlign w:val="center"/>
            <w:hideMark/>
          </w:tcPr>
          <w:p w14:paraId="5CF5D03A" w14:textId="77777777" w:rsidR="00000000" w:rsidRDefault="003C49E9">
            <w:pPr>
              <w:rPr>
                <w:rFonts w:eastAsia="Times New Roman"/>
                <w:sz w:val="20"/>
                <w:szCs w:val="20"/>
              </w:rPr>
            </w:pPr>
          </w:p>
        </w:tc>
        <w:tc>
          <w:tcPr>
            <w:tcW w:w="45" w:type="pct"/>
            <w:vAlign w:val="center"/>
            <w:hideMark/>
          </w:tcPr>
          <w:p w14:paraId="5D423369" w14:textId="77777777" w:rsidR="00000000" w:rsidRDefault="003C49E9">
            <w:pPr>
              <w:rPr>
                <w:rFonts w:eastAsia="Times New Roman"/>
                <w:sz w:val="20"/>
                <w:szCs w:val="20"/>
              </w:rPr>
            </w:pPr>
          </w:p>
        </w:tc>
        <w:tc>
          <w:tcPr>
            <w:tcW w:w="50" w:type="pct"/>
            <w:vAlign w:val="center"/>
            <w:hideMark/>
          </w:tcPr>
          <w:p w14:paraId="4FBB2407" w14:textId="77777777" w:rsidR="00000000" w:rsidRDefault="003C49E9">
            <w:pPr>
              <w:rPr>
                <w:rFonts w:eastAsia="Times New Roman"/>
                <w:sz w:val="20"/>
                <w:szCs w:val="20"/>
              </w:rPr>
            </w:pPr>
          </w:p>
        </w:tc>
        <w:tc>
          <w:tcPr>
            <w:tcW w:w="327" w:type="pct"/>
            <w:vAlign w:val="center"/>
            <w:hideMark/>
          </w:tcPr>
          <w:p w14:paraId="5961F510" w14:textId="77777777" w:rsidR="00000000" w:rsidRDefault="003C49E9">
            <w:pPr>
              <w:rPr>
                <w:rFonts w:eastAsia="Times New Roman"/>
                <w:sz w:val="20"/>
                <w:szCs w:val="20"/>
              </w:rPr>
            </w:pPr>
          </w:p>
        </w:tc>
        <w:tc>
          <w:tcPr>
            <w:tcW w:w="50" w:type="pct"/>
            <w:vAlign w:val="center"/>
            <w:hideMark/>
          </w:tcPr>
          <w:p w14:paraId="1E033C75" w14:textId="77777777" w:rsidR="00000000" w:rsidRDefault="003C49E9">
            <w:pPr>
              <w:rPr>
                <w:rFonts w:eastAsia="Times New Roman"/>
                <w:sz w:val="20"/>
                <w:szCs w:val="20"/>
              </w:rPr>
            </w:pPr>
          </w:p>
        </w:tc>
        <w:tc>
          <w:tcPr>
            <w:tcW w:w="45" w:type="pct"/>
            <w:vAlign w:val="center"/>
            <w:hideMark/>
          </w:tcPr>
          <w:p w14:paraId="7D331F94" w14:textId="77777777" w:rsidR="00000000" w:rsidRDefault="003C49E9">
            <w:pPr>
              <w:rPr>
                <w:rFonts w:eastAsia="Times New Roman"/>
                <w:sz w:val="20"/>
                <w:szCs w:val="20"/>
              </w:rPr>
            </w:pPr>
          </w:p>
        </w:tc>
        <w:tc>
          <w:tcPr>
            <w:tcW w:w="50" w:type="pct"/>
            <w:vAlign w:val="center"/>
            <w:hideMark/>
          </w:tcPr>
          <w:p w14:paraId="2D4F711F" w14:textId="77777777" w:rsidR="00000000" w:rsidRDefault="003C49E9">
            <w:pPr>
              <w:rPr>
                <w:rFonts w:eastAsia="Times New Roman"/>
                <w:sz w:val="20"/>
                <w:szCs w:val="20"/>
              </w:rPr>
            </w:pPr>
          </w:p>
        </w:tc>
        <w:tc>
          <w:tcPr>
            <w:tcW w:w="308" w:type="pct"/>
            <w:vAlign w:val="center"/>
            <w:hideMark/>
          </w:tcPr>
          <w:p w14:paraId="5BB36B95" w14:textId="77777777" w:rsidR="00000000" w:rsidRDefault="003C49E9">
            <w:pPr>
              <w:rPr>
                <w:rFonts w:eastAsia="Times New Roman"/>
                <w:sz w:val="20"/>
                <w:szCs w:val="20"/>
              </w:rPr>
            </w:pPr>
          </w:p>
        </w:tc>
        <w:tc>
          <w:tcPr>
            <w:tcW w:w="50" w:type="pct"/>
            <w:vAlign w:val="center"/>
            <w:hideMark/>
          </w:tcPr>
          <w:p w14:paraId="0D330B3F" w14:textId="77777777" w:rsidR="00000000" w:rsidRDefault="003C49E9">
            <w:pPr>
              <w:rPr>
                <w:rFonts w:eastAsia="Times New Roman"/>
                <w:sz w:val="20"/>
                <w:szCs w:val="20"/>
              </w:rPr>
            </w:pPr>
          </w:p>
        </w:tc>
        <w:tc>
          <w:tcPr>
            <w:tcW w:w="45" w:type="pct"/>
            <w:vAlign w:val="center"/>
            <w:hideMark/>
          </w:tcPr>
          <w:p w14:paraId="7A433ABD" w14:textId="77777777" w:rsidR="00000000" w:rsidRDefault="003C49E9">
            <w:pPr>
              <w:rPr>
                <w:rFonts w:eastAsia="Times New Roman"/>
                <w:sz w:val="20"/>
                <w:szCs w:val="20"/>
              </w:rPr>
            </w:pPr>
          </w:p>
        </w:tc>
        <w:tc>
          <w:tcPr>
            <w:tcW w:w="50" w:type="pct"/>
            <w:vAlign w:val="center"/>
            <w:hideMark/>
          </w:tcPr>
          <w:p w14:paraId="0031501D" w14:textId="77777777" w:rsidR="00000000" w:rsidRDefault="003C49E9">
            <w:pPr>
              <w:rPr>
                <w:rFonts w:eastAsia="Times New Roman"/>
                <w:sz w:val="20"/>
                <w:szCs w:val="20"/>
              </w:rPr>
            </w:pPr>
          </w:p>
        </w:tc>
        <w:tc>
          <w:tcPr>
            <w:tcW w:w="391" w:type="pct"/>
            <w:vAlign w:val="center"/>
            <w:hideMark/>
          </w:tcPr>
          <w:p w14:paraId="7EDB07ED" w14:textId="77777777" w:rsidR="00000000" w:rsidRDefault="003C49E9">
            <w:pPr>
              <w:rPr>
                <w:rFonts w:eastAsia="Times New Roman"/>
                <w:sz w:val="20"/>
                <w:szCs w:val="20"/>
              </w:rPr>
            </w:pPr>
          </w:p>
        </w:tc>
        <w:tc>
          <w:tcPr>
            <w:tcW w:w="50" w:type="pct"/>
            <w:vAlign w:val="center"/>
            <w:hideMark/>
          </w:tcPr>
          <w:p w14:paraId="33CC136C" w14:textId="77777777" w:rsidR="00000000" w:rsidRDefault="003C49E9">
            <w:pPr>
              <w:rPr>
                <w:rFonts w:eastAsia="Times New Roman"/>
                <w:sz w:val="20"/>
                <w:szCs w:val="20"/>
              </w:rPr>
            </w:pPr>
          </w:p>
        </w:tc>
        <w:tc>
          <w:tcPr>
            <w:tcW w:w="45" w:type="pct"/>
            <w:vAlign w:val="center"/>
            <w:hideMark/>
          </w:tcPr>
          <w:p w14:paraId="3711F5EB" w14:textId="77777777" w:rsidR="00000000" w:rsidRDefault="003C49E9">
            <w:pPr>
              <w:rPr>
                <w:rFonts w:eastAsia="Times New Roman"/>
                <w:sz w:val="20"/>
                <w:szCs w:val="20"/>
              </w:rPr>
            </w:pPr>
          </w:p>
        </w:tc>
        <w:tc>
          <w:tcPr>
            <w:tcW w:w="50" w:type="pct"/>
            <w:vAlign w:val="center"/>
            <w:hideMark/>
          </w:tcPr>
          <w:p w14:paraId="4714107D" w14:textId="77777777" w:rsidR="00000000" w:rsidRDefault="003C49E9">
            <w:pPr>
              <w:rPr>
                <w:rFonts w:eastAsia="Times New Roman"/>
                <w:sz w:val="20"/>
                <w:szCs w:val="20"/>
              </w:rPr>
            </w:pPr>
          </w:p>
        </w:tc>
        <w:tc>
          <w:tcPr>
            <w:tcW w:w="351" w:type="pct"/>
            <w:vAlign w:val="center"/>
            <w:hideMark/>
          </w:tcPr>
          <w:p w14:paraId="67C95643" w14:textId="77777777" w:rsidR="00000000" w:rsidRDefault="003C49E9">
            <w:pPr>
              <w:rPr>
                <w:rFonts w:eastAsia="Times New Roman"/>
                <w:sz w:val="20"/>
                <w:szCs w:val="20"/>
              </w:rPr>
            </w:pPr>
          </w:p>
        </w:tc>
        <w:tc>
          <w:tcPr>
            <w:tcW w:w="50" w:type="pct"/>
            <w:vAlign w:val="center"/>
            <w:hideMark/>
          </w:tcPr>
          <w:p w14:paraId="31FF33CA" w14:textId="77777777" w:rsidR="00000000" w:rsidRDefault="003C49E9">
            <w:pPr>
              <w:rPr>
                <w:rFonts w:eastAsia="Times New Roman"/>
                <w:sz w:val="20"/>
                <w:szCs w:val="20"/>
              </w:rPr>
            </w:pPr>
          </w:p>
        </w:tc>
        <w:tc>
          <w:tcPr>
            <w:tcW w:w="45" w:type="pct"/>
            <w:vAlign w:val="center"/>
            <w:hideMark/>
          </w:tcPr>
          <w:p w14:paraId="267291FE" w14:textId="77777777" w:rsidR="00000000" w:rsidRDefault="003C49E9">
            <w:pPr>
              <w:rPr>
                <w:rFonts w:eastAsia="Times New Roman"/>
                <w:sz w:val="20"/>
                <w:szCs w:val="20"/>
              </w:rPr>
            </w:pPr>
          </w:p>
        </w:tc>
        <w:tc>
          <w:tcPr>
            <w:tcW w:w="50" w:type="pct"/>
            <w:vAlign w:val="center"/>
            <w:hideMark/>
          </w:tcPr>
          <w:p w14:paraId="14578D4D" w14:textId="77777777" w:rsidR="00000000" w:rsidRDefault="003C49E9">
            <w:pPr>
              <w:rPr>
                <w:rFonts w:eastAsia="Times New Roman"/>
                <w:sz w:val="20"/>
                <w:szCs w:val="20"/>
              </w:rPr>
            </w:pPr>
          </w:p>
        </w:tc>
        <w:tc>
          <w:tcPr>
            <w:tcW w:w="298" w:type="pct"/>
            <w:vAlign w:val="center"/>
            <w:hideMark/>
          </w:tcPr>
          <w:p w14:paraId="7DD47625" w14:textId="77777777" w:rsidR="00000000" w:rsidRDefault="003C49E9">
            <w:pPr>
              <w:rPr>
                <w:rFonts w:eastAsia="Times New Roman"/>
                <w:sz w:val="20"/>
                <w:szCs w:val="20"/>
              </w:rPr>
            </w:pPr>
          </w:p>
        </w:tc>
        <w:tc>
          <w:tcPr>
            <w:tcW w:w="50" w:type="pct"/>
            <w:vAlign w:val="center"/>
            <w:hideMark/>
          </w:tcPr>
          <w:p w14:paraId="5AC56BF7" w14:textId="77777777" w:rsidR="00000000" w:rsidRDefault="003C49E9">
            <w:pPr>
              <w:rPr>
                <w:rFonts w:eastAsia="Times New Roman"/>
                <w:sz w:val="20"/>
                <w:szCs w:val="20"/>
              </w:rPr>
            </w:pPr>
          </w:p>
        </w:tc>
        <w:tc>
          <w:tcPr>
            <w:tcW w:w="45" w:type="pct"/>
            <w:vAlign w:val="center"/>
            <w:hideMark/>
          </w:tcPr>
          <w:p w14:paraId="62CBCCC1" w14:textId="77777777" w:rsidR="00000000" w:rsidRDefault="003C49E9">
            <w:pPr>
              <w:rPr>
                <w:rFonts w:eastAsia="Times New Roman"/>
                <w:sz w:val="20"/>
                <w:szCs w:val="20"/>
              </w:rPr>
            </w:pPr>
          </w:p>
        </w:tc>
        <w:tc>
          <w:tcPr>
            <w:tcW w:w="50" w:type="pct"/>
            <w:vAlign w:val="center"/>
            <w:hideMark/>
          </w:tcPr>
          <w:p w14:paraId="3F7AE2C7" w14:textId="77777777" w:rsidR="00000000" w:rsidRDefault="003C49E9">
            <w:pPr>
              <w:rPr>
                <w:rFonts w:eastAsia="Times New Roman"/>
                <w:sz w:val="20"/>
                <w:szCs w:val="20"/>
              </w:rPr>
            </w:pPr>
          </w:p>
        </w:tc>
        <w:tc>
          <w:tcPr>
            <w:tcW w:w="308" w:type="pct"/>
            <w:vAlign w:val="center"/>
            <w:hideMark/>
          </w:tcPr>
          <w:p w14:paraId="685ABDE3" w14:textId="77777777" w:rsidR="00000000" w:rsidRDefault="003C49E9">
            <w:pPr>
              <w:rPr>
                <w:rFonts w:eastAsia="Times New Roman"/>
                <w:sz w:val="20"/>
                <w:szCs w:val="20"/>
              </w:rPr>
            </w:pPr>
          </w:p>
        </w:tc>
        <w:tc>
          <w:tcPr>
            <w:tcW w:w="50" w:type="pct"/>
            <w:vAlign w:val="center"/>
            <w:hideMark/>
          </w:tcPr>
          <w:p w14:paraId="7C33A63F" w14:textId="77777777" w:rsidR="00000000" w:rsidRDefault="003C49E9">
            <w:pPr>
              <w:rPr>
                <w:rFonts w:eastAsia="Times New Roman"/>
                <w:sz w:val="20"/>
                <w:szCs w:val="20"/>
              </w:rPr>
            </w:pPr>
          </w:p>
        </w:tc>
        <w:tc>
          <w:tcPr>
            <w:tcW w:w="45" w:type="pct"/>
            <w:vAlign w:val="center"/>
            <w:hideMark/>
          </w:tcPr>
          <w:p w14:paraId="647DB798" w14:textId="77777777" w:rsidR="00000000" w:rsidRDefault="003C49E9">
            <w:pPr>
              <w:rPr>
                <w:rFonts w:eastAsia="Times New Roman"/>
                <w:sz w:val="20"/>
                <w:szCs w:val="20"/>
              </w:rPr>
            </w:pPr>
          </w:p>
        </w:tc>
        <w:tc>
          <w:tcPr>
            <w:tcW w:w="50" w:type="pct"/>
            <w:vAlign w:val="center"/>
            <w:hideMark/>
          </w:tcPr>
          <w:p w14:paraId="45F93409" w14:textId="77777777" w:rsidR="00000000" w:rsidRDefault="003C49E9">
            <w:pPr>
              <w:rPr>
                <w:rFonts w:eastAsia="Times New Roman"/>
                <w:sz w:val="20"/>
                <w:szCs w:val="20"/>
              </w:rPr>
            </w:pPr>
          </w:p>
        </w:tc>
        <w:tc>
          <w:tcPr>
            <w:tcW w:w="410" w:type="pct"/>
            <w:vAlign w:val="center"/>
            <w:hideMark/>
          </w:tcPr>
          <w:p w14:paraId="044E13BE" w14:textId="77777777" w:rsidR="00000000" w:rsidRDefault="003C49E9">
            <w:pPr>
              <w:rPr>
                <w:rFonts w:eastAsia="Times New Roman"/>
                <w:sz w:val="20"/>
                <w:szCs w:val="20"/>
              </w:rPr>
            </w:pPr>
          </w:p>
        </w:tc>
        <w:tc>
          <w:tcPr>
            <w:tcW w:w="50" w:type="pct"/>
            <w:vAlign w:val="center"/>
            <w:hideMark/>
          </w:tcPr>
          <w:p w14:paraId="425804AA" w14:textId="77777777" w:rsidR="00000000" w:rsidRDefault="003C49E9">
            <w:pPr>
              <w:rPr>
                <w:rFonts w:eastAsia="Times New Roman"/>
                <w:sz w:val="20"/>
                <w:szCs w:val="20"/>
              </w:rPr>
            </w:pPr>
          </w:p>
        </w:tc>
      </w:tr>
      <w:tr w:rsidR="00000000" w14:paraId="51835669" w14:textId="77777777">
        <w:trPr>
          <w:trHeight w:val="140"/>
          <w:tblCellSpacing w:w="15" w:type="dxa"/>
        </w:trPr>
        <w:tc>
          <w:tcPr>
            <w:tcW w:w="0" w:type="auto"/>
            <w:vAlign w:val="bottom"/>
            <w:hideMark/>
          </w:tcPr>
          <w:p w14:paraId="356B7606"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69B94F3"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49AE2723"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3920431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5BB310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954F206"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AD59C2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FD48B6A"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7F5361A"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529600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F56E668"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6"/>
            <w:vAlign w:val="bottom"/>
            <w:hideMark/>
          </w:tcPr>
          <w:p w14:paraId="33D1FE25"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1A0FAD8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680F6F2"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C8E991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5953A1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8E259B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E97FD9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7E89AB2"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642286F4" w14:textId="77777777">
        <w:trPr>
          <w:trHeight w:val="140"/>
          <w:tblCellSpacing w:w="15" w:type="dxa"/>
        </w:trPr>
        <w:tc>
          <w:tcPr>
            <w:tcW w:w="0" w:type="auto"/>
            <w:vAlign w:val="bottom"/>
            <w:hideMark/>
          </w:tcPr>
          <w:p w14:paraId="3696D961"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541E32E8"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2593D1DD"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32E6CE1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B7E5600"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18B61691"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1C8C86FA"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622F78A"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167F575B"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2E46F8F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3C979A3"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134C499E"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70B0FF5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140E813"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42140CB9"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1638FDA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367F7D1"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669AC1F9"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5A105E5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1015873"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6BAB09DE"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1BA67E8A"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D513565"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0F7A458D"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60CAEE3D"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0BD276F1" w14:textId="77777777">
        <w:trPr>
          <w:trHeight w:val="180"/>
          <w:tblCellSpacing w:w="15" w:type="dxa"/>
        </w:trPr>
        <w:tc>
          <w:tcPr>
            <w:tcW w:w="0" w:type="auto"/>
            <w:vAlign w:val="bottom"/>
            <w:hideMark/>
          </w:tcPr>
          <w:p w14:paraId="1BA034F4" w14:textId="77777777" w:rsidR="00000000" w:rsidRDefault="003C49E9">
            <w:pPr>
              <w:pStyle w:val="a3"/>
              <w:spacing w:before="0" w:beforeAutospacing="0" w:after="0" w:afterAutospacing="0"/>
              <w:rPr>
                <w:sz w:val="18"/>
                <w:szCs w:val="18"/>
              </w:rPr>
            </w:pPr>
            <w:r>
              <w:rPr>
                <w:sz w:val="18"/>
                <w:szCs w:val="18"/>
              </w:rPr>
              <w:t>Subscription cost of revenu</w:t>
            </w:r>
            <w:r>
              <w:rPr>
                <w:sz w:val="18"/>
                <w:szCs w:val="18"/>
              </w:rPr>
              <w:t>e</w:t>
            </w:r>
          </w:p>
        </w:tc>
        <w:tc>
          <w:tcPr>
            <w:tcW w:w="0" w:type="auto"/>
            <w:vAlign w:val="bottom"/>
            <w:hideMark/>
          </w:tcPr>
          <w:p w14:paraId="6C1C4736"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3E4C2E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A15DB21" w14:textId="77777777" w:rsidR="00000000" w:rsidRDefault="003C49E9">
            <w:pPr>
              <w:pStyle w:val="a3"/>
              <w:spacing w:before="0" w:beforeAutospacing="0" w:after="0" w:afterAutospacing="0"/>
              <w:jc w:val="right"/>
              <w:rPr>
                <w:sz w:val="18"/>
                <w:szCs w:val="18"/>
              </w:rPr>
            </w:pPr>
            <w:r>
              <w:rPr>
                <w:sz w:val="18"/>
                <w:szCs w:val="18"/>
              </w:rPr>
              <w:t>64,43</w:t>
            </w:r>
            <w:r>
              <w:rPr>
                <w:sz w:val="18"/>
                <w:szCs w:val="18"/>
              </w:rPr>
              <w:t>1</w:t>
            </w:r>
          </w:p>
        </w:tc>
        <w:tc>
          <w:tcPr>
            <w:tcW w:w="0" w:type="auto"/>
            <w:noWrap/>
            <w:vAlign w:val="bottom"/>
            <w:hideMark/>
          </w:tcPr>
          <w:p w14:paraId="4384583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738AD37"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459E72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805AAA4" w14:textId="77777777" w:rsidR="00000000" w:rsidRDefault="003C49E9">
            <w:pPr>
              <w:pStyle w:val="a3"/>
              <w:spacing w:before="0" w:beforeAutospacing="0" w:after="0" w:afterAutospacing="0"/>
              <w:jc w:val="right"/>
              <w:rPr>
                <w:sz w:val="18"/>
                <w:szCs w:val="18"/>
              </w:rPr>
            </w:pPr>
            <w:r>
              <w:rPr>
                <w:sz w:val="18"/>
                <w:szCs w:val="18"/>
              </w:rPr>
              <w:t>51,13</w:t>
            </w:r>
            <w:r>
              <w:rPr>
                <w:sz w:val="18"/>
                <w:szCs w:val="18"/>
              </w:rPr>
              <w:t>4</w:t>
            </w:r>
          </w:p>
        </w:tc>
        <w:tc>
          <w:tcPr>
            <w:tcW w:w="0" w:type="auto"/>
            <w:noWrap/>
            <w:vAlign w:val="bottom"/>
            <w:hideMark/>
          </w:tcPr>
          <w:p w14:paraId="3C704FD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BB4958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9D9E18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6AE687D" w14:textId="77777777" w:rsidR="00000000" w:rsidRDefault="003C49E9">
            <w:pPr>
              <w:pStyle w:val="a3"/>
              <w:spacing w:before="0" w:beforeAutospacing="0" w:after="0" w:afterAutospacing="0"/>
              <w:jc w:val="right"/>
              <w:rPr>
                <w:sz w:val="18"/>
                <w:szCs w:val="18"/>
              </w:rPr>
            </w:pPr>
            <w:r>
              <w:rPr>
                <w:sz w:val="18"/>
                <w:szCs w:val="18"/>
              </w:rPr>
              <w:t>13,29</w:t>
            </w:r>
            <w:r>
              <w:rPr>
                <w:sz w:val="18"/>
                <w:szCs w:val="18"/>
              </w:rPr>
              <w:t>7</w:t>
            </w:r>
          </w:p>
        </w:tc>
        <w:tc>
          <w:tcPr>
            <w:tcW w:w="0" w:type="auto"/>
            <w:noWrap/>
            <w:vAlign w:val="bottom"/>
            <w:hideMark/>
          </w:tcPr>
          <w:p w14:paraId="7BEB58D3"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EBB998E"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DFE9CA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BCC71C2" w14:textId="77777777" w:rsidR="00000000" w:rsidRDefault="003C49E9">
            <w:pPr>
              <w:pStyle w:val="a3"/>
              <w:spacing w:before="0" w:beforeAutospacing="0" w:after="0" w:afterAutospacing="0"/>
              <w:jc w:val="right"/>
              <w:rPr>
                <w:sz w:val="18"/>
                <w:szCs w:val="18"/>
              </w:rPr>
            </w:pPr>
            <w:r>
              <w:rPr>
                <w:sz w:val="18"/>
                <w:szCs w:val="18"/>
              </w:rPr>
              <w:t>2</w:t>
            </w:r>
            <w:r>
              <w:rPr>
                <w:sz w:val="18"/>
                <w:szCs w:val="18"/>
              </w:rPr>
              <w:t>6</w:t>
            </w:r>
          </w:p>
        </w:tc>
        <w:tc>
          <w:tcPr>
            <w:tcW w:w="0" w:type="auto"/>
            <w:noWrap/>
            <w:vAlign w:val="bottom"/>
            <w:hideMark/>
          </w:tcPr>
          <w:p w14:paraId="2D34F712"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3F72DFA"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1CABB1C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1CEFC1A" w14:textId="77777777" w:rsidR="00000000" w:rsidRDefault="003C49E9">
            <w:pPr>
              <w:pStyle w:val="a3"/>
              <w:spacing w:before="0" w:beforeAutospacing="0" w:after="0" w:afterAutospacing="0"/>
              <w:jc w:val="right"/>
              <w:rPr>
                <w:sz w:val="18"/>
                <w:szCs w:val="18"/>
              </w:rPr>
            </w:pPr>
            <w:r>
              <w:rPr>
                <w:sz w:val="18"/>
                <w:szCs w:val="18"/>
              </w:rPr>
              <w:t>123,81</w:t>
            </w:r>
            <w:r>
              <w:rPr>
                <w:sz w:val="18"/>
                <w:szCs w:val="18"/>
              </w:rPr>
              <w:t>6</w:t>
            </w:r>
          </w:p>
        </w:tc>
        <w:tc>
          <w:tcPr>
            <w:tcW w:w="0" w:type="auto"/>
            <w:noWrap/>
            <w:vAlign w:val="bottom"/>
            <w:hideMark/>
          </w:tcPr>
          <w:p w14:paraId="7CAA33C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89069CE"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737C39A"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157B486" w14:textId="77777777" w:rsidR="00000000" w:rsidRDefault="003C49E9">
            <w:pPr>
              <w:pStyle w:val="a3"/>
              <w:spacing w:before="0" w:beforeAutospacing="0" w:after="0" w:afterAutospacing="0"/>
              <w:jc w:val="right"/>
              <w:rPr>
                <w:sz w:val="18"/>
                <w:szCs w:val="18"/>
              </w:rPr>
            </w:pPr>
            <w:r>
              <w:rPr>
                <w:sz w:val="18"/>
                <w:szCs w:val="18"/>
              </w:rPr>
              <w:t>94,98</w:t>
            </w:r>
            <w:r>
              <w:rPr>
                <w:sz w:val="18"/>
                <w:szCs w:val="18"/>
              </w:rPr>
              <w:t>6</w:t>
            </w:r>
          </w:p>
        </w:tc>
        <w:tc>
          <w:tcPr>
            <w:tcW w:w="0" w:type="auto"/>
            <w:noWrap/>
            <w:vAlign w:val="bottom"/>
            <w:hideMark/>
          </w:tcPr>
          <w:p w14:paraId="5CB560C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54DB16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09C1F88"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07246BA" w14:textId="77777777" w:rsidR="00000000" w:rsidRDefault="003C49E9">
            <w:pPr>
              <w:pStyle w:val="a3"/>
              <w:spacing w:before="0" w:beforeAutospacing="0" w:after="0" w:afterAutospacing="0"/>
              <w:jc w:val="right"/>
              <w:rPr>
                <w:sz w:val="18"/>
                <w:szCs w:val="18"/>
              </w:rPr>
            </w:pPr>
            <w:r>
              <w:rPr>
                <w:sz w:val="18"/>
                <w:szCs w:val="18"/>
              </w:rPr>
              <w:t>28,83</w:t>
            </w:r>
            <w:r>
              <w:rPr>
                <w:sz w:val="18"/>
                <w:szCs w:val="18"/>
              </w:rPr>
              <w:t>0</w:t>
            </w:r>
          </w:p>
        </w:tc>
        <w:tc>
          <w:tcPr>
            <w:tcW w:w="0" w:type="auto"/>
            <w:noWrap/>
            <w:vAlign w:val="bottom"/>
            <w:hideMark/>
          </w:tcPr>
          <w:p w14:paraId="3B10086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11EB9D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2CCE9C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A30CA8F" w14:textId="77777777" w:rsidR="00000000" w:rsidRDefault="003C49E9">
            <w:pPr>
              <w:pStyle w:val="a3"/>
              <w:spacing w:before="0" w:beforeAutospacing="0" w:after="0" w:afterAutospacing="0"/>
              <w:jc w:val="right"/>
              <w:rPr>
                <w:sz w:val="18"/>
                <w:szCs w:val="18"/>
              </w:rPr>
            </w:pPr>
            <w:r>
              <w:rPr>
                <w:sz w:val="18"/>
                <w:szCs w:val="18"/>
              </w:rPr>
              <w:t>3</w:t>
            </w:r>
            <w:r>
              <w:rPr>
                <w:sz w:val="18"/>
                <w:szCs w:val="18"/>
              </w:rPr>
              <w:t>0</w:t>
            </w:r>
          </w:p>
        </w:tc>
        <w:tc>
          <w:tcPr>
            <w:tcW w:w="0" w:type="auto"/>
            <w:noWrap/>
            <w:vAlign w:val="bottom"/>
            <w:hideMark/>
          </w:tcPr>
          <w:p w14:paraId="4CD7BF4B" w14:textId="77777777" w:rsidR="00000000" w:rsidRDefault="003C49E9">
            <w:pPr>
              <w:pStyle w:val="a3"/>
              <w:spacing w:before="0" w:beforeAutospacing="0" w:after="0" w:afterAutospacing="0"/>
              <w:rPr>
                <w:sz w:val="18"/>
                <w:szCs w:val="18"/>
              </w:rPr>
            </w:pPr>
            <w:r>
              <w:rPr>
                <w:sz w:val="18"/>
                <w:szCs w:val="18"/>
              </w:rPr>
              <w:t>%</w:t>
            </w:r>
          </w:p>
        </w:tc>
      </w:tr>
      <w:tr w:rsidR="00000000" w14:paraId="02B848D7" w14:textId="77777777">
        <w:trPr>
          <w:trHeight w:val="180"/>
          <w:tblCellSpacing w:w="15" w:type="dxa"/>
        </w:trPr>
        <w:tc>
          <w:tcPr>
            <w:tcW w:w="0" w:type="auto"/>
            <w:vAlign w:val="bottom"/>
            <w:hideMark/>
          </w:tcPr>
          <w:p w14:paraId="2429B519" w14:textId="77777777" w:rsidR="00000000" w:rsidRDefault="003C49E9">
            <w:pPr>
              <w:pStyle w:val="a3"/>
              <w:spacing w:before="0" w:beforeAutospacing="0" w:after="0" w:afterAutospacing="0"/>
              <w:rPr>
                <w:sz w:val="18"/>
                <w:szCs w:val="18"/>
              </w:rPr>
            </w:pPr>
            <w:r>
              <w:rPr>
                <w:sz w:val="18"/>
                <w:szCs w:val="18"/>
              </w:rPr>
              <w:t>Percentage of subscription revenu</w:t>
            </w:r>
            <w:r>
              <w:rPr>
                <w:sz w:val="18"/>
                <w:szCs w:val="18"/>
              </w:rPr>
              <w:t>e</w:t>
            </w:r>
          </w:p>
        </w:tc>
        <w:tc>
          <w:tcPr>
            <w:tcW w:w="0" w:type="auto"/>
            <w:vAlign w:val="bottom"/>
            <w:hideMark/>
          </w:tcPr>
          <w:p w14:paraId="6F1546B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E47A58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DA57F50" w14:textId="77777777" w:rsidR="00000000" w:rsidRDefault="003C49E9">
            <w:pPr>
              <w:pStyle w:val="a3"/>
              <w:spacing w:before="0" w:beforeAutospacing="0" w:after="0" w:afterAutospacing="0"/>
              <w:jc w:val="right"/>
              <w:rPr>
                <w:sz w:val="18"/>
                <w:szCs w:val="18"/>
              </w:rPr>
            </w:pPr>
            <w:r>
              <w:rPr>
                <w:sz w:val="18"/>
                <w:szCs w:val="18"/>
              </w:rPr>
              <w:t>1</w:t>
            </w:r>
            <w:r>
              <w:rPr>
                <w:sz w:val="18"/>
                <w:szCs w:val="18"/>
              </w:rPr>
              <w:t>6</w:t>
            </w:r>
          </w:p>
        </w:tc>
        <w:tc>
          <w:tcPr>
            <w:tcW w:w="0" w:type="auto"/>
            <w:noWrap/>
            <w:vAlign w:val="bottom"/>
            <w:hideMark/>
          </w:tcPr>
          <w:p w14:paraId="1111E90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72621A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CE73CD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E16177E" w14:textId="77777777" w:rsidR="00000000" w:rsidRDefault="003C49E9">
            <w:pPr>
              <w:pStyle w:val="a3"/>
              <w:spacing w:before="0" w:beforeAutospacing="0" w:after="0" w:afterAutospacing="0"/>
              <w:jc w:val="right"/>
              <w:rPr>
                <w:sz w:val="18"/>
                <w:szCs w:val="18"/>
              </w:rPr>
            </w:pPr>
            <w:r>
              <w:rPr>
                <w:sz w:val="18"/>
                <w:szCs w:val="18"/>
              </w:rPr>
              <w:t>1</w:t>
            </w:r>
            <w:r>
              <w:rPr>
                <w:sz w:val="18"/>
                <w:szCs w:val="18"/>
              </w:rPr>
              <w:t>7</w:t>
            </w:r>
          </w:p>
        </w:tc>
        <w:tc>
          <w:tcPr>
            <w:tcW w:w="0" w:type="auto"/>
            <w:noWrap/>
            <w:vAlign w:val="bottom"/>
            <w:hideMark/>
          </w:tcPr>
          <w:p w14:paraId="508FFB43"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EA725E9"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2D663D0E"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640FAA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5DCDE31"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4544CB80"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B3FD533"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5AE2EE5A"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4EDED10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505EDAE" w14:textId="77777777" w:rsidR="00000000" w:rsidRDefault="003C49E9">
            <w:pPr>
              <w:pStyle w:val="a3"/>
              <w:spacing w:before="0" w:beforeAutospacing="0" w:after="0" w:afterAutospacing="0"/>
              <w:jc w:val="right"/>
              <w:rPr>
                <w:sz w:val="18"/>
                <w:szCs w:val="18"/>
              </w:rPr>
            </w:pPr>
            <w:r>
              <w:rPr>
                <w:sz w:val="18"/>
                <w:szCs w:val="18"/>
              </w:rPr>
              <w:t>1</w:t>
            </w:r>
            <w:r>
              <w:rPr>
                <w:sz w:val="18"/>
                <w:szCs w:val="18"/>
              </w:rPr>
              <w:t>6</w:t>
            </w:r>
          </w:p>
        </w:tc>
        <w:tc>
          <w:tcPr>
            <w:tcW w:w="0" w:type="auto"/>
            <w:noWrap/>
            <w:vAlign w:val="bottom"/>
            <w:hideMark/>
          </w:tcPr>
          <w:p w14:paraId="5F7C1AE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7200E71"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3D6E3A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5E99A39" w14:textId="77777777" w:rsidR="00000000" w:rsidRDefault="003C49E9">
            <w:pPr>
              <w:pStyle w:val="a3"/>
              <w:spacing w:before="0" w:beforeAutospacing="0" w:after="0" w:afterAutospacing="0"/>
              <w:jc w:val="right"/>
              <w:rPr>
                <w:sz w:val="18"/>
                <w:szCs w:val="18"/>
              </w:rPr>
            </w:pPr>
            <w:r>
              <w:rPr>
                <w:sz w:val="18"/>
                <w:szCs w:val="18"/>
              </w:rPr>
              <w:t>1</w:t>
            </w:r>
            <w:r>
              <w:rPr>
                <w:sz w:val="18"/>
                <w:szCs w:val="18"/>
              </w:rPr>
              <w:t>7</w:t>
            </w:r>
          </w:p>
        </w:tc>
        <w:tc>
          <w:tcPr>
            <w:tcW w:w="0" w:type="auto"/>
            <w:noWrap/>
            <w:vAlign w:val="bottom"/>
            <w:hideMark/>
          </w:tcPr>
          <w:p w14:paraId="2DCE5AE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081C307"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D23DA74"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3807819"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28C168C"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349CCEF"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14798A9" w14:textId="77777777" w:rsidR="00000000" w:rsidRDefault="003C49E9">
            <w:pPr>
              <w:pStyle w:val="a3"/>
              <w:spacing w:before="0" w:beforeAutospacing="0" w:after="0" w:afterAutospacing="0"/>
              <w:jc w:val="right"/>
              <w:rPr>
                <w:sz w:val="18"/>
                <w:szCs w:val="18"/>
              </w:rPr>
            </w:pPr>
            <w:r>
              <w:rPr>
                <w:sz w:val="18"/>
                <w:szCs w:val="18"/>
              </w:rPr>
              <w:t> </w:t>
            </w:r>
          </w:p>
        </w:tc>
      </w:tr>
    </w:tbl>
    <w:p w14:paraId="72CF117B" w14:textId="77777777" w:rsidR="00000000" w:rsidRDefault="003C49E9">
      <w:pPr>
        <w:pStyle w:val="a3"/>
        <w:spacing w:before="200" w:beforeAutospacing="0" w:after="0" w:afterAutospacing="0"/>
        <w:ind w:firstLine="555"/>
        <w:rPr>
          <w:sz w:val="20"/>
          <w:szCs w:val="20"/>
        </w:rPr>
      </w:pPr>
      <w:r>
        <w:rPr>
          <w:sz w:val="20"/>
          <w:szCs w:val="20"/>
        </w:rPr>
        <w:t>The increase in subscription cost of revenue for the three and six months ended June 30, 2022 compared to the same period in 2021 was primarily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52"/>
        <w:gridCol w:w="110"/>
        <w:gridCol w:w="160"/>
        <w:gridCol w:w="1071"/>
        <w:gridCol w:w="110"/>
        <w:gridCol w:w="115"/>
        <w:gridCol w:w="160"/>
        <w:gridCol w:w="1342"/>
        <w:gridCol w:w="125"/>
      </w:tblGrid>
      <w:tr w:rsidR="00000000" w14:paraId="2CC77F83" w14:textId="77777777">
        <w:trPr>
          <w:tblCellSpacing w:w="15" w:type="dxa"/>
        </w:trPr>
        <w:tc>
          <w:tcPr>
            <w:tcW w:w="2739" w:type="pct"/>
            <w:vAlign w:val="center"/>
            <w:hideMark/>
          </w:tcPr>
          <w:p w14:paraId="0CDE906D" w14:textId="77777777" w:rsidR="00000000" w:rsidRDefault="003C49E9">
            <w:pPr>
              <w:rPr>
                <w:sz w:val="20"/>
                <w:szCs w:val="20"/>
              </w:rPr>
            </w:pPr>
          </w:p>
        </w:tc>
        <w:tc>
          <w:tcPr>
            <w:tcW w:w="48" w:type="pct"/>
            <w:vAlign w:val="center"/>
            <w:hideMark/>
          </w:tcPr>
          <w:p w14:paraId="51577000" w14:textId="77777777" w:rsidR="00000000" w:rsidRDefault="003C49E9">
            <w:pPr>
              <w:rPr>
                <w:rFonts w:eastAsia="Times New Roman"/>
                <w:sz w:val="20"/>
                <w:szCs w:val="20"/>
              </w:rPr>
            </w:pPr>
          </w:p>
        </w:tc>
        <w:tc>
          <w:tcPr>
            <w:tcW w:w="50" w:type="pct"/>
            <w:vAlign w:val="center"/>
            <w:hideMark/>
          </w:tcPr>
          <w:p w14:paraId="22709801" w14:textId="77777777" w:rsidR="00000000" w:rsidRDefault="003C49E9">
            <w:pPr>
              <w:rPr>
                <w:rFonts w:eastAsia="Times New Roman"/>
                <w:sz w:val="20"/>
                <w:szCs w:val="20"/>
              </w:rPr>
            </w:pPr>
          </w:p>
        </w:tc>
        <w:tc>
          <w:tcPr>
            <w:tcW w:w="875" w:type="pct"/>
            <w:vAlign w:val="center"/>
            <w:hideMark/>
          </w:tcPr>
          <w:p w14:paraId="54841655" w14:textId="77777777" w:rsidR="00000000" w:rsidRDefault="003C49E9">
            <w:pPr>
              <w:rPr>
                <w:rFonts w:eastAsia="Times New Roman"/>
                <w:sz w:val="20"/>
                <w:szCs w:val="20"/>
              </w:rPr>
            </w:pPr>
          </w:p>
        </w:tc>
        <w:tc>
          <w:tcPr>
            <w:tcW w:w="50" w:type="pct"/>
            <w:vAlign w:val="center"/>
            <w:hideMark/>
          </w:tcPr>
          <w:p w14:paraId="6A59AF04" w14:textId="77777777" w:rsidR="00000000" w:rsidRDefault="003C49E9">
            <w:pPr>
              <w:rPr>
                <w:rFonts w:eastAsia="Times New Roman"/>
                <w:sz w:val="20"/>
                <w:szCs w:val="20"/>
              </w:rPr>
            </w:pPr>
          </w:p>
        </w:tc>
        <w:tc>
          <w:tcPr>
            <w:tcW w:w="48" w:type="pct"/>
            <w:vAlign w:val="center"/>
            <w:hideMark/>
          </w:tcPr>
          <w:p w14:paraId="0D9C1B20" w14:textId="77777777" w:rsidR="00000000" w:rsidRDefault="003C49E9">
            <w:pPr>
              <w:rPr>
                <w:rFonts w:eastAsia="Times New Roman"/>
                <w:sz w:val="20"/>
                <w:szCs w:val="20"/>
              </w:rPr>
            </w:pPr>
          </w:p>
        </w:tc>
        <w:tc>
          <w:tcPr>
            <w:tcW w:w="50" w:type="pct"/>
            <w:vAlign w:val="center"/>
            <w:hideMark/>
          </w:tcPr>
          <w:p w14:paraId="38C958F7" w14:textId="77777777" w:rsidR="00000000" w:rsidRDefault="003C49E9">
            <w:pPr>
              <w:rPr>
                <w:rFonts w:eastAsia="Times New Roman"/>
                <w:sz w:val="20"/>
                <w:szCs w:val="20"/>
              </w:rPr>
            </w:pPr>
          </w:p>
        </w:tc>
        <w:tc>
          <w:tcPr>
            <w:tcW w:w="1088" w:type="pct"/>
            <w:vAlign w:val="center"/>
            <w:hideMark/>
          </w:tcPr>
          <w:p w14:paraId="1F66DA5E" w14:textId="77777777" w:rsidR="00000000" w:rsidRDefault="003C49E9">
            <w:pPr>
              <w:rPr>
                <w:rFonts w:eastAsia="Times New Roman"/>
                <w:sz w:val="20"/>
                <w:szCs w:val="20"/>
              </w:rPr>
            </w:pPr>
          </w:p>
        </w:tc>
        <w:tc>
          <w:tcPr>
            <w:tcW w:w="50" w:type="pct"/>
            <w:vAlign w:val="center"/>
            <w:hideMark/>
          </w:tcPr>
          <w:p w14:paraId="47D40B6F" w14:textId="77777777" w:rsidR="00000000" w:rsidRDefault="003C49E9">
            <w:pPr>
              <w:rPr>
                <w:rFonts w:eastAsia="Times New Roman"/>
                <w:sz w:val="20"/>
                <w:szCs w:val="20"/>
              </w:rPr>
            </w:pPr>
          </w:p>
        </w:tc>
      </w:tr>
      <w:tr w:rsidR="00000000" w14:paraId="067C453A" w14:textId="77777777">
        <w:trPr>
          <w:trHeight w:val="160"/>
          <w:tblCellSpacing w:w="15" w:type="dxa"/>
        </w:trPr>
        <w:tc>
          <w:tcPr>
            <w:tcW w:w="0" w:type="auto"/>
            <w:vAlign w:val="bottom"/>
            <w:hideMark/>
          </w:tcPr>
          <w:p w14:paraId="7C73846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76AC4081"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9339F41"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5C716D5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0267E7E" w14:textId="77777777">
        <w:trPr>
          <w:trHeight w:val="160"/>
          <w:tblCellSpacing w:w="15" w:type="dxa"/>
        </w:trPr>
        <w:tc>
          <w:tcPr>
            <w:tcW w:w="0" w:type="auto"/>
            <w:vAlign w:val="bottom"/>
            <w:hideMark/>
          </w:tcPr>
          <w:p w14:paraId="6878726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FC992F6"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317D464"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643BBEE4"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317245E"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09DB0770"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32B90CA2"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44311A0" w14:textId="77777777">
        <w:trPr>
          <w:trHeight w:val="160"/>
          <w:tblCellSpacing w:w="15" w:type="dxa"/>
        </w:trPr>
        <w:tc>
          <w:tcPr>
            <w:tcW w:w="0" w:type="auto"/>
            <w:vAlign w:val="bottom"/>
            <w:hideMark/>
          </w:tcPr>
          <w:p w14:paraId="5FCF60DE"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31C40E3A" w14:textId="77777777" w:rsidR="00000000" w:rsidRDefault="003C49E9">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962864F"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3C76A3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536BB8B" w14:textId="77777777">
        <w:trPr>
          <w:trHeight w:val="200"/>
          <w:tblCellSpacing w:w="15" w:type="dxa"/>
        </w:trPr>
        <w:tc>
          <w:tcPr>
            <w:tcW w:w="0" w:type="auto"/>
            <w:vAlign w:val="bottom"/>
            <w:hideMark/>
          </w:tcPr>
          <w:p w14:paraId="4C08302B" w14:textId="77777777" w:rsidR="00000000" w:rsidRDefault="003C49E9">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14:paraId="712CC40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6820C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EBF020E" w14:textId="77777777" w:rsidR="00000000" w:rsidRDefault="003C49E9">
            <w:pPr>
              <w:pStyle w:val="a3"/>
              <w:spacing w:before="0" w:beforeAutospacing="0" w:after="0" w:afterAutospacing="0"/>
              <w:jc w:val="right"/>
              <w:rPr>
                <w:sz w:val="20"/>
                <w:szCs w:val="20"/>
              </w:rPr>
            </w:pPr>
            <w:r>
              <w:rPr>
                <w:sz w:val="20"/>
                <w:szCs w:val="20"/>
              </w:rPr>
              <w:t>7,33</w:t>
            </w:r>
            <w:r>
              <w:rPr>
                <w:sz w:val="20"/>
                <w:szCs w:val="20"/>
              </w:rPr>
              <w:t>7</w:t>
            </w:r>
          </w:p>
        </w:tc>
        <w:tc>
          <w:tcPr>
            <w:tcW w:w="0" w:type="auto"/>
            <w:noWrap/>
            <w:vAlign w:val="bottom"/>
            <w:hideMark/>
          </w:tcPr>
          <w:p w14:paraId="00BECC0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2A5BC4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1B33B45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999A7A9" w14:textId="77777777" w:rsidR="00000000" w:rsidRDefault="003C49E9">
            <w:pPr>
              <w:pStyle w:val="a3"/>
              <w:spacing w:before="0" w:beforeAutospacing="0" w:after="0" w:afterAutospacing="0"/>
              <w:jc w:val="right"/>
              <w:rPr>
                <w:sz w:val="20"/>
                <w:szCs w:val="20"/>
              </w:rPr>
            </w:pPr>
            <w:r>
              <w:rPr>
                <w:sz w:val="20"/>
                <w:szCs w:val="20"/>
              </w:rPr>
              <w:t>16,45</w:t>
            </w:r>
            <w:r>
              <w:rPr>
                <w:sz w:val="20"/>
                <w:szCs w:val="20"/>
              </w:rPr>
              <w:t>9</w:t>
            </w:r>
          </w:p>
        </w:tc>
        <w:tc>
          <w:tcPr>
            <w:tcW w:w="0" w:type="auto"/>
            <w:noWrap/>
            <w:vAlign w:val="bottom"/>
            <w:hideMark/>
          </w:tcPr>
          <w:p w14:paraId="06C1D5E1" w14:textId="77777777" w:rsidR="00000000" w:rsidRDefault="003C49E9">
            <w:pPr>
              <w:pStyle w:val="a3"/>
              <w:spacing w:before="0" w:beforeAutospacing="0" w:after="0" w:afterAutospacing="0"/>
              <w:rPr>
                <w:sz w:val="20"/>
                <w:szCs w:val="20"/>
              </w:rPr>
            </w:pPr>
            <w:r>
              <w:rPr>
                <w:sz w:val="20"/>
                <w:szCs w:val="20"/>
              </w:rPr>
              <w:t> </w:t>
            </w:r>
          </w:p>
        </w:tc>
      </w:tr>
      <w:tr w:rsidR="00000000" w14:paraId="35945D85" w14:textId="77777777">
        <w:trPr>
          <w:trHeight w:val="200"/>
          <w:tblCellSpacing w:w="15" w:type="dxa"/>
        </w:trPr>
        <w:tc>
          <w:tcPr>
            <w:tcW w:w="0" w:type="auto"/>
            <w:vAlign w:val="bottom"/>
            <w:hideMark/>
          </w:tcPr>
          <w:p w14:paraId="2FC5986E" w14:textId="77777777" w:rsidR="00000000" w:rsidRDefault="003C49E9">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14:paraId="4A75765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74A0BA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ACC40E" w14:textId="77777777" w:rsidR="00000000" w:rsidRDefault="003C49E9">
            <w:pPr>
              <w:pStyle w:val="a3"/>
              <w:spacing w:before="0" w:beforeAutospacing="0" w:after="0" w:afterAutospacing="0"/>
              <w:jc w:val="right"/>
              <w:rPr>
                <w:sz w:val="20"/>
                <w:szCs w:val="20"/>
              </w:rPr>
            </w:pPr>
            <w:r>
              <w:rPr>
                <w:sz w:val="20"/>
                <w:szCs w:val="20"/>
              </w:rPr>
              <w:t>3,52</w:t>
            </w:r>
            <w:r>
              <w:rPr>
                <w:sz w:val="20"/>
                <w:szCs w:val="20"/>
              </w:rPr>
              <w:t>8</w:t>
            </w:r>
          </w:p>
        </w:tc>
        <w:tc>
          <w:tcPr>
            <w:tcW w:w="0" w:type="auto"/>
            <w:noWrap/>
            <w:vAlign w:val="bottom"/>
            <w:hideMark/>
          </w:tcPr>
          <w:p w14:paraId="14EA19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3D33B9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09A0FA1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A680FE" w14:textId="77777777" w:rsidR="00000000" w:rsidRDefault="003C49E9">
            <w:pPr>
              <w:pStyle w:val="a3"/>
              <w:spacing w:before="0" w:beforeAutospacing="0" w:after="0" w:afterAutospacing="0"/>
              <w:jc w:val="right"/>
              <w:rPr>
                <w:sz w:val="20"/>
                <w:szCs w:val="20"/>
              </w:rPr>
            </w:pPr>
            <w:r>
              <w:rPr>
                <w:sz w:val="20"/>
                <w:szCs w:val="20"/>
              </w:rPr>
              <w:t>7,35</w:t>
            </w:r>
            <w:r>
              <w:rPr>
                <w:sz w:val="20"/>
                <w:szCs w:val="20"/>
              </w:rPr>
              <w:t>4</w:t>
            </w:r>
          </w:p>
        </w:tc>
        <w:tc>
          <w:tcPr>
            <w:tcW w:w="0" w:type="auto"/>
            <w:noWrap/>
            <w:vAlign w:val="bottom"/>
            <w:hideMark/>
          </w:tcPr>
          <w:p w14:paraId="31AF852A" w14:textId="77777777" w:rsidR="00000000" w:rsidRDefault="003C49E9">
            <w:pPr>
              <w:pStyle w:val="a3"/>
              <w:spacing w:before="0" w:beforeAutospacing="0" w:after="0" w:afterAutospacing="0"/>
              <w:rPr>
                <w:sz w:val="20"/>
                <w:szCs w:val="20"/>
              </w:rPr>
            </w:pPr>
            <w:r>
              <w:rPr>
                <w:sz w:val="20"/>
                <w:szCs w:val="20"/>
              </w:rPr>
              <w:t> </w:t>
            </w:r>
          </w:p>
        </w:tc>
      </w:tr>
      <w:tr w:rsidR="00000000" w14:paraId="06B24BF3" w14:textId="77777777">
        <w:trPr>
          <w:trHeight w:val="200"/>
          <w:tblCellSpacing w:w="15" w:type="dxa"/>
        </w:trPr>
        <w:tc>
          <w:tcPr>
            <w:tcW w:w="0" w:type="auto"/>
            <w:vAlign w:val="bottom"/>
            <w:hideMark/>
          </w:tcPr>
          <w:p w14:paraId="17D4992D" w14:textId="77777777" w:rsidR="00000000" w:rsidRDefault="003C49E9">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14:paraId="52050F5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72B4F9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398D714" w14:textId="77777777" w:rsidR="00000000" w:rsidRDefault="003C49E9">
            <w:pPr>
              <w:pStyle w:val="a3"/>
              <w:spacing w:before="0" w:beforeAutospacing="0" w:after="0" w:afterAutospacing="0"/>
              <w:jc w:val="right"/>
              <w:rPr>
                <w:sz w:val="20"/>
                <w:szCs w:val="20"/>
              </w:rPr>
            </w:pPr>
            <w:r>
              <w:rPr>
                <w:sz w:val="20"/>
                <w:szCs w:val="20"/>
              </w:rPr>
              <w:t>2,27</w:t>
            </w:r>
            <w:r>
              <w:rPr>
                <w:sz w:val="20"/>
                <w:szCs w:val="20"/>
              </w:rPr>
              <w:t>0</w:t>
            </w:r>
          </w:p>
        </w:tc>
        <w:tc>
          <w:tcPr>
            <w:tcW w:w="0" w:type="auto"/>
            <w:noWrap/>
            <w:vAlign w:val="bottom"/>
            <w:hideMark/>
          </w:tcPr>
          <w:p w14:paraId="597FECD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BADAE07"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0FA05A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B8B476" w14:textId="77777777" w:rsidR="00000000" w:rsidRDefault="003C49E9">
            <w:pPr>
              <w:pStyle w:val="a3"/>
              <w:spacing w:before="0" w:beforeAutospacing="0" w:after="0" w:afterAutospacing="0"/>
              <w:jc w:val="right"/>
              <w:rPr>
                <w:sz w:val="20"/>
                <w:szCs w:val="20"/>
              </w:rPr>
            </w:pPr>
            <w:r>
              <w:rPr>
                <w:sz w:val="20"/>
                <w:szCs w:val="20"/>
              </w:rPr>
              <w:t>4,47</w:t>
            </w:r>
            <w:r>
              <w:rPr>
                <w:sz w:val="20"/>
                <w:szCs w:val="20"/>
              </w:rPr>
              <w:t>1</w:t>
            </w:r>
          </w:p>
        </w:tc>
        <w:tc>
          <w:tcPr>
            <w:tcW w:w="0" w:type="auto"/>
            <w:noWrap/>
            <w:vAlign w:val="bottom"/>
            <w:hideMark/>
          </w:tcPr>
          <w:p w14:paraId="42EFDB06" w14:textId="77777777" w:rsidR="00000000" w:rsidRDefault="003C49E9">
            <w:pPr>
              <w:pStyle w:val="a3"/>
              <w:spacing w:before="0" w:beforeAutospacing="0" w:after="0" w:afterAutospacing="0"/>
              <w:rPr>
                <w:sz w:val="20"/>
                <w:szCs w:val="20"/>
              </w:rPr>
            </w:pPr>
            <w:r>
              <w:rPr>
                <w:sz w:val="20"/>
                <w:szCs w:val="20"/>
              </w:rPr>
              <w:t> </w:t>
            </w:r>
          </w:p>
        </w:tc>
      </w:tr>
      <w:tr w:rsidR="00000000" w14:paraId="1ED4211E" w14:textId="77777777">
        <w:trPr>
          <w:trHeight w:val="200"/>
          <w:tblCellSpacing w:w="15" w:type="dxa"/>
        </w:trPr>
        <w:tc>
          <w:tcPr>
            <w:tcW w:w="0" w:type="auto"/>
            <w:vAlign w:val="bottom"/>
            <w:hideMark/>
          </w:tcPr>
          <w:p w14:paraId="011869CB" w14:textId="77777777" w:rsidR="00000000" w:rsidRDefault="003C49E9">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14:paraId="209F534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B4AD66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0F6228" w14:textId="77777777" w:rsidR="00000000" w:rsidRDefault="003C49E9">
            <w:pPr>
              <w:pStyle w:val="a3"/>
              <w:spacing w:before="0" w:beforeAutospacing="0" w:after="0" w:afterAutospacing="0"/>
              <w:jc w:val="right"/>
              <w:rPr>
                <w:sz w:val="20"/>
                <w:szCs w:val="20"/>
              </w:rPr>
            </w:pPr>
            <w:r>
              <w:rPr>
                <w:sz w:val="20"/>
                <w:szCs w:val="20"/>
              </w:rPr>
              <w:t>9</w:t>
            </w:r>
            <w:r>
              <w:rPr>
                <w:sz w:val="20"/>
                <w:szCs w:val="20"/>
              </w:rPr>
              <w:t>1</w:t>
            </w:r>
          </w:p>
        </w:tc>
        <w:tc>
          <w:tcPr>
            <w:tcW w:w="0" w:type="auto"/>
            <w:noWrap/>
            <w:vAlign w:val="bottom"/>
            <w:hideMark/>
          </w:tcPr>
          <w:p w14:paraId="66354D9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EF879F"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132990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269410" w14:textId="77777777" w:rsidR="00000000" w:rsidRDefault="003C49E9">
            <w:pPr>
              <w:pStyle w:val="a3"/>
              <w:spacing w:before="0" w:beforeAutospacing="0" w:after="0" w:afterAutospacing="0"/>
              <w:jc w:val="right"/>
              <w:rPr>
                <w:sz w:val="20"/>
                <w:szCs w:val="20"/>
              </w:rPr>
            </w:pPr>
            <w:r>
              <w:rPr>
                <w:sz w:val="20"/>
                <w:szCs w:val="20"/>
              </w:rPr>
              <w:t>39</w:t>
            </w:r>
            <w:r>
              <w:rPr>
                <w:sz w:val="20"/>
                <w:szCs w:val="20"/>
              </w:rPr>
              <w:t>3</w:t>
            </w:r>
          </w:p>
        </w:tc>
        <w:tc>
          <w:tcPr>
            <w:tcW w:w="0" w:type="auto"/>
            <w:noWrap/>
            <w:vAlign w:val="bottom"/>
            <w:hideMark/>
          </w:tcPr>
          <w:p w14:paraId="0C0B0BE6" w14:textId="77777777" w:rsidR="00000000" w:rsidRDefault="003C49E9">
            <w:pPr>
              <w:pStyle w:val="a3"/>
              <w:spacing w:before="0" w:beforeAutospacing="0" w:after="0" w:afterAutospacing="0"/>
              <w:rPr>
                <w:sz w:val="20"/>
                <w:szCs w:val="20"/>
              </w:rPr>
            </w:pPr>
            <w:r>
              <w:rPr>
                <w:sz w:val="20"/>
                <w:szCs w:val="20"/>
              </w:rPr>
              <w:t> </w:t>
            </w:r>
          </w:p>
        </w:tc>
      </w:tr>
      <w:tr w:rsidR="00000000" w14:paraId="31115453" w14:textId="77777777">
        <w:trPr>
          <w:trHeight w:val="200"/>
          <w:tblCellSpacing w:w="15" w:type="dxa"/>
        </w:trPr>
        <w:tc>
          <w:tcPr>
            <w:tcW w:w="0" w:type="auto"/>
            <w:vAlign w:val="bottom"/>
            <w:hideMark/>
          </w:tcPr>
          <w:p w14:paraId="4B0735F8" w14:textId="77777777" w:rsidR="00000000" w:rsidRDefault="003C49E9">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14:paraId="6EAE3C2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4705A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AFBA65" w14:textId="77777777" w:rsidR="00000000" w:rsidRDefault="003C49E9">
            <w:pPr>
              <w:pStyle w:val="a3"/>
              <w:spacing w:before="0" w:beforeAutospacing="0" w:after="0" w:afterAutospacing="0"/>
              <w:jc w:val="right"/>
              <w:rPr>
                <w:sz w:val="20"/>
                <w:szCs w:val="20"/>
              </w:rPr>
            </w:pPr>
            <w:r>
              <w:rPr>
                <w:sz w:val="20"/>
                <w:szCs w:val="20"/>
              </w:rPr>
              <w:t>7</w:t>
            </w:r>
            <w:r>
              <w:rPr>
                <w:sz w:val="20"/>
                <w:szCs w:val="20"/>
              </w:rPr>
              <w:t>1</w:t>
            </w:r>
          </w:p>
        </w:tc>
        <w:tc>
          <w:tcPr>
            <w:tcW w:w="0" w:type="auto"/>
            <w:noWrap/>
            <w:vAlign w:val="bottom"/>
            <w:hideMark/>
          </w:tcPr>
          <w:p w14:paraId="288E84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7ABA89"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4553066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D29F909" w14:textId="77777777" w:rsidR="00000000" w:rsidRDefault="003C49E9">
            <w:pPr>
              <w:pStyle w:val="a3"/>
              <w:spacing w:before="0" w:beforeAutospacing="0" w:after="0" w:afterAutospacing="0"/>
              <w:jc w:val="right"/>
              <w:rPr>
                <w:sz w:val="20"/>
                <w:szCs w:val="20"/>
              </w:rPr>
            </w:pPr>
            <w:r>
              <w:rPr>
                <w:sz w:val="20"/>
                <w:szCs w:val="20"/>
              </w:rPr>
              <w:t>15</w:t>
            </w:r>
            <w:r>
              <w:rPr>
                <w:sz w:val="20"/>
                <w:szCs w:val="20"/>
              </w:rPr>
              <w:t>3</w:t>
            </w:r>
          </w:p>
        </w:tc>
        <w:tc>
          <w:tcPr>
            <w:tcW w:w="0" w:type="auto"/>
            <w:noWrap/>
            <w:vAlign w:val="bottom"/>
            <w:hideMark/>
          </w:tcPr>
          <w:p w14:paraId="6E4390A7" w14:textId="77777777" w:rsidR="00000000" w:rsidRDefault="003C49E9">
            <w:pPr>
              <w:pStyle w:val="a3"/>
              <w:spacing w:before="0" w:beforeAutospacing="0" w:after="0" w:afterAutospacing="0"/>
              <w:rPr>
                <w:sz w:val="20"/>
                <w:szCs w:val="20"/>
              </w:rPr>
            </w:pPr>
            <w:r>
              <w:rPr>
                <w:sz w:val="20"/>
                <w:szCs w:val="20"/>
              </w:rPr>
              <w:t> </w:t>
            </w:r>
          </w:p>
        </w:tc>
      </w:tr>
      <w:tr w:rsidR="00000000" w14:paraId="63F27D9A" w14:textId="77777777">
        <w:trPr>
          <w:trHeight w:val="200"/>
          <w:tblCellSpacing w:w="15" w:type="dxa"/>
        </w:trPr>
        <w:tc>
          <w:tcPr>
            <w:tcW w:w="0" w:type="auto"/>
            <w:vAlign w:val="bottom"/>
            <w:hideMark/>
          </w:tcPr>
          <w:p w14:paraId="00DCBF2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F9E348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352E8F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EBFB4E9" w14:textId="77777777" w:rsidR="00000000" w:rsidRDefault="003C49E9">
            <w:pPr>
              <w:pStyle w:val="a3"/>
              <w:spacing w:before="0" w:beforeAutospacing="0" w:after="0" w:afterAutospacing="0"/>
              <w:jc w:val="right"/>
              <w:rPr>
                <w:sz w:val="20"/>
                <w:szCs w:val="20"/>
              </w:rPr>
            </w:pPr>
            <w:r>
              <w:rPr>
                <w:sz w:val="20"/>
                <w:szCs w:val="20"/>
              </w:rPr>
              <w:t>13,29</w:t>
            </w:r>
            <w:r>
              <w:rPr>
                <w:sz w:val="20"/>
                <w:szCs w:val="20"/>
              </w:rPr>
              <w:t>7</w:t>
            </w:r>
          </w:p>
        </w:tc>
        <w:tc>
          <w:tcPr>
            <w:tcW w:w="0" w:type="auto"/>
            <w:noWrap/>
            <w:vAlign w:val="bottom"/>
            <w:hideMark/>
          </w:tcPr>
          <w:p w14:paraId="1B8C561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D07FF5"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6C9C9A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649B1A8" w14:textId="77777777" w:rsidR="00000000" w:rsidRDefault="003C49E9">
            <w:pPr>
              <w:pStyle w:val="a3"/>
              <w:spacing w:before="0" w:beforeAutospacing="0" w:after="0" w:afterAutospacing="0"/>
              <w:jc w:val="right"/>
              <w:rPr>
                <w:sz w:val="20"/>
                <w:szCs w:val="20"/>
              </w:rPr>
            </w:pPr>
            <w:r>
              <w:rPr>
                <w:sz w:val="20"/>
                <w:szCs w:val="20"/>
              </w:rPr>
              <w:t>28,83</w:t>
            </w:r>
            <w:r>
              <w:rPr>
                <w:sz w:val="20"/>
                <w:szCs w:val="20"/>
              </w:rPr>
              <w:t>0</w:t>
            </w:r>
          </w:p>
        </w:tc>
        <w:tc>
          <w:tcPr>
            <w:tcW w:w="0" w:type="auto"/>
            <w:noWrap/>
            <w:vAlign w:val="bottom"/>
            <w:hideMark/>
          </w:tcPr>
          <w:p w14:paraId="34315765" w14:textId="77777777" w:rsidR="00000000" w:rsidRDefault="003C49E9">
            <w:pPr>
              <w:pStyle w:val="a3"/>
              <w:spacing w:before="0" w:beforeAutospacing="0" w:after="0" w:afterAutospacing="0"/>
              <w:rPr>
                <w:sz w:val="20"/>
                <w:szCs w:val="20"/>
              </w:rPr>
            </w:pPr>
            <w:r>
              <w:rPr>
                <w:sz w:val="20"/>
                <w:szCs w:val="20"/>
              </w:rPr>
              <w:t> </w:t>
            </w:r>
          </w:p>
        </w:tc>
      </w:tr>
    </w:tbl>
    <w:p w14:paraId="68C97AD3"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1479D07D" w14:textId="77777777" w:rsidR="00000000" w:rsidRDefault="003C49E9">
      <w:pPr>
        <w:pStyle w:val="a3"/>
        <w:spacing w:before="200" w:beforeAutospacing="0" w:after="0" w:afterAutospacing="0"/>
        <w:ind w:firstLine="555"/>
        <w:rPr>
          <w:sz w:val="20"/>
          <w:szCs w:val="20"/>
        </w:rPr>
      </w:pPr>
      <w:r>
        <w:rPr>
          <w:sz w:val="20"/>
          <w:szCs w:val="20"/>
        </w:rPr>
        <w:t>Subscription and hosting costs increased primarily due to growth in our Total Customer base from 121,048 as of June 30, 2021 to 150,865 as of June 30, 2022. We also saw higher subscription and hosting costs as we launched an additional data center in the t</w:t>
      </w:r>
      <w:r>
        <w:rPr>
          <w:sz w:val="20"/>
          <w:szCs w:val="20"/>
        </w:rPr>
        <w:t>hird quarter of 2021 and continued to focus on the security, reliability and performance of our CRM Platform. Employee-related costs increased as a result of increased headcount as we grew our customer support organization to support our customer growth an</w:t>
      </w:r>
      <w:r>
        <w:rPr>
          <w:sz w:val="20"/>
          <w:szCs w:val="20"/>
        </w:rPr>
        <w:t>d improve service levels and offerings. Amortization of capitalized software development costs increased due to the increased number of developers working on our software platform as we continue to develop new products and increased functionality. Allocate</w:t>
      </w:r>
      <w:r>
        <w:rPr>
          <w:sz w:val="20"/>
          <w:szCs w:val="20"/>
        </w:rPr>
        <w:t>d overhead expenses increased due to an increase in shared company expenses associated with our systems and infrastructure that is needed to grow our business. Amortization of acquired technology increased due to certain acquired technology being amortized</w:t>
      </w:r>
      <w:r>
        <w:rPr>
          <w:sz w:val="20"/>
          <w:szCs w:val="20"/>
        </w:rPr>
        <w:t xml:space="preserve"> using a method reflective of the expected economic benefit consumption over the expected useful life of the asset</w:t>
      </w:r>
      <w:r>
        <w:rPr>
          <w:sz w:val="20"/>
          <w:szCs w:val="20"/>
        </w:rPr>
        <w:t>.</w:t>
      </w:r>
      <w:r>
        <w:rPr>
          <w:sz w:val="20"/>
          <w:szCs w:val="20"/>
        </w:rPr>
        <w:t xml:space="preserve"> </w:t>
      </w:r>
    </w:p>
    <w:p w14:paraId="20400B1A"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53F6A70E" w14:textId="77777777" w:rsidR="00000000" w:rsidRDefault="003C49E9">
      <w:pPr>
        <w:pStyle w:val="a3"/>
        <w:spacing w:before="200" w:beforeAutospacing="0" w:after="0" w:afterAutospacing="0"/>
        <w:ind w:firstLine="555"/>
        <w:rPr>
          <w:sz w:val="20"/>
          <w:szCs w:val="20"/>
        </w:rPr>
      </w:pPr>
      <w:r>
        <w:rPr>
          <w:sz w:val="20"/>
          <w:szCs w:val="20"/>
        </w:rPr>
        <w:t>Subscription and hosting costs increased primarily due to growth in our Total Customer base from 121,048 as of June 30, 2021 to 150,865 as of June 30, 2022. We also saw higher subscription and hosting costs as we launched an additional data center in the t</w:t>
      </w:r>
      <w:r>
        <w:rPr>
          <w:sz w:val="20"/>
          <w:szCs w:val="20"/>
        </w:rPr>
        <w:t>hird quarter of 2021 and continued to focus on the security, reliability and performance of our CRM Platform. Employee-related costs increased as a result of increased headcount as we grew our customer support organization to support our customer growth an</w:t>
      </w:r>
      <w:r>
        <w:rPr>
          <w:sz w:val="20"/>
          <w:szCs w:val="20"/>
        </w:rPr>
        <w:t>d improve service levels and offerings. Amortization of capitalized software development costs increased due to the increased number of developers working on our software platform as we continue to develop new products and increased functionality. Allocate</w:t>
      </w:r>
      <w:r>
        <w:rPr>
          <w:sz w:val="20"/>
          <w:szCs w:val="20"/>
        </w:rPr>
        <w:t>d overhead expenses increased due to an increase in shared company expenses associated with our systems and infrastructure as we continued to grow our business. Amortization of acquired technology increased due to certain acquired technology being amortize</w:t>
      </w:r>
      <w:r>
        <w:rPr>
          <w:sz w:val="20"/>
          <w:szCs w:val="20"/>
        </w:rPr>
        <w:t>d using a method reflective of the expected economic benefit consumption over the expected useful life of the asset</w:t>
      </w:r>
      <w:r>
        <w:rPr>
          <w:sz w:val="20"/>
          <w:szCs w:val="20"/>
        </w:rPr>
        <w:t>.</w:t>
      </w:r>
      <w:r>
        <w:rPr>
          <w:sz w:val="20"/>
          <w:szCs w:val="20"/>
        </w:rPr>
        <w:t xml:space="preserve"> </w:t>
      </w:r>
    </w:p>
    <w:p w14:paraId="3873B048" w14:textId="77777777" w:rsidR="00000000" w:rsidRDefault="003C49E9">
      <w:pPr>
        <w:pStyle w:val="a3"/>
        <w:spacing w:before="20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5"/>
        <w:gridCol w:w="105"/>
        <w:gridCol w:w="150"/>
        <w:gridCol w:w="555"/>
        <w:gridCol w:w="210"/>
        <w:gridCol w:w="105"/>
        <w:gridCol w:w="150"/>
        <w:gridCol w:w="555"/>
        <w:gridCol w:w="210"/>
        <w:gridCol w:w="105"/>
        <w:gridCol w:w="151"/>
        <w:gridCol w:w="561"/>
        <w:gridCol w:w="105"/>
        <w:gridCol w:w="105"/>
        <w:gridCol w:w="106"/>
        <w:gridCol w:w="465"/>
        <w:gridCol w:w="210"/>
        <w:gridCol w:w="105"/>
        <w:gridCol w:w="150"/>
        <w:gridCol w:w="555"/>
        <w:gridCol w:w="210"/>
        <w:gridCol w:w="105"/>
        <w:gridCol w:w="150"/>
        <w:gridCol w:w="555"/>
        <w:gridCol w:w="210"/>
        <w:gridCol w:w="105"/>
        <w:gridCol w:w="151"/>
        <w:gridCol w:w="548"/>
        <w:gridCol w:w="105"/>
        <w:gridCol w:w="105"/>
        <w:gridCol w:w="106"/>
        <w:gridCol w:w="467"/>
        <w:gridCol w:w="225"/>
      </w:tblGrid>
      <w:tr w:rsidR="00000000" w14:paraId="26584501" w14:textId="77777777">
        <w:trPr>
          <w:tblCellSpacing w:w="15" w:type="dxa"/>
        </w:trPr>
        <w:tc>
          <w:tcPr>
            <w:tcW w:w="1004" w:type="pct"/>
            <w:vAlign w:val="center"/>
            <w:hideMark/>
          </w:tcPr>
          <w:p w14:paraId="493E9F16" w14:textId="77777777" w:rsidR="00000000" w:rsidRDefault="003C49E9">
            <w:pPr>
              <w:rPr>
                <w:sz w:val="20"/>
                <w:szCs w:val="20"/>
              </w:rPr>
            </w:pPr>
          </w:p>
        </w:tc>
        <w:tc>
          <w:tcPr>
            <w:tcW w:w="45" w:type="pct"/>
            <w:vAlign w:val="center"/>
            <w:hideMark/>
          </w:tcPr>
          <w:p w14:paraId="0269DC2C" w14:textId="77777777" w:rsidR="00000000" w:rsidRDefault="003C49E9">
            <w:pPr>
              <w:rPr>
                <w:rFonts w:eastAsia="Times New Roman"/>
                <w:sz w:val="20"/>
                <w:szCs w:val="20"/>
              </w:rPr>
            </w:pPr>
          </w:p>
        </w:tc>
        <w:tc>
          <w:tcPr>
            <w:tcW w:w="50" w:type="pct"/>
            <w:vAlign w:val="center"/>
            <w:hideMark/>
          </w:tcPr>
          <w:p w14:paraId="32303AE8" w14:textId="77777777" w:rsidR="00000000" w:rsidRDefault="003C49E9">
            <w:pPr>
              <w:rPr>
                <w:rFonts w:eastAsia="Times New Roman"/>
                <w:sz w:val="20"/>
                <w:szCs w:val="20"/>
              </w:rPr>
            </w:pPr>
          </w:p>
        </w:tc>
        <w:tc>
          <w:tcPr>
            <w:tcW w:w="286" w:type="pct"/>
            <w:vAlign w:val="center"/>
            <w:hideMark/>
          </w:tcPr>
          <w:p w14:paraId="7F50B597" w14:textId="77777777" w:rsidR="00000000" w:rsidRDefault="003C49E9">
            <w:pPr>
              <w:rPr>
                <w:rFonts w:eastAsia="Times New Roman"/>
                <w:sz w:val="20"/>
                <w:szCs w:val="20"/>
              </w:rPr>
            </w:pPr>
          </w:p>
        </w:tc>
        <w:tc>
          <w:tcPr>
            <w:tcW w:w="50" w:type="pct"/>
            <w:vAlign w:val="center"/>
            <w:hideMark/>
          </w:tcPr>
          <w:p w14:paraId="5653547F" w14:textId="77777777" w:rsidR="00000000" w:rsidRDefault="003C49E9">
            <w:pPr>
              <w:rPr>
                <w:rFonts w:eastAsia="Times New Roman"/>
                <w:sz w:val="20"/>
                <w:szCs w:val="20"/>
              </w:rPr>
            </w:pPr>
          </w:p>
        </w:tc>
        <w:tc>
          <w:tcPr>
            <w:tcW w:w="45" w:type="pct"/>
            <w:vAlign w:val="center"/>
            <w:hideMark/>
          </w:tcPr>
          <w:p w14:paraId="55DD62AE" w14:textId="77777777" w:rsidR="00000000" w:rsidRDefault="003C49E9">
            <w:pPr>
              <w:rPr>
                <w:rFonts w:eastAsia="Times New Roman"/>
                <w:sz w:val="20"/>
                <w:szCs w:val="20"/>
              </w:rPr>
            </w:pPr>
          </w:p>
        </w:tc>
        <w:tc>
          <w:tcPr>
            <w:tcW w:w="50" w:type="pct"/>
            <w:vAlign w:val="center"/>
            <w:hideMark/>
          </w:tcPr>
          <w:p w14:paraId="291F7F2F" w14:textId="77777777" w:rsidR="00000000" w:rsidRDefault="003C49E9">
            <w:pPr>
              <w:rPr>
                <w:rFonts w:eastAsia="Times New Roman"/>
                <w:sz w:val="20"/>
                <w:szCs w:val="20"/>
              </w:rPr>
            </w:pPr>
          </w:p>
        </w:tc>
        <w:tc>
          <w:tcPr>
            <w:tcW w:w="357" w:type="pct"/>
            <w:vAlign w:val="center"/>
            <w:hideMark/>
          </w:tcPr>
          <w:p w14:paraId="385EFCF9" w14:textId="77777777" w:rsidR="00000000" w:rsidRDefault="003C49E9">
            <w:pPr>
              <w:rPr>
                <w:rFonts w:eastAsia="Times New Roman"/>
                <w:sz w:val="20"/>
                <w:szCs w:val="20"/>
              </w:rPr>
            </w:pPr>
          </w:p>
        </w:tc>
        <w:tc>
          <w:tcPr>
            <w:tcW w:w="50" w:type="pct"/>
            <w:vAlign w:val="center"/>
            <w:hideMark/>
          </w:tcPr>
          <w:p w14:paraId="2F1BC090" w14:textId="77777777" w:rsidR="00000000" w:rsidRDefault="003C49E9">
            <w:pPr>
              <w:rPr>
                <w:rFonts w:eastAsia="Times New Roman"/>
                <w:sz w:val="20"/>
                <w:szCs w:val="20"/>
              </w:rPr>
            </w:pPr>
          </w:p>
        </w:tc>
        <w:tc>
          <w:tcPr>
            <w:tcW w:w="45" w:type="pct"/>
            <w:vAlign w:val="center"/>
            <w:hideMark/>
          </w:tcPr>
          <w:p w14:paraId="56B72190" w14:textId="77777777" w:rsidR="00000000" w:rsidRDefault="003C49E9">
            <w:pPr>
              <w:rPr>
                <w:rFonts w:eastAsia="Times New Roman"/>
                <w:sz w:val="20"/>
                <w:szCs w:val="20"/>
              </w:rPr>
            </w:pPr>
          </w:p>
        </w:tc>
        <w:tc>
          <w:tcPr>
            <w:tcW w:w="50" w:type="pct"/>
            <w:vAlign w:val="center"/>
            <w:hideMark/>
          </w:tcPr>
          <w:p w14:paraId="4A8F7591" w14:textId="77777777" w:rsidR="00000000" w:rsidRDefault="003C49E9">
            <w:pPr>
              <w:rPr>
                <w:rFonts w:eastAsia="Times New Roman"/>
                <w:sz w:val="20"/>
                <w:szCs w:val="20"/>
              </w:rPr>
            </w:pPr>
          </w:p>
        </w:tc>
        <w:tc>
          <w:tcPr>
            <w:tcW w:w="363" w:type="pct"/>
            <w:vAlign w:val="center"/>
            <w:hideMark/>
          </w:tcPr>
          <w:p w14:paraId="7C9E16DC" w14:textId="77777777" w:rsidR="00000000" w:rsidRDefault="003C49E9">
            <w:pPr>
              <w:rPr>
                <w:rFonts w:eastAsia="Times New Roman"/>
                <w:sz w:val="20"/>
                <w:szCs w:val="20"/>
              </w:rPr>
            </w:pPr>
          </w:p>
        </w:tc>
        <w:tc>
          <w:tcPr>
            <w:tcW w:w="50" w:type="pct"/>
            <w:vAlign w:val="center"/>
            <w:hideMark/>
          </w:tcPr>
          <w:p w14:paraId="57DFF84C" w14:textId="77777777" w:rsidR="00000000" w:rsidRDefault="003C49E9">
            <w:pPr>
              <w:rPr>
                <w:rFonts w:eastAsia="Times New Roman"/>
                <w:sz w:val="20"/>
                <w:szCs w:val="20"/>
              </w:rPr>
            </w:pPr>
          </w:p>
        </w:tc>
        <w:tc>
          <w:tcPr>
            <w:tcW w:w="45" w:type="pct"/>
            <w:vAlign w:val="center"/>
            <w:hideMark/>
          </w:tcPr>
          <w:p w14:paraId="4645578C" w14:textId="77777777" w:rsidR="00000000" w:rsidRDefault="003C49E9">
            <w:pPr>
              <w:rPr>
                <w:rFonts w:eastAsia="Times New Roman"/>
                <w:sz w:val="20"/>
                <w:szCs w:val="20"/>
              </w:rPr>
            </w:pPr>
          </w:p>
        </w:tc>
        <w:tc>
          <w:tcPr>
            <w:tcW w:w="50" w:type="pct"/>
            <w:vAlign w:val="center"/>
            <w:hideMark/>
          </w:tcPr>
          <w:p w14:paraId="6D3C6AD3" w14:textId="77777777" w:rsidR="00000000" w:rsidRDefault="003C49E9">
            <w:pPr>
              <w:rPr>
                <w:rFonts w:eastAsia="Times New Roman"/>
                <w:sz w:val="20"/>
                <w:szCs w:val="20"/>
              </w:rPr>
            </w:pPr>
          </w:p>
        </w:tc>
        <w:tc>
          <w:tcPr>
            <w:tcW w:w="383" w:type="pct"/>
            <w:vAlign w:val="center"/>
            <w:hideMark/>
          </w:tcPr>
          <w:p w14:paraId="41DB201B" w14:textId="77777777" w:rsidR="00000000" w:rsidRDefault="003C49E9">
            <w:pPr>
              <w:rPr>
                <w:rFonts w:eastAsia="Times New Roman"/>
                <w:sz w:val="20"/>
                <w:szCs w:val="20"/>
              </w:rPr>
            </w:pPr>
          </w:p>
        </w:tc>
        <w:tc>
          <w:tcPr>
            <w:tcW w:w="50" w:type="pct"/>
            <w:vAlign w:val="center"/>
            <w:hideMark/>
          </w:tcPr>
          <w:p w14:paraId="0E6B849A" w14:textId="77777777" w:rsidR="00000000" w:rsidRDefault="003C49E9">
            <w:pPr>
              <w:rPr>
                <w:rFonts w:eastAsia="Times New Roman"/>
                <w:sz w:val="20"/>
                <w:szCs w:val="20"/>
              </w:rPr>
            </w:pPr>
          </w:p>
        </w:tc>
        <w:tc>
          <w:tcPr>
            <w:tcW w:w="45" w:type="pct"/>
            <w:vAlign w:val="center"/>
            <w:hideMark/>
          </w:tcPr>
          <w:p w14:paraId="4DCAC4C9" w14:textId="77777777" w:rsidR="00000000" w:rsidRDefault="003C49E9">
            <w:pPr>
              <w:rPr>
                <w:rFonts w:eastAsia="Times New Roman"/>
                <w:sz w:val="20"/>
                <w:szCs w:val="20"/>
              </w:rPr>
            </w:pPr>
          </w:p>
        </w:tc>
        <w:tc>
          <w:tcPr>
            <w:tcW w:w="50" w:type="pct"/>
            <w:vAlign w:val="center"/>
            <w:hideMark/>
          </w:tcPr>
          <w:p w14:paraId="76EC3FBD" w14:textId="77777777" w:rsidR="00000000" w:rsidRDefault="003C49E9">
            <w:pPr>
              <w:rPr>
                <w:rFonts w:eastAsia="Times New Roman"/>
                <w:sz w:val="20"/>
                <w:szCs w:val="20"/>
              </w:rPr>
            </w:pPr>
          </w:p>
        </w:tc>
        <w:tc>
          <w:tcPr>
            <w:tcW w:w="343" w:type="pct"/>
            <w:vAlign w:val="center"/>
            <w:hideMark/>
          </w:tcPr>
          <w:p w14:paraId="60562501" w14:textId="77777777" w:rsidR="00000000" w:rsidRDefault="003C49E9">
            <w:pPr>
              <w:rPr>
                <w:rFonts w:eastAsia="Times New Roman"/>
                <w:sz w:val="20"/>
                <w:szCs w:val="20"/>
              </w:rPr>
            </w:pPr>
          </w:p>
        </w:tc>
        <w:tc>
          <w:tcPr>
            <w:tcW w:w="50" w:type="pct"/>
            <w:vAlign w:val="center"/>
            <w:hideMark/>
          </w:tcPr>
          <w:p w14:paraId="63D66E34" w14:textId="77777777" w:rsidR="00000000" w:rsidRDefault="003C49E9">
            <w:pPr>
              <w:rPr>
                <w:rFonts w:eastAsia="Times New Roman"/>
                <w:sz w:val="20"/>
                <w:szCs w:val="20"/>
              </w:rPr>
            </w:pPr>
          </w:p>
        </w:tc>
        <w:tc>
          <w:tcPr>
            <w:tcW w:w="45" w:type="pct"/>
            <w:vAlign w:val="center"/>
            <w:hideMark/>
          </w:tcPr>
          <w:p w14:paraId="344EAEBD" w14:textId="77777777" w:rsidR="00000000" w:rsidRDefault="003C49E9">
            <w:pPr>
              <w:rPr>
                <w:rFonts w:eastAsia="Times New Roman"/>
                <w:sz w:val="20"/>
                <w:szCs w:val="20"/>
              </w:rPr>
            </w:pPr>
          </w:p>
        </w:tc>
        <w:tc>
          <w:tcPr>
            <w:tcW w:w="50" w:type="pct"/>
            <w:vAlign w:val="center"/>
            <w:hideMark/>
          </w:tcPr>
          <w:p w14:paraId="49924713" w14:textId="77777777" w:rsidR="00000000" w:rsidRDefault="003C49E9">
            <w:pPr>
              <w:rPr>
                <w:rFonts w:eastAsia="Times New Roman"/>
                <w:sz w:val="20"/>
                <w:szCs w:val="20"/>
              </w:rPr>
            </w:pPr>
          </w:p>
        </w:tc>
        <w:tc>
          <w:tcPr>
            <w:tcW w:w="395" w:type="pct"/>
            <w:vAlign w:val="center"/>
            <w:hideMark/>
          </w:tcPr>
          <w:p w14:paraId="0BBD8982" w14:textId="77777777" w:rsidR="00000000" w:rsidRDefault="003C49E9">
            <w:pPr>
              <w:rPr>
                <w:rFonts w:eastAsia="Times New Roman"/>
                <w:sz w:val="20"/>
                <w:szCs w:val="20"/>
              </w:rPr>
            </w:pPr>
          </w:p>
        </w:tc>
        <w:tc>
          <w:tcPr>
            <w:tcW w:w="50" w:type="pct"/>
            <w:vAlign w:val="center"/>
            <w:hideMark/>
          </w:tcPr>
          <w:p w14:paraId="0150FF65" w14:textId="77777777" w:rsidR="00000000" w:rsidRDefault="003C49E9">
            <w:pPr>
              <w:rPr>
                <w:rFonts w:eastAsia="Times New Roman"/>
                <w:sz w:val="20"/>
                <w:szCs w:val="20"/>
              </w:rPr>
            </w:pPr>
          </w:p>
        </w:tc>
        <w:tc>
          <w:tcPr>
            <w:tcW w:w="45" w:type="pct"/>
            <w:vAlign w:val="center"/>
            <w:hideMark/>
          </w:tcPr>
          <w:p w14:paraId="1B627DE4" w14:textId="77777777" w:rsidR="00000000" w:rsidRDefault="003C49E9">
            <w:pPr>
              <w:rPr>
                <w:rFonts w:eastAsia="Times New Roman"/>
                <w:sz w:val="20"/>
                <w:szCs w:val="20"/>
              </w:rPr>
            </w:pPr>
          </w:p>
        </w:tc>
        <w:tc>
          <w:tcPr>
            <w:tcW w:w="50" w:type="pct"/>
            <w:vAlign w:val="center"/>
            <w:hideMark/>
          </w:tcPr>
          <w:p w14:paraId="2C845026" w14:textId="77777777" w:rsidR="00000000" w:rsidRDefault="003C49E9">
            <w:pPr>
              <w:rPr>
                <w:rFonts w:eastAsia="Times New Roman"/>
                <w:sz w:val="20"/>
                <w:szCs w:val="20"/>
              </w:rPr>
            </w:pPr>
          </w:p>
        </w:tc>
        <w:tc>
          <w:tcPr>
            <w:tcW w:w="301" w:type="pct"/>
            <w:vAlign w:val="center"/>
            <w:hideMark/>
          </w:tcPr>
          <w:p w14:paraId="6B03893F" w14:textId="77777777" w:rsidR="00000000" w:rsidRDefault="003C49E9">
            <w:pPr>
              <w:rPr>
                <w:rFonts w:eastAsia="Times New Roman"/>
                <w:sz w:val="20"/>
                <w:szCs w:val="20"/>
              </w:rPr>
            </w:pPr>
          </w:p>
        </w:tc>
        <w:tc>
          <w:tcPr>
            <w:tcW w:w="50" w:type="pct"/>
            <w:vAlign w:val="center"/>
            <w:hideMark/>
          </w:tcPr>
          <w:p w14:paraId="01B52A5E" w14:textId="77777777" w:rsidR="00000000" w:rsidRDefault="003C49E9">
            <w:pPr>
              <w:rPr>
                <w:rFonts w:eastAsia="Times New Roman"/>
                <w:sz w:val="20"/>
                <w:szCs w:val="20"/>
              </w:rPr>
            </w:pPr>
          </w:p>
        </w:tc>
        <w:tc>
          <w:tcPr>
            <w:tcW w:w="45" w:type="pct"/>
            <w:vAlign w:val="center"/>
            <w:hideMark/>
          </w:tcPr>
          <w:p w14:paraId="1E270662" w14:textId="77777777" w:rsidR="00000000" w:rsidRDefault="003C49E9">
            <w:pPr>
              <w:rPr>
                <w:rFonts w:eastAsia="Times New Roman"/>
                <w:sz w:val="20"/>
                <w:szCs w:val="20"/>
              </w:rPr>
            </w:pPr>
          </w:p>
        </w:tc>
        <w:tc>
          <w:tcPr>
            <w:tcW w:w="50" w:type="pct"/>
            <w:vAlign w:val="center"/>
            <w:hideMark/>
          </w:tcPr>
          <w:p w14:paraId="5A2C93DA" w14:textId="77777777" w:rsidR="00000000" w:rsidRDefault="003C49E9">
            <w:pPr>
              <w:rPr>
                <w:rFonts w:eastAsia="Times New Roman"/>
                <w:sz w:val="20"/>
                <w:szCs w:val="20"/>
              </w:rPr>
            </w:pPr>
          </w:p>
        </w:tc>
        <w:tc>
          <w:tcPr>
            <w:tcW w:w="403" w:type="pct"/>
            <w:vAlign w:val="center"/>
            <w:hideMark/>
          </w:tcPr>
          <w:p w14:paraId="7B30F027" w14:textId="77777777" w:rsidR="00000000" w:rsidRDefault="003C49E9">
            <w:pPr>
              <w:rPr>
                <w:rFonts w:eastAsia="Times New Roman"/>
                <w:sz w:val="20"/>
                <w:szCs w:val="20"/>
              </w:rPr>
            </w:pPr>
          </w:p>
        </w:tc>
        <w:tc>
          <w:tcPr>
            <w:tcW w:w="50" w:type="pct"/>
            <w:vAlign w:val="center"/>
            <w:hideMark/>
          </w:tcPr>
          <w:p w14:paraId="1F79FFD5" w14:textId="77777777" w:rsidR="00000000" w:rsidRDefault="003C49E9">
            <w:pPr>
              <w:rPr>
                <w:rFonts w:eastAsia="Times New Roman"/>
                <w:sz w:val="20"/>
                <w:szCs w:val="20"/>
              </w:rPr>
            </w:pPr>
          </w:p>
        </w:tc>
      </w:tr>
      <w:tr w:rsidR="00000000" w14:paraId="4B97C532" w14:textId="77777777">
        <w:trPr>
          <w:trHeight w:val="140"/>
          <w:tblCellSpacing w:w="15" w:type="dxa"/>
        </w:trPr>
        <w:tc>
          <w:tcPr>
            <w:tcW w:w="0" w:type="auto"/>
            <w:vAlign w:val="bottom"/>
            <w:hideMark/>
          </w:tcPr>
          <w:p w14:paraId="235BFAC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AB1503C"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1F5FC565"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382484F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C0EBAD2"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C21ED1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C92883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C808A8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A4F7A7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61A193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2457791"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6"/>
            <w:vAlign w:val="bottom"/>
            <w:hideMark/>
          </w:tcPr>
          <w:p w14:paraId="1E08DECD"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5558323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38C513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914528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BAF74B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51E531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767ABA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F30BB8C"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0D3A9020" w14:textId="77777777">
        <w:trPr>
          <w:trHeight w:val="140"/>
          <w:tblCellSpacing w:w="15" w:type="dxa"/>
        </w:trPr>
        <w:tc>
          <w:tcPr>
            <w:tcW w:w="0" w:type="auto"/>
            <w:vAlign w:val="bottom"/>
            <w:hideMark/>
          </w:tcPr>
          <w:p w14:paraId="1874F91E"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5A85A13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3872A27"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0368EC3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B3ACFD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A4497D1"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4480FAA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31BB3D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8CE8E79"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273CBC9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01B671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64E915C"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5F2B2C2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6496A5A"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1981A92F"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1E44232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7064A8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7667E22"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0201845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F3EDAF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9631C02"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6A36673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423B2B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88C776B"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2FCE024A"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595D6A18" w14:textId="77777777">
        <w:trPr>
          <w:trHeight w:val="180"/>
          <w:tblCellSpacing w:w="15" w:type="dxa"/>
        </w:trPr>
        <w:tc>
          <w:tcPr>
            <w:tcW w:w="0" w:type="auto"/>
            <w:vAlign w:val="bottom"/>
            <w:hideMark/>
          </w:tcPr>
          <w:p w14:paraId="1AB7DACB" w14:textId="77777777" w:rsidR="00000000" w:rsidRDefault="003C49E9">
            <w:pPr>
              <w:pStyle w:val="a3"/>
              <w:spacing w:before="0" w:beforeAutospacing="0" w:after="0" w:afterAutospacing="0"/>
              <w:rPr>
                <w:sz w:val="18"/>
                <w:szCs w:val="18"/>
              </w:rPr>
            </w:pPr>
            <w:r>
              <w:rPr>
                <w:sz w:val="18"/>
                <w:szCs w:val="18"/>
              </w:rPr>
              <w:t>Professional services and other</w:t>
            </w:r>
            <w:r>
              <w:rPr>
                <w:sz w:val="18"/>
                <w:szCs w:val="18"/>
              </w:rPr>
              <w:br/>
              <w:t>   cost of revenu</w:t>
            </w:r>
            <w:r>
              <w:rPr>
                <w:sz w:val="18"/>
                <w:szCs w:val="18"/>
              </w:rPr>
              <w:t>e</w:t>
            </w:r>
          </w:p>
        </w:tc>
        <w:tc>
          <w:tcPr>
            <w:tcW w:w="0" w:type="auto"/>
            <w:vAlign w:val="bottom"/>
            <w:hideMark/>
          </w:tcPr>
          <w:p w14:paraId="1A5155F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D5AE13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27F76BD" w14:textId="77777777" w:rsidR="00000000" w:rsidRDefault="003C49E9">
            <w:pPr>
              <w:pStyle w:val="a3"/>
              <w:spacing w:before="0" w:beforeAutospacing="0" w:after="0" w:afterAutospacing="0"/>
              <w:jc w:val="right"/>
              <w:rPr>
                <w:sz w:val="18"/>
                <w:szCs w:val="18"/>
              </w:rPr>
            </w:pPr>
            <w:r>
              <w:rPr>
                <w:sz w:val="18"/>
                <w:szCs w:val="18"/>
              </w:rPr>
              <w:t>14,50</w:t>
            </w:r>
            <w:r>
              <w:rPr>
                <w:sz w:val="18"/>
                <w:szCs w:val="18"/>
              </w:rPr>
              <w:t>0</w:t>
            </w:r>
          </w:p>
        </w:tc>
        <w:tc>
          <w:tcPr>
            <w:tcW w:w="0" w:type="auto"/>
            <w:noWrap/>
            <w:vAlign w:val="bottom"/>
            <w:hideMark/>
          </w:tcPr>
          <w:p w14:paraId="4EFB167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19A8D7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13279E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87A908B" w14:textId="77777777" w:rsidR="00000000" w:rsidRDefault="003C49E9">
            <w:pPr>
              <w:pStyle w:val="a3"/>
              <w:spacing w:before="0" w:beforeAutospacing="0" w:after="0" w:afterAutospacing="0"/>
              <w:jc w:val="right"/>
              <w:rPr>
                <w:sz w:val="18"/>
                <w:szCs w:val="18"/>
              </w:rPr>
            </w:pPr>
            <w:r>
              <w:rPr>
                <w:sz w:val="18"/>
                <w:szCs w:val="18"/>
              </w:rPr>
              <w:t>11,74</w:t>
            </w:r>
            <w:r>
              <w:rPr>
                <w:sz w:val="18"/>
                <w:szCs w:val="18"/>
              </w:rPr>
              <w:t>3</w:t>
            </w:r>
          </w:p>
        </w:tc>
        <w:tc>
          <w:tcPr>
            <w:tcW w:w="0" w:type="auto"/>
            <w:noWrap/>
            <w:vAlign w:val="bottom"/>
            <w:hideMark/>
          </w:tcPr>
          <w:p w14:paraId="5107FC3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A647E8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C572776"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6919D99" w14:textId="77777777" w:rsidR="00000000" w:rsidRDefault="003C49E9">
            <w:pPr>
              <w:pStyle w:val="a3"/>
              <w:spacing w:before="0" w:beforeAutospacing="0" w:after="0" w:afterAutospacing="0"/>
              <w:jc w:val="right"/>
              <w:rPr>
                <w:sz w:val="18"/>
                <w:szCs w:val="18"/>
              </w:rPr>
            </w:pPr>
            <w:r>
              <w:rPr>
                <w:sz w:val="18"/>
                <w:szCs w:val="18"/>
              </w:rPr>
              <w:t>2,75</w:t>
            </w:r>
            <w:r>
              <w:rPr>
                <w:sz w:val="18"/>
                <w:szCs w:val="18"/>
              </w:rPr>
              <w:t>7</w:t>
            </w:r>
          </w:p>
        </w:tc>
        <w:tc>
          <w:tcPr>
            <w:tcW w:w="0" w:type="auto"/>
            <w:noWrap/>
            <w:vAlign w:val="bottom"/>
            <w:hideMark/>
          </w:tcPr>
          <w:p w14:paraId="4B57FE9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9CE415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8AC9A3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0A41482" w14:textId="77777777" w:rsidR="00000000" w:rsidRDefault="003C49E9">
            <w:pPr>
              <w:pStyle w:val="a3"/>
              <w:spacing w:before="0" w:beforeAutospacing="0" w:after="0" w:afterAutospacing="0"/>
              <w:jc w:val="right"/>
              <w:rPr>
                <w:sz w:val="18"/>
                <w:szCs w:val="18"/>
              </w:rPr>
            </w:pPr>
            <w:r>
              <w:rPr>
                <w:sz w:val="18"/>
                <w:szCs w:val="18"/>
              </w:rPr>
              <w:t>2</w:t>
            </w:r>
            <w:r>
              <w:rPr>
                <w:sz w:val="18"/>
                <w:szCs w:val="18"/>
              </w:rPr>
              <w:t>3</w:t>
            </w:r>
          </w:p>
        </w:tc>
        <w:tc>
          <w:tcPr>
            <w:tcW w:w="0" w:type="auto"/>
            <w:noWrap/>
            <w:vAlign w:val="bottom"/>
            <w:hideMark/>
          </w:tcPr>
          <w:p w14:paraId="51B3765F"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CD10EB9"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2B2EC4D9"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C427334" w14:textId="77777777" w:rsidR="00000000" w:rsidRDefault="003C49E9">
            <w:pPr>
              <w:pStyle w:val="a3"/>
              <w:spacing w:before="0" w:beforeAutospacing="0" w:after="0" w:afterAutospacing="0"/>
              <w:jc w:val="right"/>
              <w:rPr>
                <w:sz w:val="18"/>
                <w:szCs w:val="18"/>
              </w:rPr>
            </w:pPr>
            <w:r>
              <w:rPr>
                <w:sz w:val="18"/>
                <w:szCs w:val="18"/>
              </w:rPr>
              <w:t>28,05</w:t>
            </w:r>
            <w:r>
              <w:rPr>
                <w:sz w:val="18"/>
                <w:szCs w:val="18"/>
              </w:rPr>
              <w:t>3</w:t>
            </w:r>
          </w:p>
        </w:tc>
        <w:tc>
          <w:tcPr>
            <w:tcW w:w="0" w:type="auto"/>
            <w:noWrap/>
            <w:vAlign w:val="bottom"/>
            <w:hideMark/>
          </w:tcPr>
          <w:p w14:paraId="5C4A587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B30F7D8"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0A0E3CD"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74FEA25" w14:textId="77777777" w:rsidR="00000000" w:rsidRDefault="003C49E9">
            <w:pPr>
              <w:pStyle w:val="a3"/>
              <w:spacing w:before="0" w:beforeAutospacing="0" w:after="0" w:afterAutospacing="0"/>
              <w:jc w:val="right"/>
              <w:rPr>
                <w:sz w:val="18"/>
                <w:szCs w:val="18"/>
              </w:rPr>
            </w:pPr>
            <w:r>
              <w:rPr>
                <w:sz w:val="18"/>
                <w:szCs w:val="18"/>
              </w:rPr>
              <w:t>22,62</w:t>
            </w:r>
            <w:r>
              <w:rPr>
                <w:sz w:val="18"/>
                <w:szCs w:val="18"/>
              </w:rPr>
              <w:t>5</w:t>
            </w:r>
          </w:p>
        </w:tc>
        <w:tc>
          <w:tcPr>
            <w:tcW w:w="0" w:type="auto"/>
            <w:noWrap/>
            <w:vAlign w:val="bottom"/>
            <w:hideMark/>
          </w:tcPr>
          <w:p w14:paraId="1FD6498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ACFDA2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2F195D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90D1F82" w14:textId="77777777" w:rsidR="00000000" w:rsidRDefault="003C49E9">
            <w:pPr>
              <w:pStyle w:val="a3"/>
              <w:spacing w:before="0" w:beforeAutospacing="0" w:after="0" w:afterAutospacing="0"/>
              <w:jc w:val="right"/>
              <w:rPr>
                <w:sz w:val="18"/>
                <w:szCs w:val="18"/>
              </w:rPr>
            </w:pPr>
            <w:r>
              <w:rPr>
                <w:sz w:val="18"/>
                <w:szCs w:val="18"/>
              </w:rPr>
              <w:t>5,42</w:t>
            </w:r>
            <w:r>
              <w:rPr>
                <w:sz w:val="18"/>
                <w:szCs w:val="18"/>
              </w:rPr>
              <w:t>8</w:t>
            </w:r>
          </w:p>
        </w:tc>
        <w:tc>
          <w:tcPr>
            <w:tcW w:w="0" w:type="auto"/>
            <w:noWrap/>
            <w:vAlign w:val="bottom"/>
            <w:hideMark/>
          </w:tcPr>
          <w:p w14:paraId="677E9AF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F0CB0C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4E7A0F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516B3D7" w14:textId="77777777" w:rsidR="00000000" w:rsidRDefault="003C49E9">
            <w:pPr>
              <w:pStyle w:val="a3"/>
              <w:spacing w:before="0" w:beforeAutospacing="0" w:after="0" w:afterAutospacing="0"/>
              <w:jc w:val="right"/>
              <w:rPr>
                <w:sz w:val="18"/>
                <w:szCs w:val="18"/>
              </w:rPr>
            </w:pPr>
            <w:r>
              <w:rPr>
                <w:sz w:val="18"/>
                <w:szCs w:val="18"/>
              </w:rPr>
              <w:t>2</w:t>
            </w:r>
            <w:r>
              <w:rPr>
                <w:sz w:val="18"/>
                <w:szCs w:val="18"/>
              </w:rPr>
              <w:t>4</w:t>
            </w:r>
          </w:p>
        </w:tc>
        <w:tc>
          <w:tcPr>
            <w:tcW w:w="0" w:type="auto"/>
            <w:noWrap/>
            <w:vAlign w:val="bottom"/>
            <w:hideMark/>
          </w:tcPr>
          <w:p w14:paraId="32FE1AF8" w14:textId="77777777" w:rsidR="00000000" w:rsidRDefault="003C49E9">
            <w:pPr>
              <w:pStyle w:val="a3"/>
              <w:spacing w:before="0" w:beforeAutospacing="0" w:after="0" w:afterAutospacing="0"/>
              <w:rPr>
                <w:sz w:val="18"/>
                <w:szCs w:val="18"/>
              </w:rPr>
            </w:pPr>
            <w:r>
              <w:rPr>
                <w:sz w:val="18"/>
                <w:szCs w:val="18"/>
              </w:rPr>
              <w:t>%</w:t>
            </w:r>
          </w:p>
        </w:tc>
      </w:tr>
      <w:tr w:rsidR="00000000" w14:paraId="698A6785" w14:textId="77777777">
        <w:trPr>
          <w:trHeight w:val="180"/>
          <w:tblCellSpacing w:w="15" w:type="dxa"/>
        </w:trPr>
        <w:tc>
          <w:tcPr>
            <w:tcW w:w="0" w:type="auto"/>
            <w:vAlign w:val="bottom"/>
            <w:hideMark/>
          </w:tcPr>
          <w:p w14:paraId="6FBBF7ED" w14:textId="77777777" w:rsidR="00000000" w:rsidRDefault="003C49E9">
            <w:pPr>
              <w:pStyle w:val="a3"/>
              <w:spacing w:before="0" w:beforeAutospacing="0" w:after="0" w:afterAutospacing="0"/>
              <w:rPr>
                <w:sz w:val="18"/>
                <w:szCs w:val="18"/>
              </w:rPr>
            </w:pPr>
            <w:r>
              <w:rPr>
                <w:sz w:val="18"/>
                <w:szCs w:val="18"/>
              </w:rPr>
              <w:t>Percentage of professional</w:t>
            </w:r>
            <w:r>
              <w:rPr>
                <w:sz w:val="18"/>
                <w:szCs w:val="18"/>
              </w:rPr>
              <w:br/>
              <w:t>  services and other revenu</w:t>
            </w:r>
            <w:r>
              <w:rPr>
                <w:sz w:val="18"/>
                <w:szCs w:val="18"/>
              </w:rPr>
              <w:t>e</w:t>
            </w:r>
          </w:p>
        </w:tc>
        <w:tc>
          <w:tcPr>
            <w:tcW w:w="0" w:type="auto"/>
            <w:vAlign w:val="bottom"/>
            <w:hideMark/>
          </w:tcPr>
          <w:p w14:paraId="19233DCE"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806C14E"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632B364" w14:textId="77777777" w:rsidR="00000000" w:rsidRDefault="003C49E9">
            <w:pPr>
              <w:pStyle w:val="a3"/>
              <w:spacing w:before="0" w:beforeAutospacing="0" w:after="0" w:afterAutospacing="0"/>
              <w:jc w:val="right"/>
              <w:rPr>
                <w:sz w:val="18"/>
                <w:szCs w:val="18"/>
              </w:rPr>
            </w:pPr>
            <w:r>
              <w:rPr>
                <w:sz w:val="18"/>
                <w:szCs w:val="18"/>
              </w:rPr>
              <w:t>15</w:t>
            </w:r>
            <w:r>
              <w:rPr>
                <w:sz w:val="18"/>
                <w:szCs w:val="18"/>
              </w:rPr>
              <w:t>5</w:t>
            </w:r>
          </w:p>
        </w:tc>
        <w:tc>
          <w:tcPr>
            <w:tcW w:w="0" w:type="auto"/>
            <w:noWrap/>
            <w:vAlign w:val="bottom"/>
            <w:hideMark/>
          </w:tcPr>
          <w:p w14:paraId="5218C61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1B743421"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4008C4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413A6FD" w14:textId="77777777" w:rsidR="00000000" w:rsidRDefault="003C49E9">
            <w:pPr>
              <w:pStyle w:val="a3"/>
              <w:spacing w:before="0" w:beforeAutospacing="0" w:after="0" w:afterAutospacing="0"/>
              <w:jc w:val="right"/>
              <w:rPr>
                <w:sz w:val="18"/>
                <w:szCs w:val="18"/>
              </w:rPr>
            </w:pPr>
            <w:r>
              <w:rPr>
                <w:sz w:val="18"/>
                <w:szCs w:val="18"/>
              </w:rPr>
              <w:t>11</w:t>
            </w:r>
            <w:r>
              <w:rPr>
                <w:sz w:val="18"/>
                <w:szCs w:val="18"/>
              </w:rPr>
              <w:t>3</w:t>
            </w:r>
          </w:p>
        </w:tc>
        <w:tc>
          <w:tcPr>
            <w:tcW w:w="0" w:type="auto"/>
            <w:noWrap/>
            <w:vAlign w:val="bottom"/>
            <w:hideMark/>
          </w:tcPr>
          <w:p w14:paraId="70FA0E26"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3FDCAA1"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7A536205"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6BE44A5B"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30057EAB"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5DD93877"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1581EF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5CA905F4"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5B56573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A5C3F82" w14:textId="77777777" w:rsidR="00000000" w:rsidRDefault="003C49E9">
            <w:pPr>
              <w:pStyle w:val="a3"/>
              <w:spacing w:before="0" w:beforeAutospacing="0" w:after="0" w:afterAutospacing="0"/>
              <w:jc w:val="right"/>
              <w:rPr>
                <w:sz w:val="18"/>
                <w:szCs w:val="18"/>
              </w:rPr>
            </w:pPr>
            <w:r>
              <w:rPr>
                <w:sz w:val="18"/>
                <w:szCs w:val="18"/>
              </w:rPr>
              <w:t>14</w:t>
            </w:r>
            <w:r>
              <w:rPr>
                <w:sz w:val="18"/>
                <w:szCs w:val="18"/>
              </w:rPr>
              <w:t>0</w:t>
            </w:r>
          </w:p>
        </w:tc>
        <w:tc>
          <w:tcPr>
            <w:tcW w:w="0" w:type="auto"/>
            <w:noWrap/>
            <w:vAlign w:val="bottom"/>
            <w:hideMark/>
          </w:tcPr>
          <w:p w14:paraId="5FFD1AFE"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C016808"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D00A1A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C460D43" w14:textId="77777777" w:rsidR="00000000" w:rsidRDefault="003C49E9">
            <w:pPr>
              <w:pStyle w:val="a3"/>
              <w:spacing w:before="0" w:beforeAutospacing="0" w:after="0" w:afterAutospacing="0"/>
              <w:jc w:val="right"/>
              <w:rPr>
                <w:sz w:val="18"/>
                <w:szCs w:val="18"/>
              </w:rPr>
            </w:pPr>
            <w:r>
              <w:rPr>
                <w:sz w:val="18"/>
                <w:szCs w:val="18"/>
              </w:rPr>
              <w:t>10</w:t>
            </w:r>
            <w:r>
              <w:rPr>
                <w:sz w:val="18"/>
                <w:szCs w:val="18"/>
              </w:rPr>
              <w:t>5</w:t>
            </w:r>
          </w:p>
        </w:tc>
        <w:tc>
          <w:tcPr>
            <w:tcW w:w="0" w:type="auto"/>
            <w:noWrap/>
            <w:vAlign w:val="bottom"/>
            <w:hideMark/>
          </w:tcPr>
          <w:p w14:paraId="7677806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185F10B"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A7D1620"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5BC6AF60"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042E956"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51FE84EC"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2C3E352A" w14:textId="77777777" w:rsidR="00000000" w:rsidRDefault="003C49E9">
            <w:pPr>
              <w:pStyle w:val="a3"/>
              <w:spacing w:before="0" w:beforeAutospacing="0" w:after="0" w:afterAutospacing="0"/>
              <w:jc w:val="right"/>
              <w:rPr>
                <w:sz w:val="18"/>
                <w:szCs w:val="18"/>
              </w:rPr>
            </w:pPr>
            <w:r>
              <w:rPr>
                <w:sz w:val="18"/>
                <w:szCs w:val="18"/>
              </w:rPr>
              <w:t> </w:t>
            </w:r>
          </w:p>
        </w:tc>
      </w:tr>
    </w:tbl>
    <w:p w14:paraId="7DB23C4B" w14:textId="77777777" w:rsidR="00000000" w:rsidRDefault="003C49E9">
      <w:pPr>
        <w:pStyle w:val="a3"/>
        <w:spacing w:before="0" w:beforeAutospacing="0" w:after="0" w:afterAutospacing="0"/>
        <w:rPr>
          <w:sz w:val="20"/>
          <w:szCs w:val="20"/>
        </w:rPr>
      </w:pPr>
      <w:r>
        <w:rPr>
          <w:sz w:val="20"/>
          <w:szCs w:val="20"/>
        </w:rPr>
        <w:t> </w:t>
      </w:r>
    </w:p>
    <w:p w14:paraId="39C0076D"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6</w:t>
      </w:r>
    </w:p>
    <w:p w14:paraId="16E9B5F2" w14:textId="77777777" w:rsidR="00000000" w:rsidRDefault="003C49E9">
      <w:pPr>
        <w:rPr>
          <w:rFonts w:eastAsia="Times New Roman"/>
        </w:rPr>
      </w:pPr>
      <w:r>
        <w:rPr>
          <w:rFonts w:eastAsia="Times New Roman"/>
        </w:rPr>
        <w:pict w14:anchorId="406A974B">
          <v:rect id="_x0000_i1050" style="width:0;height:1.5pt" o:hralign="center" o:hrstd="t" o:hr="t" fillcolor="#a0a0a0" stroked="f"/>
        </w:pict>
      </w:r>
    </w:p>
    <w:p w14:paraId="1EF5B41F" w14:textId="77777777" w:rsidR="00000000" w:rsidRDefault="003C49E9">
      <w:pPr>
        <w:pStyle w:val="a3"/>
        <w:spacing w:before="0" w:beforeAutospacing="0" w:after="0" w:afterAutospacing="0"/>
        <w:rPr>
          <w:sz w:val="20"/>
          <w:szCs w:val="20"/>
        </w:rPr>
      </w:pPr>
      <w:r>
        <w:rPr>
          <w:sz w:val="20"/>
          <w:szCs w:val="20"/>
        </w:rPr>
        <w:t> </w:t>
      </w:r>
    </w:p>
    <w:p w14:paraId="530BCD5F" w14:textId="77777777" w:rsidR="00000000" w:rsidRDefault="003C49E9">
      <w:pPr>
        <w:pStyle w:val="a3"/>
        <w:spacing w:before="200" w:beforeAutospacing="0" w:after="0" w:afterAutospacing="0"/>
        <w:ind w:firstLine="816"/>
        <w:rPr>
          <w:sz w:val="20"/>
          <w:szCs w:val="20"/>
        </w:rPr>
      </w:pPr>
      <w:r>
        <w:rPr>
          <w:sz w:val="20"/>
          <w:szCs w:val="20"/>
        </w:rPr>
        <w:t xml:space="preserve">The increase in professional services and other cost of revenue for three and six months ended June 30, 2022 compared to the same period in 2021 was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51"/>
        <w:gridCol w:w="115"/>
        <w:gridCol w:w="160"/>
        <w:gridCol w:w="1068"/>
        <w:gridCol w:w="110"/>
        <w:gridCol w:w="115"/>
        <w:gridCol w:w="160"/>
        <w:gridCol w:w="1341"/>
        <w:gridCol w:w="125"/>
      </w:tblGrid>
      <w:tr w:rsidR="00000000" w14:paraId="3DA69AEC" w14:textId="77777777">
        <w:trPr>
          <w:tblCellSpacing w:w="15" w:type="dxa"/>
        </w:trPr>
        <w:tc>
          <w:tcPr>
            <w:tcW w:w="2739" w:type="pct"/>
            <w:vAlign w:val="center"/>
            <w:hideMark/>
          </w:tcPr>
          <w:p w14:paraId="06D293A0" w14:textId="77777777" w:rsidR="00000000" w:rsidRDefault="003C49E9">
            <w:pPr>
              <w:rPr>
                <w:sz w:val="20"/>
                <w:szCs w:val="20"/>
              </w:rPr>
            </w:pPr>
          </w:p>
        </w:tc>
        <w:tc>
          <w:tcPr>
            <w:tcW w:w="48" w:type="pct"/>
            <w:vAlign w:val="center"/>
            <w:hideMark/>
          </w:tcPr>
          <w:p w14:paraId="577619FF" w14:textId="77777777" w:rsidR="00000000" w:rsidRDefault="003C49E9">
            <w:pPr>
              <w:rPr>
                <w:rFonts w:eastAsia="Times New Roman"/>
                <w:sz w:val="20"/>
                <w:szCs w:val="20"/>
              </w:rPr>
            </w:pPr>
          </w:p>
        </w:tc>
        <w:tc>
          <w:tcPr>
            <w:tcW w:w="50" w:type="pct"/>
            <w:vAlign w:val="center"/>
            <w:hideMark/>
          </w:tcPr>
          <w:p w14:paraId="68D0204E" w14:textId="77777777" w:rsidR="00000000" w:rsidRDefault="003C49E9">
            <w:pPr>
              <w:rPr>
                <w:rFonts w:eastAsia="Times New Roman"/>
                <w:sz w:val="20"/>
                <w:szCs w:val="20"/>
              </w:rPr>
            </w:pPr>
          </w:p>
        </w:tc>
        <w:tc>
          <w:tcPr>
            <w:tcW w:w="874" w:type="pct"/>
            <w:vAlign w:val="center"/>
            <w:hideMark/>
          </w:tcPr>
          <w:p w14:paraId="137433EB" w14:textId="77777777" w:rsidR="00000000" w:rsidRDefault="003C49E9">
            <w:pPr>
              <w:rPr>
                <w:rFonts w:eastAsia="Times New Roman"/>
                <w:sz w:val="20"/>
                <w:szCs w:val="20"/>
              </w:rPr>
            </w:pPr>
          </w:p>
        </w:tc>
        <w:tc>
          <w:tcPr>
            <w:tcW w:w="50" w:type="pct"/>
            <w:vAlign w:val="center"/>
            <w:hideMark/>
          </w:tcPr>
          <w:p w14:paraId="6BF88134" w14:textId="77777777" w:rsidR="00000000" w:rsidRDefault="003C49E9">
            <w:pPr>
              <w:rPr>
                <w:rFonts w:eastAsia="Times New Roman"/>
                <w:sz w:val="20"/>
                <w:szCs w:val="20"/>
              </w:rPr>
            </w:pPr>
          </w:p>
        </w:tc>
        <w:tc>
          <w:tcPr>
            <w:tcW w:w="48" w:type="pct"/>
            <w:vAlign w:val="center"/>
            <w:hideMark/>
          </w:tcPr>
          <w:p w14:paraId="3781A8FE" w14:textId="77777777" w:rsidR="00000000" w:rsidRDefault="003C49E9">
            <w:pPr>
              <w:rPr>
                <w:rFonts w:eastAsia="Times New Roman"/>
                <w:sz w:val="20"/>
                <w:szCs w:val="20"/>
              </w:rPr>
            </w:pPr>
          </w:p>
        </w:tc>
        <w:tc>
          <w:tcPr>
            <w:tcW w:w="50" w:type="pct"/>
            <w:vAlign w:val="center"/>
            <w:hideMark/>
          </w:tcPr>
          <w:p w14:paraId="043CF0EB" w14:textId="77777777" w:rsidR="00000000" w:rsidRDefault="003C49E9">
            <w:pPr>
              <w:rPr>
                <w:rFonts w:eastAsia="Times New Roman"/>
                <w:sz w:val="20"/>
                <w:szCs w:val="20"/>
              </w:rPr>
            </w:pPr>
          </w:p>
        </w:tc>
        <w:tc>
          <w:tcPr>
            <w:tcW w:w="1088" w:type="pct"/>
            <w:vAlign w:val="center"/>
            <w:hideMark/>
          </w:tcPr>
          <w:p w14:paraId="30F31647" w14:textId="77777777" w:rsidR="00000000" w:rsidRDefault="003C49E9">
            <w:pPr>
              <w:rPr>
                <w:rFonts w:eastAsia="Times New Roman"/>
                <w:sz w:val="20"/>
                <w:szCs w:val="20"/>
              </w:rPr>
            </w:pPr>
          </w:p>
        </w:tc>
        <w:tc>
          <w:tcPr>
            <w:tcW w:w="50" w:type="pct"/>
            <w:vAlign w:val="center"/>
            <w:hideMark/>
          </w:tcPr>
          <w:p w14:paraId="78AA7064" w14:textId="77777777" w:rsidR="00000000" w:rsidRDefault="003C49E9">
            <w:pPr>
              <w:rPr>
                <w:rFonts w:eastAsia="Times New Roman"/>
                <w:sz w:val="20"/>
                <w:szCs w:val="20"/>
              </w:rPr>
            </w:pPr>
          </w:p>
        </w:tc>
      </w:tr>
      <w:tr w:rsidR="00000000" w14:paraId="2DF103C5" w14:textId="77777777">
        <w:trPr>
          <w:trHeight w:val="160"/>
          <w:tblCellSpacing w:w="15" w:type="dxa"/>
        </w:trPr>
        <w:tc>
          <w:tcPr>
            <w:tcW w:w="0" w:type="auto"/>
            <w:vAlign w:val="bottom"/>
            <w:hideMark/>
          </w:tcPr>
          <w:p w14:paraId="3B922D7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1E73759" w14:textId="77777777" w:rsidR="00000000" w:rsidRDefault="003C49E9">
            <w:pPr>
              <w:pStyle w:val="a3"/>
              <w:spacing w:before="0" w:beforeAutospacing="0" w:after="0" w:afterAutospacing="0"/>
              <w:rPr>
                <w:sz w:val="20"/>
                <w:szCs w:val="20"/>
              </w:rPr>
            </w:pPr>
            <w:r>
              <w:rPr>
                <w:sz w:val="20"/>
                <w:szCs w:val="20"/>
              </w:rPr>
              <w:t> </w:t>
            </w:r>
          </w:p>
        </w:tc>
        <w:tc>
          <w:tcPr>
            <w:tcW w:w="0" w:type="auto"/>
            <w:gridSpan w:val="6"/>
            <w:vAlign w:val="bottom"/>
            <w:hideMark/>
          </w:tcPr>
          <w:p w14:paraId="4E433A9B"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042C2E1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7655746" w14:textId="77777777">
        <w:trPr>
          <w:trHeight w:val="160"/>
          <w:tblCellSpacing w:w="15" w:type="dxa"/>
        </w:trPr>
        <w:tc>
          <w:tcPr>
            <w:tcW w:w="0" w:type="auto"/>
            <w:vAlign w:val="bottom"/>
            <w:hideMark/>
          </w:tcPr>
          <w:p w14:paraId="122A672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FC2DFD5"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7211EAD5"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346AE258"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037A1247"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7D1BEC21"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333EB2FD"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38527D3" w14:textId="77777777">
        <w:trPr>
          <w:trHeight w:val="160"/>
          <w:tblCellSpacing w:w="15" w:type="dxa"/>
        </w:trPr>
        <w:tc>
          <w:tcPr>
            <w:tcW w:w="0" w:type="auto"/>
            <w:vAlign w:val="bottom"/>
            <w:hideMark/>
          </w:tcPr>
          <w:p w14:paraId="55D1D73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E3A616C" w14:textId="77777777" w:rsidR="00000000" w:rsidRDefault="003C49E9">
            <w:pPr>
              <w:pStyle w:val="a3"/>
              <w:spacing w:before="0" w:beforeAutospacing="0" w:after="0" w:afterAutospacing="0"/>
              <w:rPr>
                <w:sz w:val="20"/>
                <w:szCs w:val="20"/>
              </w:rPr>
            </w:pPr>
            <w:r>
              <w:rPr>
                <w:sz w:val="20"/>
                <w:szCs w:val="20"/>
              </w:rPr>
              <w:t> </w:t>
            </w:r>
          </w:p>
        </w:tc>
        <w:tc>
          <w:tcPr>
            <w:tcW w:w="0" w:type="auto"/>
            <w:gridSpan w:val="6"/>
            <w:vAlign w:val="bottom"/>
            <w:hideMark/>
          </w:tcPr>
          <w:p w14:paraId="50B86385"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CCEC5C0"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6A8A035" w14:textId="77777777">
        <w:trPr>
          <w:trHeight w:val="200"/>
          <w:tblCellSpacing w:w="15" w:type="dxa"/>
        </w:trPr>
        <w:tc>
          <w:tcPr>
            <w:tcW w:w="0" w:type="auto"/>
            <w:vAlign w:val="bottom"/>
            <w:hideMark/>
          </w:tcPr>
          <w:p w14:paraId="165591A9" w14:textId="77777777" w:rsidR="00000000" w:rsidRDefault="003C49E9">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14:paraId="6BC1C93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4517ED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57B4CE1" w14:textId="77777777" w:rsidR="00000000" w:rsidRDefault="003C49E9">
            <w:pPr>
              <w:pStyle w:val="a3"/>
              <w:spacing w:before="0" w:beforeAutospacing="0" w:after="0" w:afterAutospacing="0"/>
              <w:jc w:val="right"/>
              <w:rPr>
                <w:sz w:val="20"/>
                <w:szCs w:val="20"/>
              </w:rPr>
            </w:pPr>
            <w:r>
              <w:rPr>
                <w:sz w:val="20"/>
                <w:szCs w:val="20"/>
              </w:rPr>
              <w:t>2,65</w:t>
            </w:r>
            <w:r>
              <w:rPr>
                <w:sz w:val="20"/>
                <w:szCs w:val="20"/>
              </w:rPr>
              <w:t>7</w:t>
            </w:r>
          </w:p>
        </w:tc>
        <w:tc>
          <w:tcPr>
            <w:tcW w:w="0" w:type="auto"/>
            <w:noWrap/>
            <w:vAlign w:val="bottom"/>
            <w:hideMark/>
          </w:tcPr>
          <w:p w14:paraId="2641209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8D0ED0"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5D7E0AF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788C69" w14:textId="77777777" w:rsidR="00000000" w:rsidRDefault="003C49E9">
            <w:pPr>
              <w:pStyle w:val="a3"/>
              <w:spacing w:before="0" w:beforeAutospacing="0" w:after="0" w:afterAutospacing="0"/>
              <w:jc w:val="right"/>
              <w:rPr>
                <w:sz w:val="20"/>
                <w:szCs w:val="20"/>
              </w:rPr>
            </w:pPr>
            <w:r>
              <w:rPr>
                <w:sz w:val="20"/>
                <w:szCs w:val="20"/>
              </w:rPr>
              <w:t>5,09</w:t>
            </w:r>
            <w:r>
              <w:rPr>
                <w:sz w:val="20"/>
                <w:szCs w:val="20"/>
              </w:rPr>
              <w:t>9</w:t>
            </w:r>
          </w:p>
        </w:tc>
        <w:tc>
          <w:tcPr>
            <w:tcW w:w="0" w:type="auto"/>
            <w:noWrap/>
            <w:vAlign w:val="bottom"/>
            <w:hideMark/>
          </w:tcPr>
          <w:p w14:paraId="76AF85B0" w14:textId="77777777" w:rsidR="00000000" w:rsidRDefault="003C49E9">
            <w:pPr>
              <w:pStyle w:val="a3"/>
              <w:spacing w:before="0" w:beforeAutospacing="0" w:after="0" w:afterAutospacing="0"/>
              <w:rPr>
                <w:sz w:val="20"/>
                <w:szCs w:val="20"/>
              </w:rPr>
            </w:pPr>
            <w:r>
              <w:rPr>
                <w:sz w:val="20"/>
                <w:szCs w:val="20"/>
              </w:rPr>
              <w:t> </w:t>
            </w:r>
          </w:p>
        </w:tc>
      </w:tr>
      <w:tr w:rsidR="00000000" w14:paraId="70812F0E" w14:textId="77777777">
        <w:trPr>
          <w:trHeight w:val="200"/>
          <w:tblCellSpacing w:w="15" w:type="dxa"/>
        </w:trPr>
        <w:tc>
          <w:tcPr>
            <w:tcW w:w="0" w:type="auto"/>
            <w:vAlign w:val="bottom"/>
            <w:hideMark/>
          </w:tcPr>
          <w:p w14:paraId="4E16E10D" w14:textId="77777777" w:rsidR="00000000" w:rsidRDefault="003C49E9">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14:paraId="5EC49AB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7706D5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F2097E5" w14:textId="77777777" w:rsidR="00000000" w:rsidRDefault="003C49E9">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507029D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0234D5"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41B1C8C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6FC491" w14:textId="77777777" w:rsidR="00000000" w:rsidRDefault="003C49E9">
            <w:pPr>
              <w:pStyle w:val="a3"/>
              <w:spacing w:before="0" w:beforeAutospacing="0" w:after="0" w:afterAutospacing="0"/>
              <w:jc w:val="right"/>
              <w:rPr>
                <w:sz w:val="20"/>
                <w:szCs w:val="20"/>
              </w:rPr>
            </w:pPr>
            <w:r>
              <w:rPr>
                <w:sz w:val="20"/>
                <w:szCs w:val="20"/>
              </w:rPr>
              <w:t>32</w:t>
            </w:r>
            <w:r>
              <w:rPr>
                <w:sz w:val="20"/>
                <w:szCs w:val="20"/>
              </w:rPr>
              <w:t>9</w:t>
            </w:r>
          </w:p>
        </w:tc>
        <w:tc>
          <w:tcPr>
            <w:tcW w:w="0" w:type="auto"/>
            <w:noWrap/>
            <w:vAlign w:val="bottom"/>
            <w:hideMark/>
          </w:tcPr>
          <w:p w14:paraId="46D4E5D0" w14:textId="77777777" w:rsidR="00000000" w:rsidRDefault="003C49E9">
            <w:pPr>
              <w:pStyle w:val="a3"/>
              <w:spacing w:before="0" w:beforeAutospacing="0" w:after="0" w:afterAutospacing="0"/>
              <w:rPr>
                <w:sz w:val="20"/>
                <w:szCs w:val="20"/>
              </w:rPr>
            </w:pPr>
            <w:r>
              <w:rPr>
                <w:sz w:val="20"/>
                <w:szCs w:val="20"/>
              </w:rPr>
              <w:t> </w:t>
            </w:r>
          </w:p>
        </w:tc>
      </w:tr>
      <w:tr w:rsidR="00000000" w14:paraId="0AF2ADAA" w14:textId="77777777">
        <w:trPr>
          <w:trHeight w:val="200"/>
          <w:tblCellSpacing w:w="15" w:type="dxa"/>
        </w:trPr>
        <w:tc>
          <w:tcPr>
            <w:tcW w:w="0" w:type="auto"/>
            <w:vAlign w:val="bottom"/>
            <w:hideMark/>
          </w:tcPr>
          <w:p w14:paraId="26F72BC4" w14:textId="77777777" w:rsidR="00000000" w:rsidRDefault="003C49E9">
            <w:pPr>
              <w:pStyle w:val="a3"/>
              <w:spacing w:before="0" w:beforeAutospacing="0" w:after="0" w:afterAutospacing="0"/>
              <w:rPr>
                <w:sz w:val="22"/>
                <w:szCs w:val="22"/>
              </w:rPr>
            </w:pPr>
            <w:r>
              <w:rPr>
                <w:sz w:val="22"/>
                <w:szCs w:val="22"/>
              </w:rPr>
              <w:t> </w:t>
            </w:r>
          </w:p>
        </w:tc>
        <w:tc>
          <w:tcPr>
            <w:tcW w:w="0" w:type="auto"/>
            <w:vAlign w:val="bottom"/>
            <w:hideMark/>
          </w:tcPr>
          <w:p w14:paraId="7356C575"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2E20FB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582B7C7" w14:textId="77777777" w:rsidR="00000000" w:rsidRDefault="003C49E9">
            <w:pPr>
              <w:pStyle w:val="a3"/>
              <w:spacing w:before="0" w:beforeAutospacing="0" w:after="0" w:afterAutospacing="0"/>
              <w:jc w:val="right"/>
              <w:rPr>
                <w:sz w:val="20"/>
                <w:szCs w:val="20"/>
              </w:rPr>
            </w:pPr>
            <w:r>
              <w:rPr>
                <w:sz w:val="20"/>
                <w:szCs w:val="20"/>
              </w:rPr>
              <w:t>2,75</w:t>
            </w:r>
            <w:r>
              <w:rPr>
                <w:sz w:val="20"/>
                <w:szCs w:val="20"/>
              </w:rPr>
              <w:t>7</w:t>
            </w:r>
          </w:p>
        </w:tc>
        <w:tc>
          <w:tcPr>
            <w:tcW w:w="0" w:type="auto"/>
            <w:noWrap/>
            <w:vAlign w:val="bottom"/>
            <w:hideMark/>
          </w:tcPr>
          <w:p w14:paraId="52D1194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AC34CF3"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716BDAC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1B599C0" w14:textId="77777777" w:rsidR="00000000" w:rsidRDefault="003C49E9">
            <w:pPr>
              <w:pStyle w:val="a3"/>
              <w:spacing w:before="0" w:beforeAutospacing="0" w:after="0" w:afterAutospacing="0"/>
              <w:jc w:val="right"/>
              <w:rPr>
                <w:sz w:val="20"/>
                <w:szCs w:val="20"/>
              </w:rPr>
            </w:pPr>
            <w:r>
              <w:rPr>
                <w:sz w:val="20"/>
                <w:szCs w:val="20"/>
              </w:rPr>
              <w:t>5,42</w:t>
            </w:r>
            <w:r>
              <w:rPr>
                <w:sz w:val="20"/>
                <w:szCs w:val="20"/>
              </w:rPr>
              <w:t>8</w:t>
            </w:r>
          </w:p>
        </w:tc>
        <w:tc>
          <w:tcPr>
            <w:tcW w:w="0" w:type="auto"/>
            <w:noWrap/>
            <w:vAlign w:val="bottom"/>
            <w:hideMark/>
          </w:tcPr>
          <w:p w14:paraId="3ED84C44" w14:textId="77777777" w:rsidR="00000000" w:rsidRDefault="003C49E9">
            <w:pPr>
              <w:pStyle w:val="a3"/>
              <w:spacing w:before="0" w:beforeAutospacing="0" w:after="0" w:afterAutospacing="0"/>
              <w:rPr>
                <w:sz w:val="20"/>
                <w:szCs w:val="20"/>
              </w:rPr>
            </w:pPr>
            <w:r>
              <w:rPr>
                <w:sz w:val="20"/>
                <w:szCs w:val="20"/>
              </w:rPr>
              <w:t> </w:t>
            </w:r>
          </w:p>
        </w:tc>
      </w:tr>
    </w:tbl>
    <w:p w14:paraId="1AFD07E2" w14:textId="77777777" w:rsidR="00000000" w:rsidRDefault="003C49E9">
      <w:pPr>
        <w:pStyle w:val="a3"/>
        <w:spacing w:before="200" w:beforeAutospacing="0" w:after="0" w:afterAutospacing="0"/>
        <w:ind w:firstLine="555"/>
        <w:rPr>
          <w:sz w:val="20"/>
          <w:szCs w:val="20"/>
        </w:rPr>
      </w:pPr>
      <w:r>
        <w:rPr>
          <w:sz w:val="20"/>
          <w:szCs w:val="20"/>
        </w:rPr>
        <w:t>Employee-related costs increased as a result of increased headcount as we grew our professional services organization to support our customer growth. Allocated overhead expenses increased due to an increase in shared company expenses associated with our sy</w:t>
      </w:r>
      <w:r>
        <w:rPr>
          <w:sz w:val="20"/>
          <w:szCs w:val="20"/>
        </w:rPr>
        <w:t>stems and infrastructure as we continued to grow our business</w:t>
      </w:r>
      <w:r>
        <w:rPr>
          <w:sz w:val="20"/>
          <w:szCs w:val="20"/>
        </w:rPr>
        <w:t>.</w:t>
      </w:r>
    </w:p>
    <w:p w14:paraId="78243A9F" w14:textId="77777777" w:rsidR="00000000" w:rsidRDefault="003C49E9">
      <w:pPr>
        <w:pStyle w:val="a3"/>
        <w:spacing w:before="200" w:beforeAutospacing="0" w:after="0" w:afterAutospacing="0"/>
        <w:ind w:firstLine="555"/>
        <w:rPr>
          <w:sz w:val="20"/>
          <w:szCs w:val="20"/>
        </w:rPr>
      </w:pPr>
      <w:r>
        <w:rPr>
          <w:b/>
          <w:bCs/>
          <w:i/>
          <w:iCs/>
          <w:sz w:val="20"/>
          <w:szCs w:val="20"/>
        </w:rPr>
        <w:t>Research and Development</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5"/>
        <w:gridCol w:w="105"/>
        <w:gridCol w:w="150"/>
        <w:gridCol w:w="645"/>
        <w:gridCol w:w="210"/>
        <w:gridCol w:w="105"/>
        <w:gridCol w:w="150"/>
        <w:gridCol w:w="555"/>
        <w:gridCol w:w="210"/>
        <w:gridCol w:w="105"/>
        <w:gridCol w:w="150"/>
        <w:gridCol w:w="555"/>
        <w:gridCol w:w="105"/>
        <w:gridCol w:w="105"/>
        <w:gridCol w:w="106"/>
        <w:gridCol w:w="463"/>
        <w:gridCol w:w="210"/>
        <w:gridCol w:w="105"/>
        <w:gridCol w:w="150"/>
        <w:gridCol w:w="645"/>
        <w:gridCol w:w="210"/>
        <w:gridCol w:w="105"/>
        <w:gridCol w:w="150"/>
        <w:gridCol w:w="645"/>
        <w:gridCol w:w="210"/>
        <w:gridCol w:w="105"/>
        <w:gridCol w:w="150"/>
        <w:gridCol w:w="555"/>
        <w:gridCol w:w="105"/>
        <w:gridCol w:w="105"/>
        <w:gridCol w:w="106"/>
        <w:gridCol w:w="464"/>
        <w:gridCol w:w="225"/>
      </w:tblGrid>
      <w:tr w:rsidR="00000000" w14:paraId="5E7F41E1" w14:textId="77777777">
        <w:trPr>
          <w:tblCellSpacing w:w="15" w:type="dxa"/>
        </w:trPr>
        <w:tc>
          <w:tcPr>
            <w:tcW w:w="1019" w:type="pct"/>
            <w:vAlign w:val="center"/>
            <w:hideMark/>
          </w:tcPr>
          <w:p w14:paraId="20E9D794" w14:textId="77777777" w:rsidR="00000000" w:rsidRDefault="003C49E9">
            <w:pPr>
              <w:rPr>
                <w:sz w:val="20"/>
                <w:szCs w:val="20"/>
              </w:rPr>
            </w:pPr>
          </w:p>
        </w:tc>
        <w:tc>
          <w:tcPr>
            <w:tcW w:w="54" w:type="pct"/>
            <w:vAlign w:val="center"/>
            <w:hideMark/>
          </w:tcPr>
          <w:p w14:paraId="46001F4F" w14:textId="77777777" w:rsidR="00000000" w:rsidRDefault="003C49E9">
            <w:pPr>
              <w:rPr>
                <w:rFonts w:eastAsia="Times New Roman"/>
                <w:sz w:val="20"/>
                <w:szCs w:val="20"/>
              </w:rPr>
            </w:pPr>
          </w:p>
        </w:tc>
        <w:tc>
          <w:tcPr>
            <w:tcW w:w="50" w:type="pct"/>
            <w:vAlign w:val="center"/>
            <w:hideMark/>
          </w:tcPr>
          <w:p w14:paraId="0DBDEBAD" w14:textId="77777777" w:rsidR="00000000" w:rsidRDefault="003C49E9">
            <w:pPr>
              <w:rPr>
                <w:rFonts w:eastAsia="Times New Roman"/>
                <w:sz w:val="20"/>
                <w:szCs w:val="20"/>
              </w:rPr>
            </w:pPr>
          </w:p>
        </w:tc>
        <w:tc>
          <w:tcPr>
            <w:tcW w:w="343" w:type="pct"/>
            <w:vAlign w:val="center"/>
            <w:hideMark/>
          </w:tcPr>
          <w:p w14:paraId="4A06F462" w14:textId="77777777" w:rsidR="00000000" w:rsidRDefault="003C49E9">
            <w:pPr>
              <w:rPr>
                <w:rFonts w:eastAsia="Times New Roman"/>
                <w:sz w:val="20"/>
                <w:szCs w:val="20"/>
              </w:rPr>
            </w:pPr>
          </w:p>
        </w:tc>
        <w:tc>
          <w:tcPr>
            <w:tcW w:w="50" w:type="pct"/>
            <w:vAlign w:val="center"/>
            <w:hideMark/>
          </w:tcPr>
          <w:p w14:paraId="07DA37B6" w14:textId="77777777" w:rsidR="00000000" w:rsidRDefault="003C49E9">
            <w:pPr>
              <w:rPr>
                <w:rFonts w:eastAsia="Times New Roman"/>
                <w:sz w:val="20"/>
                <w:szCs w:val="20"/>
              </w:rPr>
            </w:pPr>
          </w:p>
        </w:tc>
        <w:tc>
          <w:tcPr>
            <w:tcW w:w="54" w:type="pct"/>
            <w:vAlign w:val="center"/>
            <w:hideMark/>
          </w:tcPr>
          <w:p w14:paraId="5997E801" w14:textId="77777777" w:rsidR="00000000" w:rsidRDefault="003C49E9">
            <w:pPr>
              <w:rPr>
                <w:rFonts w:eastAsia="Times New Roman"/>
                <w:sz w:val="20"/>
                <w:szCs w:val="20"/>
              </w:rPr>
            </w:pPr>
          </w:p>
        </w:tc>
        <w:tc>
          <w:tcPr>
            <w:tcW w:w="50" w:type="pct"/>
            <w:vAlign w:val="center"/>
            <w:hideMark/>
          </w:tcPr>
          <w:p w14:paraId="33AC529E" w14:textId="77777777" w:rsidR="00000000" w:rsidRDefault="003C49E9">
            <w:pPr>
              <w:rPr>
                <w:rFonts w:eastAsia="Times New Roman"/>
                <w:sz w:val="20"/>
                <w:szCs w:val="20"/>
              </w:rPr>
            </w:pPr>
          </w:p>
        </w:tc>
        <w:tc>
          <w:tcPr>
            <w:tcW w:w="286" w:type="pct"/>
            <w:vAlign w:val="center"/>
            <w:hideMark/>
          </w:tcPr>
          <w:p w14:paraId="74EA5295" w14:textId="77777777" w:rsidR="00000000" w:rsidRDefault="003C49E9">
            <w:pPr>
              <w:rPr>
                <w:rFonts w:eastAsia="Times New Roman"/>
                <w:sz w:val="20"/>
                <w:szCs w:val="20"/>
              </w:rPr>
            </w:pPr>
          </w:p>
        </w:tc>
        <w:tc>
          <w:tcPr>
            <w:tcW w:w="50" w:type="pct"/>
            <w:vAlign w:val="center"/>
            <w:hideMark/>
          </w:tcPr>
          <w:p w14:paraId="5C6F2081" w14:textId="77777777" w:rsidR="00000000" w:rsidRDefault="003C49E9">
            <w:pPr>
              <w:rPr>
                <w:rFonts w:eastAsia="Times New Roman"/>
                <w:sz w:val="20"/>
                <w:szCs w:val="20"/>
              </w:rPr>
            </w:pPr>
          </w:p>
        </w:tc>
        <w:tc>
          <w:tcPr>
            <w:tcW w:w="54" w:type="pct"/>
            <w:vAlign w:val="center"/>
            <w:hideMark/>
          </w:tcPr>
          <w:p w14:paraId="2E3ED0CD" w14:textId="77777777" w:rsidR="00000000" w:rsidRDefault="003C49E9">
            <w:pPr>
              <w:rPr>
                <w:rFonts w:eastAsia="Times New Roman"/>
                <w:sz w:val="20"/>
                <w:szCs w:val="20"/>
              </w:rPr>
            </w:pPr>
          </w:p>
        </w:tc>
        <w:tc>
          <w:tcPr>
            <w:tcW w:w="50" w:type="pct"/>
            <w:vAlign w:val="center"/>
            <w:hideMark/>
          </w:tcPr>
          <w:p w14:paraId="3ADD1D71" w14:textId="77777777" w:rsidR="00000000" w:rsidRDefault="003C49E9">
            <w:pPr>
              <w:rPr>
                <w:rFonts w:eastAsia="Times New Roman"/>
                <w:sz w:val="20"/>
                <w:szCs w:val="20"/>
              </w:rPr>
            </w:pPr>
          </w:p>
        </w:tc>
        <w:tc>
          <w:tcPr>
            <w:tcW w:w="302" w:type="pct"/>
            <w:vAlign w:val="center"/>
            <w:hideMark/>
          </w:tcPr>
          <w:p w14:paraId="4FBF5124" w14:textId="77777777" w:rsidR="00000000" w:rsidRDefault="003C49E9">
            <w:pPr>
              <w:rPr>
                <w:rFonts w:eastAsia="Times New Roman"/>
                <w:sz w:val="20"/>
                <w:szCs w:val="20"/>
              </w:rPr>
            </w:pPr>
          </w:p>
        </w:tc>
        <w:tc>
          <w:tcPr>
            <w:tcW w:w="50" w:type="pct"/>
            <w:vAlign w:val="center"/>
            <w:hideMark/>
          </w:tcPr>
          <w:p w14:paraId="7998AACA" w14:textId="77777777" w:rsidR="00000000" w:rsidRDefault="003C49E9">
            <w:pPr>
              <w:rPr>
                <w:rFonts w:eastAsia="Times New Roman"/>
                <w:sz w:val="20"/>
                <w:szCs w:val="20"/>
              </w:rPr>
            </w:pPr>
          </w:p>
        </w:tc>
        <w:tc>
          <w:tcPr>
            <w:tcW w:w="54" w:type="pct"/>
            <w:vAlign w:val="center"/>
            <w:hideMark/>
          </w:tcPr>
          <w:p w14:paraId="70DD09FB" w14:textId="77777777" w:rsidR="00000000" w:rsidRDefault="003C49E9">
            <w:pPr>
              <w:rPr>
                <w:rFonts w:eastAsia="Times New Roman"/>
                <w:sz w:val="20"/>
                <w:szCs w:val="20"/>
              </w:rPr>
            </w:pPr>
          </w:p>
        </w:tc>
        <w:tc>
          <w:tcPr>
            <w:tcW w:w="50" w:type="pct"/>
            <w:vAlign w:val="center"/>
            <w:hideMark/>
          </w:tcPr>
          <w:p w14:paraId="6AD4D319" w14:textId="77777777" w:rsidR="00000000" w:rsidRDefault="003C49E9">
            <w:pPr>
              <w:rPr>
                <w:rFonts w:eastAsia="Times New Roman"/>
                <w:sz w:val="20"/>
                <w:szCs w:val="20"/>
              </w:rPr>
            </w:pPr>
          </w:p>
        </w:tc>
        <w:tc>
          <w:tcPr>
            <w:tcW w:w="371" w:type="pct"/>
            <w:vAlign w:val="center"/>
            <w:hideMark/>
          </w:tcPr>
          <w:p w14:paraId="01B35C19" w14:textId="77777777" w:rsidR="00000000" w:rsidRDefault="003C49E9">
            <w:pPr>
              <w:rPr>
                <w:rFonts w:eastAsia="Times New Roman"/>
                <w:sz w:val="20"/>
                <w:szCs w:val="20"/>
              </w:rPr>
            </w:pPr>
          </w:p>
        </w:tc>
        <w:tc>
          <w:tcPr>
            <w:tcW w:w="50" w:type="pct"/>
            <w:vAlign w:val="center"/>
            <w:hideMark/>
          </w:tcPr>
          <w:p w14:paraId="58E0E1DA" w14:textId="77777777" w:rsidR="00000000" w:rsidRDefault="003C49E9">
            <w:pPr>
              <w:rPr>
                <w:rFonts w:eastAsia="Times New Roman"/>
                <w:sz w:val="20"/>
                <w:szCs w:val="20"/>
              </w:rPr>
            </w:pPr>
          </w:p>
        </w:tc>
        <w:tc>
          <w:tcPr>
            <w:tcW w:w="54" w:type="pct"/>
            <w:vAlign w:val="center"/>
            <w:hideMark/>
          </w:tcPr>
          <w:p w14:paraId="46455FEF" w14:textId="77777777" w:rsidR="00000000" w:rsidRDefault="003C49E9">
            <w:pPr>
              <w:rPr>
                <w:rFonts w:eastAsia="Times New Roman"/>
                <w:sz w:val="20"/>
                <w:szCs w:val="20"/>
              </w:rPr>
            </w:pPr>
          </w:p>
        </w:tc>
        <w:tc>
          <w:tcPr>
            <w:tcW w:w="50" w:type="pct"/>
            <w:vAlign w:val="center"/>
            <w:hideMark/>
          </w:tcPr>
          <w:p w14:paraId="6E7E2857" w14:textId="77777777" w:rsidR="00000000" w:rsidRDefault="003C49E9">
            <w:pPr>
              <w:rPr>
                <w:rFonts w:eastAsia="Times New Roman"/>
                <w:sz w:val="20"/>
                <w:szCs w:val="20"/>
              </w:rPr>
            </w:pPr>
          </w:p>
        </w:tc>
        <w:tc>
          <w:tcPr>
            <w:tcW w:w="405" w:type="pct"/>
            <w:vAlign w:val="center"/>
            <w:hideMark/>
          </w:tcPr>
          <w:p w14:paraId="78DE8D9C" w14:textId="77777777" w:rsidR="00000000" w:rsidRDefault="003C49E9">
            <w:pPr>
              <w:rPr>
                <w:rFonts w:eastAsia="Times New Roman"/>
                <w:sz w:val="20"/>
                <w:szCs w:val="20"/>
              </w:rPr>
            </w:pPr>
          </w:p>
        </w:tc>
        <w:tc>
          <w:tcPr>
            <w:tcW w:w="50" w:type="pct"/>
            <w:vAlign w:val="center"/>
            <w:hideMark/>
          </w:tcPr>
          <w:p w14:paraId="0CEB8B31" w14:textId="77777777" w:rsidR="00000000" w:rsidRDefault="003C49E9">
            <w:pPr>
              <w:rPr>
                <w:rFonts w:eastAsia="Times New Roman"/>
                <w:sz w:val="20"/>
                <w:szCs w:val="20"/>
              </w:rPr>
            </w:pPr>
          </w:p>
        </w:tc>
        <w:tc>
          <w:tcPr>
            <w:tcW w:w="54" w:type="pct"/>
            <w:vAlign w:val="center"/>
            <w:hideMark/>
          </w:tcPr>
          <w:p w14:paraId="43479178" w14:textId="77777777" w:rsidR="00000000" w:rsidRDefault="003C49E9">
            <w:pPr>
              <w:rPr>
                <w:rFonts w:eastAsia="Times New Roman"/>
                <w:sz w:val="20"/>
                <w:szCs w:val="20"/>
              </w:rPr>
            </w:pPr>
          </w:p>
        </w:tc>
        <w:tc>
          <w:tcPr>
            <w:tcW w:w="50" w:type="pct"/>
            <w:vAlign w:val="center"/>
            <w:hideMark/>
          </w:tcPr>
          <w:p w14:paraId="2BA48B0D" w14:textId="77777777" w:rsidR="00000000" w:rsidRDefault="003C49E9">
            <w:pPr>
              <w:rPr>
                <w:rFonts w:eastAsia="Times New Roman"/>
                <w:sz w:val="20"/>
                <w:szCs w:val="20"/>
              </w:rPr>
            </w:pPr>
          </w:p>
        </w:tc>
        <w:tc>
          <w:tcPr>
            <w:tcW w:w="356" w:type="pct"/>
            <w:vAlign w:val="center"/>
            <w:hideMark/>
          </w:tcPr>
          <w:p w14:paraId="62773F1F" w14:textId="77777777" w:rsidR="00000000" w:rsidRDefault="003C49E9">
            <w:pPr>
              <w:rPr>
                <w:rFonts w:eastAsia="Times New Roman"/>
                <w:sz w:val="20"/>
                <w:szCs w:val="20"/>
              </w:rPr>
            </w:pPr>
          </w:p>
        </w:tc>
        <w:tc>
          <w:tcPr>
            <w:tcW w:w="50" w:type="pct"/>
            <w:vAlign w:val="center"/>
            <w:hideMark/>
          </w:tcPr>
          <w:p w14:paraId="13BD7A75" w14:textId="77777777" w:rsidR="00000000" w:rsidRDefault="003C49E9">
            <w:pPr>
              <w:rPr>
                <w:rFonts w:eastAsia="Times New Roman"/>
                <w:sz w:val="20"/>
                <w:szCs w:val="20"/>
              </w:rPr>
            </w:pPr>
          </w:p>
        </w:tc>
        <w:tc>
          <w:tcPr>
            <w:tcW w:w="54" w:type="pct"/>
            <w:vAlign w:val="center"/>
            <w:hideMark/>
          </w:tcPr>
          <w:p w14:paraId="670F8716" w14:textId="77777777" w:rsidR="00000000" w:rsidRDefault="003C49E9">
            <w:pPr>
              <w:rPr>
                <w:rFonts w:eastAsia="Times New Roman"/>
                <w:sz w:val="20"/>
                <w:szCs w:val="20"/>
              </w:rPr>
            </w:pPr>
          </w:p>
        </w:tc>
        <w:tc>
          <w:tcPr>
            <w:tcW w:w="50" w:type="pct"/>
            <w:vAlign w:val="center"/>
            <w:hideMark/>
          </w:tcPr>
          <w:p w14:paraId="59BE33C1" w14:textId="77777777" w:rsidR="00000000" w:rsidRDefault="003C49E9">
            <w:pPr>
              <w:rPr>
                <w:rFonts w:eastAsia="Times New Roman"/>
                <w:sz w:val="20"/>
                <w:szCs w:val="20"/>
              </w:rPr>
            </w:pPr>
          </w:p>
        </w:tc>
        <w:tc>
          <w:tcPr>
            <w:tcW w:w="302" w:type="pct"/>
            <w:vAlign w:val="center"/>
            <w:hideMark/>
          </w:tcPr>
          <w:p w14:paraId="70D44801" w14:textId="77777777" w:rsidR="00000000" w:rsidRDefault="003C49E9">
            <w:pPr>
              <w:rPr>
                <w:rFonts w:eastAsia="Times New Roman"/>
                <w:sz w:val="20"/>
                <w:szCs w:val="20"/>
              </w:rPr>
            </w:pPr>
          </w:p>
        </w:tc>
        <w:tc>
          <w:tcPr>
            <w:tcW w:w="50" w:type="pct"/>
            <w:vAlign w:val="center"/>
            <w:hideMark/>
          </w:tcPr>
          <w:p w14:paraId="1ADB46DA" w14:textId="77777777" w:rsidR="00000000" w:rsidRDefault="003C49E9">
            <w:pPr>
              <w:rPr>
                <w:rFonts w:eastAsia="Times New Roman"/>
                <w:sz w:val="20"/>
                <w:szCs w:val="20"/>
              </w:rPr>
            </w:pPr>
          </w:p>
        </w:tc>
        <w:tc>
          <w:tcPr>
            <w:tcW w:w="54" w:type="pct"/>
            <w:vAlign w:val="center"/>
            <w:hideMark/>
          </w:tcPr>
          <w:p w14:paraId="6939CFAA" w14:textId="77777777" w:rsidR="00000000" w:rsidRDefault="003C49E9">
            <w:pPr>
              <w:rPr>
                <w:rFonts w:eastAsia="Times New Roman"/>
                <w:sz w:val="20"/>
                <w:szCs w:val="20"/>
              </w:rPr>
            </w:pPr>
          </w:p>
        </w:tc>
        <w:tc>
          <w:tcPr>
            <w:tcW w:w="50" w:type="pct"/>
            <w:vAlign w:val="center"/>
            <w:hideMark/>
          </w:tcPr>
          <w:p w14:paraId="69E0AEFB" w14:textId="77777777" w:rsidR="00000000" w:rsidRDefault="003C49E9">
            <w:pPr>
              <w:rPr>
                <w:rFonts w:eastAsia="Times New Roman"/>
                <w:sz w:val="20"/>
                <w:szCs w:val="20"/>
              </w:rPr>
            </w:pPr>
          </w:p>
        </w:tc>
        <w:tc>
          <w:tcPr>
            <w:tcW w:w="378" w:type="pct"/>
            <w:vAlign w:val="center"/>
            <w:hideMark/>
          </w:tcPr>
          <w:p w14:paraId="6BA5C78B" w14:textId="77777777" w:rsidR="00000000" w:rsidRDefault="003C49E9">
            <w:pPr>
              <w:rPr>
                <w:rFonts w:eastAsia="Times New Roman"/>
                <w:sz w:val="20"/>
                <w:szCs w:val="20"/>
              </w:rPr>
            </w:pPr>
          </w:p>
        </w:tc>
        <w:tc>
          <w:tcPr>
            <w:tcW w:w="50" w:type="pct"/>
            <w:vAlign w:val="center"/>
            <w:hideMark/>
          </w:tcPr>
          <w:p w14:paraId="51E52312" w14:textId="77777777" w:rsidR="00000000" w:rsidRDefault="003C49E9">
            <w:pPr>
              <w:rPr>
                <w:rFonts w:eastAsia="Times New Roman"/>
                <w:sz w:val="20"/>
                <w:szCs w:val="20"/>
              </w:rPr>
            </w:pPr>
          </w:p>
        </w:tc>
      </w:tr>
      <w:tr w:rsidR="00000000" w14:paraId="75362AF0" w14:textId="77777777">
        <w:trPr>
          <w:trHeight w:val="140"/>
          <w:tblCellSpacing w:w="15" w:type="dxa"/>
        </w:trPr>
        <w:tc>
          <w:tcPr>
            <w:tcW w:w="0" w:type="auto"/>
            <w:vAlign w:val="bottom"/>
            <w:hideMark/>
          </w:tcPr>
          <w:p w14:paraId="530F347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95DCB39"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6"/>
            <w:vAlign w:val="bottom"/>
            <w:hideMark/>
          </w:tcPr>
          <w:p w14:paraId="6E4A1070"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2A65848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39957C1"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7CC8497F"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2AB88ACB"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04B158C1"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22A690C6"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6B0CB94B"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622D6961"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0330A740"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7C8D032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8BE3B18"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44EDEF58"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7703E4D2"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6B6E5508"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02C100C8" w14:textId="77777777" w:rsidR="00000000" w:rsidRDefault="003C49E9">
            <w:pPr>
              <w:pStyle w:val="a3"/>
              <w:spacing w:before="0" w:beforeAutospacing="0" w:after="0" w:afterAutospacing="0"/>
              <w:rPr>
                <w:sz w:val="15"/>
                <w:szCs w:val="15"/>
              </w:rPr>
            </w:pPr>
            <w:r>
              <w:rPr>
                <w:sz w:val="15"/>
                <w:szCs w:val="15"/>
              </w:rPr>
              <w:t> </w:t>
            </w:r>
          </w:p>
        </w:tc>
        <w:tc>
          <w:tcPr>
            <w:tcW w:w="0" w:type="auto"/>
            <w:vAlign w:val="bottom"/>
            <w:hideMark/>
          </w:tcPr>
          <w:p w14:paraId="4147A949" w14:textId="77777777" w:rsidR="00000000" w:rsidRDefault="003C49E9">
            <w:pPr>
              <w:pStyle w:val="a3"/>
              <w:spacing w:before="0" w:beforeAutospacing="0" w:after="0" w:afterAutospacing="0"/>
              <w:rPr>
                <w:sz w:val="15"/>
                <w:szCs w:val="15"/>
              </w:rPr>
            </w:pPr>
            <w:r>
              <w:rPr>
                <w:sz w:val="15"/>
                <w:szCs w:val="15"/>
              </w:rPr>
              <w:t> </w:t>
            </w:r>
          </w:p>
        </w:tc>
      </w:tr>
      <w:tr w:rsidR="00000000" w14:paraId="187FF44D" w14:textId="77777777">
        <w:trPr>
          <w:trHeight w:val="140"/>
          <w:tblCellSpacing w:w="15" w:type="dxa"/>
        </w:trPr>
        <w:tc>
          <w:tcPr>
            <w:tcW w:w="0" w:type="auto"/>
            <w:vAlign w:val="bottom"/>
            <w:hideMark/>
          </w:tcPr>
          <w:p w14:paraId="3A1A2CBA"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1932B902" w14:textId="77777777" w:rsidR="00000000" w:rsidRDefault="003C49E9">
            <w:pPr>
              <w:pStyle w:val="a3"/>
              <w:spacing w:before="0" w:beforeAutospacing="0" w:after="0" w:afterAutospacing="0"/>
              <w:jc w:val="center"/>
              <w:rPr>
                <w:sz w:val="15"/>
                <w:szCs w:val="15"/>
              </w:rPr>
            </w:pPr>
            <w:r>
              <w:rPr>
                <w:sz w:val="15"/>
                <w:szCs w:val="15"/>
              </w:rPr>
              <w:t> </w:t>
            </w:r>
          </w:p>
        </w:tc>
        <w:tc>
          <w:tcPr>
            <w:tcW w:w="0" w:type="auto"/>
            <w:gridSpan w:val="2"/>
            <w:vAlign w:val="bottom"/>
            <w:hideMark/>
          </w:tcPr>
          <w:p w14:paraId="49F0489C"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221E5C1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1BED86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1800A23"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78118EB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49D2DEA"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CF75AA0"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285C863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094C60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67D547A"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711EC20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4069FEC"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D31F3AE"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105E36FA"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96FC35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FA625D2"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44059FC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6CED7B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835E264"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763AF38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E9DCD7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6E07ACB"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3CD37D70"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5D7E2AEE" w14:textId="77777777">
        <w:trPr>
          <w:trHeight w:val="180"/>
          <w:tblCellSpacing w:w="15" w:type="dxa"/>
        </w:trPr>
        <w:tc>
          <w:tcPr>
            <w:tcW w:w="0" w:type="auto"/>
            <w:vAlign w:val="bottom"/>
            <w:hideMark/>
          </w:tcPr>
          <w:p w14:paraId="7FCBF3CD" w14:textId="77777777" w:rsidR="00000000" w:rsidRDefault="003C49E9">
            <w:pPr>
              <w:pStyle w:val="a3"/>
              <w:spacing w:before="0" w:beforeAutospacing="0" w:after="0" w:afterAutospacing="0"/>
              <w:rPr>
                <w:sz w:val="18"/>
                <w:szCs w:val="18"/>
              </w:rPr>
            </w:pPr>
            <w:r>
              <w:rPr>
                <w:sz w:val="18"/>
                <w:szCs w:val="18"/>
              </w:rPr>
              <w:t>Research and developmen</w:t>
            </w:r>
            <w:r>
              <w:rPr>
                <w:sz w:val="18"/>
                <w:szCs w:val="18"/>
              </w:rPr>
              <w:t>t</w:t>
            </w:r>
          </w:p>
        </w:tc>
        <w:tc>
          <w:tcPr>
            <w:tcW w:w="0" w:type="auto"/>
            <w:vAlign w:val="bottom"/>
            <w:hideMark/>
          </w:tcPr>
          <w:p w14:paraId="4E550AC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F8ACE7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B1F1C64" w14:textId="77777777" w:rsidR="00000000" w:rsidRDefault="003C49E9">
            <w:pPr>
              <w:pStyle w:val="a3"/>
              <w:spacing w:before="0" w:beforeAutospacing="0" w:after="0" w:afterAutospacing="0"/>
              <w:jc w:val="right"/>
              <w:rPr>
                <w:sz w:val="18"/>
                <w:szCs w:val="18"/>
              </w:rPr>
            </w:pPr>
            <w:r>
              <w:rPr>
                <w:sz w:val="18"/>
                <w:szCs w:val="18"/>
              </w:rPr>
              <w:t>118,91</w:t>
            </w:r>
            <w:r>
              <w:rPr>
                <w:sz w:val="18"/>
                <w:szCs w:val="18"/>
              </w:rPr>
              <w:t>4</w:t>
            </w:r>
          </w:p>
        </w:tc>
        <w:tc>
          <w:tcPr>
            <w:tcW w:w="0" w:type="auto"/>
            <w:noWrap/>
            <w:vAlign w:val="bottom"/>
            <w:hideMark/>
          </w:tcPr>
          <w:p w14:paraId="739129E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30078D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42819A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16C33AA" w14:textId="77777777" w:rsidR="00000000" w:rsidRDefault="003C49E9">
            <w:pPr>
              <w:pStyle w:val="a3"/>
              <w:spacing w:before="0" w:beforeAutospacing="0" w:after="0" w:afterAutospacing="0"/>
              <w:jc w:val="right"/>
              <w:rPr>
                <w:sz w:val="18"/>
                <w:szCs w:val="18"/>
              </w:rPr>
            </w:pPr>
            <w:r>
              <w:rPr>
                <w:sz w:val="18"/>
                <w:szCs w:val="18"/>
              </w:rPr>
              <w:t>72,10</w:t>
            </w:r>
            <w:r>
              <w:rPr>
                <w:sz w:val="18"/>
                <w:szCs w:val="18"/>
              </w:rPr>
              <w:t>4</w:t>
            </w:r>
          </w:p>
        </w:tc>
        <w:tc>
          <w:tcPr>
            <w:tcW w:w="0" w:type="auto"/>
            <w:noWrap/>
            <w:vAlign w:val="bottom"/>
            <w:hideMark/>
          </w:tcPr>
          <w:p w14:paraId="5F06FC7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A1036E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B15FA7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5360E22" w14:textId="77777777" w:rsidR="00000000" w:rsidRDefault="003C49E9">
            <w:pPr>
              <w:pStyle w:val="a3"/>
              <w:spacing w:before="0" w:beforeAutospacing="0" w:after="0" w:afterAutospacing="0"/>
              <w:jc w:val="right"/>
              <w:rPr>
                <w:sz w:val="18"/>
                <w:szCs w:val="18"/>
              </w:rPr>
            </w:pPr>
            <w:r>
              <w:rPr>
                <w:sz w:val="18"/>
                <w:szCs w:val="18"/>
              </w:rPr>
              <w:t>46,81</w:t>
            </w:r>
            <w:r>
              <w:rPr>
                <w:sz w:val="18"/>
                <w:szCs w:val="18"/>
              </w:rPr>
              <w:t>0</w:t>
            </w:r>
          </w:p>
        </w:tc>
        <w:tc>
          <w:tcPr>
            <w:tcW w:w="0" w:type="auto"/>
            <w:noWrap/>
            <w:vAlign w:val="bottom"/>
            <w:hideMark/>
          </w:tcPr>
          <w:p w14:paraId="25C8E79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769A9B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BA139E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337645B" w14:textId="77777777" w:rsidR="00000000" w:rsidRDefault="003C49E9">
            <w:pPr>
              <w:pStyle w:val="a3"/>
              <w:spacing w:before="0" w:beforeAutospacing="0" w:after="0" w:afterAutospacing="0"/>
              <w:jc w:val="right"/>
              <w:rPr>
                <w:sz w:val="18"/>
                <w:szCs w:val="18"/>
              </w:rPr>
            </w:pPr>
            <w:r>
              <w:rPr>
                <w:sz w:val="18"/>
                <w:szCs w:val="18"/>
              </w:rPr>
              <w:t>6</w:t>
            </w:r>
            <w:r>
              <w:rPr>
                <w:sz w:val="18"/>
                <w:szCs w:val="18"/>
              </w:rPr>
              <w:t>5</w:t>
            </w:r>
          </w:p>
        </w:tc>
        <w:tc>
          <w:tcPr>
            <w:tcW w:w="0" w:type="auto"/>
            <w:noWrap/>
            <w:vAlign w:val="bottom"/>
            <w:hideMark/>
          </w:tcPr>
          <w:p w14:paraId="4F11C030"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706D61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C4F21D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2D22306" w14:textId="77777777" w:rsidR="00000000" w:rsidRDefault="003C49E9">
            <w:pPr>
              <w:pStyle w:val="a3"/>
              <w:spacing w:before="0" w:beforeAutospacing="0" w:after="0" w:afterAutospacing="0"/>
              <w:jc w:val="right"/>
              <w:rPr>
                <w:sz w:val="18"/>
                <w:szCs w:val="18"/>
              </w:rPr>
            </w:pPr>
            <w:r>
              <w:rPr>
                <w:sz w:val="18"/>
                <w:szCs w:val="18"/>
              </w:rPr>
              <w:t>211,65</w:t>
            </w:r>
            <w:r>
              <w:rPr>
                <w:sz w:val="18"/>
                <w:szCs w:val="18"/>
              </w:rPr>
              <w:t>0</w:t>
            </w:r>
          </w:p>
        </w:tc>
        <w:tc>
          <w:tcPr>
            <w:tcW w:w="0" w:type="auto"/>
            <w:noWrap/>
            <w:vAlign w:val="bottom"/>
            <w:hideMark/>
          </w:tcPr>
          <w:p w14:paraId="329688E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40FCD94"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7D4E8CAA"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9775729" w14:textId="77777777" w:rsidR="00000000" w:rsidRDefault="003C49E9">
            <w:pPr>
              <w:pStyle w:val="a3"/>
              <w:spacing w:before="0" w:beforeAutospacing="0" w:after="0" w:afterAutospacing="0"/>
              <w:jc w:val="right"/>
              <w:rPr>
                <w:sz w:val="18"/>
                <w:szCs w:val="18"/>
              </w:rPr>
            </w:pPr>
            <w:r>
              <w:rPr>
                <w:sz w:val="18"/>
                <w:szCs w:val="18"/>
              </w:rPr>
              <w:t>140,50</w:t>
            </w:r>
            <w:r>
              <w:rPr>
                <w:sz w:val="18"/>
                <w:szCs w:val="18"/>
              </w:rPr>
              <w:t>0</w:t>
            </w:r>
          </w:p>
        </w:tc>
        <w:tc>
          <w:tcPr>
            <w:tcW w:w="0" w:type="auto"/>
            <w:noWrap/>
            <w:vAlign w:val="bottom"/>
            <w:hideMark/>
          </w:tcPr>
          <w:p w14:paraId="02578E0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3F1272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577868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57153A4" w14:textId="77777777" w:rsidR="00000000" w:rsidRDefault="003C49E9">
            <w:pPr>
              <w:pStyle w:val="a3"/>
              <w:spacing w:before="0" w:beforeAutospacing="0" w:after="0" w:afterAutospacing="0"/>
              <w:jc w:val="right"/>
              <w:rPr>
                <w:sz w:val="18"/>
                <w:szCs w:val="18"/>
              </w:rPr>
            </w:pPr>
            <w:r>
              <w:rPr>
                <w:sz w:val="18"/>
                <w:szCs w:val="18"/>
              </w:rPr>
              <w:t>71,15</w:t>
            </w:r>
            <w:r>
              <w:rPr>
                <w:sz w:val="18"/>
                <w:szCs w:val="18"/>
              </w:rPr>
              <w:t>0</w:t>
            </w:r>
          </w:p>
        </w:tc>
        <w:tc>
          <w:tcPr>
            <w:tcW w:w="0" w:type="auto"/>
            <w:noWrap/>
            <w:vAlign w:val="bottom"/>
            <w:hideMark/>
          </w:tcPr>
          <w:p w14:paraId="77A2AFE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7438F15"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5D4E1D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2E893FA" w14:textId="77777777" w:rsidR="00000000" w:rsidRDefault="003C49E9">
            <w:pPr>
              <w:pStyle w:val="a3"/>
              <w:spacing w:before="0" w:beforeAutospacing="0" w:after="0" w:afterAutospacing="0"/>
              <w:jc w:val="right"/>
              <w:rPr>
                <w:sz w:val="18"/>
                <w:szCs w:val="18"/>
              </w:rPr>
            </w:pPr>
            <w:r>
              <w:rPr>
                <w:sz w:val="18"/>
                <w:szCs w:val="18"/>
              </w:rPr>
              <w:t>5</w:t>
            </w:r>
            <w:r>
              <w:rPr>
                <w:sz w:val="18"/>
                <w:szCs w:val="18"/>
              </w:rPr>
              <w:t>1</w:t>
            </w:r>
          </w:p>
        </w:tc>
        <w:tc>
          <w:tcPr>
            <w:tcW w:w="0" w:type="auto"/>
            <w:noWrap/>
            <w:vAlign w:val="bottom"/>
            <w:hideMark/>
          </w:tcPr>
          <w:p w14:paraId="6F81B15D" w14:textId="77777777" w:rsidR="00000000" w:rsidRDefault="003C49E9">
            <w:pPr>
              <w:pStyle w:val="a3"/>
              <w:spacing w:before="0" w:beforeAutospacing="0" w:after="0" w:afterAutospacing="0"/>
              <w:rPr>
                <w:sz w:val="18"/>
                <w:szCs w:val="18"/>
              </w:rPr>
            </w:pPr>
            <w:r>
              <w:rPr>
                <w:sz w:val="18"/>
                <w:szCs w:val="18"/>
              </w:rPr>
              <w:t>%</w:t>
            </w:r>
          </w:p>
        </w:tc>
      </w:tr>
      <w:tr w:rsidR="00000000" w14:paraId="56ED8B14" w14:textId="77777777">
        <w:trPr>
          <w:trHeight w:val="180"/>
          <w:tblCellSpacing w:w="15" w:type="dxa"/>
        </w:trPr>
        <w:tc>
          <w:tcPr>
            <w:tcW w:w="0" w:type="auto"/>
            <w:vAlign w:val="bottom"/>
            <w:hideMark/>
          </w:tcPr>
          <w:p w14:paraId="4C41C6E6" w14:textId="77777777" w:rsidR="00000000" w:rsidRDefault="003C49E9">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14:paraId="1278489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B86677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E3BC4BA" w14:textId="77777777" w:rsidR="00000000" w:rsidRDefault="003C49E9">
            <w:pPr>
              <w:pStyle w:val="a3"/>
              <w:spacing w:before="0" w:beforeAutospacing="0" w:after="0" w:afterAutospacing="0"/>
              <w:jc w:val="right"/>
              <w:rPr>
                <w:sz w:val="18"/>
                <w:szCs w:val="18"/>
              </w:rPr>
            </w:pPr>
            <w:r>
              <w:rPr>
                <w:sz w:val="18"/>
                <w:szCs w:val="18"/>
              </w:rPr>
              <w:t>2</w:t>
            </w:r>
            <w:r>
              <w:rPr>
                <w:sz w:val="18"/>
                <w:szCs w:val="18"/>
              </w:rPr>
              <w:t>8</w:t>
            </w:r>
          </w:p>
        </w:tc>
        <w:tc>
          <w:tcPr>
            <w:tcW w:w="0" w:type="auto"/>
            <w:noWrap/>
            <w:vAlign w:val="bottom"/>
            <w:hideMark/>
          </w:tcPr>
          <w:p w14:paraId="35F6E98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C692D8A"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A04F70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B849C1C" w14:textId="77777777" w:rsidR="00000000" w:rsidRDefault="003C49E9">
            <w:pPr>
              <w:pStyle w:val="a3"/>
              <w:spacing w:before="0" w:beforeAutospacing="0" w:after="0" w:afterAutospacing="0"/>
              <w:jc w:val="right"/>
              <w:rPr>
                <w:sz w:val="18"/>
                <w:szCs w:val="18"/>
              </w:rPr>
            </w:pPr>
            <w:r>
              <w:rPr>
                <w:sz w:val="18"/>
                <w:szCs w:val="18"/>
              </w:rPr>
              <w:t>2</w:t>
            </w:r>
            <w:r>
              <w:rPr>
                <w:sz w:val="18"/>
                <w:szCs w:val="18"/>
              </w:rPr>
              <w:t>3</w:t>
            </w:r>
          </w:p>
        </w:tc>
        <w:tc>
          <w:tcPr>
            <w:tcW w:w="0" w:type="auto"/>
            <w:noWrap/>
            <w:vAlign w:val="bottom"/>
            <w:hideMark/>
          </w:tcPr>
          <w:p w14:paraId="6965A13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AE74413"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52B7F7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0C5EE1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044BDDD9"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D8A7A1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47B91C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394B18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3A6C267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20D996C" w14:textId="77777777" w:rsidR="00000000" w:rsidRDefault="003C49E9">
            <w:pPr>
              <w:pStyle w:val="a3"/>
              <w:spacing w:before="0" w:beforeAutospacing="0" w:after="0" w:afterAutospacing="0"/>
              <w:jc w:val="right"/>
              <w:rPr>
                <w:sz w:val="18"/>
                <w:szCs w:val="18"/>
              </w:rPr>
            </w:pPr>
            <w:r>
              <w:rPr>
                <w:sz w:val="18"/>
                <w:szCs w:val="18"/>
              </w:rPr>
              <w:t>2</w:t>
            </w:r>
            <w:r>
              <w:rPr>
                <w:sz w:val="18"/>
                <w:szCs w:val="18"/>
              </w:rPr>
              <w:t>6</w:t>
            </w:r>
          </w:p>
        </w:tc>
        <w:tc>
          <w:tcPr>
            <w:tcW w:w="0" w:type="auto"/>
            <w:noWrap/>
            <w:vAlign w:val="bottom"/>
            <w:hideMark/>
          </w:tcPr>
          <w:p w14:paraId="3EC3A26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23AC91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440AE73"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07155CE" w14:textId="77777777" w:rsidR="00000000" w:rsidRDefault="003C49E9">
            <w:pPr>
              <w:pStyle w:val="a3"/>
              <w:spacing w:before="0" w:beforeAutospacing="0" w:after="0" w:afterAutospacing="0"/>
              <w:jc w:val="right"/>
              <w:rPr>
                <w:sz w:val="18"/>
                <w:szCs w:val="18"/>
              </w:rPr>
            </w:pPr>
            <w:r>
              <w:rPr>
                <w:sz w:val="18"/>
                <w:szCs w:val="18"/>
              </w:rPr>
              <w:t>2</w:t>
            </w:r>
            <w:r>
              <w:rPr>
                <w:sz w:val="18"/>
                <w:szCs w:val="18"/>
              </w:rPr>
              <w:t>4</w:t>
            </w:r>
          </w:p>
        </w:tc>
        <w:tc>
          <w:tcPr>
            <w:tcW w:w="0" w:type="auto"/>
            <w:noWrap/>
            <w:vAlign w:val="bottom"/>
            <w:hideMark/>
          </w:tcPr>
          <w:p w14:paraId="26F5AC7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9E6D30F"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73BC143"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A7206DF"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037E898F"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286FDFD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6EAC0A6" w14:textId="77777777" w:rsidR="00000000" w:rsidRDefault="003C49E9">
            <w:pPr>
              <w:pStyle w:val="a3"/>
              <w:spacing w:before="0" w:beforeAutospacing="0" w:after="0" w:afterAutospacing="0"/>
              <w:rPr>
                <w:sz w:val="18"/>
                <w:szCs w:val="18"/>
              </w:rPr>
            </w:pPr>
            <w:r>
              <w:rPr>
                <w:sz w:val="18"/>
                <w:szCs w:val="18"/>
              </w:rPr>
              <w:t> </w:t>
            </w:r>
          </w:p>
        </w:tc>
      </w:tr>
    </w:tbl>
    <w:p w14:paraId="71FD51E2" w14:textId="77777777" w:rsidR="00000000" w:rsidRDefault="003C49E9">
      <w:pPr>
        <w:pStyle w:val="a3"/>
        <w:spacing w:before="200" w:beforeAutospacing="0" w:after="0" w:afterAutospacing="0"/>
        <w:ind w:firstLine="555"/>
        <w:rPr>
          <w:sz w:val="20"/>
          <w:szCs w:val="20"/>
        </w:rPr>
      </w:pPr>
      <w:r>
        <w:rPr>
          <w:sz w:val="20"/>
          <w:szCs w:val="20"/>
        </w:rPr>
        <w:t>The increase in research and development expense for the three and six months ended June 30, 2022 compared to the same period in 2021 was primarily due to the following:</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5"/>
        <w:gridCol w:w="115"/>
        <w:gridCol w:w="160"/>
        <w:gridCol w:w="1197"/>
        <w:gridCol w:w="127"/>
        <w:gridCol w:w="115"/>
        <w:gridCol w:w="160"/>
        <w:gridCol w:w="1264"/>
        <w:gridCol w:w="142"/>
      </w:tblGrid>
      <w:tr w:rsidR="00000000" w14:paraId="17ED1934" w14:textId="77777777">
        <w:trPr>
          <w:tblCellSpacing w:w="15" w:type="dxa"/>
        </w:trPr>
        <w:tc>
          <w:tcPr>
            <w:tcW w:w="2680" w:type="pct"/>
            <w:vAlign w:val="center"/>
            <w:hideMark/>
          </w:tcPr>
          <w:p w14:paraId="1E3B4038" w14:textId="77777777" w:rsidR="00000000" w:rsidRDefault="003C49E9">
            <w:pPr>
              <w:rPr>
                <w:sz w:val="20"/>
                <w:szCs w:val="20"/>
              </w:rPr>
            </w:pPr>
          </w:p>
        </w:tc>
        <w:tc>
          <w:tcPr>
            <w:tcW w:w="49" w:type="pct"/>
            <w:vAlign w:val="center"/>
            <w:hideMark/>
          </w:tcPr>
          <w:p w14:paraId="621B5439" w14:textId="77777777" w:rsidR="00000000" w:rsidRDefault="003C49E9">
            <w:pPr>
              <w:rPr>
                <w:rFonts w:eastAsia="Times New Roman"/>
                <w:sz w:val="20"/>
                <w:szCs w:val="20"/>
              </w:rPr>
            </w:pPr>
          </w:p>
        </w:tc>
        <w:tc>
          <w:tcPr>
            <w:tcW w:w="50" w:type="pct"/>
            <w:vAlign w:val="center"/>
            <w:hideMark/>
          </w:tcPr>
          <w:p w14:paraId="4D7AEB2B" w14:textId="77777777" w:rsidR="00000000" w:rsidRDefault="003C49E9">
            <w:pPr>
              <w:rPr>
                <w:rFonts w:eastAsia="Times New Roman"/>
                <w:sz w:val="20"/>
                <w:szCs w:val="20"/>
              </w:rPr>
            </w:pPr>
          </w:p>
        </w:tc>
        <w:tc>
          <w:tcPr>
            <w:tcW w:w="983" w:type="pct"/>
            <w:vAlign w:val="center"/>
            <w:hideMark/>
          </w:tcPr>
          <w:p w14:paraId="7F9CB000" w14:textId="77777777" w:rsidR="00000000" w:rsidRDefault="003C49E9">
            <w:pPr>
              <w:rPr>
                <w:rFonts w:eastAsia="Times New Roman"/>
                <w:sz w:val="20"/>
                <w:szCs w:val="20"/>
              </w:rPr>
            </w:pPr>
          </w:p>
        </w:tc>
        <w:tc>
          <w:tcPr>
            <w:tcW w:w="50" w:type="pct"/>
            <w:vAlign w:val="center"/>
            <w:hideMark/>
          </w:tcPr>
          <w:p w14:paraId="3918F8F8" w14:textId="77777777" w:rsidR="00000000" w:rsidRDefault="003C49E9">
            <w:pPr>
              <w:rPr>
                <w:rFonts w:eastAsia="Times New Roman"/>
                <w:sz w:val="20"/>
                <w:szCs w:val="20"/>
              </w:rPr>
            </w:pPr>
          </w:p>
        </w:tc>
        <w:tc>
          <w:tcPr>
            <w:tcW w:w="49" w:type="pct"/>
            <w:vAlign w:val="center"/>
            <w:hideMark/>
          </w:tcPr>
          <w:p w14:paraId="0E141D6F" w14:textId="77777777" w:rsidR="00000000" w:rsidRDefault="003C49E9">
            <w:pPr>
              <w:rPr>
                <w:rFonts w:eastAsia="Times New Roman"/>
                <w:sz w:val="20"/>
                <w:szCs w:val="20"/>
              </w:rPr>
            </w:pPr>
          </w:p>
        </w:tc>
        <w:tc>
          <w:tcPr>
            <w:tcW w:w="50" w:type="pct"/>
            <w:vAlign w:val="center"/>
            <w:hideMark/>
          </w:tcPr>
          <w:p w14:paraId="34B9EEE9" w14:textId="77777777" w:rsidR="00000000" w:rsidRDefault="003C49E9">
            <w:pPr>
              <w:rPr>
                <w:rFonts w:eastAsia="Times New Roman"/>
                <w:sz w:val="20"/>
                <w:szCs w:val="20"/>
              </w:rPr>
            </w:pPr>
          </w:p>
        </w:tc>
        <w:tc>
          <w:tcPr>
            <w:tcW w:w="1036" w:type="pct"/>
            <w:vAlign w:val="center"/>
            <w:hideMark/>
          </w:tcPr>
          <w:p w14:paraId="5C0F3457" w14:textId="77777777" w:rsidR="00000000" w:rsidRDefault="003C49E9">
            <w:pPr>
              <w:rPr>
                <w:rFonts w:eastAsia="Times New Roman"/>
                <w:sz w:val="20"/>
                <w:szCs w:val="20"/>
              </w:rPr>
            </w:pPr>
          </w:p>
        </w:tc>
        <w:tc>
          <w:tcPr>
            <w:tcW w:w="50" w:type="pct"/>
            <w:vAlign w:val="center"/>
            <w:hideMark/>
          </w:tcPr>
          <w:p w14:paraId="4E57C353" w14:textId="77777777" w:rsidR="00000000" w:rsidRDefault="003C49E9">
            <w:pPr>
              <w:rPr>
                <w:rFonts w:eastAsia="Times New Roman"/>
                <w:sz w:val="20"/>
                <w:szCs w:val="20"/>
              </w:rPr>
            </w:pPr>
          </w:p>
        </w:tc>
      </w:tr>
      <w:tr w:rsidR="00000000" w14:paraId="178023A6" w14:textId="77777777">
        <w:trPr>
          <w:trHeight w:val="160"/>
          <w:tblCellSpacing w:w="15" w:type="dxa"/>
        </w:trPr>
        <w:tc>
          <w:tcPr>
            <w:tcW w:w="0" w:type="auto"/>
            <w:vAlign w:val="bottom"/>
            <w:hideMark/>
          </w:tcPr>
          <w:p w14:paraId="7DEC8F64"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745F5AC"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1EEBB8C"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4E9DD1A2"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4FCBB81" w14:textId="77777777">
        <w:trPr>
          <w:trHeight w:val="160"/>
          <w:tblCellSpacing w:w="15" w:type="dxa"/>
        </w:trPr>
        <w:tc>
          <w:tcPr>
            <w:tcW w:w="0" w:type="auto"/>
            <w:vAlign w:val="bottom"/>
            <w:hideMark/>
          </w:tcPr>
          <w:p w14:paraId="29E44B1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6212BD0"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319A9378"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12183252"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454F3174"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0A291BCA"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661BD66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E7EBE79" w14:textId="77777777">
        <w:trPr>
          <w:trHeight w:val="160"/>
          <w:tblCellSpacing w:w="15" w:type="dxa"/>
        </w:trPr>
        <w:tc>
          <w:tcPr>
            <w:tcW w:w="0" w:type="auto"/>
            <w:vAlign w:val="bottom"/>
            <w:hideMark/>
          </w:tcPr>
          <w:p w14:paraId="7EB2236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304CA3D"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39CF330B"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5CE5FF4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02FFD3E" w14:textId="77777777">
        <w:trPr>
          <w:trHeight w:val="200"/>
          <w:tblCellSpacing w:w="15" w:type="dxa"/>
        </w:trPr>
        <w:tc>
          <w:tcPr>
            <w:tcW w:w="0" w:type="auto"/>
            <w:vAlign w:val="bottom"/>
            <w:hideMark/>
          </w:tcPr>
          <w:p w14:paraId="5F5E21F0" w14:textId="77777777" w:rsidR="00000000" w:rsidRDefault="003C49E9">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14:paraId="3948E94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D2B052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6710B92" w14:textId="77777777" w:rsidR="00000000" w:rsidRDefault="003C49E9">
            <w:pPr>
              <w:pStyle w:val="a3"/>
              <w:spacing w:before="0" w:beforeAutospacing="0" w:after="0" w:afterAutospacing="0"/>
              <w:jc w:val="right"/>
              <w:rPr>
                <w:sz w:val="20"/>
                <w:szCs w:val="20"/>
              </w:rPr>
            </w:pPr>
            <w:r>
              <w:rPr>
                <w:sz w:val="20"/>
                <w:szCs w:val="20"/>
              </w:rPr>
              <w:t>47,78</w:t>
            </w:r>
            <w:r>
              <w:rPr>
                <w:sz w:val="20"/>
                <w:szCs w:val="20"/>
              </w:rPr>
              <w:t>3</w:t>
            </w:r>
          </w:p>
        </w:tc>
        <w:tc>
          <w:tcPr>
            <w:tcW w:w="0" w:type="auto"/>
            <w:noWrap/>
            <w:vAlign w:val="bottom"/>
            <w:hideMark/>
          </w:tcPr>
          <w:p w14:paraId="29D5C38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BB8DBB"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1E38F76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A790F28" w14:textId="77777777" w:rsidR="00000000" w:rsidRDefault="003C49E9">
            <w:pPr>
              <w:pStyle w:val="a3"/>
              <w:spacing w:before="0" w:beforeAutospacing="0" w:after="0" w:afterAutospacing="0"/>
              <w:jc w:val="right"/>
              <w:rPr>
                <w:sz w:val="20"/>
                <w:szCs w:val="20"/>
              </w:rPr>
            </w:pPr>
            <w:r>
              <w:rPr>
                <w:sz w:val="20"/>
                <w:szCs w:val="20"/>
              </w:rPr>
              <w:t>73,62</w:t>
            </w:r>
            <w:r>
              <w:rPr>
                <w:sz w:val="20"/>
                <w:szCs w:val="20"/>
              </w:rPr>
              <w:t>5</w:t>
            </w:r>
          </w:p>
        </w:tc>
        <w:tc>
          <w:tcPr>
            <w:tcW w:w="0" w:type="auto"/>
            <w:noWrap/>
            <w:vAlign w:val="bottom"/>
            <w:hideMark/>
          </w:tcPr>
          <w:p w14:paraId="61471CFD" w14:textId="77777777" w:rsidR="00000000" w:rsidRDefault="003C49E9">
            <w:pPr>
              <w:pStyle w:val="a3"/>
              <w:spacing w:before="0" w:beforeAutospacing="0" w:after="0" w:afterAutospacing="0"/>
              <w:rPr>
                <w:sz w:val="20"/>
                <w:szCs w:val="20"/>
              </w:rPr>
            </w:pPr>
            <w:r>
              <w:rPr>
                <w:sz w:val="20"/>
                <w:szCs w:val="20"/>
              </w:rPr>
              <w:t> </w:t>
            </w:r>
          </w:p>
        </w:tc>
      </w:tr>
      <w:tr w:rsidR="00000000" w14:paraId="66BC26ED" w14:textId="77777777">
        <w:trPr>
          <w:trHeight w:val="200"/>
          <w:tblCellSpacing w:w="15" w:type="dxa"/>
        </w:trPr>
        <w:tc>
          <w:tcPr>
            <w:tcW w:w="0" w:type="auto"/>
            <w:vAlign w:val="bottom"/>
            <w:hideMark/>
          </w:tcPr>
          <w:p w14:paraId="4C12D325" w14:textId="77777777" w:rsidR="00000000" w:rsidRDefault="003C49E9">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14:paraId="093AFEF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7535D3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42CA00A" w14:textId="77777777" w:rsidR="00000000" w:rsidRDefault="003C49E9">
            <w:pPr>
              <w:pStyle w:val="a3"/>
              <w:spacing w:before="0" w:beforeAutospacing="0" w:after="0" w:afterAutospacing="0"/>
              <w:jc w:val="right"/>
              <w:rPr>
                <w:sz w:val="20"/>
                <w:szCs w:val="20"/>
              </w:rPr>
            </w:pPr>
            <w:r>
              <w:rPr>
                <w:sz w:val="20"/>
                <w:szCs w:val="20"/>
              </w:rPr>
              <w:t>90</w:t>
            </w:r>
            <w:r>
              <w:rPr>
                <w:sz w:val="20"/>
                <w:szCs w:val="20"/>
              </w:rPr>
              <w:t>7</w:t>
            </w:r>
          </w:p>
        </w:tc>
        <w:tc>
          <w:tcPr>
            <w:tcW w:w="0" w:type="auto"/>
            <w:noWrap/>
            <w:vAlign w:val="bottom"/>
            <w:hideMark/>
          </w:tcPr>
          <w:p w14:paraId="0F045FE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E0B4BB"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0882352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3E4DD3" w14:textId="77777777" w:rsidR="00000000" w:rsidRDefault="003C49E9">
            <w:pPr>
              <w:pStyle w:val="a3"/>
              <w:spacing w:before="0" w:beforeAutospacing="0" w:after="0" w:afterAutospacing="0"/>
              <w:jc w:val="right"/>
              <w:rPr>
                <w:sz w:val="20"/>
                <w:szCs w:val="20"/>
              </w:rPr>
            </w:pPr>
            <w:r>
              <w:rPr>
                <w:sz w:val="20"/>
                <w:szCs w:val="20"/>
              </w:rPr>
              <w:t>1,91</w:t>
            </w:r>
            <w:r>
              <w:rPr>
                <w:sz w:val="20"/>
                <w:szCs w:val="20"/>
              </w:rPr>
              <w:t>6</w:t>
            </w:r>
          </w:p>
        </w:tc>
        <w:tc>
          <w:tcPr>
            <w:tcW w:w="0" w:type="auto"/>
            <w:noWrap/>
            <w:vAlign w:val="bottom"/>
            <w:hideMark/>
          </w:tcPr>
          <w:p w14:paraId="1F3C48A8" w14:textId="77777777" w:rsidR="00000000" w:rsidRDefault="003C49E9">
            <w:pPr>
              <w:pStyle w:val="a3"/>
              <w:spacing w:before="0" w:beforeAutospacing="0" w:after="0" w:afterAutospacing="0"/>
              <w:rPr>
                <w:sz w:val="20"/>
                <w:szCs w:val="20"/>
              </w:rPr>
            </w:pPr>
            <w:r>
              <w:rPr>
                <w:sz w:val="20"/>
                <w:szCs w:val="20"/>
              </w:rPr>
              <w:t> </w:t>
            </w:r>
          </w:p>
        </w:tc>
      </w:tr>
      <w:tr w:rsidR="00000000" w14:paraId="22783686" w14:textId="77777777">
        <w:trPr>
          <w:trHeight w:val="200"/>
          <w:tblCellSpacing w:w="15" w:type="dxa"/>
        </w:trPr>
        <w:tc>
          <w:tcPr>
            <w:tcW w:w="0" w:type="auto"/>
            <w:vAlign w:val="bottom"/>
            <w:hideMark/>
          </w:tcPr>
          <w:p w14:paraId="5B2E4064" w14:textId="77777777" w:rsidR="00000000" w:rsidRDefault="003C49E9">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14:paraId="1869248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4AC287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B991EA5" w14:textId="77777777" w:rsidR="00000000" w:rsidRDefault="003C49E9">
            <w:pPr>
              <w:pStyle w:val="a3"/>
              <w:spacing w:before="0" w:beforeAutospacing="0" w:after="0" w:afterAutospacing="0"/>
              <w:jc w:val="right"/>
              <w:rPr>
                <w:sz w:val="20"/>
                <w:szCs w:val="20"/>
              </w:rPr>
            </w:pPr>
            <w:r>
              <w:rPr>
                <w:sz w:val="20"/>
                <w:szCs w:val="20"/>
              </w:rPr>
              <w:t>(1,88</w:t>
            </w:r>
            <w:r>
              <w:rPr>
                <w:sz w:val="20"/>
                <w:szCs w:val="20"/>
              </w:rPr>
              <w:t>0</w:t>
            </w:r>
          </w:p>
        </w:tc>
        <w:tc>
          <w:tcPr>
            <w:tcW w:w="0" w:type="auto"/>
            <w:noWrap/>
            <w:vAlign w:val="bottom"/>
            <w:hideMark/>
          </w:tcPr>
          <w:p w14:paraId="2C39695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18C3BA7"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BD93CD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800401B" w14:textId="77777777" w:rsidR="00000000" w:rsidRDefault="003C49E9">
            <w:pPr>
              <w:pStyle w:val="a3"/>
              <w:spacing w:before="0" w:beforeAutospacing="0" w:after="0" w:afterAutospacing="0"/>
              <w:jc w:val="right"/>
              <w:rPr>
                <w:sz w:val="20"/>
                <w:szCs w:val="20"/>
              </w:rPr>
            </w:pPr>
            <w:r>
              <w:rPr>
                <w:sz w:val="20"/>
                <w:szCs w:val="20"/>
              </w:rPr>
              <w:t>(4,39</w:t>
            </w:r>
            <w:r>
              <w:rPr>
                <w:sz w:val="20"/>
                <w:szCs w:val="20"/>
              </w:rPr>
              <w:t>1</w:t>
            </w:r>
          </w:p>
        </w:tc>
        <w:tc>
          <w:tcPr>
            <w:tcW w:w="0" w:type="auto"/>
            <w:noWrap/>
            <w:vAlign w:val="bottom"/>
            <w:hideMark/>
          </w:tcPr>
          <w:p w14:paraId="0CA7F53F" w14:textId="77777777" w:rsidR="00000000" w:rsidRDefault="003C49E9">
            <w:pPr>
              <w:pStyle w:val="a3"/>
              <w:spacing w:before="0" w:beforeAutospacing="0" w:after="0" w:afterAutospacing="0"/>
              <w:rPr>
                <w:sz w:val="20"/>
                <w:szCs w:val="20"/>
              </w:rPr>
            </w:pPr>
            <w:r>
              <w:rPr>
                <w:sz w:val="20"/>
                <w:szCs w:val="20"/>
              </w:rPr>
              <w:t>)</w:t>
            </w:r>
          </w:p>
        </w:tc>
      </w:tr>
      <w:tr w:rsidR="00000000" w14:paraId="2022E04C" w14:textId="77777777">
        <w:trPr>
          <w:trHeight w:val="200"/>
          <w:tblCellSpacing w:w="15" w:type="dxa"/>
        </w:trPr>
        <w:tc>
          <w:tcPr>
            <w:tcW w:w="0" w:type="auto"/>
            <w:vAlign w:val="bottom"/>
            <w:hideMark/>
          </w:tcPr>
          <w:p w14:paraId="78D074D7" w14:textId="77777777" w:rsidR="00000000" w:rsidRDefault="003C49E9">
            <w:pPr>
              <w:pStyle w:val="a3"/>
              <w:spacing w:before="0" w:beforeAutospacing="0" w:after="0" w:afterAutospacing="0"/>
              <w:rPr>
                <w:sz w:val="22"/>
                <w:szCs w:val="22"/>
              </w:rPr>
            </w:pPr>
            <w:r>
              <w:rPr>
                <w:sz w:val="22"/>
                <w:szCs w:val="22"/>
              </w:rPr>
              <w:t> </w:t>
            </w:r>
          </w:p>
        </w:tc>
        <w:tc>
          <w:tcPr>
            <w:tcW w:w="0" w:type="auto"/>
            <w:vAlign w:val="bottom"/>
            <w:hideMark/>
          </w:tcPr>
          <w:p w14:paraId="701F44DA"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AA15CF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B79A1F1" w14:textId="77777777" w:rsidR="00000000" w:rsidRDefault="003C49E9">
            <w:pPr>
              <w:pStyle w:val="a3"/>
              <w:spacing w:before="0" w:beforeAutospacing="0" w:after="0" w:afterAutospacing="0"/>
              <w:jc w:val="right"/>
              <w:rPr>
                <w:sz w:val="20"/>
                <w:szCs w:val="20"/>
              </w:rPr>
            </w:pPr>
            <w:r>
              <w:rPr>
                <w:sz w:val="20"/>
                <w:szCs w:val="20"/>
              </w:rPr>
              <w:t>46,81</w:t>
            </w:r>
            <w:r>
              <w:rPr>
                <w:sz w:val="20"/>
                <w:szCs w:val="20"/>
              </w:rPr>
              <w:t>0</w:t>
            </w:r>
          </w:p>
        </w:tc>
        <w:tc>
          <w:tcPr>
            <w:tcW w:w="0" w:type="auto"/>
            <w:noWrap/>
            <w:vAlign w:val="bottom"/>
            <w:hideMark/>
          </w:tcPr>
          <w:p w14:paraId="2446656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AD0BDE"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8AD094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148F901" w14:textId="77777777" w:rsidR="00000000" w:rsidRDefault="003C49E9">
            <w:pPr>
              <w:pStyle w:val="a3"/>
              <w:spacing w:before="0" w:beforeAutospacing="0" w:after="0" w:afterAutospacing="0"/>
              <w:jc w:val="right"/>
              <w:rPr>
                <w:sz w:val="20"/>
                <w:szCs w:val="20"/>
              </w:rPr>
            </w:pPr>
            <w:r>
              <w:rPr>
                <w:sz w:val="20"/>
                <w:szCs w:val="20"/>
              </w:rPr>
              <w:t>71,15</w:t>
            </w:r>
            <w:r>
              <w:rPr>
                <w:sz w:val="20"/>
                <w:szCs w:val="20"/>
              </w:rPr>
              <w:t>0</w:t>
            </w:r>
          </w:p>
        </w:tc>
        <w:tc>
          <w:tcPr>
            <w:tcW w:w="0" w:type="auto"/>
            <w:noWrap/>
            <w:vAlign w:val="bottom"/>
            <w:hideMark/>
          </w:tcPr>
          <w:p w14:paraId="07854E8B" w14:textId="77777777" w:rsidR="00000000" w:rsidRDefault="003C49E9">
            <w:pPr>
              <w:pStyle w:val="a3"/>
              <w:spacing w:before="0" w:beforeAutospacing="0" w:after="0" w:afterAutospacing="0"/>
              <w:rPr>
                <w:sz w:val="20"/>
                <w:szCs w:val="20"/>
              </w:rPr>
            </w:pPr>
            <w:r>
              <w:rPr>
                <w:sz w:val="20"/>
                <w:szCs w:val="20"/>
              </w:rPr>
              <w:t> </w:t>
            </w:r>
          </w:p>
        </w:tc>
      </w:tr>
    </w:tbl>
    <w:p w14:paraId="7503871E"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23637CFE" w14:textId="77777777" w:rsidR="00000000" w:rsidRDefault="003C49E9">
      <w:pPr>
        <w:pStyle w:val="a3"/>
        <w:spacing w:before="200" w:beforeAutospacing="0" w:after="0" w:afterAutospacing="0"/>
        <w:ind w:firstLine="555"/>
        <w:rPr>
          <w:sz w:val="20"/>
          <w:szCs w:val="20"/>
        </w:rPr>
      </w:pPr>
      <w:r>
        <w:rPr>
          <w:sz w:val="20"/>
          <w:szCs w:val="20"/>
        </w:rPr>
        <w:t xml:space="preserve">Employee-related costs increased as a result of increased headcount as we continue to grow our engineering organization to develop new products, increase functionality and to maintain our existing CRM Platform. Allocated overhead expenses increased due to </w:t>
      </w:r>
      <w:r>
        <w:rPr>
          <w:sz w:val="20"/>
          <w:szCs w:val="20"/>
        </w:rPr>
        <w:t>an increase in shared company expenses associated with our systems and infrastructure as we continued to grow our business and expand headcount. Hosting expense decreased due to incremental spend in the second quarter of 2021 associated with product develo</w:t>
      </w:r>
      <w:r>
        <w:rPr>
          <w:sz w:val="20"/>
          <w:szCs w:val="20"/>
        </w:rPr>
        <w:t>pment infrastructure that is unrelated to the hosting of our CRM Platform for paying Customers. In July of 2021, we launched a new data center and the ongoing expenses related to the hosting of our CRM Platform on that data center are classified as subscri</w:t>
      </w:r>
      <w:r>
        <w:rPr>
          <w:sz w:val="20"/>
          <w:szCs w:val="20"/>
        </w:rPr>
        <w:t>ption cost of revenue</w:t>
      </w:r>
      <w:r>
        <w:rPr>
          <w:sz w:val="20"/>
          <w:szCs w:val="20"/>
        </w:rPr>
        <w:t>.</w:t>
      </w:r>
      <w:r>
        <w:rPr>
          <w:sz w:val="20"/>
          <w:szCs w:val="20"/>
        </w:rPr>
        <w:t xml:space="preserve"> </w:t>
      </w:r>
    </w:p>
    <w:p w14:paraId="3ABECFC0"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4534CA6C" w14:textId="77777777" w:rsidR="00000000" w:rsidRDefault="003C49E9">
      <w:pPr>
        <w:pStyle w:val="a3"/>
        <w:spacing w:before="200" w:beforeAutospacing="0" w:after="0" w:afterAutospacing="0"/>
        <w:ind w:firstLine="555"/>
        <w:rPr>
          <w:sz w:val="20"/>
          <w:szCs w:val="20"/>
        </w:rPr>
      </w:pPr>
      <w:r>
        <w:rPr>
          <w:sz w:val="20"/>
          <w:szCs w:val="20"/>
        </w:rPr>
        <w:t>Employee-related costs increased as a result of increased headcount as we continue to grow our engineering organization to develop new products, increase functionality and to maintain our existing CRM Platform. Allo</w:t>
      </w:r>
      <w:r>
        <w:rPr>
          <w:sz w:val="20"/>
          <w:szCs w:val="20"/>
        </w:rPr>
        <w:t>cated overhead expenses increased due to an increase in shared company expenses associated with our systems and infrastructure as we continued to grow our business and expand headcount. Hosting expense decreased due to incremental spend in the first half o</w:t>
      </w:r>
      <w:r>
        <w:rPr>
          <w:sz w:val="20"/>
          <w:szCs w:val="20"/>
        </w:rPr>
        <w:t xml:space="preserve">f 2021 associated with product development infrastructure that is unrelated to the hosting of our CRM Platform for paying Customers. In July of 2021, we launched a new data center and the ongoing expenses related to the hosting of our CRM Platform on that </w:t>
      </w:r>
      <w:r>
        <w:rPr>
          <w:sz w:val="20"/>
          <w:szCs w:val="20"/>
        </w:rPr>
        <w:t>data center are classified as subscription cost of revenue</w:t>
      </w:r>
      <w:r>
        <w:rPr>
          <w:sz w:val="20"/>
          <w:szCs w:val="20"/>
        </w:rPr>
        <w:t>.</w:t>
      </w:r>
      <w:r>
        <w:rPr>
          <w:sz w:val="20"/>
          <w:szCs w:val="20"/>
        </w:rPr>
        <w:t xml:space="preserve"> </w:t>
      </w:r>
    </w:p>
    <w:p w14:paraId="15466AA0" w14:textId="77777777" w:rsidR="00000000" w:rsidRDefault="003C49E9">
      <w:pPr>
        <w:pStyle w:val="a3"/>
        <w:spacing w:before="200" w:beforeAutospacing="0" w:after="0" w:afterAutospacing="0"/>
        <w:ind w:firstLine="555"/>
        <w:rPr>
          <w:sz w:val="20"/>
          <w:szCs w:val="20"/>
        </w:rPr>
      </w:pPr>
      <w:r>
        <w:rPr>
          <w:sz w:val="20"/>
          <w:szCs w:val="20"/>
        </w:rPr>
        <w:t> </w:t>
      </w:r>
    </w:p>
    <w:p w14:paraId="49754A5A" w14:textId="77777777" w:rsidR="00000000" w:rsidRDefault="003C49E9">
      <w:pPr>
        <w:pStyle w:val="a3"/>
        <w:spacing w:before="0" w:beforeAutospacing="0" w:after="0" w:afterAutospacing="0"/>
        <w:ind w:firstLine="555"/>
        <w:rPr>
          <w:sz w:val="20"/>
          <w:szCs w:val="20"/>
        </w:rPr>
      </w:pPr>
      <w:r>
        <w:rPr>
          <w:b/>
          <w:bCs/>
          <w:i/>
          <w:iCs/>
          <w:sz w:val="20"/>
          <w:szCs w:val="20"/>
        </w:rPr>
        <w:t>Sales and Marketing</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5"/>
        <w:gridCol w:w="105"/>
        <w:gridCol w:w="150"/>
        <w:gridCol w:w="645"/>
        <w:gridCol w:w="210"/>
        <w:gridCol w:w="105"/>
        <w:gridCol w:w="150"/>
        <w:gridCol w:w="645"/>
        <w:gridCol w:w="210"/>
        <w:gridCol w:w="105"/>
        <w:gridCol w:w="150"/>
        <w:gridCol w:w="555"/>
        <w:gridCol w:w="105"/>
        <w:gridCol w:w="105"/>
        <w:gridCol w:w="106"/>
        <w:gridCol w:w="465"/>
        <w:gridCol w:w="210"/>
        <w:gridCol w:w="105"/>
        <w:gridCol w:w="150"/>
        <w:gridCol w:w="645"/>
        <w:gridCol w:w="210"/>
        <w:gridCol w:w="105"/>
        <w:gridCol w:w="150"/>
        <w:gridCol w:w="645"/>
        <w:gridCol w:w="210"/>
        <w:gridCol w:w="105"/>
        <w:gridCol w:w="150"/>
        <w:gridCol w:w="645"/>
        <w:gridCol w:w="105"/>
        <w:gridCol w:w="105"/>
        <w:gridCol w:w="106"/>
        <w:gridCol w:w="466"/>
        <w:gridCol w:w="225"/>
      </w:tblGrid>
      <w:tr w:rsidR="00000000" w14:paraId="4353FA90" w14:textId="77777777">
        <w:trPr>
          <w:tblCellSpacing w:w="15" w:type="dxa"/>
        </w:trPr>
        <w:tc>
          <w:tcPr>
            <w:tcW w:w="966" w:type="pct"/>
            <w:vAlign w:val="center"/>
            <w:hideMark/>
          </w:tcPr>
          <w:p w14:paraId="33B22A73" w14:textId="77777777" w:rsidR="00000000" w:rsidRDefault="003C49E9">
            <w:pPr>
              <w:rPr>
                <w:sz w:val="20"/>
                <w:szCs w:val="20"/>
              </w:rPr>
            </w:pPr>
          </w:p>
        </w:tc>
        <w:tc>
          <w:tcPr>
            <w:tcW w:w="45" w:type="pct"/>
            <w:vAlign w:val="center"/>
            <w:hideMark/>
          </w:tcPr>
          <w:p w14:paraId="551349C1" w14:textId="77777777" w:rsidR="00000000" w:rsidRDefault="003C49E9">
            <w:pPr>
              <w:rPr>
                <w:rFonts w:eastAsia="Times New Roman"/>
                <w:sz w:val="20"/>
                <w:szCs w:val="20"/>
              </w:rPr>
            </w:pPr>
          </w:p>
        </w:tc>
        <w:tc>
          <w:tcPr>
            <w:tcW w:w="50" w:type="pct"/>
            <w:vAlign w:val="center"/>
            <w:hideMark/>
          </w:tcPr>
          <w:p w14:paraId="600151FE" w14:textId="77777777" w:rsidR="00000000" w:rsidRDefault="003C49E9">
            <w:pPr>
              <w:rPr>
                <w:rFonts w:eastAsia="Times New Roman"/>
                <w:sz w:val="20"/>
                <w:szCs w:val="20"/>
              </w:rPr>
            </w:pPr>
          </w:p>
        </w:tc>
        <w:tc>
          <w:tcPr>
            <w:tcW w:w="343" w:type="pct"/>
            <w:vAlign w:val="center"/>
            <w:hideMark/>
          </w:tcPr>
          <w:p w14:paraId="2DB37828" w14:textId="77777777" w:rsidR="00000000" w:rsidRDefault="003C49E9">
            <w:pPr>
              <w:rPr>
                <w:rFonts w:eastAsia="Times New Roman"/>
                <w:sz w:val="20"/>
                <w:szCs w:val="20"/>
              </w:rPr>
            </w:pPr>
          </w:p>
        </w:tc>
        <w:tc>
          <w:tcPr>
            <w:tcW w:w="50" w:type="pct"/>
            <w:vAlign w:val="center"/>
            <w:hideMark/>
          </w:tcPr>
          <w:p w14:paraId="59156C2C" w14:textId="77777777" w:rsidR="00000000" w:rsidRDefault="003C49E9">
            <w:pPr>
              <w:rPr>
                <w:rFonts w:eastAsia="Times New Roman"/>
                <w:sz w:val="20"/>
                <w:szCs w:val="20"/>
              </w:rPr>
            </w:pPr>
          </w:p>
        </w:tc>
        <w:tc>
          <w:tcPr>
            <w:tcW w:w="45" w:type="pct"/>
            <w:vAlign w:val="center"/>
            <w:hideMark/>
          </w:tcPr>
          <w:p w14:paraId="25E3C56D" w14:textId="77777777" w:rsidR="00000000" w:rsidRDefault="003C49E9">
            <w:pPr>
              <w:rPr>
                <w:rFonts w:eastAsia="Times New Roman"/>
                <w:sz w:val="20"/>
                <w:szCs w:val="20"/>
              </w:rPr>
            </w:pPr>
          </w:p>
        </w:tc>
        <w:tc>
          <w:tcPr>
            <w:tcW w:w="50" w:type="pct"/>
            <w:vAlign w:val="center"/>
            <w:hideMark/>
          </w:tcPr>
          <w:p w14:paraId="2E19C097" w14:textId="77777777" w:rsidR="00000000" w:rsidRDefault="003C49E9">
            <w:pPr>
              <w:rPr>
                <w:rFonts w:eastAsia="Times New Roman"/>
                <w:sz w:val="20"/>
                <w:szCs w:val="20"/>
              </w:rPr>
            </w:pPr>
          </w:p>
        </w:tc>
        <w:tc>
          <w:tcPr>
            <w:tcW w:w="363" w:type="pct"/>
            <w:vAlign w:val="center"/>
            <w:hideMark/>
          </w:tcPr>
          <w:p w14:paraId="2CFE1A1A" w14:textId="77777777" w:rsidR="00000000" w:rsidRDefault="003C49E9">
            <w:pPr>
              <w:rPr>
                <w:rFonts w:eastAsia="Times New Roman"/>
                <w:sz w:val="20"/>
                <w:szCs w:val="20"/>
              </w:rPr>
            </w:pPr>
          </w:p>
        </w:tc>
        <w:tc>
          <w:tcPr>
            <w:tcW w:w="50" w:type="pct"/>
            <w:vAlign w:val="center"/>
            <w:hideMark/>
          </w:tcPr>
          <w:p w14:paraId="2B3C2898" w14:textId="77777777" w:rsidR="00000000" w:rsidRDefault="003C49E9">
            <w:pPr>
              <w:rPr>
                <w:rFonts w:eastAsia="Times New Roman"/>
                <w:sz w:val="20"/>
                <w:szCs w:val="20"/>
              </w:rPr>
            </w:pPr>
          </w:p>
        </w:tc>
        <w:tc>
          <w:tcPr>
            <w:tcW w:w="45" w:type="pct"/>
            <w:vAlign w:val="center"/>
            <w:hideMark/>
          </w:tcPr>
          <w:p w14:paraId="3DEE1E32" w14:textId="77777777" w:rsidR="00000000" w:rsidRDefault="003C49E9">
            <w:pPr>
              <w:rPr>
                <w:rFonts w:eastAsia="Times New Roman"/>
                <w:sz w:val="20"/>
                <w:szCs w:val="20"/>
              </w:rPr>
            </w:pPr>
          </w:p>
        </w:tc>
        <w:tc>
          <w:tcPr>
            <w:tcW w:w="50" w:type="pct"/>
            <w:vAlign w:val="center"/>
            <w:hideMark/>
          </w:tcPr>
          <w:p w14:paraId="730928DF" w14:textId="77777777" w:rsidR="00000000" w:rsidRDefault="003C49E9">
            <w:pPr>
              <w:rPr>
                <w:rFonts w:eastAsia="Times New Roman"/>
                <w:sz w:val="20"/>
                <w:szCs w:val="20"/>
              </w:rPr>
            </w:pPr>
          </w:p>
        </w:tc>
        <w:tc>
          <w:tcPr>
            <w:tcW w:w="305" w:type="pct"/>
            <w:vAlign w:val="center"/>
            <w:hideMark/>
          </w:tcPr>
          <w:p w14:paraId="4171E281" w14:textId="77777777" w:rsidR="00000000" w:rsidRDefault="003C49E9">
            <w:pPr>
              <w:rPr>
                <w:rFonts w:eastAsia="Times New Roman"/>
                <w:sz w:val="20"/>
                <w:szCs w:val="20"/>
              </w:rPr>
            </w:pPr>
          </w:p>
        </w:tc>
        <w:tc>
          <w:tcPr>
            <w:tcW w:w="50" w:type="pct"/>
            <w:vAlign w:val="center"/>
            <w:hideMark/>
          </w:tcPr>
          <w:p w14:paraId="490B537E" w14:textId="77777777" w:rsidR="00000000" w:rsidRDefault="003C49E9">
            <w:pPr>
              <w:rPr>
                <w:rFonts w:eastAsia="Times New Roman"/>
                <w:sz w:val="20"/>
                <w:szCs w:val="20"/>
              </w:rPr>
            </w:pPr>
          </w:p>
        </w:tc>
        <w:tc>
          <w:tcPr>
            <w:tcW w:w="45" w:type="pct"/>
            <w:vAlign w:val="center"/>
            <w:hideMark/>
          </w:tcPr>
          <w:p w14:paraId="528EE070" w14:textId="77777777" w:rsidR="00000000" w:rsidRDefault="003C49E9">
            <w:pPr>
              <w:rPr>
                <w:rFonts w:eastAsia="Times New Roman"/>
                <w:sz w:val="20"/>
                <w:szCs w:val="20"/>
              </w:rPr>
            </w:pPr>
          </w:p>
        </w:tc>
        <w:tc>
          <w:tcPr>
            <w:tcW w:w="50" w:type="pct"/>
            <w:vAlign w:val="center"/>
            <w:hideMark/>
          </w:tcPr>
          <w:p w14:paraId="4E451675" w14:textId="77777777" w:rsidR="00000000" w:rsidRDefault="003C49E9">
            <w:pPr>
              <w:rPr>
                <w:rFonts w:eastAsia="Times New Roman"/>
                <w:sz w:val="20"/>
                <w:szCs w:val="20"/>
              </w:rPr>
            </w:pPr>
          </w:p>
        </w:tc>
        <w:tc>
          <w:tcPr>
            <w:tcW w:w="386" w:type="pct"/>
            <w:vAlign w:val="center"/>
            <w:hideMark/>
          </w:tcPr>
          <w:p w14:paraId="4B7B6450" w14:textId="77777777" w:rsidR="00000000" w:rsidRDefault="003C49E9">
            <w:pPr>
              <w:rPr>
                <w:rFonts w:eastAsia="Times New Roman"/>
                <w:sz w:val="20"/>
                <w:szCs w:val="20"/>
              </w:rPr>
            </w:pPr>
          </w:p>
        </w:tc>
        <w:tc>
          <w:tcPr>
            <w:tcW w:w="50" w:type="pct"/>
            <w:vAlign w:val="center"/>
            <w:hideMark/>
          </w:tcPr>
          <w:p w14:paraId="57C43AC9" w14:textId="77777777" w:rsidR="00000000" w:rsidRDefault="003C49E9">
            <w:pPr>
              <w:rPr>
                <w:rFonts w:eastAsia="Times New Roman"/>
                <w:sz w:val="20"/>
                <w:szCs w:val="20"/>
              </w:rPr>
            </w:pPr>
          </w:p>
        </w:tc>
        <w:tc>
          <w:tcPr>
            <w:tcW w:w="45" w:type="pct"/>
            <w:vAlign w:val="center"/>
            <w:hideMark/>
          </w:tcPr>
          <w:p w14:paraId="1E10162D" w14:textId="77777777" w:rsidR="00000000" w:rsidRDefault="003C49E9">
            <w:pPr>
              <w:rPr>
                <w:rFonts w:eastAsia="Times New Roman"/>
                <w:sz w:val="20"/>
                <w:szCs w:val="20"/>
              </w:rPr>
            </w:pPr>
          </w:p>
        </w:tc>
        <w:tc>
          <w:tcPr>
            <w:tcW w:w="50" w:type="pct"/>
            <w:vAlign w:val="center"/>
            <w:hideMark/>
          </w:tcPr>
          <w:p w14:paraId="6A2F7810" w14:textId="77777777" w:rsidR="00000000" w:rsidRDefault="003C49E9">
            <w:pPr>
              <w:rPr>
                <w:rFonts w:eastAsia="Times New Roman"/>
                <w:sz w:val="20"/>
                <w:szCs w:val="20"/>
              </w:rPr>
            </w:pPr>
          </w:p>
        </w:tc>
        <w:tc>
          <w:tcPr>
            <w:tcW w:w="343" w:type="pct"/>
            <w:vAlign w:val="center"/>
            <w:hideMark/>
          </w:tcPr>
          <w:p w14:paraId="3A1DF519" w14:textId="77777777" w:rsidR="00000000" w:rsidRDefault="003C49E9">
            <w:pPr>
              <w:rPr>
                <w:rFonts w:eastAsia="Times New Roman"/>
                <w:sz w:val="20"/>
                <w:szCs w:val="20"/>
              </w:rPr>
            </w:pPr>
          </w:p>
        </w:tc>
        <w:tc>
          <w:tcPr>
            <w:tcW w:w="50" w:type="pct"/>
            <w:vAlign w:val="center"/>
            <w:hideMark/>
          </w:tcPr>
          <w:p w14:paraId="2A50A084" w14:textId="77777777" w:rsidR="00000000" w:rsidRDefault="003C49E9">
            <w:pPr>
              <w:rPr>
                <w:rFonts w:eastAsia="Times New Roman"/>
                <w:sz w:val="20"/>
                <w:szCs w:val="20"/>
              </w:rPr>
            </w:pPr>
          </w:p>
        </w:tc>
        <w:tc>
          <w:tcPr>
            <w:tcW w:w="45" w:type="pct"/>
            <w:vAlign w:val="center"/>
            <w:hideMark/>
          </w:tcPr>
          <w:p w14:paraId="722AB906" w14:textId="77777777" w:rsidR="00000000" w:rsidRDefault="003C49E9">
            <w:pPr>
              <w:rPr>
                <w:rFonts w:eastAsia="Times New Roman"/>
                <w:sz w:val="20"/>
                <w:szCs w:val="20"/>
              </w:rPr>
            </w:pPr>
          </w:p>
        </w:tc>
        <w:tc>
          <w:tcPr>
            <w:tcW w:w="50" w:type="pct"/>
            <w:vAlign w:val="center"/>
            <w:hideMark/>
          </w:tcPr>
          <w:p w14:paraId="6C09098C" w14:textId="77777777" w:rsidR="00000000" w:rsidRDefault="003C49E9">
            <w:pPr>
              <w:rPr>
                <w:rFonts w:eastAsia="Times New Roman"/>
                <w:sz w:val="20"/>
                <w:szCs w:val="20"/>
              </w:rPr>
            </w:pPr>
          </w:p>
        </w:tc>
        <w:tc>
          <w:tcPr>
            <w:tcW w:w="363" w:type="pct"/>
            <w:vAlign w:val="center"/>
            <w:hideMark/>
          </w:tcPr>
          <w:p w14:paraId="31C02F21" w14:textId="77777777" w:rsidR="00000000" w:rsidRDefault="003C49E9">
            <w:pPr>
              <w:rPr>
                <w:rFonts w:eastAsia="Times New Roman"/>
                <w:sz w:val="20"/>
                <w:szCs w:val="20"/>
              </w:rPr>
            </w:pPr>
          </w:p>
        </w:tc>
        <w:tc>
          <w:tcPr>
            <w:tcW w:w="50" w:type="pct"/>
            <w:vAlign w:val="center"/>
            <w:hideMark/>
          </w:tcPr>
          <w:p w14:paraId="34DCD4CA" w14:textId="77777777" w:rsidR="00000000" w:rsidRDefault="003C49E9">
            <w:pPr>
              <w:rPr>
                <w:rFonts w:eastAsia="Times New Roman"/>
                <w:sz w:val="20"/>
                <w:szCs w:val="20"/>
              </w:rPr>
            </w:pPr>
          </w:p>
        </w:tc>
        <w:tc>
          <w:tcPr>
            <w:tcW w:w="45" w:type="pct"/>
            <w:vAlign w:val="center"/>
            <w:hideMark/>
          </w:tcPr>
          <w:p w14:paraId="16DC0E05" w14:textId="77777777" w:rsidR="00000000" w:rsidRDefault="003C49E9">
            <w:pPr>
              <w:rPr>
                <w:rFonts w:eastAsia="Times New Roman"/>
                <w:sz w:val="20"/>
                <w:szCs w:val="20"/>
              </w:rPr>
            </w:pPr>
          </w:p>
        </w:tc>
        <w:tc>
          <w:tcPr>
            <w:tcW w:w="50" w:type="pct"/>
            <w:vAlign w:val="center"/>
            <w:hideMark/>
          </w:tcPr>
          <w:p w14:paraId="131297FB" w14:textId="77777777" w:rsidR="00000000" w:rsidRDefault="003C49E9">
            <w:pPr>
              <w:rPr>
                <w:rFonts w:eastAsia="Times New Roman"/>
                <w:sz w:val="20"/>
                <w:szCs w:val="20"/>
              </w:rPr>
            </w:pPr>
          </w:p>
        </w:tc>
        <w:tc>
          <w:tcPr>
            <w:tcW w:w="369" w:type="pct"/>
            <w:vAlign w:val="center"/>
            <w:hideMark/>
          </w:tcPr>
          <w:p w14:paraId="4B5D3A92" w14:textId="77777777" w:rsidR="00000000" w:rsidRDefault="003C49E9">
            <w:pPr>
              <w:rPr>
                <w:rFonts w:eastAsia="Times New Roman"/>
                <w:sz w:val="20"/>
                <w:szCs w:val="20"/>
              </w:rPr>
            </w:pPr>
          </w:p>
        </w:tc>
        <w:tc>
          <w:tcPr>
            <w:tcW w:w="50" w:type="pct"/>
            <w:vAlign w:val="center"/>
            <w:hideMark/>
          </w:tcPr>
          <w:p w14:paraId="529CCA54" w14:textId="77777777" w:rsidR="00000000" w:rsidRDefault="003C49E9">
            <w:pPr>
              <w:rPr>
                <w:rFonts w:eastAsia="Times New Roman"/>
                <w:sz w:val="20"/>
                <w:szCs w:val="20"/>
              </w:rPr>
            </w:pPr>
          </w:p>
        </w:tc>
        <w:tc>
          <w:tcPr>
            <w:tcW w:w="45" w:type="pct"/>
            <w:vAlign w:val="center"/>
            <w:hideMark/>
          </w:tcPr>
          <w:p w14:paraId="640AE9CE" w14:textId="77777777" w:rsidR="00000000" w:rsidRDefault="003C49E9">
            <w:pPr>
              <w:rPr>
                <w:rFonts w:eastAsia="Times New Roman"/>
                <w:sz w:val="20"/>
                <w:szCs w:val="20"/>
              </w:rPr>
            </w:pPr>
          </w:p>
        </w:tc>
        <w:tc>
          <w:tcPr>
            <w:tcW w:w="50" w:type="pct"/>
            <w:vAlign w:val="center"/>
            <w:hideMark/>
          </w:tcPr>
          <w:p w14:paraId="11B87641" w14:textId="77777777" w:rsidR="00000000" w:rsidRDefault="003C49E9">
            <w:pPr>
              <w:rPr>
                <w:rFonts w:eastAsia="Times New Roman"/>
                <w:sz w:val="20"/>
                <w:szCs w:val="20"/>
              </w:rPr>
            </w:pPr>
          </w:p>
        </w:tc>
        <w:tc>
          <w:tcPr>
            <w:tcW w:w="396" w:type="pct"/>
            <w:vAlign w:val="center"/>
            <w:hideMark/>
          </w:tcPr>
          <w:p w14:paraId="6C9D5D19" w14:textId="77777777" w:rsidR="00000000" w:rsidRDefault="003C49E9">
            <w:pPr>
              <w:rPr>
                <w:rFonts w:eastAsia="Times New Roman"/>
                <w:sz w:val="20"/>
                <w:szCs w:val="20"/>
              </w:rPr>
            </w:pPr>
          </w:p>
        </w:tc>
        <w:tc>
          <w:tcPr>
            <w:tcW w:w="50" w:type="pct"/>
            <w:vAlign w:val="center"/>
            <w:hideMark/>
          </w:tcPr>
          <w:p w14:paraId="6C097ED7" w14:textId="77777777" w:rsidR="00000000" w:rsidRDefault="003C49E9">
            <w:pPr>
              <w:rPr>
                <w:rFonts w:eastAsia="Times New Roman"/>
                <w:sz w:val="20"/>
                <w:szCs w:val="20"/>
              </w:rPr>
            </w:pPr>
          </w:p>
        </w:tc>
      </w:tr>
      <w:tr w:rsidR="00000000" w14:paraId="5DF2A6B8" w14:textId="77777777">
        <w:trPr>
          <w:trHeight w:val="140"/>
          <w:tblCellSpacing w:w="15" w:type="dxa"/>
        </w:trPr>
        <w:tc>
          <w:tcPr>
            <w:tcW w:w="0" w:type="auto"/>
            <w:vAlign w:val="bottom"/>
            <w:hideMark/>
          </w:tcPr>
          <w:p w14:paraId="07C034E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3BABD3C"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5DFAAAE5"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747AF60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C3D0E0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D51332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F2574D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AFFD24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33342A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0914F2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197158A"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2C221EB5"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3400DBD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FFEE25C"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03EA4B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E40AF6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296F15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3B5836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57ED65E"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4335DEE1" w14:textId="77777777">
        <w:trPr>
          <w:trHeight w:val="140"/>
          <w:tblCellSpacing w:w="15" w:type="dxa"/>
        </w:trPr>
        <w:tc>
          <w:tcPr>
            <w:tcW w:w="0" w:type="auto"/>
            <w:vAlign w:val="bottom"/>
            <w:hideMark/>
          </w:tcPr>
          <w:p w14:paraId="40F2C120"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3BE7D22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774E5E0"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6AA38A7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F037A4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377C6F8"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0519009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B39962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B420718"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0F17150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38DE02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4DCACED"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50E2F6D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E252C0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31663FA"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6D06557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708D84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95DB19A"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3A730EF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B116E5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6C31FA8"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56A222E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52204E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52418D2"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74D8FB84"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10F057DD" w14:textId="77777777">
        <w:trPr>
          <w:trHeight w:val="180"/>
          <w:tblCellSpacing w:w="15" w:type="dxa"/>
        </w:trPr>
        <w:tc>
          <w:tcPr>
            <w:tcW w:w="0" w:type="auto"/>
            <w:vAlign w:val="bottom"/>
            <w:hideMark/>
          </w:tcPr>
          <w:p w14:paraId="04B4352F" w14:textId="77777777" w:rsidR="00000000" w:rsidRDefault="003C49E9">
            <w:pPr>
              <w:pStyle w:val="a3"/>
              <w:spacing w:before="0" w:beforeAutospacing="0" w:after="0" w:afterAutospacing="0"/>
              <w:rPr>
                <w:sz w:val="18"/>
                <w:szCs w:val="18"/>
              </w:rPr>
            </w:pPr>
            <w:r>
              <w:rPr>
                <w:sz w:val="18"/>
                <w:szCs w:val="18"/>
              </w:rPr>
              <w:t>Sales and marketin</w:t>
            </w:r>
            <w:r>
              <w:rPr>
                <w:sz w:val="18"/>
                <w:szCs w:val="18"/>
              </w:rPr>
              <w:t>g</w:t>
            </w:r>
          </w:p>
        </w:tc>
        <w:tc>
          <w:tcPr>
            <w:tcW w:w="0" w:type="auto"/>
            <w:vAlign w:val="bottom"/>
            <w:hideMark/>
          </w:tcPr>
          <w:p w14:paraId="1068FE94"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6FB379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E8FEB01" w14:textId="77777777" w:rsidR="00000000" w:rsidRDefault="003C49E9">
            <w:pPr>
              <w:pStyle w:val="a3"/>
              <w:spacing w:before="0" w:beforeAutospacing="0" w:after="0" w:afterAutospacing="0"/>
              <w:jc w:val="right"/>
              <w:rPr>
                <w:sz w:val="18"/>
                <w:szCs w:val="18"/>
              </w:rPr>
            </w:pPr>
            <w:r>
              <w:rPr>
                <w:sz w:val="18"/>
                <w:szCs w:val="18"/>
              </w:rPr>
              <w:t>224,26</w:t>
            </w:r>
            <w:r>
              <w:rPr>
                <w:sz w:val="18"/>
                <w:szCs w:val="18"/>
              </w:rPr>
              <w:t>2</w:t>
            </w:r>
          </w:p>
        </w:tc>
        <w:tc>
          <w:tcPr>
            <w:tcW w:w="0" w:type="auto"/>
            <w:noWrap/>
            <w:vAlign w:val="bottom"/>
            <w:hideMark/>
          </w:tcPr>
          <w:p w14:paraId="42374EB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ED3BC03"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7BE0B0C1"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5E9CB01" w14:textId="77777777" w:rsidR="00000000" w:rsidRDefault="003C49E9">
            <w:pPr>
              <w:pStyle w:val="a3"/>
              <w:spacing w:before="0" w:beforeAutospacing="0" w:after="0" w:afterAutospacing="0"/>
              <w:jc w:val="right"/>
              <w:rPr>
                <w:sz w:val="18"/>
                <w:szCs w:val="18"/>
              </w:rPr>
            </w:pPr>
            <w:r>
              <w:rPr>
                <w:sz w:val="18"/>
                <w:szCs w:val="18"/>
              </w:rPr>
              <w:t>157,79</w:t>
            </w:r>
            <w:r>
              <w:rPr>
                <w:sz w:val="18"/>
                <w:szCs w:val="18"/>
              </w:rPr>
              <w:t>9</w:t>
            </w:r>
          </w:p>
        </w:tc>
        <w:tc>
          <w:tcPr>
            <w:tcW w:w="0" w:type="auto"/>
            <w:noWrap/>
            <w:vAlign w:val="bottom"/>
            <w:hideMark/>
          </w:tcPr>
          <w:p w14:paraId="251DDEF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5FFC8C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0C75237"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9A9D77B" w14:textId="77777777" w:rsidR="00000000" w:rsidRDefault="003C49E9">
            <w:pPr>
              <w:pStyle w:val="a3"/>
              <w:spacing w:before="0" w:beforeAutospacing="0" w:after="0" w:afterAutospacing="0"/>
              <w:jc w:val="right"/>
              <w:rPr>
                <w:sz w:val="18"/>
                <w:szCs w:val="18"/>
              </w:rPr>
            </w:pPr>
            <w:r>
              <w:rPr>
                <w:sz w:val="18"/>
                <w:szCs w:val="18"/>
              </w:rPr>
              <w:t>66,46</w:t>
            </w:r>
            <w:r>
              <w:rPr>
                <w:sz w:val="18"/>
                <w:szCs w:val="18"/>
              </w:rPr>
              <w:t>3</w:t>
            </w:r>
          </w:p>
        </w:tc>
        <w:tc>
          <w:tcPr>
            <w:tcW w:w="0" w:type="auto"/>
            <w:noWrap/>
            <w:vAlign w:val="bottom"/>
            <w:hideMark/>
          </w:tcPr>
          <w:p w14:paraId="43BC58CF"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BA7CFD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FDD78B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E6D1039" w14:textId="77777777" w:rsidR="00000000" w:rsidRDefault="003C49E9">
            <w:pPr>
              <w:pStyle w:val="a3"/>
              <w:spacing w:before="0" w:beforeAutospacing="0" w:after="0" w:afterAutospacing="0"/>
              <w:jc w:val="right"/>
              <w:rPr>
                <w:sz w:val="18"/>
                <w:szCs w:val="18"/>
              </w:rPr>
            </w:pPr>
            <w:r>
              <w:rPr>
                <w:sz w:val="18"/>
                <w:szCs w:val="18"/>
              </w:rPr>
              <w:t>4</w:t>
            </w:r>
            <w:r>
              <w:rPr>
                <w:sz w:val="18"/>
                <w:szCs w:val="18"/>
              </w:rPr>
              <w:t>2</w:t>
            </w:r>
          </w:p>
        </w:tc>
        <w:tc>
          <w:tcPr>
            <w:tcW w:w="0" w:type="auto"/>
            <w:noWrap/>
            <w:vAlign w:val="bottom"/>
            <w:hideMark/>
          </w:tcPr>
          <w:p w14:paraId="49142B5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5CF2071"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61C4A3F"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6591965" w14:textId="77777777" w:rsidR="00000000" w:rsidRDefault="003C49E9">
            <w:pPr>
              <w:pStyle w:val="a3"/>
              <w:spacing w:before="0" w:beforeAutospacing="0" w:after="0" w:afterAutospacing="0"/>
              <w:jc w:val="right"/>
              <w:rPr>
                <w:sz w:val="18"/>
                <w:szCs w:val="18"/>
              </w:rPr>
            </w:pPr>
            <w:r>
              <w:rPr>
                <w:sz w:val="18"/>
                <w:szCs w:val="18"/>
              </w:rPr>
              <w:t>421,39</w:t>
            </w:r>
            <w:r>
              <w:rPr>
                <w:sz w:val="18"/>
                <w:szCs w:val="18"/>
              </w:rPr>
              <w:t>6</w:t>
            </w:r>
          </w:p>
        </w:tc>
        <w:tc>
          <w:tcPr>
            <w:tcW w:w="0" w:type="auto"/>
            <w:noWrap/>
            <w:vAlign w:val="bottom"/>
            <w:hideMark/>
          </w:tcPr>
          <w:p w14:paraId="33300E9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5AD451F" w14:textId="77777777" w:rsidR="00000000" w:rsidRDefault="003C49E9">
            <w:pPr>
              <w:pStyle w:val="a3"/>
              <w:spacing w:before="0" w:beforeAutospacing="0" w:after="0" w:afterAutospacing="0"/>
              <w:jc w:val="right"/>
              <w:rPr>
                <w:sz w:val="18"/>
                <w:szCs w:val="18"/>
              </w:rPr>
            </w:pPr>
            <w:r>
              <w:rPr>
                <w:sz w:val="18"/>
                <w:szCs w:val="18"/>
              </w:rPr>
              <w:t> </w:t>
            </w:r>
          </w:p>
        </w:tc>
        <w:tc>
          <w:tcPr>
            <w:tcW w:w="0" w:type="auto"/>
            <w:noWrap/>
            <w:vAlign w:val="bottom"/>
            <w:hideMark/>
          </w:tcPr>
          <w:p w14:paraId="734196E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6479B59" w14:textId="77777777" w:rsidR="00000000" w:rsidRDefault="003C49E9">
            <w:pPr>
              <w:pStyle w:val="a3"/>
              <w:spacing w:before="0" w:beforeAutospacing="0" w:after="0" w:afterAutospacing="0"/>
              <w:jc w:val="right"/>
              <w:rPr>
                <w:sz w:val="18"/>
                <w:szCs w:val="18"/>
              </w:rPr>
            </w:pPr>
            <w:r>
              <w:rPr>
                <w:sz w:val="18"/>
                <w:szCs w:val="18"/>
              </w:rPr>
              <w:t>298,81</w:t>
            </w:r>
            <w:r>
              <w:rPr>
                <w:sz w:val="18"/>
                <w:szCs w:val="18"/>
              </w:rPr>
              <w:t>7</w:t>
            </w:r>
          </w:p>
        </w:tc>
        <w:tc>
          <w:tcPr>
            <w:tcW w:w="0" w:type="auto"/>
            <w:noWrap/>
            <w:vAlign w:val="bottom"/>
            <w:hideMark/>
          </w:tcPr>
          <w:p w14:paraId="741F876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89ABE6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388626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2338DD8" w14:textId="77777777" w:rsidR="00000000" w:rsidRDefault="003C49E9">
            <w:pPr>
              <w:pStyle w:val="a3"/>
              <w:spacing w:before="0" w:beforeAutospacing="0" w:after="0" w:afterAutospacing="0"/>
              <w:jc w:val="right"/>
              <w:rPr>
                <w:sz w:val="18"/>
                <w:szCs w:val="18"/>
              </w:rPr>
            </w:pPr>
            <w:r>
              <w:rPr>
                <w:sz w:val="18"/>
                <w:szCs w:val="18"/>
              </w:rPr>
              <w:t>122,57</w:t>
            </w:r>
            <w:r>
              <w:rPr>
                <w:sz w:val="18"/>
                <w:szCs w:val="18"/>
              </w:rPr>
              <w:t>9</w:t>
            </w:r>
          </w:p>
        </w:tc>
        <w:tc>
          <w:tcPr>
            <w:tcW w:w="0" w:type="auto"/>
            <w:noWrap/>
            <w:vAlign w:val="bottom"/>
            <w:hideMark/>
          </w:tcPr>
          <w:p w14:paraId="0ED5401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6082A58"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24D2BBE"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593CD3A" w14:textId="77777777" w:rsidR="00000000" w:rsidRDefault="003C49E9">
            <w:pPr>
              <w:pStyle w:val="a3"/>
              <w:spacing w:before="0" w:beforeAutospacing="0" w:after="0" w:afterAutospacing="0"/>
              <w:jc w:val="right"/>
              <w:rPr>
                <w:sz w:val="18"/>
                <w:szCs w:val="18"/>
              </w:rPr>
            </w:pPr>
            <w:r>
              <w:rPr>
                <w:sz w:val="18"/>
                <w:szCs w:val="18"/>
              </w:rPr>
              <w:t>4</w:t>
            </w:r>
            <w:r>
              <w:rPr>
                <w:sz w:val="18"/>
                <w:szCs w:val="18"/>
              </w:rPr>
              <w:t>1</w:t>
            </w:r>
          </w:p>
        </w:tc>
        <w:tc>
          <w:tcPr>
            <w:tcW w:w="0" w:type="auto"/>
            <w:noWrap/>
            <w:vAlign w:val="bottom"/>
            <w:hideMark/>
          </w:tcPr>
          <w:p w14:paraId="1234DC33" w14:textId="77777777" w:rsidR="00000000" w:rsidRDefault="003C49E9">
            <w:pPr>
              <w:pStyle w:val="a3"/>
              <w:spacing w:before="0" w:beforeAutospacing="0" w:after="0" w:afterAutospacing="0"/>
              <w:rPr>
                <w:sz w:val="18"/>
                <w:szCs w:val="18"/>
              </w:rPr>
            </w:pPr>
            <w:r>
              <w:rPr>
                <w:sz w:val="18"/>
                <w:szCs w:val="18"/>
              </w:rPr>
              <w:t>%</w:t>
            </w:r>
          </w:p>
        </w:tc>
      </w:tr>
      <w:tr w:rsidR="00000000" w14:paraId="49C41F36" w14:textId="77777777">
        <w:trPr>
          <w:trHeight w:val="180"/>
          <w:tblCellSpacing w:w="15" w:type="dxa"/>
        </w:trPr>
        <w:tc>
          <w:tcPr>
            <w:tcW w:w="0" w:type="auto"/>
            <w:vAlign w:val="bottom"/>
            <w:hideMark/>
          </w:tcPr>
          <w:p w14:paraId="6F6769C3" w14:textId="77777777" w:rsidR="00000000" w:rsidRDefault="003C49E9">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14:paraId="6D514BAF"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2D15D8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4FCEB1E" w14:textId="77777777" w:rsidR="00000000" w:rsidRDefault="003C49E9">
            <w:pPr>
              <w:pStyle w:val="a3"/>
              <w:spacing w:before="0" w:beforeAutospacing="0" w:after="0" w:afterAutospacing="0"/>
              <w:jc w:val="right"/>
              <w:rPr>
                <w:sz w:val="18"/>
                <w:szCs w:val="18"/>
              </w:rPr>
            </w:pPr>
            <w:r>
              <w:rPr>
                <w:sz w:val="18"/>
                <w:szCs w:val="18"/>
              </w:rPr>
              <w:t>5</w:t>
            </w:r>
            <w:r>
              <w:rPr>
                <w:sz w:val="18"/>
                <w:szCs w:val="18"/>
              </w:rPr>
              <w:t>3</w:t>
            </w:r>
          </w:p>
        </w:tc>
        <w:tc>
          <w:tcPr>
            <w:tcW w:w="0" w:type="auto"/>
            <w:noWrap/>
            <w:vAlign w:val="bottom"/>
            <w:hideMark/>
          </w:tcPr>
          <w:p w14:paraId="45D49BCA"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8696F93"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FEA100D"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1769EA8" w14:textId="77777777" w:rsidR="00000000" w:rsidRDefault="003C49E9">
            <w:pPr>
              <w:pStyle w:val="a3"/>
              <w:spacing w:before="0" w:beforeAutospacing="0" w:after="0" w:afterAutospacing="0"/>
              <w:jc w:val="right"/>
              <w:rPr>
                <w:sz w:val="18"/>
                <w:szCs w:val="18"/>
              </w:rPr>
            </w:pPr>
            <w:r>
              <w:rPr>
                <w:sz w:val="18"/>
                <w:szCs w:val="18"/>
              </w:rPr>
              <w:t>5</w:t>
            </w:r>
            <w:r>
              <w:rPr>
                <w:sz w:val="18"/>
                <w:szCs w:val="18"/>
              </w:rPr>
              <w:t>1</w:t>
            </w:r>
          </w:p>
        </w:tc>
        <w:tc>
          <w:tcPr>
            <w:tcW w:w="0" w:type="auto"/>
            <w:noWrap/>
            <w:vAlign w:val="bottom"/>
            <w:hideMark/>
          </w:tcPr>
          <w:p w14:paraId="1EB18E5E"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1CAF5EE1"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0ED79018"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7EBF9E97"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833F7B3"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CB256C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0B81ED0"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282B11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AD144B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945A850" w14:textId="77777777" w:rsidR="00000000" w:rsidRDefault="003C49E9">
            <w:pPr>
              <w:pStyle w:val="a3"/>
              <w:spacing w:before="0" w:beforeAutospacing="0" w:after="0" w:afterAutospacing="0"/>
              <w:jc w:val="right"/>
              <w:rPr>
                <w:sz w:val="18"/>
                <w:szCs w:val="18"/>
              </w:rPr>
            </w:pPr>
            <w:r>
              <w:rPr>
                <w:sz w:val="18"/>
                <w:szCs w:val="18"/>
              </w:rPr>
              <w:t>5</w:t>
            </w:r>
            <w:r>
              <w:rPr>
                <w:sz w:val="18"/>
                <w:szCs w:val="18"/>
              </w:rPr>
              <w:t>2</w:t>
            </w:r>
          </w:p>
        </w:tc>
        <w:tc>
          <w:tcPr>
            <w:tcW w:w="0" w:type="auto"/>
            <w:noWrap/>
            <w:vAlign w:val="bottom"/>
            <w:hideMark/>
          </w:tcPr>
          <w:p w14:paraId="7056CB0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4CB857D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70F7E4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86CE841" w14:textId="77777777" w:rsidR="00000000" w:rsidRDefault="003C49E9">
            <w:pPr>
              <w:pStyle w:val="a3"/>
              <w:spacing w:before="0" w:beforeAutospacing="0" w:after="0" w:afterAutospacing="0"/>
              <w:jc w:val="right"/>
              <w:rPr>
                <w:sz w:val="18"/>
                <w:szCs w:val="18"/>
              </w:rPr>
            </w:pPr>
            <w:r>
              <w:rPr>
                <w:sz w:val="18"/>
                <w:szCs w:val="18"/>
              </w:rPr>
              <w:t>5</w:t>
            </w:r>
            <w:r>
              <w:rPr>
                <w:sz w:val="18"/>
                <w:szCs w:val="18"/>
              </w:rPr>
              <w:t>0</w:t>
            </w:r>
          </w:p>
        </w:tc>
        <w:tc>
          <w:tcPr>
            <w:tcW w:w="0" w:type="auto"/>
            <w:noWrap/>
            <w:vAlign w:val="bottom"/>
            <w:hideMark/>
          </w:tcPr>
          <w:p w14:paraId="5516B36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2ED02DB"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39936B3E"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678601A3"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AF9BB6F"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7998566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6437BFC0" w14:textId="77777777" w:rsidR="00000000" w:rsidRDefault="003C49E9">
            <w:pPr>
              <w:pStyle w:val="a3"/>
              <w:spacing w:before="0" w:beforeAutospacing="0" w:after="0" w:afterAutospacing="0"/>
              <w:rPr>
                <w:sz w:val="18"/>
                <w:szCs w:val="18"/>
              </w:rPr>
            </w:pPr>
            <w:r>
              <w:rPr>
                <w:sz w:val="18"/>
                <w:szCs w:val="18"/>
              </w:rPr>
              <w:t> </w:t>
            </w:r>
          </w:p>
        </w:tc>
      </w:tr>
    </w:tbl>
    <w:p w14:paraId="03EE3B21" w14:textId="77777777" w:rsidR="00000000" w:rsidRDefault="003C49E9">
      <w:pPr>
        <w:pStyle w:val="a3"/>
        <w:spacing w:before="0" w:beforeAutospacing="0" w:after="0" w:afterAutospacing="0"/>
        <w:rPr>
          <w:sz w:val="20"/>
          <w:szCs w:val="20"/>
        </w:rPr>
      </w:pPr>
      <w:r>
        <w:rPr>
          <w:sz w:val="20"/>
          <w:szCs w:val="20"/>
        </w:rPr>
        <w:t> </w:t>
      </w:r>
    </w:p>
    <w:p w14:paraId="655F12AA"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7</w:t>
      </w:r>
    </w:p>
    <w:p w14:paraId="0B5BEE02" w14:textId="77777777" w:rsidR="00000000" w:rsidRDefault="003C49E9">
      <w:pPr>
        <w:rPr>
          <w:rFonts w:eastAsia="Times New Roman"/>
        </w:rPr>
      </w:pPr>
      <w:r>
        <w:rPr>
          <w:rFonts w:eastAsia="Times New Roman"/>
        </w:rPr>
        <w:pict w14:anchorId="543AF2C2">
          <v:rect id="_x0000_i1051" style="width:0;height:1.5pt" o:hralign="center" o:hrstd="t" o:hr="t" fillcolor="#a0a0a0" stroked="f"/>
        </w:pict>
      </w:r>
    </w:p>
    <w:p w14:paraId="60C68BEE" w14:textId="77777777" w:rsidR="00000000" w:rsidRDefault="003C49E9">
      <w:pPr>
        <w:pStyle w:val="a3"/>
        <w:spacing w:before="0" w:beforeAutospacing="0" w:after="0" w:afterAutospacing="0"/>
        <w:rPr>
          <w:sz w:val="20"/>
          <w:szCs w:val="20"/>
        </w:rPr>
      </w:pPr>
      <w:r>
        <w:rPr>
          <w:sz w:val="20"/>
          <w:szCs w:val="20"/>
        </w:rPr>
        <w:t> </w:t>
      </w:r>
    </w:p>
    <w:p w14:paraId="3BF3150F" w14:textId="77777777" w:rsidR="00000000" w:rsidRDefault="003C49E9">
      <w:pPr>
        <w:pStyle w:val="a3"/>
        <w:spacing w:before="200" w:beforeAutospacing="0" w:after="0" w:afterAutospacing="0"/>
        <w:ind w:firstLine="555"/>
        <w:rPr>
          <w:sz w:val="20"/>
          <w:szCs w:val="20"/>
        </w:rPr>
      </w:pPr>
      <w:r>
        <w:rPr>
          <w:sz w:val="20"/>
          <w:szCs w:val="20"/>
        </w:rPr>
        <w:t>The increase in sales and marketing expense for the three and six months ended June 30, 2022 compared to the same period in 2021 was primarily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35"/>
        <w:gridCol w:w="110"/>
        <w:gridCol w:w="160"/>
        <w:gridCol w:w="1311"/>
        <w:gridCol w:w="110"/>
        <w:gridCol w:w="115"/>
        <w:gridCol w:w="160"/>
        <w:gridCol w:w="1419"/>
        <w:gridCol w:w="125"/>
      </w:tblGrid>
      <w:tr w:rsidR="00000000" w14:paraId="317997F8" w14:textId="77777777">
        <w:trPr>
          <w:tblCellSpacing w:w="15" w:type="dxa"/>
        </w:trPr>
        <w:tc>
          <w:tcPr>
            <w:tcW w:w="2489" w:type="pct"/>
            <w:vAlign w:val="center"/>
            <w:hideMark/>
          </w:tcPr>
          <w:p w14:paraId="777BB3FE" w14:textId="77777777" w:rsidR="00000000" w:rsidRDefault="003C49E9">
            <w:pPr>
              <w:rPr>
                <w:sz w:val="20"/>
                <w:szCs w:val="20"/>
              </w:rPr>
            </w:pPr>
          </w:p>
        </w:tc>
        <w:tc>
          <w:tcPr>
            <w:tcW w:w="48" w:type="pct"/>
            <w:vAlign w:val="center"/>
            <w:hideMark/>
          </w:tcPr>
          <w:p w14:paraId="5FB5056B" w14:textId="77777777" w:rsidR="00000000" w:rsidRDefault="003C49E9">
            <w:pPr>
              <w:rPr>
                <w:rFonts w:eastAsia="Times New Roman"/>
                <w:sz w:val="20"/>
                <w:szCs w:val="20"/>
              </w:rPr>
            </w:pPr>
          </w:p>
        </w:tc>
        <w:tc>
          <w:tcPr>
            <w:tcW w:w="50" w:type="pct"/>
            <w:vAlign w:val="center"/>
            <w:hideMark/>
          </w:tcPr>
          <w:p w14:paraId="3E9DB44F" w14:textId="77777777" w:rsidR="00000000" w:rsidRDefault="003C49E9">
            <w:pPr>
              <w:rPr>
                <w:rFonts w:eastAsia="Times New Roman"/>
                <w:sz w:val="20"/>
                <w:szCs w:val="20"/>
              </w:rPr>
            </w:pPr>
          </w:p>
        </w:tc>
        <w:tc>
          <w:tcPr>
            <w:tcW w:w="1064" w:type="pct"/>
            <w:vAlign w:val="center"/>
            <w:hideMark/>
          </w:tcPr>
          <w:p w14:paraId="431B1DC1" w14:textId="77777777" w:rsidR="00000000" w:rsidRDefault="003C49E9">
            <w:pPr>
              <w:rPr>
                <w:rFonts w:eastAsia="Times New Roman"/>
                <w:sz w:val="20"/>
                <w:szCs w:val="20"/>
              </w:rPr>
            </w:pPr>
          </w:p>
        </w:tc>
        <w:tc>
          <w:tcPr>
            <w:tcW w:w="50" w:type="pct"/>
            <w:vAlign w:val="center"/>
            <w:hideMark/>
          </w:tcPr>
          <w:p w14:paraId="025153E7" w14:textId="77777777" w:rsidR="00000000" w:rsidRDefault="003C49E9">
            <w:pPr>
              <w:rPr>
                <w:rFonts w:eastAsia="Times New Roman"/>
                <w:sz w:val="20"/>
                <w:szCs w:val="20"/>
              </w:rPr>
            </w:pPr>
          </w:p>
        </w:tc>
        <w:tc>
          <w:tcPr>
            <w:tcW w:w="48" w:type="pct"/>
            <w:vAlign w:val="center"/>
            <w:hideMark/>
          </w:tcPr>
          <w:p w14:paraId="050C6FC8" w14:textId="77777777" w:rsidR="00000000" w:rsidRDefault="003C49E9">
            <w:pPr>
              <w:rPr>
                <w:rFonts w:eastAsia="Times New Roman"/>
                <w:sz w:val="20"/>
                <w:szCs w:val="20"/>
              </w:rPr>
            </w:pPr>
          </w:p>
        </w:tc>
        <w:tc>
          <w:tcPr>
            <w:tcW w:w="50" w:type="pct"/>
            <w:vAlign w:val="center"/>
            <w:hideMark/>
          </w:tcPr>
          <w:p w14:paraId="4928FB3D" w14:textId="77777777" w:rsidR="00000000" w:rsidRDefault="003C49E9">
            <w:pPr>
              <w:rPr>
                <w:rFonts w:eastAsia="Times New Roman"/>
                <w:sz w:val="20"/>
                <w:szCs w:val="20"/>
              </w:rPr>
            </w:pPr>
          </w:p>
        </w:tc>
        <w:tc>
          <w:tcPr>
            <w:tcW w:w="1148" w:type="pct"/>
            <w:vAlign w:val="center"/>
            <w:hideMark/>
          </w:tcPr>
          <w:p w14:paraId="443B2ABE" w14:textId="77777777" w:rsidR="00000000" w:rsidRDefault="003C49E9">
            <w:pPr>
              <w:rPr>
                <w:rFonts w:eastAsia="Times New Roman"/>
                <w:sz w:val="20"/>
                <w:szCs w:val="20"/>
              </w:rPr>
            </w:pPr>
          </w:p>
        </w:tc>
        <w:tc>
          <w:tcPr>
            <w:tcW w:w="50" w:type="pct"/>
            <w:vAlign w:val="center"/>
            <w:hideMark/>
          </w:tcPr>
          <w:p w14:paraId="2CE3928B" w14:textId="77777777" w:rsidR="00000000" w:rsidRDefault="003C49E9">
            <w:pPr>
              <w:rPr>
                <w:rFonts w:eastAsia="Times New Roman"/>
                <w:sz w:val="20"/>
                <w:szCs w:val="20"/>
              </w:rPr>
            </w:pPr>
          </w:p>
        </w:tc>
      </w:tr>
      <w:tr w:rsidR="00000000" w14:paraId="024DDD0B" w14:textId="77777777">
        <w:trPr>
          <w:trHeight w:val="160"/>
          <w:tblCellSpacing w:w="15" w:type="dxa"/>
        </w:trPr>
        <w:tc>
          <w:tcPr>
            <w:tcW w:w="0" w:type="auto"/>
            <w:vAlign w:val="bottom"/>
            <w:hideMark/>
          </w:tcPr>
          <w:p w14:paraId="20C7C4C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AD515A2"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4BABADAF"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1432F781"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55E44F6" w14:textId="77777777">
        <w:trPr>
          <w:trHeight w:val="160"/>
          <w:tblCellSpacing w:w="15" w:type="dxa"/>
        </w:trPr>
        <w:tc>
          <w:tcPr>
            <w:tcW w:w="0" w:type="auto"/>
            <w:vAlign w:val="bottom"/>
            <w:hideMark/>
          </w:tcPr>
          <w:p w14:paraId="0025A5E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F5B07A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224290D9"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6EBB9AF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E34D02C"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3B22E4C0"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44AE7F81"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21D5A8C" w14:textId="77777777">
        <w:trPr>
          <w:trHeight w:val="160"/>
          <w:tblCellSpacing w:w="15" w:type="dxa"/>
        </w:trPr>
        <w:tc>
          <w:tcPr>
            <w:tcW w:w="0" w:type="auto"/>
            <w:vAlign w:val="bottom"/>
            <w:hideMark/>
          </w:tcPr>
          <w:p w14:paraId="3C888E0C"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5DBE45CA"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678831A5"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EE569E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5F2E8192" w14:textId="77777777">
        <w:trPr>
          <w:trHeight w:val="200"/>
          <w:tblCellSpacing w:w="15" w:type="dxa"/>
        </w:trPr>
        <w:tc>
          <w:tcPr>
            <w:tcW w:w="0" w:type="auto"/>
            <w:vAlign w:val="bottom"/>
            <w:hideMark/>
          </w:tcPr>
          <w:p w14:paraId="6B27A890" w14:textId="77777777" w:rsidR="00000000" w:rsidRDefault="003C49E9">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14:paraId="6B7A985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9324CF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9BE9A94" w14:textId="77777777" w:rsidR="00000000" w:rsidRDefault="003C49E9">
            <w:pPr>
              <w:pStyle w:val="a3"/>
              <w:spacing w:before="0" w:beforeAutospacing="0" w:after="0" w:afterAutospacing="0"/>
              <w:jc w:val="right"/>
              <w:rPr>
                <w:sz w:val="20"/>
                <w:szCs w:val="20"/>
              </w:rPr>
            </w:pPr>
            <w:r>
              <w:rPr>
                <w:sz w:val="20"/>
                <w:szCs w:val="20"/>
              </w:rPr>
              <w:t>52,61</w:t>
            </w:r>
            <w:r>
              <w:rPr>
                <w:sz w:val="20"/>
                <w:szCs w:val="20"/>
              </w:rPr>
              <w:t>2</w:t>
            </w:r>
          </w:p>
        </w:tc>
        <w:tc>
          <w:tcPr>
            <w:tcW w:w="0" w:type="auto"/>
            <w:noWrap/>
            <w:vAlign w:val="bottom"/>
            <w:hideMark/>
          </w:tcPr>
          <w:p w14:paraId="203D289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4AD00B"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021C0FC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995768C" w14:textId="77777777" w:rsidR="00000000" w:rsidRDefault="003C49E9">
            <w:pPr>
              <w:pStyle w:val="a3"/>
              <w:spacing w:before="0" w:beforeAutospacing="0" w:after="0" w:afterAutospacing="0"/>
              <w:jc w:val="right"/>
              <w:rPr>
                <w:sz w:val="20"/>
                <w:szCs w:val="20"/>
              </w:rPr>
            </w:pPr>
            <w:r>
              <w:rPr>
                <w:sz w:val="20"/>
                <w:szCs w:val="20"/>
              </w:rPr>
              <w:t>91,38</w:t>
            </w:r>
            <w:r>
              <w:rPr>
                <w:sz w:val="20"/>
                <w:szCs w:val="20"/>
              </w:rPr>
              <w:t>4</w:t>
            </w:r>
          </w:p>
        </w:tc>
        <w:tc>
          <w:tcPr>
            <w:tcW w:w="0" w:type="auto"/>
            <w:noWrap/>
            <w:vAlign w:val="bottom"/>
            <w:hideMark/>
          </w:tcPr>
          <w:p w14:paraId="45F19002" w14:textId="77777777" w:rsidR="00000000" w:rsidRDefault="003C49E9">
            <w:pPr>
              <w:pStyle w:val="a3"/>
              <w:spacing w:before="0" w:beforeAutospacing="0" w:after="0" w:afterAutospacing="0"/>
              <w:rPr>
                <w:sz w:val="20"/>
                <w:szCs w:val="20"/>
              </w:rPr>
            </w:pPr>
            <w:r>
              <w:rPr>
                <w:sz w:val="20"/>
                <w:szCs w:val="20"/>
              </w:rPr>
              <w:t> </w:t>
            </w:r>
          </w:p>
        </w:tc>
      </w:tr>
      <w:tr w:rsidR="00000000" w14:paraId="51F3D678" w14:textId="77777777">
        <w:trPr>
          <w:trHeight w:val="200"/>
          <w:tblCellSpacing w:w="15" w:type="dxa"/>
        </w:trPr>
        <w:tc>
          <w:tcPr>
            <w:tcW w:w="0" w:type="auto"/>
            <w:vAlign w:val="bottom"/>
            <w:hideMark/>
          </w:tcPr>
          <w:p w14:paraId="162D9B54" w14:textId="77777777" w:rsidR="00000000" w:rsidRDefault="003C49E9">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14:paraId="6EAC9E7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F47F08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5E26466" w14:textId="77777777" w:rsidR="00000000" w:rsidRDefault="003C49E9">
            <w:pPr>
              <w:pStyle w:val="a3"/>
              <w:spacing w:before="0" w:beforeAutospacing="0" w:after="0" w:afterAutospacing="0"/>
              <w:jc w:val="right"/>
              <w:rPr>
                <w:sz w:val="20"/>
                <w:szCs w:val="20"/>
              </w:rPr>
            </w:pPr>
            <w:r>
              <w:rPr>
                <w:sz w:val="20"/>
                <w:szCs w:val="20"/>
              </w:rPr>
              <w:t>6,82</w:t>
            </w:r>
            <w:r>
              <w:rPr>
                <w:sz w:val="20"/>
                <w:szCs w:val="20"/>
              </w:rPr>
              <w:t>5</w:t>
            </w:r>
          </w:p>
        </w:tc>
        <w:tc>
          <w:tcPr>
            <w:tcW w:w="0" w:type="auto"/>
            <w:noWrap/>
            <w:vAlign w:val="bottom"/>
            <w:hideMark/>
          </w:tcPr>
          <w:p w14:paraId="4932674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DB21BC4"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24DFEE6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CA4BE6" w14:textId="77777777" w:rsidR="00000000" w:rsidRDefault="003C49E9">
            <w:pPr>
              <w:pStyle w:val="a3"/>
              <w:spacing w:before="0" w:beforeAutospacing="0" w:after="0" w:afterAutospacing="0"/>
              <w:jc w:val="right"/>
              <w:rPr>
                <w:sz w:val="20"/>
                <w:szCs w:val="20"/>
              </w:rPr>
            </w:pPr>
            <w:r>
              <w:rPr>
                <w:sz w:val="20"/>
                <w:szCs w:val="20"/>
              </w:rPr>
              <w:t>14,19</w:t>
            </w:r>
            <w:r>
              <w:rPr>
                <w:sz w:val="20"/>
                <w:szCs w:val="20"/>
              </w:rPr>
              <w:t>5</w:t>
            </w:r>
          </w:p>
        </w:tc>
        <w:tc>
          <w:tcPr>
            <w:tcW w:w="0" w:type="auto"/>
            <w:noWrap/>
            <w:vAlign w:val="bottom"/>
            <w:hideMark/>
          </w:tcPr>
          <w:p w14:paraId="14CE85E8" w14:textId="77777777" w:rsidR="00000000" w:rsidRDefault="003C49E9">
            <w:pPr>
              <w:pStyle w:val="a3"/>
              <w:spacing w:before="0" w:beforeAutospacing="0" w:after="0" w:afterAutospacing="0"/>
              <w:rPr>
                <w:sz w:val="20"/>
                <w:szCs w:val="20"/>
              </w:rPr>
            </w:pPr>
            <w:r>
              <w:rPr>
                <w:sz w:val="20"/>
                <w:szCs w:val="20"/>
              </w:rPr>
              <w:t> </w:t>
            </w:r>
          </w:p>
        </w:tc>
      </w:tr>
      <w:tr w:rsidR="00000000" w14:paraId="48156888" w14:textId="77777777">
        <w:trPr>
          <w:trHeight w:val="200"/>
          <w:tblCellSpacing w:w="15" w:type="dxa"/>
        </w:trPr>
        <w:tc>
          <w:tcPr>
            <w:tcW w:w="0" w:type="auto"/>
            <w:vAlign w:val="bottom"/>
            <w:hideMark/>
          </w:tcPr>
          <w:p w14:paraId="1277947C" w14:textId="77777777" w:rsidR="00000000" w:rsidRDefault="003C49E9">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14:paraId="1088193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03B0C7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45B379C" w14:textId="77777777" w:rsidR="00000000" w:rsidRDefault="003C49E9">
            <w:pPr>
              <w:pStyle w:val="a3"/>
              <w:spacing w:before="0" w:beforeAutospacing="0" w:after="0" w:afterAutospacing="0"/>
              <w:jc w:val="right"/>
              <w:rPr>
                <w:sz w:val="20"/>
                <w:szCs w:val="20"/>
              </w:rPr>
            </w:pPr>
            <w:r>
              <w:rPr>
                <w:sz w:val="20"/>
                <w:szCs w:val="20"/>
              </w:rPr>
              <w:t>3,21</w:t>
            </w:r>
            <w:r>
              <w:rPr>
                <w:sz w:val="20"/>
                <w:szCs w:val="20"/>
              </w:rPr>
              <w:t>2</w:t>
            </w:r>
          </w:p>
        </w:tc>
        <w:tc>
          <w:tcPr>
            <w:tcW w:w="0" w:type="auto"/>
            <w:noWrap/>
            <w:vAlign w:val="bottom"/>
            <w:hideMark/>
          </w:tcPr>
          <w:p w14:paraId="3A711C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05E9F75"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6918203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D99FB6F" w14:textId="77777777" w:rsidR="00000000" w:rsidRDefault="003C49E9">
            <w:pPr>
              <w:pStyle w:val="a3"/>
              <w:spacing w:before="0" w:beforeAutospacing="0" w:after="0" w:afterAutospacing="0"/>
              <w:jc w:val="right"/>
              <w:rPr>
                <w:sz w:val="20"/>
                <w:szCs w:val="20"/>
              </w:rPr>
            </w:pPr>
            <w:r>
              <w:rPr>
                <w:sz w:val="20"/>
                <w:szCs w:val="20"/>
              </w:rPr>
              <w:t>9,28</w:t>
            </w:r>
            <w:r>
              <w:rPr>
                <w:sz w:val="20"/>
                <w:szCs w:val="20"/>
              </w:rPr>
              <w:t>3</w:t>
            </w:r>
          </w:p>
        </w:tc>
        <w:tc>
          <w:tcPr>
            <w:tcW w:w="0" w:type="auto"/>
            <w:noWrap/>
            <w:vAlign w:val="bottom"/>
            <w:hideMark/>
          </w:tcPr>
          <w:p w14:paraId="774FB666" w14:textId="77777777" w:rsidR="00000000" w:rsidRDefault="003C49E9">
            <w:pPr>
              <w:pStyle w:val="a3"/>
              <w:spacing w:before="0" w:beforeAutospacing="0" w:after="0" w:afterAutospacing="0"/>
              <w:rPr>
                <w:sz w:val="20"/>
                <w:szCs w:val="20"/>
              </w:rPr>
            </w:pPr>
            <w:r>
              <w:rPr>
                <w:sz w:val="20"/>
                <w:szCs w:val="20"/>
              </w:rPr>
              <w:t> </w:t>
            </w:r>
          </w:p>
        </w:tc>
      </w:tr>
      <w:tr w:rsidR="00000000" w14:paraId="6C268DDB" w14:textId="77777777">
        <w:trPr>
          <w:trHeight w:val="200"/>
          <w:tblCellSpacing w:w="15" w:type="dxa"/>
        </w:trPr>
        <w:tc>
          <w:tcPr>
            <w:tcW w:w="0" w:type="auto"/>
            <w:vAlign w:val="bottom"/>
            <w:hideMark/>
          </w:tcPr>
          <w:p w14:paraId="7857FE72" w14:textId="77777777" w:rsidR="00000000" w:rsidRDefault="003C49E9">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14:paraId="62C961D5"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2BB23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4D3698" w14:textId="77777777" w:rsidR="00000000" w:rsidRDefault="003C49E9">
            <w:pPr>
              <w:pStyle w:val="a3"/>
              <w:spacing w:before="0" w:beforeAutospacing="0" w:after="0" w:afterAutospacing="0"/>
              <w:jc w:val="right"/>
              <w:rPr>
                <w:sz w:val="20"/>
                <w:szCs w:val="20"/>
              </w:rPr>
            </w:pPr>
            <w:r>
              <w:rPr>
                <w:sz w:val="20"/>
                <w:szCs w:val="20"/>
              </w:rPr>
              <w:t>2,46</w:t>
            </w:r>
            <w:r>
              <w:rPr>
                <w:sz w:val="20"/>
                <w:szCs w:val="20"/>
              </w:rPr>
              <w:t>4</w:t>
            </w:r>
          </w:p>
        </w:tc>
        <w:tc>
          <w:tcPr>
            <w:tcW w:w="0" w:type="auto"/>
            <w:noWrap/>
            <w:vAlign w:val="bottom"/>
            <w:hideMark/>
          </w:tcPr>
          <w:p w14:paraId="6D344A4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A1320BA"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1ADB2E4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8A2D4E" w14:textId="77777777" w:rsidR="00000000" w:rsidRDefault="003C49E9">
            <w:pPr>
              <w:pStyle w:val="a3"/>
              <w:spacing w:before="0" w:beforeAutospacing="0" w:after="0" w:afterAutospacing="0"/>
              <w:jc w:val="right"/>
              <w:rPr>
                <w:sz w:val="20"/>
                <w:szCs w:val="20"/>
              </w:rPr>
            </w:pPr>
            <w:r>
              <w:rPr>
                <w:sz w:val="20"/>
                <w:szCs w:val="20"/>
              </w:rPr>
              <w:t>5,34</w:t>
            </w:r>
            <w:r>
              <w:rPr>
                <w:sz w:val="20"/>
                <w:szCs w:val="20"/>
              </w:rPr>
              <w:t>9</w:t>
            </w:r>
          </w:p>
        </w:tc>
        <w:tc>
          <w:tcPr>
            <w:tcW w:w="0" w:type="auto"/>
            <w:noWrap/>
            <w:vAlign w:val="bottom"/>
            <w:hideMark/>
          </w:tcPr>
          <w:p w14:paraId="00F9044C" w14:textId="77777777" w:rsidR="00000000" w:rsidRDefault="003C49E9">
            <w:pPr>
              <w:pStyle w:val="a3"/>
              <w:spacing w:before="0" w:beforeAutospacing="0" w:after="0" w:afterAutospacing="0"/>
              <w:rPr>
                <w:sz w:val="20"/>
                <w:szCs w:val="20"/>
              </w:rPr>
            </w:pPr>
            <w:r>
              <w:rPr>
                <w:sz w:val="20"/>
                <w:szCs w:val="20"/>
              </w:rPr>
              <w:t> </w:t>
            </w:r>
          </w:p>
        </w:tc>
      </w:tr>
      <w:tr w:rsidR="00000000" w14:paraId="083338C1" w14:textId="77777777">
        <w:trPr>
          <w:trHeight w:val="200"/>
          <w:tblCellSpacing w:w="15" w:type="dxa"/>
        </w:trPr>
        <w:tc>
          <w:tcPr>
            <w:tcW w:w="0" w:type="auto"/>
            <w:vAlign w:val="bottom"/>
            <w:hideMark/>
          </w:tcPr>
          <w:p w14:paraId="1E1CF7E2" w14:textId="77777777" w:rsidR="00000000" w:rsidRDefault="003C49E9">
            <w:pPr>
              <w:pStyle w:val="a3"/>
              <w:spacing w:before="0" w:beforeAutospacing="0" w:after="0" w:afterAutospacing="0"/>
              <w:rPr>
                <w:sz w:val="20"/>
                <w:szCs w:val="20"/>
              </w:rPr>
            </w:pPr>
            <w:r>
              <w:rPr>
                <w:sz w:val="20"/>
                <w:szCs w:val="20"/>
              </w:rPr>
              <w:t>Professional service</w:t>
            </w:r>
            <w:r>
              <w:rPr>
                <w:sz w:val="20"/>
                <w:szCs w:val="20"/>
              </w:rPr>
              <w:t>s</w:t>
            </w:r>
          </w:p>
        </w:tc>
        <w:tc>
          <w:tcPr>
            <w:tcW w:w="0" w:type="auto"/>
            <w:vAlign w:val="bottom"/>
            <w:hideMark/>
          </w:tcPr>
          <w:p w14:paraId="585E58B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67E467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62F35E" w14:textId="77777777" w:rsidR="00000000" w:rsidRDefault="003C49E9">
            <w:pPr>
              <w:pStyle w:val="a3"/>
              <w:spacing w:before="0" w:beforeAutospacing="0" w:after="0" w:afterAutospacing="0"/>
              <w:jc w:val="right"/>
              <w:rPr>
                <w:sz w:val="20"/>
                <w:szCs w:val="20"/>
              </w:rPr>
            </w:pPr>
            <w:r>
              <w:rPr>
                <w:sz w:val="20"/>
                <w:szCs w:val="20"/>
              </w:rPr>
              <w:t>1,00</w:t>
            </w:r>
            <w:r>
              <w:rPr>
                <w:sz w:val="20"/>
                <w:szCs w:val="20"/>
              </w:rPr>
              <w:t>5</w:t>
            </w:r>
          </w:p>
        </w:tc>
        <w:tc>
          <w:tcPr>
            <w:tcW w:w="0" w:type="auto"/>
            <w:noWrap/>
            <w:vAlign w:val="bottom"/>
            <w:hideMark/>
          </w:tcPr>
          <w:p w14:paraId="601F1B5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468A94E"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E33E0D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465BB9" w14:textId="77777777" w:rsidR="00000000" w:rsidRDefault="003C49E9">
            <w:pPr>
              <w:pStyle w:val="a3"/>
              <w:spacing w:before="0" w:beforeAutospacing="0" w:after="0" w:afterAutospacing="0"/>
              <w:jc w:val="right"/>
              <w:rPr>
                <w:sz w:val="20"/>
                <w:szCs w:val="20"/>
              </w:rPr>
            </w:pPr>
            <w:r>
              <w:rPr>
                <w:sz w:val="20"/>
                <w:szCs w:val="20"/>
              </w:rPr>
              <w:t>2,02</w:t>
            </w:r>
            <w:r>
              <w:rPr>
                <w:sz w:val="20"/>
                <w:szCs w:val="20"/>
              </w:rPr>
              <w:t>3</w:t>
            </w:r>
          </w:p>
        </w:tc>
        <w:tc>
          <w:tcPr>
            <w:tcW w:w="0" w:type="auto"/>
            <w:noWrap/>
            <w:vAlign w:val="bottom"/>
            <w:hideMark/>
          </w:tcPr>
          <w:p w14:paraId="31398F17" w14:textId="77777777" w:rsidR="00000000" w:rsidRDefault="003C49E9">
            <w:pPr>
              <w:pStyle w:val="a3"/>
              <w:spacing w:before="0" w:beforeAutospacing="0" w:after="0" w:afterAutospacing="0"/>
              <w:rPr>
                <w:sz w:val="20"/>
                <w:szCs w:val="20"/>
              </w:rPr>
            </w:pPr>
            <w:r>
              <w:rPr>
                <w:sz w:val="20"/>
                <w:szCs w:val="20"/>
              </w:rPr>
              <w:t> </w:t>
            </w:r>
          </w:p>
        </w:tc>
      </w:tr>
      <w:tr w:rsidR="00000000" w14:paraId="68A77FE8" w14:textId="77777777">
        <w:trPr>
          <w:trHeight w:val="200"/>
          <w:tblCellSpacing w:w="15" w:type="dxa"/>
        </w:trPr>
        <w:tc>
          <w:tcPr>
            <w:tcW w:w="0" w:type="auto"/>
            <w:vAlign w:val="bottom"/>
            <w:hideMark/>
          </w:tcPr>
          <w:p w14:paraId="3014FDF6" w14:textId="77777777" w:rsidR="00000000" w:rsidRDefault="003C49E9">
            <w:pPr>
              <w:pStyle w:val="a3"/>
              <w:spacing w:before="0" w:beforeAutospacing="0" w:after="0" w:afterAutospacing="0"/>
              <w:rPr>
                <w:sz w:val="20"/>
                <w:szCs w:val="20"/>
              </w:rPr>
            </w:pPr>
            <w:r>
              <w:rPr>
                <w:sz w:val="20"/>
                <w:szCs w:val="20"/>
              </w:rPr>
              <w:t>Amortization of intangible asse</w:t>
            </w:r>
            <w:r>
              <w:rPr>
                <w:sz w:val="20"/>
                <w:szCs w:val="20"/>
              </w:rPr>
              <w:t>t</w:t>
            </w:r>
          </w:p>
        </w:tc>
        <w:tc>
          <w:tcPr>
            <w:tcW w:w="0" w:type="auto"/>
            <w:vAlign w:val="bottom"/>
            <w:hideMark/>
          </w:tcPr>
          <w:p w14:paraId="305F8289"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B1F962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CFAAC8" w14:textId="77777777" w:rsidR="00000000" w:rsidRDefault="003C49E9">
            <w:pPr>
              <w:pStyle w:val="a3"/>
              <w:spacing w:before="0" w:beforeAutospacing="0" w:after="0" w:afterAutospacing="0"/>
              <w:jc w:val="right"/>
              <w:rPr>
                <w:sz w:val="20"/>
                <w:szCs w:val="20"/>
              </w:rPr>
            </w:pPr>
            <w:r>
              <w:rPr>
                <w:sz w:val="20"/>
                <w:szCs w:val="20"/>
              </w:rPr>
              <w:t>34</w:t>
            </w:r>
            <w:r>
              <w:rPr>
                <w:sz w:val="20"/>
                <w:szCs w:val="20"/>
              </w:rPr>
              <w:t>5</w:t>
            </w:r>
          </w:p>
        </w:tc>
        <w:tc>
          <w:tcPr>
            <w:tcW w:w="0" w:type="auto"/>
            <w:noWrap/>
            <w:vAlign w:val="bottom"/>
            <w:hideMark/>
          </w:tcPr>
          <w:p w14:paraId="6AD7B45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2E46D8"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3A60B33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AC76034" w14:textId="77777777" w:rsidR="00000000" w:rsidRDefault="003C49E9">
            <w:pPr>
              <w:pStyle w:val="a3"/>
              <w:spacing w:before="0" w:beforeAutospacing="0" w:after="0" w:afterAutospacing="0"/>
              <w:jc w:val="right"/>
              <w:rPr>
                <w:sz w:val="20"/>
                <w:szCs w:val="20"/>
              </w:rPr>
            </w:pPr>
            <w:r>
              <w:rPr>
                <w:sz w:val="20"/>
                <w:szCs w:val="20"/>
              </w:rPr>
              <w:t>34</w:t>
            </w:r>
            <w:r>
              <w:rPr>
                <w:sz w:val="20"/>
                <w:szCs w:val="20"/>
              </w:rPr>
              <w:t>5</w:t>
            </w:r>
          </w:p>
        </w:tc>
        <w:tc>
          <w:tcPr>
            <w:tcW w:w="0" w:type="auto"/>
            <w:noWrap/>
            <w:vAlign w:val="bottom"/>
            <w:hideMark/>
          </w:tcPr>
          <w:p w14:paraId="3DC278F7" w14:textId="77777777" w:rsidR="00000000" w:rsidRDefault="003C49E9">
            <w:pPr>
              <w:pStyle w:val="a3"/>
              <w:spacing w:before="0" w:beforeAutospacing="0" w:after="0" w:afterAutospacing="0"/>
              <w:rPr>
                <w:sz w:val="20"/>
                <w:szCs w:val="20"/>
              </w:rPr>
            </w:pPr>
            <w:r>
              <w:rPr>
                <w:sz w:val="20"/>
                <w:szCs w:val="20"/>
              </w:rPr>
              <w:t> </w:t>
            </w:r>
          </w:p>
        </w:tc>
      </w:tr>
      <w:tr w:rsidR="00000000" w14:paraId="5759C17E" w14:textId="77777777">
        <w:trPr>
          <w:trHeight w:val="200"/>
          <w:tblCellSpacing w:w="15" w:type="dxa"/>
        </w:trPr>
        <w:tc>
          <w:tcPr>
            <w:tcW w:w="0" w:type="auto"/>
            <w:vAlign w:val="bottom"/>
            <w:hideMark/>
          </w:tcPr>
          <w:p w14:paraId="7CE2E1D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6FFBB6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BC5D38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F5001B0" w14:textId="77777777" w:rsidR="00000000" w:rsidRDefault="003C49E9">
            <w:pPr>
              <w:pStyle w:val="a3"/>
              <w:spacing w:before="0" w:beforeAutospacing="0" w:after="0" w:afterAutospacing="0"/>
              <w:jc w:val="right"/>
              <w:rPr>
                <w:sz w:val="20"/>
                <w:szCs w:val="20"/>
              </w:rPr>
            </w:pPr>
            <w:r>
              <w:rPr>
                <w:sz w:val="20"/>
                <w:szCs w:val="20"/>
              </w:rPr>
              <w:t>66,46</w:t>
            </w:r>
            <w:r>
              <w:rPr>
                <w:sz w:val="20"/>
                <w:szCs w:val="20"/>
              </w:rPr>
              <w:t>3</w:t>
            </w:r>
          </w:p>
        </w:tc>
        <w:tc>
          <w:tcPr>
            <w:tcW w:w="0" w:type="auto"/>
            <w:noWrap/>
            <w:vAlign w:val="bottom"/>
            <w:hideMark/>
          </w:tcPr>
          <w:p w14:paraId="2B5D802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0A0906"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4508EF2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2CB0841" w14:textId="77777777" w:rsidR="00000000" w:rsidRDefault="003C49E9">
            <w:pPr>
              <w:pStyle w:val="a3"/>
              <w:spacing w:before="0" w:beforeAutospacing="0" w:after="0" w:afterAutospacing="0"/>
              <w:jc w:val="right"/>
              <w:rPr>
                <w:sz w:val="20"/>
                <w:szCs w:val="20"/>
              </w:rPr>
            </w:pPr>
            <w:r>
              <w:rPr>
                <w:sz w:val="20"/>
                <w:szCs w:val="20"/>
              </w:rPr>
              <w:t>122,57</w:t>
            </w:r>
            <w:r>
              <w:rPr>
                <w:sz w:val="20"/>
                <w:szCs w:val="20"/>
              </w:rPr>
              <w:t>9</w:t>
            </w:r>
          </w:p>
        </w:tc>
        <w:tc>
          <w:tcPr>
            <w:tcW w:w="0" w:type="auto"/>
            <w:noWrap/>
            <w:vAlign w:val="bottom"/>
            <w:hideMark/>
          </w:tcPr>
          <w:p w14:paraId="420866BA" w14:textId="77777777" w:rsidR="00000000" w:rsidRDefault="003C49E9">
            <w:pPr>
              <w:pStyle w:val="a3"/>
              <w:spacing w:before="0" w:beforeAutospacing="0" w:after="0" w:afterAutospacing="0"/>
              <w:rPr>
                <w:sz w:val="20"/>
                <w:szCs w:val="20"/>
              </w:rPr>
            </w:pPr>
            <w:r>
              <w:rPr>
                <w:sz w:val="20"/>
                <w:szCs w:val="20"/>
              </w:rPr>
              <w:t> </w:t>
            </w:r>
          </w:p>
        </w:tc>
      </w:tr>
    </w:tbl>
    <w:p w14:paraId="2960DA0A"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03996E41" w14:textId="77777777" w:rsidR="00000000" w:rsidRDefault="003C49E9">
      <w:pPr>
        <w:pStyle w:val="a3"/>
        <w:spacing w:before="200" w:beforeAutospacing="0" w:after="0" w:afterAutospacing="0"/>
        <w:ind w:firstLine="555"/>
        <w:rPr>
          <w:sz w:val="20"/>
          <w:szCs w:val="20"/>
        </w:rPr>
      </w:pPr>
      <w:r>
        <w:rPr>
          <w:sz w:val="20"/>
          <w:szCs w:val="20"/>
        </w:rPr>
        <w:t>Employee-related costs increased as a result of increased headcount as we expanded our selling and marketing organizations to grow our customer base. Solutions Partner commissions increased as a result of increased revenue generated through our Solutions P</w:t>
      </w:r>
      <w:r>
        <w:rPr>
          <w:sz w:val="20"/>
          <w:szCs w:val="20"/>
        </w:rPr>
        <w:t>artners. Marketing programs increased due to the timing and size of certain marketing efforts as we made investments in attracting new customers. Allocated overhead expenses increased due to an increase in shared company expenses associated with our system</w:t>
      </w:r>
      <w:r>
        <w:rPr>
          <w:sz w:val="20"/>
          <w:szCs w:val="20"/>
        </w:rPr>
        <w:t>s and infrastructure as we continued to grow our business. Professional fees increased due to an increase in the use of third-party services and contractors for our marketing efforts. Amortization of intangible assets increased primarily due to the purchas</w:t>
      </w:r>
      <w:r>
        <w:rPr>
          <w:sz w:val="20"/>
          <w:szCs w:val="20"/>
        </w:rPr>
        <w:t>e of a domain name in the three months ended June 30, 2022</w:t>
      </w:r>
      <w:r>
        <w:rPr>
          <w:sz w:val="20"/>
          <w:szCs w:val="20"/>
        </w:rPr>
        <w:t>.</w:t>
      </w:r>
      <w:r>
        <w:rPr>
          <w:sz w:val="20"/>
          <w:szCs w:val="20"/>
        </w:rPr>
        <w:t xml:space="preserve"> </w:t>
      </w:r>
    </w:p>
    <w:p w14:paraId="30276511"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725D1284" w14:textId="77777777" w:rsidR="00000000" w:rsidRDefault="003C49E9">
      <w:pPr>
        <w:pStyle w:val="a3"/>
        <w:spacing w:before="200" w:beforeAutospacing="0" w:after="0" w:afterAutospacing="0"/>
        <w:ind w:firstLine="555"/>
        <w:rPr>
          <w:sz w:val="20"/>
          <w:szCs w:val="20"/>
        </w:rPr>
      </w:pPr>
      <w:r>
        <w:rPr>
          <w:sz w:val="20"/>
          <w:szCs w:val="20"/>
        </w:rPr>
        <w:t>Employee-related costs increased as a result of increased headcount as we expanded our selling and marketing organizations to grow our customer base. Solutions Partner commission</w:t>
      </w:r>
      <w:r>
        <w:rPr>
          <w:sz w:val="20"/>
          <w:szCs w:val="20"/>
        </w:rPr>
        <w:t>s increased as a result of increased revenue generated through our Solutions Partners. Marketing programs increased due to the timing and size of certain marketing efforts as we continue to make investments in attracting new customers. Allocated overhead e</w:t>
      </w:r>
      <w:r>
        <w:rPr>
          <w:sz w:val="20"/>
          <w:szCs w:val="20"/>
        </w:rPr>
        <w:t>xpenses increased due to an increase in shared company expenses associated with our systems and infrastructure as we continued to grow our business. Professional fees increased due to an increase in the use of third-party services and contractors for our m</w:t>
      </w:r>
      <w:r>
        <w:rPr>
          <w:sz w:val="20"/>
          <w:szCs w:val="20"/>
        </w:rPr>
        <w:t>arketing efforts. Amortization of intangible assets increased primarily due to the purchase of a domain name in the six months ended June 30, 2022</w:t>
      </w:r>
      <w:r>
        <w:rPr>
          <w:sz w:val="20"/>
          <w:szCs w:val="20"/>
        </w:rPr>
        <w:t>.</w:t>
      </w:r>
      <w:r>
        <w:rPr>
          <w:sz w:val="20"/>
          <w:szCs w:val="20"/>
        </w:rPr>
        <w:t xml:space="preserve"> </w:t>
      </w:r>
    </w:p>
    <w:p w14:paraId="779C4DE2" w14:textId="77777777" w:rsidR="00000000" w:rsidRDefault="003C49E9">
      <w:pPr>
        <w:pStyle w:val="a3"/>
        <w:spacing w:before="200" w:beforeAutospacing="0" w:after="0" w:afterAutospacing="0"/>
        <w:ind w:firstLine="555"/>
        <w:rPr>
          <w:sz w:val="20"/>
          <w:szCs w:val="20"/>
        </w:rPr>
      </w:pPr>
      <w:r>
        <w:rPr>
          <w:b/>
          <w:bCs/>
          <w:i/>
          <w:iCs/>
          <w:sz w:val="20"/>
          <w:szCs w:val="20"/>
        </w:rPr>
        <w:t>General and Administrative</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5"/>
        <w:gridCol w:w="105"/>
        <w:gridCol w:w="150"/>
        <w:gridCol w:w="555"/>
        <w:gridCol w:w="210"/>
        <w:gridCol w:w="105"/>
        <w:gridCol w:w="150"/>
        <w:gridCol w:w="555"/>
        <w:gridCol w:w="210"/>
        <w:gridCol w:w="105"/>
        <w:gridCol w:w="150"/>
        <w:gridCol w:w="555"/>
        <w:gridCol w:w="105"/>
        <w:gridCol w:w="105"/>
        <w:gridCol w:w="106"/>
        <w:gridCol w:w="464"/>
        <w:gridCol w:w="210"/>
        <w:gridCol w:w="105"/>
        <w:gridCol w:w="150"/>
        <w:gridCol w:w="555"/>
        <w:gridCol w:w="210"/>
        <w:gridCol w:w="105"/>
        <w:gridCol w:w="150"/>
        <w:gridCol w:w="555"/>
        <w:gridCol w:w="210"/>
        <w:gridCol w:w="105"/>
        <w:gridCol w:w="150"/>
        <w:gridCol w:w="555"/>
        <w:gridCol w:w="105"/>
        <w:gridCol w:w="105"/>
        <w:gridCol w:w="106"/>
        <w:gridCol w:w="471"/>
        <w:gridCol w:w="225"/>
      </w:tblGrid>
      <w:tr w:rsidR="00000000" w14:paraId="70B19AB6" w14:textId="77777777">
        <w:trPr>
          <w:tblCellSpacing w:w="15" w:type="dxa"/>
        </w:trPr>
        <w:tc>
          <w:tcPr>
            <w:tcW w:w="1026" w:type="pct"/>
            <w:vAlign w:val="center"/>
            <w:hideMark/>
          </w:tcPr>
          <w:p w14:paraId="4264C1BA" w14:textId="77777777" w:rsidR="00000000" w:rsidRDefault="003C49E9">
            <w:pPr>
              <w:rPr>
                <w:sz w:val="20"/>
                <w:szCs w:val="20"/>
              </w:rPr>
            </w:pPr>
          </w:p>
        </w:tc>
        <w:tc>
          <w:tcPr>
            <w:tcW w:w="45" w:type="pct"/>
            <w:vAlign w:val="center"/>
            <w:hideMark/>
          </w:tcPr>
          <w:p w14:paraId="2E68C254" w14:textId="77777777" w:rsidR="00000000" w:rsidRDefault="003C49E9">
            <w:pPr>
              <w:rPr>
                <w:rFonts w:eastAsia="Times New Roman"/>
                <w:sz w:val="20"/>
                <w:szCs w:val="20"/>
              </w:rPr>
            </w:pPr>
          </w:p>
        </w:tc>
        <w:tc>
          <w:tcPr>
            <w:tcW w:w="50" w:type="pct"/>
            <w:vAlign w:val="center"/>
            <w:hideMark/>
          </w:tcPr>
          <w:p w14:paraId="03F3EE7B" w14:textId="77777777" w:rsidR="00000000" w:rsidRDefault="003C49E9">
            <w:pPr>
              <w:rPr>
                <w:rFonts w:eastAsia="Times New Roman"/>
                <w:sz w:val="20"/>
                <w:szCs w:val="20"/>
              </w:rPr>
            </w:pPr>
          </w:p>
        </w:tc>
        <w:tc>
          <w:tcPr>
            <w:tcW w:w="353" w:type="pct"/>
            <w:vAlign w:val="center"/>
            <w:hideMark/>
          </w:tcPr>
          <w:p w14:paraId="40108F9E" w14:textId="77777777" w:rsidR="00000000" w:rsidRDefault="003C49E9">
            <w:pPr>
              <w:rPr>
                <w:rFonts w:eastAsia="Times New Roman"/>
                <w:sz w:val="20"/>
                <w:szCs w:val="20"/>
              </w:rPr>
            </w:pPr>
          </w:p>
        </w:tc>
        <w:tc>
          <w:tcPr>
            <w:tcW w:w="50" w:type="pct"/>
            <w:vAlign w:val="center"/>
            <w:hideMark/>
          </w:tcPr>
          <w:p w14:paraId="56627D4F" w14:textId="77777777" w:rsidR="00000000" w:rsidRDefault="003C49E9">
            <w:pPr>
              <w:rPr>
                <w:rFonts w:eastAsia="Times New Roman"/>
                <w:sz w:val="20"/>
                <w:szCs w:val="20"/>
              </w:rPr>
            </w:pPr>
          </w:p>
        </w:tc>
        <w:tc>
          <w:tcPr>
            <w:tcW w:w="45" w:type="pct"/>
            <w:vAlign w:val="center"/>
            <w:hideMark/>
          </w:tcPr>
          <w:p w14:paraId="1B6E2288" w14:textId="77777777" w:rsidR="00000000" w:rsidRDefault="003C49E9">
            <w:pPr>
              <w:rPr>
                <w:rFonts w:eastAsia="Times New Roman"/>
                <w:sz w:val="20"/>
                <w:szCs w:val="20"/>
              </w:rPr>
            </w:pPr>
          </w:p>
        </w:tc>
        <w:tc>
          <w:tcPr>
            <w:tcW w:w="50" w:type="pct"/>
            <w:vAlign w:val="center"/>
            <w:hideMark/>
          </w:tcPr>
          <w:p w14:paraId="6B2F8549" w14:textId="77777777" w:rsidR="00000000" w:rsidRDefault="003C49E9">
            <w:pPr>
              <w:rPr>
                <w:rFonts w:eastAsia="Times New Roman"/>
                <w:sz w:val="20"/>
                <w:szCs w:val="20"/>
              </w:rPr>
            </w:pPr>
          </w:p>
        </w:tc>
        <w:tc>
          <w:tcPr>
            <w:tcW w:w="320" w:type="pct"/>
            <w:vAlign w:val="center"/>
            <w:hideMark/>
          </w:tcPr>
          <w:p w14:paraId="19191F1C" w14:textId="77777777" w:rsidR="00000000" w:rsidRDefault="003C49E9">
            <w:pPr>
              <w:rPr>
                <w:rFonts w:eastAsia="Times New Roman"/>
                <w:sz w:val="20"/>
                <w:szCs w:val="20"/>
              </w:rPr>
            </w:pPr>
          </w:p>
        </w:tc>
        <w:tc>
          <w:tcPr>
            <w:tcW w:w="50" w:type="pct"/>
            <w:vAlign w:val="center"/>
            <w:hideMark/>
          </w:tcPr>
          <w:p w14:paraId="73CB23B3" w14:textId="77777777" w:rsidR="00000000" w:rsidRDefault="003C49E9">
            <w:pPr>
              <w:rPr>
                <w:rFonts w:eastAsia="Times New Roman"/>
                <w:sz w:val="20"/>
                <w:szCs w:val="20"/>
              </w:rPr>
            </w:pPr>
          </w:p>
        </w:tc>
        <w:tc>
          <w:tcPr>
            <w:tcW w:w="45" w:type="pct"/>
            <w:vAlign w:val="center"/>
            <w:hideMark/>
          </w:tcPr>
          <w:p w14:paraId="53258283" w14:textId="77777777" w:rsidR="00000000" w:rsidRDefault="003C49E9">
            <w:pPr>
              <w:rPr>
                <w:rFonts w:eastAsia="Times New Roman"/>
                <w:sz w:val="20"/>
                <w:szCs w:val="20"/>
              </w:rPr>
            </w:pPr>
          </w:p>
        </w:tc>
        <w:tc>
          <w:tcPr>
            <w:tcW w:w="50" w:type="pct"/>
            <w:vAlign w:val="center"/>
            <w:hideMark/>
          </w:tcPr>
          <w:p w14:paraId="610CB86D" w14:textId="77777777" w:rsidR="00000000" w:rsidRDefault="003C49E9">
            <w:pPr>
              <w:rPr>
                <w:rFonts w:eastAsia="Times New Roman"/>
                <w:sz w:val="20"/>
                <w:szCs w:val="20"/>
              </w:rPr>
            </w:pPr>
          </w:p>
        </w:tc>
        <w:tc>
          <w:tcPr>
            <w:tcW w:w="321" w:type="pct"/>
            <w:vAlign w:val="center"/>
            <w:hideMark/>
          </w:tcPr>
          <w:p w14:paraId="400C0976" w14:textId="77777777" w:rsidR="00000000" w:rsidRDefault="003C49E9">
            <w:pPr>
              <w:rPr>
                <w:rFonts w:eastAsia="Times New Roman"/>
                <w:sz w:val="20"/>
                <w:szCs w:val="20"/>
              </w:rPr>
            </w:pPr>
          </w:p>
        </w:tc>
        <w:tc>
          <w:tcPr>
            <w:tcW w:w="50" w:type="pct"/>
            <w:vAlign w:val="center"/>
            <w:hideMark/>
          </w:tcPr>
          <w:p w14:paraId="28D3C1DF" w14:textId="77777777" w:rsidR="00000000" w:rsidRDefault="003C49E9">
            <w:pPr>
              <w:rPr>
                <w:rFonts w:eastAsia="Times New Roman"/>
                <w:sz w:val="20"/>
                <w:szCs w:val="20"/>
              </w:rPr>
            </w:pPr>
          </w:p>
        </w:tc>
        <w:tc>
          <w:tcPr>
            <w:tcW w:w="45" w:type="pct"/>
            <w:vAlign w:val="center"/>
            <w:hideMark/>
          </w:tcPr>
          <w:p w14:paraId="5EC13EDC" w14:textId="77777777" w:rsidR="00000000" w:rsidRDefault="003C49E9">
            <w:pPr>
              <w:rPr>
                <w:rFonts w:eastAsia="Times New Roman"/>
                <w:sz w:val="20"/>
                <w:szCs w:val="20"/>
              </w:rPr>
            </w:pPr>
          </w:p>
        </w:tc>
        <w:tc>
          <w:tcPr>
            <w:tcW w:w="50" w:type="pct"/>
            <w:vAlign w:val="center"/>
            <w:hideMark/>
          </w:tcPr>
          <w:p w14:paraId="36955643" w14:textId="77777777" w:rsidR="00000000" w:rsidRDefault="003C49E9">
            <w:pPr>
              <w:rPr>
                <w:rFonts w:eastAsia="Times New Roman"/>
                <w:sz w:val="20"/>
                <w:szCs w:val="20"/>
              </w:rPr>
            </w:pPr>
          </w:p>
        </w:tc>
        <w:tc>
          <w:tcPr>
            <w:tcW w:w="380" w:type="pct"/>
            <w:vAlign w:val="center"/>
            <w:hideMark/>
          </w:tcPr>
          <w:p w14:paraId="1A1B281A" w14:textId="77777777" w:rsidR="00000000" w:rsidRDefault="003C49E9">
            <w:pPr>
              <w:rPr>
                <w:rFonts w:eastAsia="Times New Roman"/>
                <w:sz w:val="20"/>
                <w:szCs w:val="20"/>
              </w:rPr>
            </w:pPr>
          </w:p>
        </w:tc>
        <w:tc>
          <w:tcPr>
            <w:tcW w:w="50" w:type="pct"/>
            <w:vAlign w:val="center"/>
            <w:hideMark/>
          </w:tcPr>
          <w:p w14:paraId="1EDE262B" w14:textId="77777777" w:rsidR="00000000" w:rsidRDefault="003C49E9">
            <w:pPr>
              <w:rPr>
                <w:rFonts w:eastAsia="Times New Roman"/>
                <w:sz w:val="20"/>
                <w:szCs w:val="20"/>
              </w:rPr>
            </w:pPr>
          </w:p>
        </w:tc>
        <w:tc>
          <w:tcPr>
            <w:tcW w:w="45" w:type="pct"/>
            <w:vAlign w:val="center"/>
            <w:hideMark/>
          </w:tcPr>
          <w:p w14:paraId="4B6B065A" w14:textId="77777777" w:rsidR="00000000" w:rsidRDefault="003C49E9">
            <w:pPr>
              <w:rPr>
                <w:rFonts w:eastAsia="Times New Roman"/>
                <w:sz w:val="20"/>
                <w:szCs w:val="20"/>
              </w:rPr>
            </w:pPr>
          </w:p>
        </w:tc>
        <w:tc>
          <w:tcPr>
            <w:tcW w:w="50" w:type="pct"/>
            <w:vAlign w:val="center"/>
            <w:hideMark/>
          </w:tcPr>
          <w:p w14:paraId="63DF9684" w14:textId="77777777" w:rsidR="00000000" w:rsidRDefault="003C49E9">
            <w:pPr>
              <w:rPr>
                <w:rFonts w:eastAsia="Times New Roman"/>
                <w:sz w:val="20"/>
                <w:szCs w:val="20"/>
              </w:rPr>
            </w:pPr>
          </w:p>
        </w:tc>
        <w:tc>
          <w:tcPr>
            <w:tcW w:w="353" w:type="pct"/>
            <w:vAlign w:val="center"/>
            <w:hideMark/>
          </w:tcPr>
          <w:p w14:paraId="139E2E68" w14:textId="77777777" w:rsidR="00000000" w:rsidRDefault="003C49E9">
            <w:pPr>
              <w:rPr>
                <w:rFonts w:eastAsia="Times New Roman"/>
                <w:sz w:val="20"/>
                <w:szCs w:val="20"/>
              </w:rPr>
            </w:pPr>
          </w:p>
        </w:tc>
        <w:tc>
          <w:tcPr>
            <w:tcW w:w="50" w:type="pct"/>
            <w:vAlign w:val="center"/>
            <w:hideMark/>
          </w:tcPr>
          <w:p w14:paraId="36670733" w14:textId="77777777" w:rsidR="00000000" w:rsidRDefault="003C49E9">
            <w:pPr>
              <w:rPr>
                <w:rFonts w:eastAsia="Times New Roman"/>
                <w:sz w:val="20"/>
                <w:szCs w:val="20"/>
              </w:rPr>
            </w:pPr>
          </w:p>
        </w:tc>
        <w:tc>
          <w:tcPr>
            <w:tcW w:w="45" w:type="pct"/>
            <w:vAlign w:val="center"/>
            <w:hideMark/>
          </w:tcPr>
          <w:p w14:paraId="298C0AF1" w14:textId="77777777" w:rsidR="00000000" w:rsidRDefault="003C49E9">
            <w:pPr>
              <w:rPr>
                <w:rFonts w:eastAsia="Times New Roman"/>
                <w:sz w:val="20"/>
                <w:szCs w:val="20"/>
              </w:rPr>
            </w:pPr>
          </w:p>
        </w:tc>
        <w:tc>
          <w:tcPr>
            <w:tcW w:w="50" w:type="pct"/>
            <w:vAlign w:val="center"/>
            <w:hideMark/>
          </w:tcPr>
          <w:p w14:paraId="7C8C8A1A" w14:textId="77777777" w:rsidR="00000000" w:rsidRDefault="003C49E9">
            <w:pPr>
              <w:rPr>
                <w:rFonts w:eastAsia="Times New Roman"/>
                <w:sz w:val="20"/>
                <w:szCs w:val="20"/>
              </w:rPr>
            </w:pPr>
          </w:p>
        </w:tc>
        <w:tc>
          <w:tcPr>
            <w:tcW w:w="320" w:type="pct"/>
            <w:vAlign w:val="center"/>
            <w:hideMark/>
          </w:tcPr>
          <w:p w14:paraId="369AFD62" w14:textId="77777777" w:rsidR="00000000" w:rsidRDefault="003C49E9">
            <w:pPr>
              <w:rPr>
                <w:rFonts w:eastAsia="Times New Roman"/>
                <w:sz w:val="20"/>
                <w:szCs w:val="20"/>
              </w:rPr>
            </w:pPr>
          </w:p>
        </w:tc>
        <w:tc>
          <w:tcPr>
            <w:tcW w:w="50" w:type="pct"/>
            <w:vAlign w:val="center"/>
            <w:hideMark/>
          </w:tcPr>
          <w:p w14:paraId="72F76ED7" w14:textId="77777777" w:rsidR="00000000" w:rsidRDefault="003C49E9">
            <w:pPr>
              <w:rPr>
                <w:rFonts w:eastAsia="Times New Roman"/>
                <w:sz w:val="20"/>
                <w:szCs w:val="20"/>
              </w:rPr>
            </w:pPr>
          </w:p>
        </w:tc>
        <w:tc>
          <w:tcPr>
            <w:tcW w:w="45" w:type="pct"/>
            <w:vAlign w:val="center"/>
            <w:hideMark/>
          </w:tcPr>
          <w:p w14:paraId="196430EF" w14:textId="77777777" w:rsidR="00000000" w:rsidRDefault="003C49E9">
            <w:pPr>
              <w:rPr>
                <w:rFonts w:eastAsia="Times New Roman"/>
                <w:sz w:val="20"/>
                <w:szCs w:val="20"/>
              </w:rPr>
            </w:pPr>
          </w:p>
        </w:tc>
        <w:tc>
          <w:tcPr>
            <w:tcW w:w="50" w:type="pct"/>
            <w:vAlign w:val="center"/>
            <w:hideMark/>
          </w:tcPr>
          <w:p w14:paraId="33B5F9FF" w14:textId="77777777" w:rsidR="00000000" w:rsidRDefault="003C49E9">
            <w:pPr>
              <w:rPr>
                <w:rFonts w:eastAsia="Times New Roman"/>
                <w:sz w:val="20"/>
                <w:szCs w:val="20"/>
              </w:rPr>
            </w:pPr>
          </w:p>
        </w:tc>
        <w:tc>
          <w:tcPr>
            <w:tcW w:w="324" w:type="pct"/>
            <w:vAlign w:val="center"/>
            <w:hideMark/>
          </w:tcPr>
          <w:p w14:paraId="674475D0" w14:textId="77777777" w:rsidR="00000000" w:rsidRDefault="003C49E9">
            <w:pPr>
              <w:rPr>
                <w:rFonts w:eastAsia="Times New Roman"/>
                <w:sz w:val="20"/>
                <w:szCs w:val="20"/>
              </w:rPr>
            </w:pPr>
          </w:p>
        </w:tc>
        <w:tc>
          <w:tcPr>
            <w:tcW w:w="50" w:type="pct"/>
            <w:vAlign w:val="center"/>
            <w:hideMark/>
          </w:tcPr>
          <w:p w14:paraId="4868A605" w14:textId="77777777" w:rsidR="00000000" w:rsidRDefault="003C49E9">
            <w:pPr>
              <w:rPr>
                <w:rFonts w:eastAsia="Times New Roman"/>
                <w:sz w:val="20"/>
                <w:szCs w:val="20"/>
              </w:rPr>
            </w:pPr>
          </w:p>
        </w:tc>
        <w:tc>
          <w:tcPr>
            <w:tcW w:w="45" w:type="pct"/>
            <w:vAlign w:val="center"/>
            <w:hideMark/>
          </w:tcPr>
          <w:p w14:paraId="71B5F883" w14:textId="77777777" w:rsidR="00000000" w:rsidRDefault="003C49E9">
            <w:pPr>
              <w:rPr>
                <w:rFonts w:eastAsia="Times New Roman"/>
                <w:sz w:val="20"/>
                <w:szCs w:val="20"/>
              </w:rPr>
            </w:pPr>
          </w:p>
        </w:tc>
        <w:tc>
          <w:tcPr>
            <w:tcW w:w="50" w:type="pct"/>
            <w:vAlign w:val="center"/>
            <w:hideMark/>
          </w:tcPr>
          <w:p w14:paraId="6D0BAC9A" w14:textId="77777777" w:rsidR="00000000" w:rsidRDefault="003C49E9">
            <w:pPr>
              <w:rPr>
                <w:rFonts w:eastAsia="Times New Roman"/>
                <w:sz w:val="20"/>
                <w:szCs w:val="20"/>
              </w:rPr>
            </w:pPr>
          </w:p>
        </w:tc>
        <w:tc>
          <w:tcPr>
            <w:tcW w:w="437" w:type="pct"/>
            <w:vAlign w:val="center"/>
            <w:hideMark/>
          </w:tcPr>
          <w:p w14:paraId="73E98940" w14:textId="77777777" w:rsidR="00000000" w:rsidRDefault="003C49E9">
            <w:pPr>
              <w:rPr>
                <w:rFonts w:eastAsia="Times New Roman"/>
                <w:sz w:val="20"/>
                <w:szCs w:val="20"/>
              </w:rPr>
            </w:pPr>
          </w:p>
        </w:tc>
        <w:tc>
          <w:tcPr>
            <w:tcW w:w="50" w:type="pct"/>
            <w:vAlign w:val="center"/>
            <w:hideMark/>
          </w:tcPr>
          <w:p w14:paraId="61435F73" w14:textId="77777777" w:rsidR="00000000" w:rsidRDefault="003C49E9">
            <w:pPr>
              <w:rPr>
                <w:rFonts w:eastAsia="Times New Roman"/>
                <w:sz w:val="20"/>
                <w:szCs w:val="20"/>
              </w:rPr>
            </w:pPr>
          </w:p>
        </w:tc>
      </w:tr>
      <w:tr w:rsidR="00000000" w14:paraId="2FB0056C" w14:textId="77777777">
        <w:trPr>
          <w:trHeight w:val="140"/>
          <w:tblCellSpacing w:w="15" w:type="dxa"/>
        </w:trPr>
        <w:tc>
          <w:tcPr>
            <w:tcW w:w="0" w:type="auto"/>
            <w:vAlign w:val="bottom"/>
            <w:hideMark/>
          </w:tcPr>
          <w:p w14:paraId="6889337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2879C04"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57792C1B"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w:t>
            </w:r>
            <w:r>
              <w:rPr>
                <w:b/>
                <w:bCs/>
                <w:sz w:val="15"/>
                <w:szCs w:val="15"/>
              </w:rPr>
              <w:t>Ended June 30</w:t>
            </w:r>
            <w:r>
              <w:rPr>
                <w:b/>
                <w:bCs/>
                <w:sz w:val="15"/>
                <w:szCs w:val="15"/>
              </w:rPr>
              <w:t>,</w:t>
            </w:r>
          </w:p>
        </w:tc>
        <w:tc>
          <w:tcPr>
            <w:tcW w:w="0" w:type="auto"/>
            <w:vAlign w:val="bottom"/>
            <w:hideMark/>
          </w:tcPr>
          <w:p w14:paraId="5E9DDBF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90BF8C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B54D686"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0B6846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503612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DB3E6C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9A9E5B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5DE93F0"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76DE650E"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4CD7C87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D334DB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439F57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E8AE41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15C5A7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F07252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02828BF"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45B430B4" w14:textId="77777777">
        <w:trPr>
          <w:trHeight w:val="140"/>
          <w:tblCellSpacing w:w="15" w:type="dxa"/>
        </w:trPr>
        <w:tc>
          <w:tcPr>
            <w:tcW w:w="0" w:type="auto"/>
            <w:vAlign w:val="bottom"/>
            <w:hideMark/>
          </w:tcPr>
          <w:p w14:paraId="0ECCD881"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639A7F4A"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9121D17"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06F2C1B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9FE527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CAE4F90"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662F00D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440BE9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2DC189F"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40A951F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ABA788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EADA570"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06B0727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A24CCC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0CFA317"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28B06BD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3250F3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FC46B3F"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7D531C4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8720D6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A78978F"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0F5B27E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715E84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E7C200A"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5AE60755"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767FC563" w14:textId="77777777">
        <w:trPr>
          <w:trHeight w:val="180"/>
          <w:tblCellSpacing w:w="15" w:type="dxa"/>
        </w:trPr>
        <w:tc>
          <w:tcPr>
            <w:tcW w:w="0" w:type="auto"/>
            <w:vAlign w:val="bottom"/>
            <w:hideMark/>
          </w:tcPr>
          <w:p w14:paraId="2CBD47A7" w14:textId="77777777" w:rsidR="00000000" w:rsidRDefault="003C49E9">
            <w:pPr>
              <w:pStyle w:val="a3"/>
              <w:spacing w:before="0" w:beforeAutospacing="0" w:after="0" w:afterAutospacing="0"/>
              <w:rPr>
                <w:sz w:val="18"/>
                <w:szCs w:val="18"/>
              </w:rPr>
            </w:pPr>
            <w:r>
              <w:rPr>
                <w:sz w:val="18"/>
                <w:szCs w:val="18"/>
              </w:rPr>
              <w:t>General and administrativ</w:t>
            </w:r>
            <w:r>
              <w:rPr>
                <w:sz w:val="18"/>
                <w:szCs w:val="18"/>
              </w:rPr>
              <w:t>e</w:t>
            </w:r>
          </w:p>
        </w:tc>
        <w:tc>
          <w:tcPr>
            <w:tcW w:w="0" w:type="auto"/>
            <w:vAlign w:val="bottom"/>
            <w:hideMark/>
          </w:tcPr>
          <w:p w14:paraId="7472987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B504CBF"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029D1FB8" w14:textId="77777777" w:rsidR="00000000" w:rsidRDefault="003C49E9">
            <w:pPr>
              <w:pStyle w:val="a3"/>
              <w:spacing w:before="0" w:beforeAutospacing="0" w:after="0" w:afterAutospacing="0"/>
              <w:jc w:val="right"/>
              <w:rPr>
                <w:sz w:val="18"/>
                <w:szCs w:val="18"/>
              </w:rPr>
            </w:pPr>
            <w:r>
              <w:rPr>
                <w:sz w:val="18"/>
                <w:szCs w:val="18"/>
              </w:rPr>
              <w:t>51,89</w:t>
            </w:r>
            <w:r>
              <w:rPr>
                <w:sz w:val="18"/>
                <w:szCs w:val="18"/>
              </w:rPr>
              <w:t>8</w:t>
            </w:r>
          </w:p>
        </w:tc>
        <w:tc>
          <w:tcPr>
            <w:tcW w:w="0" w:type="auto"/>
            <w:noWrap/>
            <w:vAlign w:val="bottom"/>
            <w:hideMark/>
          </w:tcPr>
          <w:p w14:paraId="60D691B6"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2A0D1FB"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0EA4530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1118935" w14:textId="77777777" w:rsidR="00000000" w:rsidRDefault="003C49E9">
            <w:pPr>
              <w:pStyle w:val="a3"/>
              <w:spacing w:before="0" w:beforeAutospacing="0" w:after="0" w:afterAutospacing="0"/>
              <w:jc w:val="right"/>
              <w:rPr>
                <w:sz w:val="18"/>
                <w:szCs w:val="18"/>
              </w:rPr>
            </w:pPr>
            <w:r>
              <w:rPr>
                <w:sz w:val="18"/>
                <w:szCs w:val="18"/>
              </w:rPr>
              <w:t>34,61</w:t>
            </w:r>
            <w:r>
              <w:rPr>
                <w:sz w:val="18"/>
                <w:szCs w:val="18"/>
              </w:rPr>
              <w:t>0</w:t>
            </w:r>
          </w:p>
        </w:tc>
        <w:tc>
          <w:tcPr>
            <w:tcW w:w="0" w:type="auto"/>
            <w:noWrap/>
            <w:vAlign w:val="bottom"/>
            <w:hideMark/>
          </w:tcPr>
          <w:p w14:paraId="28C99E6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9CEC1B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BE968D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467A2CB" w14:textId="77777777" w:rsidR="00000000" w:rsidRDefault="003C49E9">
            <w:pPr>
              <w:pStyle w:val="a3"/>
              <w:spacing w:before="0" w:beforeAutospacing="0" w:after="0" w:afterAutospacing="0"/>
              <w:jc w:val="right"/>
              <w:rPr>
                <w:sz w:val="18"/>
                <w:szCs w:val="18"/>
              </w:rPr>
            </w:pPr>
            <w:r>
              <w:rPr>
                <w:sz w:val="18"/>
                <w:szCs w:val="18"/>
              </w:rPr>
              <w:t>17,28</w:t>
            </w:r>
            <w:r>
              <w:rPr>
                <w:sz w:val="18"/>
                <w:szCs w:val="18"/>
              </w:rPr>
              <w:t>8</w:t>
            </w:r>
          </w:p>
        </w:tc>
        <w:tc>
          <w:tcPr>
            <w:tcW w:w="0" w:type="auto"/>
            <w:noWrap/>
            <w:vAlign w:val="bottom"/>
            <w:hideMark/>
          </w:tcPr>
          <w:p w14:paraId="46DD49D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266C64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BD241D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C3525C8" w14:textId="77777777" w:rsidR="00000000" w:rsidRDefault="003C49E9">
            <w:pPr>
              <w:pStyle w:val="a3"/>
              <w:spacing w:before="0" w:beforeAutospacing="0" w:after="0" w:afterAutospacing="0"/>
              <w:jc w:val="right"/>
              <w:rPr>
                <w:sz w:val="18"/>
                <w:szCs w:val="18"/>
              </w:rPr>
            </w:pPr>
            <w:r>
              <w:rPr>
                <w:sz w:val="18"/>
                <w:szCs w:val="18"/>
              </w:rPr>
              <w:t>5</w:t>
            </w:r>
            <w:r>
              <w:rPr>
                <w:sz w:val="18"/>
                <w:szCs w:val="18"/>
              </w:rPr>
              <w:t>0</w:t>
            </w:r>
          </w:p>
        </w:tc>
        <w:tc>
          <w:tcPr>
            <w:tcW w:w="0" w:type="auto"/>
            <w:noWrap/>
            <w:vAlign w:val="bottom"/>
            <w:hideMark/>
          </w:tcPr>
          <w:p w14:paraId="5DF73E79"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71249979"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42097EB"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1170C7A6" w14:textId="77777777" w:rsidR="00000000" w:rsidRDefault="003C49E9">
            <w:pPr>
              <w:pStyle w:val="a3"/>
              <w:spacing w:before="0" w:beforeAutospacing="0" w:after="0" w:afterAutospacing="0"/>
              <w:jc w:val="right"/>
              <w:rPr>
                <w:sz w:val="18"/>
                <w:szCs w:val="18"/>
              </w:rPr>
            </w:pPr>
            <w:r>
              <w:rPr>
                <w:sz w:val="18"/>
                <w:szCs w:val="18"/>
              </w:rPr>
              <w:t>95,84</w:t>
            </w:r>
            <w:r>
              <w:rPr>
                <w:sz w:val="18"/>
                <w:szCs w:val="18"/>
              </w:rPr>
              <w:t>4</w:t>
            </w:r>
          </w:p>
        </w:tc>
        <w:tc>
          <w:tcPr>
            <w:tcW w:w="0" w:type="auto"/>
            <w:noWrap/>
            <w:vAlign w:val="bottom"/>
            <w:hideMark/>
          </w:tcPr>
          <w:p w14:paraId="2EA7E467"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79F206A0"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54F525B4"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BB454B6" w14:textId="77777777" w:rsidR="00000000" w:rsidRDefault="003C49E9">
            <w:pPr>
              <w:pStyle w:val="a3"/>
              <w:spacing w:before="0" w:beforeAutospacing="0" w:after="0" w:afterAutospacing="0"/>
              <w:jc w:val="right"/>
              <w:rPr>
                <w:sz w:val="18"/>
                <w:szCs w:val="18"/>
              </w:rPr>
            </w:pPr>
            <w:r>
              <w:rPr>
                <w:sz w:val="18"/>
                <w:szCs w:val="18"/>
              </w:rPr>
              <w:t>66,86</w:t>
            </w:r>
            <w:r>
              <w:rPr>
                <w:sz w:val="18"/>
                <w:szCs w:val="18"/>
              </w:rPr>
              <w:t>0</w:t>
            </w:r>
          </w:p>
        </w:tc>
        <w:tc>
          <w:tcPr>
            <w:tcW w:w="0" w:type="auto"/>
            <w:noWrap/>
            <w:vAlign w:val="bottom"/>
            <w:hideMark/>
          </w:tcPr>
          <w:p w14:paraId="3022C0A8"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4045AE25"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C36955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50CD50B" w14:textId="77777777" w:rsidR="00000000" w:rsidRDefault="003C49E9">
            <w:pPr>
              <w:pStyle w:val="a3"/>
              <w:spacing w:before="0" w:beforeAutospacing="0" w:after="0" w:afterAutospacing="0"/>
              <w:jc w:val="right"/>
              <w:rPr>
                <w:sz w:val="18"/>
                <w:szCs w:val="18"/>
              </w:rPr>
            </w:pPr>
            <w:r>
              <w:rPr>
                <w:sz w:val="18"/>
                <w:szCs w:val="18"/>
              </w:rPr>
              <w:t>28,98</w:t>
            </w:r>
            <w:r>
              <w:rPr>
                <w:sz w:val="18"/>
                <w:szCs w:val="18"/>
              </w:rPr>
              <w:t>4</w:t>
            </w:r>
          </w:p>
        </w:tc>
        <w:tc>
          <w:tcPr>
            <w:tcW w:w="0" w:type="auto"/>
            <w:noWrap/>
            <w:vAlign w:val="bottom"/>
            <w:hideMark/>
          </w:tcPr>
          <w:p w14:paraId="3855F30B"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459C3FD"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12C09655"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0153F10E" w14:textId="77777777" w:rsidR="00000000" w:rsidRDefault="003C49E9">
            <w:pPr>
              <w:pStyle w:val="a3"/>
              <w:spacing w:before="0" w:beforeAutospacing="0" w:after="0" w:afterAutospacing="0"/>
              <w:jc w:val="right"/>
              <w:rPr>
                <w:sz w:val="18"/>
                <w:szCs w:val="18"/>
              </w:rPr>
            </w:pPr>
            <w:r>
              <w:rPr>
                <w:sz w:val="18"/>
                <w:szCs w:val="18"/>
              </w:rPr>
              <w:t>4</w:t>
            </w:r>
            <w:r>
              <w:rPr>
                <w:sz w:val="18"/>
                <w:szCs w:val="18"/>
              </w:rPr>
              <w:t>3</w:t>
            </w:r>
          </w:p>
        </w:tc>
        <w:tc>
          <w:tcPr>
            <w:tcW w:w="0" w:type="auto"/>
            <w:noWrap/>
            <w:vAlign w:val="bottom"/>
            <w:hideMark/>
          </w:tcPr>
          <w:p w14:paraId="0C536614" w14:textId="77777777" w:rsidR="00000000" w:rsidRDefault="003C49E9">
            <w:pPr>
              <w:pStyle w:val="a3"/>
              <w:spacing w:before="0" w:beforeAutospacing="0" w:after="0" w:afterAutospacing="0"/>
              <w:rPr>
                <w:sz w:val="18"/>
                <w:szCs w:val="18"/>
              </w:rPr>
            </w:pPr>
            <w:r>
              <w:rPr>
                <w:sz w:val="18"/>
                <w:szCs w:val="18"/>
              </w:rPr>
              <w:t>%</w:t>
            </w:r>
          </w:p>
        </w:tc>
      </w:tr>
      <w:tr w:rsidR="00000000" w14:paraId="32CC4AE3" w14:textId="77777777">
        <w:trPr>
          <w:trHeight w:val="180"/>
          <w:tblCellSpacing w:w="15" w:type="dxa"/>
        </w:trPr>
        <w:tc>
          <w:tcPr>
            <w:tcW w:w="0" w:type="auto"/>
            <w:vAlign w:val="bottom"/>
            <w:hideMark/>
          </w:tcPr>
          <w:p w14:paraId="1EC44E2E" w14:textId="77777777" w:rsidR="00000000" w:rsidRDefault="003C49E9">
            <w:pPr>
              <w:pStyle w:val="a3"/>
              <w:spacing w:before="0" w:beforeAutospacing="0" w:after="0" w:afterAutospacing="0"/>
              <w:rPr>
                <w:sz w:val="18"/>
                <w:szCs w:val="18"/>
              </w:rPr>
            </w:pPr>
            <w:r>
              <w:rPr>
                <w:sz w:val="18"/>
                <w:szCs w:val="18"/>
              </w:rPr>
              <w:t>Percentage of total revenu</w:t>
            </w:r>
            <w:r>
              <w:rPr>
                <w:sz w:val="18"/>
                <w:szCs w:val="18"/>
              </w:rPr>
              <w:t>e</w:t>
            </w:r>
          </w:p>
        </w:tc>
        <w:tc>
          <w:tcPr>
            <w:tcW w:w="0" w:type="auto"/>
            <w:vAlign w:val="bottom"/>
            <w:hideMark/>
          </w:tcPr>
          <w:p w14:paraId="6BF80975"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258FCA0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84690EA" w14:textId="77777777" w:rsidR="00000000" w:rsidRDefault="003C49E9">
            <w:pPr>
              <w:pStyle w:val="a3"/>
              <w:spacing w:before="0" w:beforeAutospacing="0" w:after="0" w:afterAutospacing="0"/>
              <w:jc w:val="right"/>
              <w:rPr>
                <w:sz w:val="18"/>
                <w:szCs w:val="18"/>
              </w:rPr>
            </w:pPr>
            <w:r>
              <w:rPr>
                <w:sz w:val="18"/>
                <w:szCs w:val="18"/>
              </w:rPr>
              <w:t>1</w:t>
            </w:r>
            <w:r>
              <w:rPr>
                <w:sz w:val="18"/>
                <w:szCs w:val="18"/>
              </w:rPr>
              <w:t>2</w:t>
            </w:r>
          </w:p>
        </w:tc>
        <w:tc>
          <w:tcPr>
            <w:tcW w:w="0" w:type="auto"/>
            <w:noWrap/>
            <w:vAlign w:val="bottom"/>
            <w:hideMark/>
          </w:tcPr>
          <w:p w14:paraId="66322C15"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2DD221FC"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716E79CA"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364331E5" w14:textId="77777777" w:rsidR="00000000" w:rsidRDefault="003C49E9">
            <w:pPr>
              <w:pStyle w:val="a3"/>
              <w:spacing w:before="0" w:beforeAutospacing="0" w:after="0" w:afterAutospacing="0"/>
              <w:jc w:val="right"/>
              <w:rPr>
                <w:sz w:val="18"/>
                <w:szCs w:val="18"/>
              </w:rPr>
            </w:pPr>
            <w:r>
              <w:rPr>
                <w:sz w:val="18"/>
                <w:szCs w:val="18"/>
              </w:rPr>
              <w:t>1</w:t>
            </w:r>
            <w:r>
              <w:rPr>
                <w:sz w:val="18"/>
                <w:szCs w:val="18"/>
              </w:rPr>
              <w:t>1</w:t>
            </w:r>
          </w:p>
        </w:tc>
        <w:tc>
          <w:tcPr>
            <w:tcW w:w="0" w:type="auto"/>
            <w:noWrap/>
            <w:vAlign w:val="bottom"/>
            <w:hideMark/>
          </w:tcPr>
          <w:p w14:paraId="4ADDED3E"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3EE32F34"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2C96A2E7"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29F4368F"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18DDE019"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2EAD1E3"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582AAC9"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0DEB923"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4B713E91"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527A2C1F" w14:textId="77777777" w:rsidR="00000000" w:rsidRDefault="003C49E9">
            <w:pPr>
              <w:pStyle w:val="a3"/>
              <w:spacing w:before="0" w:beforeAutospacing="0" w:after="0" w:afterAutospacing="0"/>
              <w:jc w:val="right"/>
              <w:rPr>
                <w:sz w:val="18"/>
                <w:szCs w:val="18"/>
              </w:rPr>
            </w:pPr>
            <w:r>
              <w:rPr>
                <w:sz w:val="18"/>
                <w:szCs w:val="18"/>
              </w:rPr>
              <w:t>1</w:t>
            </w:r>
            <w:r>
              <w:rPr>
                <w:sz w:val="18"/>
                <w:szCs w:val="18"/>
              </w:rPr>
              <w:t>2</w:t>
            </w:r>
          </w:p>
        </w:tc>
        <w:tc>
          <w:tcPr>
            <w:tcW w:w="0" w:type="auto"/>
            <w:noWrap/>
            <w:vAlign w:val="bottom"/>
            <w:hideMark/>
          </w:tcPr>
          <w:p w14:paraId="33FB8D3C"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546606D2" w14:textId="77777777" w:rsidR="00000000" w:rsidRDefault="003C49E9">
            <w:pPr>
              <w:pStyle w:val="a3"/>
              <w:spacing w:before="0" w:beforeAutospacing="0" w:after="0" w:afterAutospacing="0"/>
              <w:rPr>
                <w:sz w:val="18"/>
                <w:szCs w:val="18"/>
              </w:rPr>
            </w:pPr>
            <w:r>
              <w:rPr>
                <w:sz w:val="18"/>
                <w:szCs w:val="18"/>
              </w:rPr>
              <w:t> </w:t>
            </w:r>
          </w:p>
        </w:tc>
        <w:tc>
          <w:tcPr>
            <w:tcW w:w="0" w:type="auto"/>
            <w:noWrap/>
            <w:vAlign w:val="bottom"/>
            <w:hideMark/>
          </w:tcPr>
          <w:p w14:paraId="69207FD4"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1ED4C42E" w14:textId="77777777" w:rsidR="00000000" w:rsidRDefault="003C49E9">
            <w:pPr>
              <w:pStyle w:val="a3"/>
              <w:spacing w:before="0" w:beforeAutospacing="0" w:after="0" w:afterAutospacing="0"/>
              <w:jc w:val="right"/>
              <w:rPr>
                <w:sz w:val="18"/>
                <w:szCs w:val="18"/>
              </w:rPr>
            </w:pPr>
            <w:r>
              <w:rPr>
                <w:sz w:val="18"/>
                <w:szCs w:val="18"/>
              </w:rPr>
              <w:t>1</w:t>
            </w:r>
            <w:r>
              <w:rPr>
                <w:sz w:val="18"/>
                <w:szCs w:val="18"/>
              </w:rPr>
              <w:t>1</w:t>
            </w:r>
          </w:p>
        </w:tc>
        <w:tc>
          <w:tcPr>
            <w:tcW w:w="0" w:type="auto"/>
            <w:noWrap/>
            <w:vAlign w:val="bottom"/>
            <w:hideMark/>
          </w:tcPr>
          <w:p w14:paraId="6376DC38" w14:textId="77777777" w:rsidR="00000000" w:rsidRDefault="003C49E9">
            <w:pPr>
              <w:pStyle w:val="a3"/>
              <w:spacing w:before="0" w:beforeAutospacing="0" w:after="0" w:afterAutospacing="0"/>
              <w:rPr>
                <w:sz w:val="18"/>
                <w:szCs w:val="18"/>
              </w:rPr>
            </w:pPr>
            <w:r>
              <w:rPr>
                <w:sz w:val="18"/>
                <w:szCs w:val="18"/>
              </w:rPr>
              <w:t>%</w:t>
            </w:r>
          </w:p>
        </w:tc>
        <w:tc>
          <w:tcPr>
            <w:tcW w:w="0" w:type="auto"/>
            <w:vAlign w:val="bottom"/>
            <w:hideMark/>
          </w:tcPr>
          <w:p w14:paraId="61EB436F"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1986D32A"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645FC3EE" w14:textId="77777777" w:rsidR="00000000" w:rsidRDefault="003C49E9">
            <w:pPr>
              <w:pStyle w:val="a3"/>
              <w:spacing w:before="0" w:beforeAutospacing="0" w:after="0" w:afterAutospacing="0"/>
              <w:jc w:val="right"/>
              <w:rPr>
                <w:sz w:val="18"/>
                <w:szCs w:val="18"/>
              </w:rPr>
            </w:pPr>
            <w:r>
              <w:rPr>
                <w:sz w:val="18"/>
                <w:szCs w:val="18"/>
              </w:rPr>
              <w:t> </w:t>
            </w:r>
          </w:p>
        </w:tc>
        <w:tc>
          <w:tcPr>
            <w:tcW w:w="0" w:type="auto"/>
            <w:vAlign w:val="bottom"/>
            <w:hideMark/>
          </w:tcPr>
          <w:p w14:paraId="48EC5ADA"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2E662B6C" w14:textId="77777777" w:rsidR="00000000" w:rsidRDefault="003C49E9">
            <w:pPr>
              <w:pStyle w:val="a3"/>
              <w:spacing w:before="0" w:beforeAutospacing="0" w:after="0" w:afterAutospacing="0"/>
              <w:rPr>
                <w:sz w:val="18"/>
                <w:szCs w:val="18"/>
              </w:rPr>
            </w:pPr>
            <w:r>
              <w:rPr>
                <w:sz w:val="18"/>
                <w:szCs w:val="18"/>
              </w:rPr>
              <w:t> </w:t>
            </w:r>
          </w:p>
        </w:tc>
        <w:tc>
          <w:tcPr>
            <w:tcW w:w="0" w:type="auto"/>
            <w:vAlign w:val="bottom"/>
            <w:hideMark/>
          </w:tcPr>
          <w:p w14:paraId="209C99FD" w14:textId="77777777" w:rsidR="00000000" w:rsidRDefault="003C49E9">
            <w:pPr>
              <w:pStyle w:val="a3"/>
              <w:spacing w:before="0" w:beforeAutospacing="0" w:after="0" w:afterAutospacing="0"/>
              <w:rPr>
                <w:sz w:val="18"/>
                <w:szCs w:val="18"/>
              </w:rPr>
            </w:pPr>
            <w:r>
              <w:rPr>
                <w:sz w:val="18"/>
                <w:szCs w:val="18"/>
              </w:rPr>
              <w:t> </w:t>
            </w:r>
          </w:p>
        </w:tc>
      </w:tr>
    </w:tbl>
    <w:p w14:paraId="6261C758" w14:textId="77777777" w:rsidR="00000000" w:rsidRDefault="003C49E9">
      <w:pPr>
        <w:pStyle w:val="a3"/>
        <w:spacing w:before="200" w:beforeAutospacing="0" w:after="0" w:afterAutospacing="0"/>
        <w:ind w:firstLine="555"/>
        <w:rPr>
          <w:sz w:val="20"/>
          <w:szCs w:val="20"/>
        </w:rPr>
      </w:pPr>
      <w:r>
        <w:rPr>
          <w:sz w:val="20"/>
          <w:szCs w:val="20"/>
        </w:rPr>
        <w:t xml:space="preserve">The increase in general and administrative expense for the three and six months ended June 30, 2022 compared to the same period in 2021 was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99"/>
        <w:gridCol w:w="115"/>
        <w:gridCol w:w="160"/>
        <w:gridCol w:w="1178"/>
        <w:gridCol w:w="110"/>
        <w:gridCol w:w="115"/>
        <w:gridCol w:w="160"/>
        <w:gridCol w:w="1283"/>
        <w:gridCol w:w="125"/>
      </w:tblGrid>
      <w:tr w:rsidR="00000000" w14:paraId="0C1C9035" w14:textId="77777777">
        <w:trPr>
          <w:tblCellSpacing w:w="15" w:type="dxa"/>
        </w:trPr>
        <w:tc>
          <w:tcPr>
            <w:tcW w:w="2698" w:type="pct"/>
            <w:vAlign w:val="center"/>
            <w:hideMark/>
          </w:tcPr>
          <w:p w14:paraId="5C2975DA" w14:textId="77777777" w:rsidR="00000000" w:rsidRDefault="003C49E9">
            <w:pPr>
              <w:rPr>
                <w:sz w:val="20"/>
                <w:szCs w:val="20"/>
              </w:rPr>
            </w:pPr>
          </w:p>
        </w:tc>
        <w:tc>
          <w:tcPr>
            <w:tcW w:w="48" w:type="pct"/>
            <w:vAlign w:val="center"/>
            <w:hideMark/>
          </w:tcPr>
          <w:p w14:paraId="3D9B01D7" w14:textId="77777777" w:rsidR="00000000" w:rsidRDefault="003C49E9">
            <w:pPr>
              <w:rPr>
                <w:rFonts w:eastAsia="Times New Roman"/>
                <w:sz w:val="20"/>
                <w:szCs w:val="20"/>
              </w:rPr>
            </w:pPr>
          </w:p>
        </w:tc>
        <w:tc>
          <w:tcPr>
            <w:tcW w:w="50" w:type="pct"/>
            <w:vAlign w:val="center"/>
            <w:hideMark/>
          </w:tcPr>
          <w:p w14:paraId="7EA2602E" w14:textId="77777777" w:rsidR="00000000" w:rsidRDefault="003C49E9">
            <w:pPr>
              <w:rPr>
                <w:rFonts w:eastAsia="Times New Roman"/>
                <w:sz w:val="20"/>
                <w:szCs w:val="20"/>
              </w:rPr>
            </w:pPr>
          </w:p>
        </w:tc>
        <w:tc>
          <w:tcPr>
            <w:tcW w:w="960" w:type="pct"/>
            <w:vAlign w:val="center"/>
            <w:hideMark/>
          </w:tcPr>
          <w:p w14:paraId="3650C510" w14:textId="77777777" w:rsidR="00000000" w:rsidRDefault="003C49E9">
            <w:pPr>
              <w:rPr>
                <w:rFonts w:eastAsia="Times New Roman"/>
                <w:sz w:val="20"/>
                <w:szCs w:val="20"/>
              </w:rPr>
            </w:pPr>
          </w:p>
        </w:tc>
        <w:tc>
          <w:tcPr>
            <w:tcW w:w="50" w:type="pct"/>
            <w:vAlign w:val="center"/>
            <w:hideMark/>
          </w:tcPr>
          <w:p w14:paraId="53A4D67F" w14:textId="77777777" w:rsidR="00000000" w:rsidRDefault="003C49E9">
            <w:pPr>
              <w:rPr>
                <w:rFonts w:eastAsia="Times New Roman"/>
                <w:sz w:val="20"/>
                <w:szCs w:val="20"/>
              </w:rPr>
            </w:pPr>
          </w:p>
        </w:tc>
        <w:tc>
          <w:tcPr>
            <w:tcW w:w="48" w:type="pct"/>
            <w:vAlign w:val="center"/>
            <w:hideMark/>
          </w:tcPr>
          <w:p w14:paraId="75C59E40" w14:textId="77777777" w:rsidR="00000000" w:rsidRDefault="003C49E9">
            <w:pPr>
              <w:rPr>
                <w:rFonts w:eastAsia="Times New Roman"/>
                <w:sz w:val="20"/>
                <w:szCs w:val="20"/>
              </w:rPr>
            </w:pPr>
          </w:p>
        </w:tc>
        <w:tc>
          <w:tcPr>
            <w:tcW w:w="50" w:type="pct"/>
            <w:vAlign w:val="center"/>
            <w:hideMark/>
          </w:tcPr>
          <w:p w14:paraId="3954EE78" w14:textId="77777777" w:rsidR="00000000" w:rsidRDefault="003C49E9">
            <w:pPr>
              <w:rPr>
                <w:rFonts w:eastAsia="Times New Roman"/>
                <w:sz w:val="20"/>
                <w:szCs w:val="20"/>
              </w:rPr>
            </w:pPr>
          </w:p>
        </w:tc>
        <w:tc>
          <w:tcPr>
            <w:tcW w:w="1043" w:type="pct"/>
            <w:vAlign w:val="center"/>
            <w:hideMark/>
          </w:tcPr>
          <w:p w14:paraId="0A4D36C2" w14:textId="77777777" w:rsidR="00000000" w:rsidRDefault="003C49E9">
            <w:pPr>
              <w:rPr>
                <w:rFonts w:eastAsia="Times New Roman"/>
                <w:sz w:val="20"/>
                <w:szCs w:val="20"/>
              </w:rPr>
            </w:pPr>
          </w:p>
        </w:tc>
        <w:tc>
          <w:tcPr>
            <w:tcW w:w="50" w:type="pct"/>
            <w:vAlign w:val="center"/>
            <w:hideMark/>
          </w:tcPr>
          <w:p w14:paraId="4F3A56B0" w14:textId="77777777" w:rsidR="00000000" w:rsidRDefault="003C49E9">
            <w:pPr>
              <w:rPr>
                <w:rFonts w:eastAsia="Times New Roman"/>
                <w:sz w:val="20"/>
                <w:szCs w:val="20"/>
              </w:rPr>
            </w:pPr>
          </w:p>
        </w:tc>
      </w:tr>
      <w:tr w:rsidR="00000000" w14:paraId="1E282FBD" w14:textId="77777777">
        <w:trPr>
          <w:trHeight w:val="160"/>
          <w:tblCellSpacing w:w="15" w:type="dxa"/>
        </w:trPr>
        <w:tc>
          <w:tcPr>
            <w:tcW w:w="0" w:type="auto"/>
            <w:vAlign w:val="bottom"/>
            <w:hideMark/>
          </w:tcPr>
          <w:p w14:paraId="3ED4F4CE"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AC05B7B"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0822C98"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6CF56B74"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657001A5" w14:textId="77777777">
        <w:trPr>
          <w:trHeight w:val="160"/>
          <w:tblCellSpacing w:w="15" w:type="dxa"/>
        </w:trPr>
        <w:tc>
          <w:tcPr>
            <w:tcW w:w="0" w:type="auto"/>
            <w:vAlign w:val="bottom"/>
            <w:hideMark/>
          </w:tcPr>
          <w:p w14:paraId="06BC1D0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79B29EA9"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47DA2AB"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72D65BE6"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4908855"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57CAEF6E"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1F5044E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5B40E30" w14:textId="77777777">
        <w:trPr>
          <w:trHeight w:val="160"/>
          <w:tblCellSpacing w:w="15" w:type="dxa"/>
        </w:trPr>
        <w:tc>
          <w:tcPr>
            <w:tcW w:w="0" w:type="auto"/>
            <w:vAlign w:val="bottom"/>
            <w:hideMark/>
          </w:tcPr>
          <w:p w14:paraId="14FC0BD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45EABA5"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EEB946F"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EAA48B5"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BCA0DBE" w14:textId="77777777">
        <w:trPr>
          <w:trHeight w:val="200"/>
          <w:tblCellSpacing w:w="15" w:type="dxa"/>
        </w:trPr>
        <w:tc>
          <w:tcPr>
            <w:tcW w:w="0" w:type="auto"/>
            <w:vAlign w:val="bottom"/>
            <w:hideMark/>
          </w:tcPr>
          <w:p w14:paraId="57911763" w14:textId="77777777" w:rsidR="00000000" w:rsidRDefault="003C49E9">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14:paraId="743B038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7037F0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C2DFF4B" w14:textId="77777777" w:rsidR="00000000" w:rsidRDefault="003C49E9">
            <w:pPr>
              <w:pStyle w:val="a3"/>
              <w:spacing w:before="0" w:beforeAutospacing="0" w:after="0" w:afterAutospacing="0"/>
              <w:jc w:val="right"/>
              <w:rPr>
                <w:sz w:val="20"/>
                <w:szCs w:val="20"/>
              </w:rPr>
            </w:pPr>
            <w:r>
              <w:rPr>
                <w:sz w:val="20"/>
                <w:szCs w:val="20"/>
              </w:rPr>
              <w:t>14,54</w:t>
            </w:r>
            <w:r>
              <w:rPr>
                <w:sz w:val="20"/>
                <w:szCs w:val="20"/>
              </w:rPr>
              <w:t>6</w:t>
            </w:r>
          </w:p>
        </w:tc>
        <w:tc>
          <w:tcPr>
            <w:tcW w:w="0" w:type="auto"/>
            <w:noWrap/>
            <w:vAlign w:val="bottom"/>
            <w:hideMark/>
          </w:tcPr>
          <w:p w14:paraId="0BA7DD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1F5D1FA"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0E8533FF"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7287EC0" w14:textId="77777777" w:rsidR="00000000" w:rsidRDefault="003C49E9">
            <w:pPr>
              <w:pStyle w:val="a3"/>
              <w:spacing w:before="0" w:beforeAutospacing="0" w:after="0" w:afterAutospacing="0"/>
              <w:jc w:val="right"/>
              <w:rPr>
                <w:sz w:val="20"/>
                <w:szCs w:val="20"/>
              </w:rPr>
            </w:pPr>
            <w:r>
              <w:rPr>
                <w:sz w:val="20"/>
                <w:szCs w:val="20"/>
              </w:rPr>
              <w:t>24,01</w:t>
            </w:r>
            <w:r>
              <w:rPr>
                <w:sz w:val="20"/>
                <w:szCs w:val="20"/>
              </w:rPr>
              <w:t>8</w:t>
            </w:r>
          </w:p>
        </w:tc>
        <w:tc>
          <w:tcPr>
            <w:tcW w:w="0" w:type="auto"/>
            <w:noWrap/>
            <w:vAlign w:val="bottom"/>
            <w:hideMark/>
          </w:tcPr>
          <w:p w14:paraId="57935FAB" w14:textId="77777777" w:rsidR="00000000" w:rsidRDefault="003C49E9">
            <w:pPr>
              <w:pStyle w:val="a3"/>
              <w:spacing w:before="0" w:beforeAutospacing="0" w:after="0" w:afterAutospacing="0"/>
              <w:rPr>
                <w:sz w:val="20"/>
                <w:szCs w:val="20"/>
              </w:rPr>
            </w:pPr>
            <w:r>
              <w:rPr>
                <w:sz w:val="20"/>
                <w:szCs w:val="20"/>
              </w:rPr>
              <w:t> </w:t>
            </w:r>
          </w:p>
        </w:tc>
      </w:tr>
      <w:tr w:rsidR="00000000" w14:paraId="069A4EFC" w14:textId="77777777">
        <w:trPr>
          <w:trHeight w:val="200"/>
          <w:tblCellSpacing w:w="15" w:type="dxa"/>
        </w:trPr>
        <w:tc>
          <w:tcPr>
            <w:tcW w:w="0" w:type="auto"/>
            <w:vAlign w:val="bottom"/>
            <w:hideMark/>
          </w:tcPr>
          <w:p w14:paraId="217E1E12" w14:textId="77777777" w:rsidR="00000000" w:rsidRDefault="003C49E9">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14:paraId="7E546F8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84789D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B7F4030" w14:textId="77777777" w:rsidR="00000000" w:rsidRDefault="003C49E9">
            <w:pPr>
              <w:pStyle w:val="a3"/>
              <w:spacing w:before="0" w:beforeAutospacing="0" w:after="0" w:afterAutospacing="0"/>
              <w:jc w:val="right"/>
              <w:rPr>
                <w:sz w:val="20"/>
                <w:szCs w:val="20"/>
              </w:rPr>
            </w:pPr>
            <w:r>
              <w:rPr>
                <w:sz w:val="20"/>
                <w:szCs w:val="20"/>
              </w:rPr>
              <w:t>88</w:t>
            </w:r>
            <w:r>
              <w:rPr>
                <w:sz w:val="20"/>
                <w:szCs w:val="20"/>
              </w:rPr>
              <w:t>6</w:t>
            </w:r>
          </w:p>
        </w:tc>
        <w:tc>
          <w:tcPr>
            <w:tcW w:w="0" w:type="auto"/>
            <w:noWrap/>
            <w:vAlign w:val="bottom"/>
            <w:hideMark/>
          </w:tcPr>
          <w:p w14:paraId="1BCE57C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0ABEDE"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7549265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2517DDA" w14:textId="77777777" w:rsidR="00000000" w:rsidRDefault="003C49E9">
            <w:pPr>
              <w:pStyle w:val="a3"/>
              <w:spacing w:before="0" w:beforeAutospacing="0" w:after="0" w:afterAutospacing="0"/>
              <w:jc w:val="right"/>
              <w:rPr>
                <w:sz w:val="20"/>
                <w:szCs w:val="20"/>
              </w:rPr>
            </w:pPr>
            <w:r>
              <w:rPr>
                <w:sz w:val="20"/>
                <w:szCs w:val="20"/>
              </w:rPr>
              <w:t>1,23</w:t>
            </w:r>
            <w:r>
              <w:rPr>
                <w:sz w:val="20"/>
                <w:szCs w:val="20"/>
              </w:rPr>
              <w:t>8</w:t>
            </w:r>
          </w:p>
        </w:tc>
        <w:tc>
          <w:tcPr>
            <w:tcW w:w="0" w:type="auto"/>
            <w:noWrap/>
            <w:vAlign w:val="bottom"/>
            <w:hideMark/>
          </w:tcPr>
          <w:p w14:paraId="5B55D35C" w14:textId="77777777" w:rsidR="00000000" w:rsidRDefault="003C49E9">
            <w:pPr>
              <w:pStyle w:val="a3"/>
              <w:spacing w:before="0" w:beforeAutospacing="0" w:after="0" w:afterAutospacing="0"/>
              <w:rPr>
                <w:sz w:val="20"/>
                <w:szCs w:val="20"/>
              </w:rPr>
            </w:pPr>
            <w:r>
              <w:rPr>
                <w:sz w:val="20"/>
                <w:szCs w:val="20"/>
              </w:rPr>
              <w:t> </w:t>
            </w:r>
          </w:p>
        </w:tc>
      </w:tr>
      <w:tr w:rsidR="00000000" w14:paraId="2F751813" w14:textId="77777777">
        <w:trPr>
          <w:trHeight w:val="200"/>
          <w:tblCellSpacing w:w="15" w:type="dxa"/>
        </w:trPr>
        <w:tc>
          <w:tcPr>
            <w:tcW w:w="0" w:type="auto"/>
            <w:vAlign w:val="bottom"/>
            <w:hideMark/>
          </w:tcPr>
          <w:p w14:paraId="68D4D5DD" w14:textId="77777777" w:rsidR="00000000" w:rsidRDefault="003C49E9">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14:paraId="481D6197"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A35C3A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BA0E4A4" w14:textId="77777777" w:rsidR="00000000" w:rsidRDefault="003C49E9">
            <w:pPr>
              <w:pStyle w:val="a3"/>
              <w:spacing w:before="0" w:beforeAutospacing="0" w:after="0" w:afterAutospacing="0"/>
              <w:jc w:val="right"/>
              <w:rPr>
                <w:sz w:val="20"/>
                <w:szCs w:val="20"/>
              </w:rPr>
            </w:pPr>
            <w:r>
              <w:rPr>
                <w:sz w:val="20"/>
                <w:szCs w:val="20"/>
              </w:rPr>
              <w:t>1,85</w:t>
            </w:r>
            <w:r>
              <w:rPr>
                <w:sz w:val="20"/>
                <w:szCs w:val="20"/>
              </w:rPr>
              <w:t>6</w:t>
            </w:r>
          </w:p>
        </w:tc>
        <w:tc>
          <w:tcPr>
            <w:tcW w:w="0" w:type="auto"/>
            <w:noWrap/>
            <w:vAlign w:val="bottom"/>
            <w:hideMark/>
          </w:tcPr>
          <w:p w14:paraId="1670602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250297"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56E15FE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F29F7B8" w14:textId="77777777" w:rsidR="00000000" w:rsidRDefault="003C49E9">
            <w:pPr>
              <w:pStyle w:val="a3"/>
              <w:spacing w:before="0" w:beforeAutospacing="0" w:after="0" w:afterAutospacing="0"/>
              <w:jc w:val="right"/>
              <w:rPr>
                <w:sz w:val="20"/>
                <w:szCs w:val="20"/>
              </w:rPr>
            </w:pPr>
            <w:r>
              <w:rPr>
                <w:sz w:val="20"/>
                <w:szCs w:val="20"/>
              </w:rPr>
              <w:t>3,72</w:t>
            </w:r>
            <w:r>
              <w:rPr>
                <w:sz w:val="20"/>
                <w:szCs w:val="20"/>
              </w:rPr>
              <w:t>8</w:t>
            </w:r>
          </w:p>
        </w:tc>
        <w:tc>
          <w:tcPr>
            <w:tcW w:w="0" w:type="auto"/>
            <w:noWrap/>
            <w:vAlign w:val="bottom"/>
            <w:hideMark/>
          </w:tcPr>
          <w:p w14:paraId="2811018C" w14:textId="77777777" w:rsidR="00000000" w:rsidRDefault="003C49E9">
            <w:pPr>
              <w:pStyle w:val="a3"/>
              <w:spacing w:before="0" w:beforeAutospacing="0" w:after="0" w:afterAutospacing="0"/>
              <w:rPr>
                <w:sz w:val="20"/>
                <w:szCs w:val="20"/>
              </w:rPr>
            </w:pPr>
            <w:r>
              <w:rPr>
                <w:sz w:val="20"/>
                <w:szCs w:val="20"/>
              </w:rPr>
              <w:t> </w:t>
            </w:r>
          </w:p>
        </w:tc>
      </w:tr>
      <w:tr w:rsidR="00000000" w14:paraId="1F14DC68" w14:textId="77777777">
        <w:trPr>
          <w:trHeight w:val="200"/>
          <w:tblCellSpacing w:w="15" w:type="dxa"/>
        </w:trPr>
        <w:tc>
          <w:tcPr>
            <w:tcW w:w="0" w:type="auto"/>
            <w:vAlign w:val="bottom"/>
            <w:hideMark/>
          </w:tcPr>
          <w:p w14:paraId="3A295DEE" w14:textId="77777777" w:rsidR="00000000" w:rsidRDefault="003C49E9">
            <w:pPr>
              <w:pStyle w:val="a3"/>
              <w:spacing w:before="0" w:beforeAutospacing="0" w:after="0" w:afterAutospacing="0"/>
              <w:rPr>
                <w:sz w:val="22"/>
                <w:szCs w:val="22"/>
              </w:rPr>
            </w:pPr>
            <w:r>
              <w:rPr>
                <w:sz w:val="22"/>
                <w:szCs w:val="22"/>
              </w:rPr>
              <w:t> </w:t>
            </w:r>
          </w:p>
        </w:tc>
        <w:tc>
          <w:tcPr>
            <w:tcW w:w="0" w:type="auto"/>
            <w:vAlign w:val="bottom"/>
            <w:hideMark/>
          </w:tcPr>
          <w:p w14:paraId="600542CF"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44E0E6C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3012EA4" w14:textId="77777777" w:rsidR="00000000" w:rsidRDefault="003C49E9">
            <w:pPr>
              <w:pStyle w:val="a3"/>
              <w:spacing w:before="0" w:beforeAutospacing="0" w:after="0" w:afterAutospacing="0"/>
              <w:jc w:val="right"/>
              <w:rPr>
                <w:sz w:val="20"/>
                <w:szCs w:val="20"/>
              </w:rPr>
            </w:pPr>
            <w:r>
              <w:rPr>
                <w:sz w:val="20"/>
                <w:szCs w:val="20"/>
              </w:rPr>
              <w:t>17,28</w:t>
            </w:r>
            <w:r>
              <w:rPr>
                <w:sz w:val="20"/>
                <w:szCs w:val="20"/>
              </w:rPr>
              <w:t>8</w:t>
            </w:r>
          </w:p>
        </w:tc>
        <w:tc>
          <w:tcPr>
            <w:tcW w:w="0" w:type="auto"/>
            <w:noWrap/>
            <w:vAlign w:val="bottom"/>
            <w:hideMark/>
          </w:tcPr>
          <w:p w14:paraId="5F6709B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EC9DE8" w14:textId="77777777" w:rsidR="00000000" w:rsidRDefault="003C49E9">
            <w:pPr>
              <w:pStyle w:val="a3"/>
              <w:spacing w:before="0" w:beforeAutospacing="0" w:after="0" w:afterAutospacing="0"/>
              <w:jc w:val="center"/>
              <w:rPr>
                <w:sz w:val="16"/>
                <w:szCs w:val="16"/>
              </w:rPr>
            </w:pPr>
            <w:r>
              <w:rPr>
                <w:sz w:val="16"/>
                <w:szCs w:val="16"/>
              </w:rPr>
              <w:t> </w:t>
            </w:r>
          </w:p>
        </w:tc>
        <w:tc>
          <w:tcPr>
            <w:tcW w:w="0" w:type="auto"/>
            <w:noWrap/>
            <w:vAlign w:val="bottom"/>
            <w:hideMark/>
          </w:tcPr>
          <w:p w14:paraId="2672916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4408771" w14:textId="77777777" w:rsidR="00000000" w:rsidRDefault="003C49E9">
            <w:pPr>
              <w:pStyle w:val="a3"/>
              <w:spacing w:before="0" w:beforeAutospacing="0" w:after="0" w:afterAutospacing="0"/>
              <w:jc w:val="right"/>
              <w:rPr>
                <w:sz w:val="20"/>
                <w:szCs w:val="20"/>
              </w:rPr>
            </w:pPr>
            <w:r>
              <w:rPr>
                <w:sz w:val="20"/>
                <w:szCs w:val="20"/>
              </w:rPr>
              <w:t>28,98</w:t>
            </w:r>
            <w:r>
              <w:rPr>
                <w:sz w:val="20"/>
                <w:szCs w:val="20"/>
              </w:rPr>
              <w:t>4</w:t>
            </w:r>
          </w:p>
        </w:tc>
        <w:tc>
          <w:tcPr>
            <w:tcW w:w="0" w:type="auto"/>
            <w:noWrap/>
            <w:vAlign w:val="bottom"/>
            <w:hideMark/>
          </w:tcPr>
          <w:p w14:paraId="0A98B2ED" w14:textId="77777777" w:rsidR="00000000" w:rsidRDefault="003C49E9">
            <w:pPr>
              <w:pStyle w:val="a3"/>
              <w:spacing w:before="0" w:beforeAutospacing="0" w:after="0" w:afterAutospacing="0"/>
              <w:rPr>
                <w:sz w:val="20"/>
                <w:szCs w:val="20"/>
              </w:rPr>
            </w:pPr>
            <w:r>
              <w:rPr>
                <w:sz w:val="20"/>
                <w:szCs w:val="20"/>
              </w:rPr>
              <w:t> </w:t>
            </w:r>
          </w:p>
        </w:tc>
      </w:tr>
    </w:tbl>
    <w:p w14:paraId="7E583EFF"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1A75A5D7" w14:textId="77777777" w:rsidR="00000000" w:rsidRDefault="003C49E9">
      <w:pPr>
        <w:pStyle w:val="a3"/>
        <w:spacing w:before="200" w:beforeAutospacing="0" w:after="0" w:afterAutospacing="0"/>
        <w:ind w:firstLine="555"/>
        <w:rPr>
          <w:sz w:val="20"/>
          <w:szCs w:val="20"/>
        </w:rPr>
      </w:pPr>
      <w:r>
        <w:rPr>
          <w:sz w:val="20"/>
          <w:szCs w:val="20"/>
        </w:rPr>
        <w:t>Employee-related costs increased as a result of increased headcount as we grew our business and required additional personnel to support our expanded operations. Allocated overhead expenses increased due to an increase in shared company expenses associate</w:t>
      </w:r>
      <w:r>
        <w:rPr>
          <w:sz w:val="20"/>
          <w:szCs w:val="20"/>
        </w:rPr>
        <w:t>d</w:t>
      </w:r>
      <w:r>
        <w:rPr>
          <w:sz w:val="20"/>
          <w:szCs w:val="20"/>
        </w:rPr>
        <w:t xml:space="preserve"> </w:t>
      </w:r>
    </w:p>
    <w:p w14:paraId="2E67DD7B"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8</w:t>
      </w:r>
    </w:p>
    <w:p w14:paraId="61A8903F" w14:textId="77777777" w:rsidR="00000000" w:rsidRDefault="003C49E9">
      <w:pPr>
        <w:rPr>
          <w:rFonts w:eastAsia="Times New Roman"/>
        </w:rPr>
      </w:pPr>
      <w:r>
        <w:rPr>
          <w:rFonts w:eastAsia="Times New Roman"/>
        </w:rPr>
        <w:pict w14:anchorId="747FE67F">
          <v:rect id="_x0000_i1052" style="width:0;height:1.5pt" o:hralign="center" o:hrstd="t" o:hr="t" fillcolor="#a0a0a0" stroked="f"/>
        </w:pict>
      </w:r>
    </w:p>
    <w:p w14:paraId="1AB2B58D" w14:textId="77777777" w:rsidR="00000000" w:rsidRDefault="003C49E9">
      <w:pPr>
        <w:pStyle w:val="a3"/>
        <w:spacing w:before="0" w:beforeAutospacing="0" w:after="0" w:afterAutospacing="0"/>
        <w:rPr>
          <w:sz w:val="20"/>
          <w:szCs w:val="20"/>
        </w:rPr>
      </w:pPr>
      <w:r>
        <w:rPr>
          <w:sz w:val="20"/>
          <w:szCs w:val="20"/>
        </w:rPr>
        <w:t> </w:t>
      </w:r>
    </w:p>
    <w:p w14:paraId="54EBB4F1" w14:textId="77777777" w:rsidR="00000000" w:rsidRDefault="003C49E9">
      <w:pPr>
        <w:pStyle w:val="a3"/>
        <w:spacing w:before="200" w:beforeAutospacing="0" w:after="0" w:afterAutospacing="0"/>
        <w:rPr>
          <w:sz w:val="20"/>
          <w:szCs w:val="20"/>
        </w:rPr>
      </w:pPr>
      <w:r>
        <w:rPr>
          <w:sz w:val="20"/>
          <w:szCs w:val="20"/>
        </w:rPr>
        <w:t>with our systems and infrastructure as we continued to grow our business. Customer credit card fees increased due to increased customer transactions as we continue to grow our business</w:t>
      </w:r>
      <w:r>
        <w:rPr>
          <w:sz w:val="20"/>
          <w:szCs w:val="20"/>
        </w:rPr>
        <w:t>.</w:t>
      </w:r>
    </w:p>
    <w:p w14:paraId="71896FC5"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4091B9D3" w14:textId="77777777" w:rsidR="00000000" w:rsidRDefault="003C49E9">
      <w:pPr>
        <w:pStyle w:val="a3"/>
        <w:spacing w:before="200" w:beforeAutospacing="0" w:after="0" w:afterAutospacing="0"/>
        <w:ind w:firstLine="555"/>
        <w:rPr>
          <w:sz w:val="20"/>
          <w:szCs w:val="20"/>
        </w:rPr>
      </w:pPr>
      <w:r>
        <w:rPr>
          <w:sz w:val="20"/>
          <w:szCs w:val="20"/>
        </w:rPr>
        <w:t>Employee-</w:t>
      </w:r>
      <w:r>
        <w:rPr>
          <w:sz w:val="20"/>
          <w:szCs w:val="20"/>
        </w:rPr>
        <w:t>related costs increased as a result of increased headcount as we grew our business and required additional personnel to support our expanded operations. Allocated overhead expenses increased due to an increase in shared company expenses associated with our</w:t>
      </w:r>
      <w:r>
        <w:rPr>
          <w:sz w:val="20"/>
          <w:szCs w:val="20"/>
        </w:rPr>
        <w:t xml:space="preserve"> systems and infrastructure as we continued to grow our business. Customer credit card fees increased due to increased customer transactions as we continue to grow our business</w:t>
      </w:r>
      <w:r>
        <w:rPr>
          <w:sz w:val="20"/>
          <w:szCs w:val="20"/>
        </w:rPr>
        <w:t>.</w:t>
      </w:r>
    </w:p>
    <w:p w14:paraId="3192A4CD" w14:textId="77777777" w:rsidR="00000000" w:rsidRDefault="003C49E9">
      <w:pPr>
        <w:pStyle w:val="a3"/>
        <w:spacing w:before="200" w:beforeAutospacing="0" w:after="0" w:afterAutospacing="0"/>
        <w:ind w:firstLine="555"/>
        <w:rPr>
          <w:sz w:val="20"/>
          <w:szCs w:val="20"/>
        </w:rPr>
      </w:pPr>
      <w:r>
        <w:rPr>
          <w:b/>
          <w:bCs/>
          <w:i/>
          <w:iCs/>
          <w:sz w:val="20"/>
          <w:szCs w:val="20"/>
        </w:rPr>
        <w:t xml:space="preserve">Interest income </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0"/>
        <w:gridCol w:w="108"/>
        <w:gridCol w:w="155"/>
        <w:gridCol w:w="488"/>
        <w:gridCol w:w="108"/>
        <w:gridCol w:w="108"/>
        <w:gridCol w:w="155"/>
        <w:gridCol w:w="345"/>
        <w:gridCol w:w="108"/>
        <w:gridCol w:w="108"/>
        <w:gridCol w:w="156"/>
        <w:gridCol w:w="557"/>
        <w:gridCol w:w="108"/>
        <w:gridCol w:w="108"/>
        <w:gridCol w:w="109"/>
        <w:gridCol w:w="474"/>
        <w:gridCol w:w="219"/>
        <w:gridCol w:w="108"/>
        <w:gridCol w:w="155"/>
        <w:gridCol w:w="488"/>
        <w:gridCol w:w="108"/>
        <w:gridCol w:w="108"/>
        <w:gridCol w:w="155"/>
        <w:gridCol w:w="345"/>
        <w:gridCol w:w="108"/>
        <w:gridCol w:w="108"/>
        <w:gridCol w:w="156"/>
        <w:gridCol w:w="558"/>
        <w:gridCol w:w="108"/>
        <w:gridCol w:w="108"/>
        <w:gridCol w:w="109"/>
        <w:gridCol w:w="456"/>
        <w:gridCol w:w="234"/>
      </w:tblGrid>
      <w:tr w:rsidR="00000000" w14:paraId="24135107" w14:textId="77777777">
        <w:trPr>
          <w:tblCellSpacing w:w="15" w:type="dxa"/>
        </w:trPr>
        <w:tc>
          <w:tcPr>
            <w:tcW w:w="1295" w:type="pct"/>
            <w:vAlign w:val="center"/>
            <w:hideMark/>
          </w:tcPr>
          <w:p w14:paraId="61C91B72" w14:textId="77777777" w:rsidR="00000000" w:rsidRDefault="003C49E9">
            <w:pPr>
              <w:rPr>
                <w:sz w:val="20"/>
                <w:szCs w:val="20"/>
              </w:rPr>
            </w:pPr>
          </w:p>
        </w:tc>
        <w:tc>
          <w:tcPr>
            <w:tcW w:w="49" w:type="pct"/>
            <w:vAlign w:val="center"/>
            <w:hideMark/>
          </w:tcPr>
          <w:p w14:paraId="7B2ECF7C" w14:textId="77777777" w:rsidR="00000000" w:rsidRDefault="003C49E9">
            <w:pPr>
              <w:rPr>
                <w:rFonts w:eastAsia="Times New Roman"/>
                <w:sz w:val="20"/>
                <w:szCs w:val="20"/>
              </w:rPr>
            </w:pPr>
          </w:p>
        </w:tc>
        <w:tc>
          <w:tcPr>
            <w:tcW w:w="50" w:type="pct"/>
            <w:vAlign w:val="center"/>
            <w:hideMark/>
          </w:tcPr>
          <w:p w14:paraId="4DDAB78A" w14:textId="77777777" w:rsidR="00000000" w:rsidRDefault="003C49E9">
            <w:pPr>
              <w:rPr>
                <w:rFonts w:eastAsia="Times New Roman"/>
                <w:sz w:val="20"/>
                <w:szCs w:val="20"/>
              </w:rPr>
            </w:pPr>
          </w:p>
        </w:tc>
        <w:tc>
          <w:tcPr>
            <w:tcW w:w="220" w:type="pct"/>
            <w:vAlign w:val="center"/>
            <w:hideMark/>
          </w:tcPr>
          <w:p w14:paraId="5AC00DC3" w14:textId="77777777" w:rsidR="00000000" w:rsidRDefault="003C49E9">
            <w:pPr>
              <w:rPr>
                <w:rFonts w:eastAsia="Times New Roman"/>
                <w:sz w:val="20"/>
                <w:szCs w:val="20"/>
              </w:rPr>
            </w:pPr>
          </w:p>
        </w:tc>
        <w:tc>
          <w:tcPr>
            <w:tcW w:w="50" w:type="pct"/>
            <w:vAlign w:val="center"/>
            <w:hideMark/>
          </w:tcPr>
          <w:p w14:paraId="14DCC982" w14:textId="77777777" w:rsidR="00000000" w:rsidRDefault="003C49E9">
            <w:pPr>
              <w:rPr>
                <w:rFonts w:eastAsia="Times New Roman"/>
                <w:sz w:val="20"/>
                <w:szCs w:val="20"/>
              </w:rPr>
            </w:pPr>
          </w:p>
        </w:tc>
        <w:tc>
          <w:tcPr>
            <w:tcW w:w="49" w:type="pct"/>
            <w:vAlign w:val="center"/>
            <w:hideMark/>
          </w:tcPr>
          <w:p w14:paraId="752B47A1" w14:textId="77777777" w:rsidR="00000000" w:rsidRDefault="003C49E9">
            <w:pPr>
              <w:rPr>
                <w:rFonts w:eastAsia="Times New Roman"/>
                <w:sz w:val="20"/>
                <w:szCs w:val="20"/>
              </w:rPr>
            </w:pPr>
          </w:p>
        </w:tc>
        <w:tc>
          <w:tcPr>
            <w:tcW w:w="50" w:type="pct"/>
            <w:vAlign w:val="center"/>
            <w:hideMark/>
          </w:tcPr>
          <w:p w14:paraId="1867EFAA" w14:textId="77777777" w:rsidR="00000000" w:rsidRDefault="003C49E9">
            <w:pPr>
              <w:rPr>
                <w:rFonts w:eastAsia="Times New Roman"/>
                <w:sz w:val="20"/>
                <w:szCs w:val="20"/>
              </w:rPr>
            </w:pPr>
          </w:p>
        </w:tc>
        <w:tc>
          <w:tcPr>
            <w:tcW w:w="242" w:type="pct"/>
            <w:vAlign w:val="center"/>
            <w:hideMark/>
          </w:tcPr>
          <w:p w14:paraId="6662101E" w14:textId="77777777" w:rsidR="00000000" w:rsidRDefault="003C49E9">
            <w:pPr>
              <w:rPr>
                <w:rFonts w:eastAsia="Times New Roman"/>
                <w:sz w:val="20"/>
                <w:szCs w:val="20"/>
              </w:rPr>
            </w:pPr>
          </w:p>
        </w:tc>
        <w:tc>
          <w:tcPr>
            <w:tcW w:w="50" w:type="pct"/>
            <w:vAlign w:val="center"/>
            <w:hideMark/>
          </w:tcPr>
          <w:p w14:paraId="5B11340D" w14:textId="77777777" w:rsidR="00000000" w:rsidRDefault="003C49E9">
            <w:pPr>
              <w:rPr>
                <w:rFonts w:eastAsia="Times New Roman"/>
                <w:sz w:val="20"/>
                <w:szCs w:val="20"/>
              </w:rPr>
            </w:pPr>
          </w:p>
        </w:tc>
        <w:tc>
          <w:tcPr>
            <w:tcW w:w="49" w:type="pct"/>
            <w:vAlign w:val="center"/>
            <w:hideMark/>
          </w:tcPr>
          <w:p w14:paraId="3E06B8CE" w14:textId="77777777" w:rsidR="00000000" w:rsidRDefault="003C49E9">
            <w:pPr>
              <w:rPr>
                <w:rFonts w:eastAsia="Times New Roman"/>
                <w:sz w:val="20"/>
                <w:szCs w:val="20"/>
              </w:rPr>
            </w:pPr>
          </w:p>
        </w:tc>
        <w:tc>
          <w:tcPr>
            <w:tcW w:w="50" w:type="pct"/>
            <w:vAlign w:val="center"/>
            <w:hideMark/>
          </w:tcPr>
          <w:p w14:paraId="22EC87C3" w14:textId="77777777" w:rsidR="00000000" w:rsidRDefault="003C49E9">
            <w:pPr>
              <w:rPr>
                <w:rFonts w:eastAsia="Times New Roman"/>
                <w:sz w:val="20"/>
                <w:szCs w:val="20"/>
              </w:rPr>
            </w:pPr>
          </w:p>
        </w:tc>
        <w:tc>
          <w:tcPr>
            <w:tcW w:w="338" w:type="pct"/>
            <w:vAlign w:val="center"/>
            <w:hideMark/>
          </w:tcPr>
          <w:p w14:paraId="6720FDE8" w14:textId="77777777" w:rsidR="00000000" w:rsidRDefault="003C49E9">
            <w:pPr>
              <w:rPr>
                <w:rFonts w:eastAsia="Times New Roman"/>
                <w:sz w:val="20"/>
                <w:szCs w:val="20"/>
              </w:rPr>
            </w:pPr>
          </w:p>
        </w:tc>
        <w:tc>
          <w:tcPr>
            <w:tcW w:w="50" w:type="pct"/>
            <w:vAlign w:val="center"/>
            <w:hideMark/>
          </w:tcPr>
          <w:p w14:paraId="77B9A4B7" w14:textId="77777777" w:rsidR="00000000" w:rsidRDefault="003C49E9">
            <w:pPr>
              <w:rPr>
                <w:rFonts w:eastAsia="Times New Roman"/>
                <w:sz w:val="20"/>
                <w:szCs w:val="20"/>
              </w:rPr>
            </w:pPr>
          </w:p>
        </w:tc>
        <w:tc>
          <w:tcPr>
            <w:tcW w:w="49" w:type="pct"/>
            <w:vAlign w:val="center"/>
            <w:hideMark/>
          </w:tcPr>
          <w:p w14:paraId="27F0EEDA" w14:textId="77777777" w:rsidR="00000000" w:rsidRDefault="003C49E9">
            <w:pPr>
              <w:rPr>
                <w:rFonts w:eastAsia="Times New Roman"/>
                <w:sz w:val="20"/>
                <w:szCs w:val="20"/>
              </w:rPr>
            </w:pPr>
          </w:p>
        </w:tc>
        <w:tc>
          <w:tcPr>
            <w:tcW w:w="50" w:type="pct"/>
            <w:vAlign w:val="center"/>
            <w:hideMark/>
          </w:tcPr>
          <w:p w14:paraId="6107EA19" w14:textId="77777777" w:rsidR="00000000" w:rsidRDefault="003C49E9">
            <w:pPr>
              <w:rPr>
                <w:rFonts w:eastAsia="Times New Roman"/>
                <w:sz w:val="20"/>
                <w:szCs w:val="20"/>
              </w:rPr>
            </w:pPr>
          </w:p>
        </w:tc>
        <w:tc>
          <w:tcPr>
            <w:tcW w:w="469" w:type="pct"/>
            <w:vAlign w:val="center"/>
            <w:hideMark/>
          </w:tcPr>
          <w:p w14:paraId="07ACB72C" w14:textId="77777777" w:rsidR="00000000" w:rsidRDefault="003C49E9">
            <w:pPr>
              <w:rPr>
                <w:rFonts w:eastAsia="Times New Roman"/>
                <w:sz w:val="20"/>
                <w:szCs w:val="20"/>
              </w:rPr>
            </w:pPr>
          </w:p>
        </w:tc>
        <w:tc>
          <w:tcPr>
            <w:tcW w:w="50" w:type="pct"/>
            <w:vAlign w:val="center"/>
            <w:hideMark/>
          </w:tcPr>
          <w:p w14:paraId="07FBD0A7" w14:textId="77777777" w:rsidR="00000000" w:rsidRDefault="003C49E9">
            <w:pPr>
              <w:rPr>
                <w:rFonts w:eastAsia="Times New Roman"/>
                <w:sz w:val="20"/>
                <w:szCs w:val="20"/>
              </w:rPr>
            </w:pPr>
          </w:p>
        </w:tc>
        <w:tc>
          <w:tcPr>
            <w:tcW w:w="49" w:type="pct"/>
            <w:vAlign w:val="center"/>
            <w:hideMark/>
          </w:tcPr>
          <w:p w14:paraId="62805CF3" w14:textId="77777777" w:rsidR="00000000" w:rsidRDefault="003C49E9">
            <w:pPr>
              <w:rPr>
                <w:rFonts w:eastAsia="Times New Roman"/>
                <w:sz w:val="20"/>
                <w:szCs w:val="20"/>
              </w:rPr>
            </w:pPr>
          </w:p>
        </w:tc>
        <w:tc>
          <w:tcPr>
            <w:tcW w:w="50" w:type="pct"/>
            <w:vAlign w:val="center"/>
            <w:hideMark/>
          </w:tcPr>
          <w:p w14:paraId="717ABEA6" w14:textId="77777777" w:rsidR="00000000" w:rsidRDefault="003C49E9">
            <w:pPr>
              <w:rPr>
                <w:rFonts w:eastAsia="Times New Roman"/>
                <w:sz w:val="20"/>
                <w:szCs w:val="20"/>
              </w:rPr>
            </w:pPr>
          </w:p>
        </w:tc>
        <w:tc>
          <w:tcPr>
            <w:tcW w:w="326" w:type="pct"/>
            <w:vAlign w:val="center"/>
            <w:hideMark/>
          </w:tcPr>
          <w:p w14:paraId="0CF0E77C" w14:textId="77777777" w:rsidR="00000000" w:rsidRDefault="003C49E9">
            <w:pPr>
              <w:rPr>
                <w:rFonts w:eastAsia="Times New Roman"/>
                <w:sz w:val="20"/>
                <w:szCs w:val="20"/>
              </w:rPr>
            </w:pPr>
          </w:p>
        </w:tc>
        <w:tc>
          <w:tcPr>
            <w:tcW w:w="50" w:type="pct"/>
            <w:vAlign w:val="center"/>
            <w:hideMark/>
          </w:tcPr>
          <w:p w14:paraId="10ED3938" w14:textId="77777777" w:rsidR="00000000" w:rsidRDefault="003C49E9">
            <w:pPr>
              <w:rPr>
                <w:rFonts w:eastAsia="Times New Roman"/>
                <w:sz w:val="20"/>
                <w:szCs w:val="20"/>
              </w:rPr>
            </w:pPr>
          </w:p>
        </w:tc>
        <w:tc>
          <w:tcPr>
            <w:tcW w:w="49" w:type="pct"/>
            <w:vAlign w:val="center"/>
            <w:hideMark/>
          </w:tcPr>
          <w:p w14:paraId="77B8E385" w14:textId="77777777" w:rsidR="00000000" w:rsidRDefault="003C49E9">
            <w:pPr>
              <w:rPr>
                <w:rFonts w:eastAsia="Times New Roman"/>
                <w:sz w:val="20"/>
                <w:szCs w:val="20"/>
              </w:rPr>
            </w:pPr>
          </w:p>
        </w:tc>
        <w:tc>
          <w:tcPr>
            <w:tcW w:w="50" w:type="pct"/>
            <w:vAlign w:val="center"/>
            <w:hideMark/>
          </w:tcPr>
          <w:p w14:paraId="0AFD5EC7" w14:textId="77777777" w:rsidR="00000000" w:rsidRDefault="003C49E9">
            <w:pPr>
              <w:rPr>
                <w:rFonts w:eastAsia="Times New Roman"/>
                <w:sz w:val="20"/>
                <w:szCs w:val="20"/>
              </w:rPr>
            </w:pPr>
          </w:p>
        </w:tc>
        <w:tc>
          <w:tcPr>
            <w:tcW w:w="244" w:type="pct"/>
            <w:vAlign w:val="center"/>
            <w:hideMark/>
          </w:tcPr>
          <w:p w14:paraId="3529BCB4" w14:textId="77777777" w:rsidR="00000000" w:rsidRDefault="003C49E9">
            <w:pPr>
              <w:rPr>
                <w:rFonts w:eastAsia="Times New Roman"/>
                <w:sz w:val="20"/>
                <w:szCs w:val="20"/>
              </w:rPr>
            </w:pPr>
          </w:p>
        </w:tc>
        <w:tc>
          <w:tcPr>
            <w:tcW w:w="50" w:type="pct"/>
            <w:vAlign w:val="center"/>
            <w:hideMark/>
          </w:tcPr>
          <w:p w14:paraId="1D391903" w14:textId="77777777" w:rsidR="00000000" w:rsidRDefault="003C49E9">
            <w:pPr>
              <w:rPr>
                <w:rFonts w:eastAsia="Times New Roman"/>
                <w:sz w:val="20"/>
                <w:szCs w:val="20"/>
              </w:rPr>
            </w:pPr>
          </w:p>
        </w:tc>
        <w:tc>
          <w:tcPr>
            <w:tcW w:w="49" w:type="pct"/>
            <w:vAlign w:val="center"/>
            <w:hideMark/>
          </w:tcPr>
          <w:p w14:paraId="328156D7" w14:textId="77777777" w:rsidR="00000000" w:rsidRDefault="003C49E9">
            <w:pPr>
              <w:rPr>
                <w:rFonts w:eastAsia="Times New Roman"/>
                <w:sz w:val="20"/>
                <w:szCs w:val="20"/>
              </w:rPr>
            </w:pPr>
          </w:p>
        </w:tc>
        <w:tc>
          <w:tcPr>
            <w:tcW w:w="50" w:type="pct"/>
            <w:vAlign w:val="center"/>
            <w:hideMark/>
          </w:tcPr>
          <w:p w14:paraId="26ED4C46" w14:textId="77777777" w:rsidR="00000000" w:rsidRDefault="003C49E9">
            <w:pPr>
              <w:rPr>
                <w:rFonts w:eastAsia="Times New Roman"/>
                <w:sz w:val="20"/>
                <w:szCs w:val="20"/>
              </w:rPr>
            </w:pPr>
          </w:p>
        </w:tc>
        <w:tc>
          <w:tcPr>
            <w:tcW w:w="343" w:type="pct"/>
            <w:vAlign w:val="center"/>
            <w:hideMark/>
          </w:tcPr>
          <w:p w14:paraId="7893EEEB" w14:textId="77777777" w:rsidR="00000000" w:rsidRDefault="003C49E9">
            <w:pPr>
              <w:rPr>
                <w:rFonts w:eastAsia="Times New Roman"/>
                <w:sz w:val="20"/>
                <w:szCs w:val="20"/>
              </w:rPr>
            </w:pPr>
          </w:p>
        </w:tc>
        <w:tc>
          <w:tcPr>
            <w:tcW w:w="50" w:type="pct"/>
            <w:vAlign w:val="center"/>
            <w:hideMark/>
          </w:tcPr>
          <w:p w14:paraId="5E41B73D" w14:textId="77777777" w:rsidR="00000000" w:rsidRDefault="003C49E9">
            <w:pPr>
              <w:rPr>
                <w:rFonts w:eastAsia="Times New Roman"/>
                <w:sz w:val="20"/>
                <w:szCs w:val="20"/>
              </w:rPr>
            </w:pPr>
          </w:p>
        </w:tc>
        <w:tc>
          <w:tcPr>
            <w:tcW w:w="49" w:type="pct"/>
            <w:vAlign w:val="center"/>
            <w:hideMark/>
          </w:tcPr>
          <w:p w14:paraId="1A1F8165" w14:textId="77777777" w:rsidR="00000000" w:rsidRDefault="003C49E9">
            <w:pPr>
              <w:rPr>
                <w:rFonts w:eastAsia="Times New Roman"/>
                <w:sz w:val="20"/>
                <w:szCs w:val="20"/>
              </w:rPr>
            </w:pPr>
          </w:p>
        </w:tc>
        <w:tc>
          <w:tcPr>
            <w:tcW w:w="50" w:type="pct"/>
            <w:vAlign w:val="center"/>
            <w:hideMark/>
          </w:tcPr>
          <w:p w14:paraId="45B3B830" w14:textId="77777777" w:rsidR="00000000" w:rsidRDefault="003C49E9">
            <w:pPr>
              <w:rPr>
                <w:rFonts w:eastAsia="Times New Roman"/>
                <w:sz w:val="20"/>
                <w:szCs w:val="20"/>
              </w:rPr>
            </w:pPr>
          </w:p>
        </w:tc>
        <w:tc>
          <w:tcPr>
            <w:tcW w:w="326" w:type="pct"/>
            <w:vAlign w:val="center"/>
            <w:hideMark/>
          </w:tcPr>
          <w:p w14:paraId="1AADE1A1" w14:textId="77777777" w:rsidR="00000000" w:rsidRDefault="003C49E9">
            <w:pPr>
              <w:rPr>
                <w:rFonts w:eastAsia="Times New Roman"/>
                <w:sz w:val="20"/>
                <w:szCs w:val="20"/>
              </w:rPr>
            </w:pPr>
          </w:p>
        </w:tc>
        <w:tc>
          <w:tcPr>
            <w:tcW w:w="50" w:type="pct"/>
            <w:vAlign w:val="center"/>
            <w:hideMark/>
          </w:tcPr>
          <w:p w14:paraId="1BB5AF50" w14:textId="77777777" w:rsidR="00000000" w:rsidRDefault="003C49E9">
            <w:pPr>
              <w:rPr>
                <w:rFonts w:eastAsia="Times New Roman"/>
                <w:sz w:val="20"/>
                <w:szCs w:val="20"/>
              </w:rPr>
            </w:pPr>
          </w:p>
        </w:tc>
      </w:tr>
      <w:tr w:rsidR="00000000" w14:paraId="5D0B4BD0" w14:textId="77777777">
        <w:trPr>
          <w:trHeight w:val="140"/>
          <w:tblCellSpacing w:w="15" w:type="dxa"/>
        </w:trPr>
        <w:tc>
          <w:tcPr>
            <w:tcW w:w="0" w:type="auto"/>
            <w:vAlign w:val="bottom"/>
            <w:hideMark/>
          </w:tcPr>
          <w:p w14:paraId="14183F87"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149EA8D"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0BB7C1CC"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239266C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27DEA6C"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39718A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69A622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BB3C90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B341C7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934ABB7"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4AC6506"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64AC4CFA"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4111FCB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A18056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693A72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980EE4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2428CA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E1A177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A0215CE"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27247275" w14:textId="77777777">
        <w:trPr>
          <w:trHeight w:val="140"/>
          <w:tblCellSpacing w:w="15" w:type="dxa"/>
        </w:trPr>
        <w:tc>
          <w:tcPr>
            <w:tcW w:w="0" w:type="auto"/>
            <w:vAlign w:val="bottom"/>
            <w:hideMark/>
          </w:tcPr>
          <w:p w14:paraId="15684B73"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5D2328E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8E62E78"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21917CA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568AC7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BAD7D90"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49B6F4D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ADB11B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142F212"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504D618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3A41CD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9F41E6F"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75403B1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C291A4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FE320E5"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17719CA7"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C9373A1"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FC7D3D6"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7016856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B08469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787D841"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31801C9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AD4B05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C7D758F"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2413D022"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32BC4B70" w14:textId="77777777">
        <w:trPr>
          <w:trHeight w:val="180"/>
          <w:tblCellSpacing w:w="15" w:type="dxa"/>
        </w:trPr>
        <w:tc>
          <w:tcPr>
            <w:tcW w:w="0" w:type="auto"/>
            <w:vAlign w:val="bottom"/>
            <w:hideMark/>
          </w:tcPr>
          <w:p w14:paraId="3C47BEA2" w14:textId="77777777" w:rsidR="00000000" w:rsidRDefault="003C49E9">
            <w:pPr>
              <w:pStyle w:val="a3"/>
              <w:spacing w:before="0" w:beforeAutospacing="0" w:after="0" w:afterAutospacing="0"/>
              <w:rPr>
                <w:sz w:val="19"/>
                <w:szCs w:val="19"/>
              </w:rPr>
            </w:pPr>
            <w:r>
              <w:rPr>
                <w:sz w:val="19"/>
                <w:szCs w:val="19"/>
              </w:rPr>
              <w:t>Interest incom</w:t>
            </w:r>
            <w:r>
              <w:rPr>
                <w:sz w:val="19"/>
                <w:szCs w:val="19"/>
              </w:rPr>
              <w:t>e</w:t>
            </w:r>
          </w:p>
        </w:tc>
        <w:tc>
          <w:tcPr>
            <w:tcW w:w="0" w:type="auto"/>
            <w:vAlign w:val="bottom"/>
            <w:hideMark/>
          </w:tcPr>
          <w:p w14:paraId="2769154F"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056343F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C33A436" w14:textId="77777777" w:rsidR="00000000" w:rsidRDefault="003C49E9">
            <w:pPr>
              <w:pStyle w:val="a3"/>
              <w:spacing w:before="0" w:beforeAutospacing="0" w:after="0" w:afterAutospacing="0"/>
              <w:jc w:val="right"/>
              <w:rPr>
                <w:sz w:val="19"/>
                <w:szCs w:val="19"/>
              </w:rPr>
            </w:pPr>
            <w:r>
              <w:rPr>
                <w:sz w:val="19"/>
                <w:szCs w:val="19"/>
              </w:rPr>
              <w:t>2,05</w:t>
            </w:r>
            <w:r>
              <w:rPr>
                <w:sz w:val="19"/>
                <w:szCs w:val="19"/>
              </w:rPr>
              <w:t>0</w:t>
            </w:r>
          </w:p>
        </w:tc>
        <w:tc>
          <w:tcPr>
            <w:tcW w:w="0" w:type="auto"/>
            <w:noWrap/>
            <w:vAlign w:val="bottom"/>
            <w:hideMark/>
          </w:tcPr>
          <w:p w14:paraId="742F960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09AEE98"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2C020A6"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FB15B92" w14:textId="77777777" w:rsidR="00000000" w:rsidRDefault="003C49E9">
            <w:pPr>
              <w:pStyle w:val="a3"/>
              <w:spacing w:before="0" w:beforeAutospacing="0" w:after="0" w:afterAutospacing="0"/>
              <w:jc w:val="right"/>
              <w:rPr>
                <w:sz w:val="19"/>
                <w:szCs w:val="19"/>
              </w:rPr>
            </w:pPr>
            <w:r>
              <w:rPr>
                <w:sz w:val="19"/>
                <w:szCs w:val="19"/>
              </w:rPr>
              <w:t>34</w:t>
            </w:r>
            <w:r>
              <w:rPr>
                <w:sz w:val="19"/>
                <w:szCs w:val="19"/>
              </w:rPr>
              <w:t>1</w:t>
            </w:r>
          </w:p>
        </w:tc>
        <w:tc>
          <w:tcPr>
            <w:tcW w:w="0" w:type="auto"/>
            <w:noWrap/>
            <w:vAlign w:val="bottom"/>
            <w:hideMark/>
          </w:tcPr>
          <w:p w14:paraId="2212ACA9"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7680D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7A39DA2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873C5EB" w14:textId="77777777" w:rsidR="00000000" w:rsidRDefault="003C49E9">
            <w:pPr>
              <w:pStyle w:val="a3"/>
              <w:spacing w:before="0" w:beforeAutospacing="0" w:after="0" w:afterAutospacing="0"/>
              <w:jc w:val="right"/>
              <w:rPr>
                <w:sz w:val="19"/>
                <w:szCs w:val="19"/>
              </w:rPr>
            </w:pPr>
            <w:r>
              <w:rPr>
                <w:sz w:val="19"/>
                <w:szCs w:val="19"/>
              </w:rPr>
              <w:t>1,70</w:t>
            </w:r>
            <w:r>
              <w:rPr>
                <w:sz w:val="19"/>
                <w:szCs w:val="19"/>
              </w:rPr>
              <w:t>9</w:t>
            </w:r>
          </w:p>
        </w:tc>
        <w:tc>
          <w:tcPr>
            <w:tcW w:w="0" w:type="auto"/>
            <w:noWrap/>
            <w:vAlign w:val="bottom"/>
            <w:hideMark/>
          </w:tcPr>
          <w:p w14:paraId="2C7C8CA2"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12BE889"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C84A6C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7FE5C43" w14:textId="77777777" w:rsidR="00000000" w:rsidRDefault="003C49E9">
            <w:pPr>
              <w:pStyle w:val="a3"/>
              <w:spacing w:before="0" w:beforeAutospacing="0" w:after="0" w:afterAutospacing="0"/>
              <w:jc w:val="right"/>
              <w:rPr>
                <w:sz w:val="19"/>
                <w:szCs w:val="19"/>
              </w:rPr>
            </w:pPr>
            <w:r>
              <w:rPr>
                <w:sz w:val="19"/>
                <w:szCs w:val="19"/>
              </w:rPr>
              <w:t>50</w:t>
            </w:r>
            <w:r>
              <w:rPr>
                <w:sz w:val="19"/>
                <w:szCs w:val="19"/>
              </w:rPr>
              <w:t>1</w:t>
            </w:r>
          </w:p>
        </w:tc>
        <w:tc>
          <w:tcPr>
            <w:tcW w:w="0" w:type="auto"/>
            <w:noWrap/>
            <w:vAlign w:val="bottom"/>
            <w:hideMark/>
          </w:tcPr>
          <w:p w14:paraId="14262C84"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78683F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1E80930A"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5959BFB" w14:textId="77777777" w:rsidR="00000000" w:rsidRDefault="003C49E9">
            <w:pPr>
              <w:pStyle w:val="a3"/>
              <w:spacing w:before="0" w:beforeAutospacing="0" w:after="0" w:afterAutospacing="0"/>
              <w:jc w:val="right"/>
              <w:rPr>
                <w:sz w:val="19"/>
                <w:szCs w:val="19"/>
              </w:rPr>
            </w:pPr>
            <w:r>
              <w:rPr>
                <w:sz w:val="19"/>
                <w:szCs w:val="19"/>
              </w:rPr>
              <w:t>2,56</w:t>
            </w:r>
            <w:r>
              <w:rPr>
                <w:sz w:val="19"/>
                <w:szCs w:val="19"/>
              </w:rPr>
              <w:t>4</w:t>
            </w:r>
          </w:p>
        </w:tc>
        <w:tc>
          <w:tcPr>
            <w:tcW w:w="0" w:type="auto"/>
            <w:noWrap/>
            <w:vAlign w:val="bottom"/>
            <w:hideMark/>
          </w:tcPr>
          <w:p w14:paraId="178DD29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6D59020"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3A06F338"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7AD6BC8" w14:textId="77777777" w:rsidR="00000000" w:rsidRDefault="003C49E9">
            <w:pPr>
              <w:pStyle w:val="a3"/>
              <w:spacing w:before="0" w:beforeAutospacing="0" w:after="0" w:afterAutospacing="0"/>
              <w:jc w:val="right"/>
              <w:rPr>
                <w:sz w:val="19"/>
                <w:szCs w:val="19"/>
              </w:rPr>
            </w:pPr>
            <w:r>
              <w:rPr>
                <w:sz w:val="19"/>
                <w:szCs w:val="19"/>
              </w:rPr>
              <w:t>81</w:t>
            </w:r>
            <w:r>
              <w:rPr>
                <w:sz w:val="19"/>
                <w:szCs w:val="19"/>
              </w:rPr>
              <w:t>6</w:t>
            </w:r>
          </w:p>
        </w:tc>
        <w:tc>
          <w:tcPr>
            <w:tcW w:w="0" w:type="auto"/>
            <w:noWrap/>
            <w:vAlign w:val="bottom"/>
            <w:hideMark/>
          </w:tcPr>
          <w:p w14:paraId="130CB997"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A3898D7"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184C58C8"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3F6C0FB" w14:textId="77777777" w:rsidR="00000000" w:rsidRDefault="003C49E9">
            <w:pPr>
              <w:pStyle w:val="a3"/>
              <w:spacing w:before="0" w:beforeAutospacing="0" w:after="0" w:afterAutospacing="0"/>
              <w:jc w:val="right"/>
              <w:rPr>
                <w:sz w:val="19"/>
                <w:szCs w:val="19"/>
              </w:rPr>
            </w:pPr>
            <w:r>
              <w:rPr>
                <w:sz w:val="19"/>
                <w:szCs w:val="19"/>
              </w:rPr>
              <w:t>1,74</w:t>
            </w:r>
            <w:r>
              <w:rPr>
                <w:sz w:val="19"/>
                <w:szCs w:val="19"/>
              </w:rPr>
              <w:t>8</w:t>
            </w:r>
          </w:p>
        </w:tc>
        <w:tc>
          <w:tcPr>
            <w:tcW w:w="0" w:type="auto"/>
            <w:noWrap/>
            <w:vAlign w:val="bottom"/>
            <w:hideMark/>
          </w:tcPr>
          <w:p w14:paraId="6C562C3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40EBC57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0039E7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15E3A143" w14:textId="77777777" w:rsidR="00000000" w:rsidRDefault="003C49E9">
            <w:pPr>
              <w:pStyle w:val="a3"/>
              <w:spacing w:before="0" w:beforeAutospacing="0" w:after="0" w:afterAutospacing="0"/>
              <w:jc w:val="right"/>
              <w:rPr>
                <w:sz w:val="19"/>
                <w:szCs w:val="19"/>
              </w:rPr>
            </w:pPr>
            <w:r>
              <w:rPr>
                <w:sz w:val="19"/>
                <w:szCs w:val="19"/>
              </w:rPr>
              <w:t>21</w:t>
            </w:r>
            <w:r>
              <w:rPr>
                <w:sz w:val="19"/>
                <w:szCs w:val="19"/>
              </w:rPr>
              <w:t>4</w:t>
            </w:r>
          </w:p>
        </w:tc>
        <w:tc>
          <w:tcPr>
            <w:tcW w:w="0" w:type="auto"/>
            <w:noWrap/>
            <w:vAlign w:val="bottom"/>
            <w:hideMark/>
          </w:tcPr>
          <w:p w14:paraId="58AE533E" w14:textId="77777777" w:rsidR="00000000" w:rsidRDefault="003C49E9">
            <w:pPr>
              <w:pStyle w:val="a3"/>
              <w:spacing w:before="0" w:beforeAutospacing="0" w:after="0" w:afterAutospacing="0"/>
              <w:rPr>
                <w:sz w:val="19"/>
                <w:szCs w:val="19"/>
              </w:rPr>
            </w:pPr>
            <w:r>
              <w:rPr>
                <w:sz w:val="19"/>
                <w:szCs w:val="19"/>
              </w:rPr>
              <w:t>%</w:t>
            </w:r>
          </w:p>
        </w:tc>
      </w:tr>
      <w:tr w:rsidR="00000000" w14:paraId="2AC416CA" w14:textId="77777777">
        <w:trPr>
          <w:trHeight w:val="180"/>
          <w:tblCellSpacing w:w="15" w:type="dxa"/>
        </w:trPr>
        <w:tc>
          <w:tcPr>
            <w:tcW w:w="0" w:type="auto"/>
            <w:vAlign w:val="bottom"/>
            <w:hideMark/>
          </w:tcPr>
          <w:p w14:paraId="7CA6E053" w14:textId="77777777" w:rsidR="00000000" w:rsidRDefault="003C49E9">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14:paraId="28F8CBC9"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6BAEACC4"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2726D7BC"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182F1CF1"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627614A1"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67023E7A"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5C23ADED"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5FD4549B"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FBEB3A5"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01FEAC05"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2219DEA9"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557FBEA1"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20C1110A"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29B76B59"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7C9E1071"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56E9BA75" w14:textId="77777777" w:rsidR="00000000" w:rsidRDefault="003C49E9">
            <w:pPr>
              <w:pStyle w:val="a3"/>
              <w:spacing w:before="0" w:beforeAutospacing="0" w:after="0" w:afterAutospacing="0"/>
              <w:jc w:val="right"/>
              <w:rPr>
                <w:sz w:val="19"/>
                <w:szCs w:val="19"/>
              </w:rPr>
            </w:pPr>
            <w:r>
              <w:rPr>
                <w:sz w:val="19"/>
                <w:szCs w:val="19"/>
              </w:rPr>
              <w:t> </w:t>
            </w:r>
          </w:p>
        </w:tc>
        <w:tc>
          <w:tcPr>
            <w:tcW w:w="0" w:type="auto"/>
            <w:gridSpan w:val="2"/>
            <w:vAlign w:val="bottom"/>
            <w:hideMark/>
          </w:tcPr>
          <w:p w14:paraId="5FA2FAA3"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0A761AC8"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FEE1CC8" w14:textId="77777777" w:rsidR="00000000" w:rsidRDefault="003C49E9">
            <w:pPr>
              <w:pStyle w:val="a3"/>
              <w:spacing w:before="0" w:beforeAutospacing="0" w:after="0" w:afterAutospacing="0"/>
              <w:jc w:val="center"/>
              <w:rPr>
                <w:sz w:val="19"/>
                <w:szCs w:val="19"/>
              </w:rPr>
            </w:pPr>
            <w:r>
              <w:rPr>
                <w:sz w:val="19"/>
                <w:szCs w:val="19"/>
              </w:rPr>
              <w:t> </w:t>
            </w:r>
          </w:p>
        </w:tc>
        <w:tc>
          <w:tcPr>
            <w:tcW w:w="0" w:type="auto"/>
            <w:gridSpan w:val="2"/>
            <w:vAlign w:val="bottom"/>
            <w:hideMark/>
          </w:tcPr>
          <w:p w14:paraId="1CD3125B"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873DD89"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4006BE9D"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5DCB71D0"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0DA1E2A" w14:textId="77777777" w:rsidR="00000000" w:rsidRDefault="003C49E9">
            <w:pPr>
              <w:pStyle w:val="a3"/>
              <w:spacing w:before="0" w:beforeAutospacing="0" w:after="0" w:afterAutospacing="0"/>
              <w:jc w:val="right"/>
              <w:rPr>
                <w:sz w:val="19"/>
                <w:szCs w:val="19"/>
              </w:rPr>
            </w:pPr>
            <w:r>
              <w:rPr>
                <w:sz w:val="19"/>
                <w:szCs w:val="19"/>
              </w:rPr>
              <w:t> </w:t>
            </w:r>
          </w:p>
        </w:tc>
      </w:tr>
    </w:tbl>
    <w:p w14:paraId="3FAAFB94" w14:textId="77777777" w:rsidR="00000000" w:rsidRDefault="003C49E9">
      <w:pPr>
        <w:pStyle w:val="a3"/>
        <w:spacing w:before="200" w:beforeAutospacing="0" w:after="0" w:afterAutospacing="0"/>
        <w:ind w:hanging="581"/>
        <w:rPr>
          <w:sz w:val="20"/>
          <w:szCs w:val="20"/>
        </w:rPr>
      </w:pPr>
      <w:r>
        <w:rPr>
          <w:sz w:val="20"/>
          <w:szCs w:val="20"/>
        </w:rPr>
        <w:t>* not meaningfu</w:t>
      </w:r>
      <w:r>
        <w:rPr>
          <w:sz w:val="20"/>
          <w:szCs w:val="20"/>
        </w:rPr>
        <w:t>l</w:t>
      </w:r>
    </w:p>
    <w:p w14:paraId="1D823F73" w14:textId="77777777" w:rsidR="00000000" w:rsidRDefault="003C49E9">
      <w:pPr>
        <w:pStyle w:val="a3"/>
        <w:spacing w:before="200" w:beforeAutospacing="0" w:after="0" w:afterAutospacing="0"/>
        <w:ind w:firstLine="592"/>
        <w:rPr>
          <w:sz w:val="20"/>
          <w:szCs w:val="20"/>
        </w:rPr>
      </w:pPr>
      <w:r>
        <w:rPr>
          <w:sz w:val="20"/>
          <w:szCs w:val="20"/>
        </w:rPr>
        <w:t>Interest income primarily consists of interest earned on invested cash and cash equivalents balances and investments. The increase during the three and six months ended June 30, 2022 is due to an increase in yields on our investment balances</w:t>
      </w:r>
      <w:r>
        <w:rPr>
          <w:sz w:val="20"/>
          <w:szCs w:val="20"/>
        </w:rPr>
        <w:t>.</w:t>
      </w:r>
      <w:r>
        <w:rPr>
          <w:sz w:val="20"/>
          <w:szCs w:val="20"/>
        </w:rPr>
        <w:t xml:space="preserve"> </w:t>
      </w:r>
    </w:p>
    <w:p w14:paraId="28C8DAB9" w14:textId="77777777" w:rsidR="00000000" w:rsidRDefault="003C49E9">
      <w:pPr>
        <w:pStyle w:val="a3"/>
        <w:spacing w:before="200" w:beforeAutospacing="0" w:after="0" w:afterAutospacing="0"/>
        <w:ind w:firstLine="592"/>
        <w:rPr>
          <w:sz w:val="20"/>
          <w:szCs w:val="20"/>
        </w:rPr>
      </w:pPr>
      <w:r>
        <w:rPr>
          <w:b/>
          <w:bCs/>
          <w:i/>
          <w:iCs/>
          <w:sz w:val="20"/>
          <w:szCs w:val="20"/>
        </w:rPr>
        <w:t>Interest expense</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
        <w:gridCol w:w="108"/>
        <w:gridCol w:w="155"/>
        <w:gridCol w:w="409"/>
        <w:gridCol w:w="124"/>
        <w:gridCol w:w="108"/>
        <w:gridCol w:w="155"/>
        <w:gridCol w:w="551"/>
        <w:gridCol w:w="282"/>
        <w:gridCol w:w="108"/>
        <w:gridCol w:w="155"/>
        <w:gridCol w:w="551"/>
        <w:gridCol w:w="124"/>
        <w:gridCol w:w="108"/>
        <w:gridCol w:w="109"/>
        <w:gridCol w:w="465"/>
        <w:gridCol w:w="282"/>
        <w:gridCol w:w="108"/>
        <w:gridCol w:w="155"/>
        <w:gridCol w:w="551"/>
        <w:gridCol w:w="124"/>
        <w:gridCol w:w="108"/>
        <w:gridCol w:w="155"/>
        <w:gridCol w:w="646"/>
        <w:gridCol w:w="282"/>
        <w:gridCol w:w="108"/>
        <w:gridCol w:w="155"/>
        <w:gridCol w:w="646"/>
        <w:gridCol w:w="124"/>
        <w:gridCol w:w="108"/>
        <w:gridCol w:w="109"/>
        <w:gridCol w:w="469"/>
        <w:gridCol w:w="297"/>
      </w:tblGrid>
      <w:tr w:rsidR="00000000" w14:paraId="1A01042A" w14:textId="77777777">
        <w:trPr>
          <w:tblCellSpacing w:w="15" w:type="dxa"/>
        </w:trPr>
        <w:tc>
          <w:tcPr>
            <w:tcW w:w="1055" w:type="pct"/>
            <w:vAlign w:val="center"/>
            <w:hideMark/>
          </w:tcPr>
          <w:p w14:paraId="3C7BAAAC" w14:textId="77777777" w:rsidR="00000000" w:rsidRDefault="003C49E9">
            <w:pPr>
              <w:rPr>
                <w:sz w:val="20"/>
                <w:szCs w:val="20"/>
              </w:rPr>
            </w:pPr>
          </w:p>
        </w:tc>
        <w:tc>
          <w:tcPr>
            <w:tcW w:w="50" w:type="pct"/>
            <w:vAlign w:val="center"/>
            <w:hideMark/>
          </w:tcPr>
          <w:p w14:paraId="6F4F5C8D" w14:textId="77777777" w:rsidR="00000000" w:rsidRDefault="003C49E9">
            <w:pPr>
              <w:rPr>
                <w:rFonts w:eastAsia="Times New Roman"/>
                <w:sz w:val="20"/>
                <w:szCs w:val="20"/>
              </w:rPr>
            </w:pPr>
          </w:p>
        </w:tc>
        <w:tc>
          <w:tcPr>
            <w:tcW w:w="50" w:type="pct"/>
            <w:vAlign w:val="center"/>
            <w:hideMark/>
          </w:tcPr>
          <w:p w14:paraId="529E85C8" w14:textId="77777777" w:rsidR="00000000" w:rsidRDefault="003C49E9">
            <w:pPr>
              <w:rPr>
                <w:rFonts w:eastAsia="Times New Roman"/>
                <w:sz w:val="20"/>
                <w:szCs w:val="20"/>
              </w:rPr>
            </w:pPr>
          </w:p>
        </w:tc>
        <w:tc>
          <w:tcPr>
            <w:tcW w:w="289" w:type="pct"/>
            <w:vAlign w:val="center"/>
            <w:hideMark/>
          </w:tcPr>
          <w:p w14:paraId="267F2D8A" w14:textId="77777777" w:rsidR="00000000" w:rsidRDefault="003C49E9">
            <w:pPr>
              <w:rPr>
                <w:rFonts w:eastAsia="Times New Roman"/>
                <w:sz w:val="20"/>
                <w:szCs w:val="20"/>
              </w:rPr>
            </w:pPr>
          </w:p>
        </w:tc>
        <w:tc>
          <w:tcPr>
            <w:tcW w:w="50" w:type="pct"/>
            <w:vAlign w:val="center"/>
            <w:hideMark/>
          </w:tcPr>
          <w:p w14:paraId="7802BF7A" w14:textId="77777777" w:rsidR="00000000" w:rsidRDefault="003C49E9">
            <w:pPr>
              <w:rPr>
                <w:rFonts w:eastAsia="Times New Roman"/>
                <w:sz w:val="20"/>
                <w:szCs w:val="20"/>
              </w:rPr>
            </w:pPr>
          </w:p>
        </w:tc>
        <w:tc>
          <w:tcPr>
            <w:tcW w:w="50" w:type="pct"/>
            <w:vAlign w:val="center"/>
            <w:hideMark/>
          </w:tcPr>
          <w:p w14:paraId="1C789BF1" w14:textId="77777777" w:rsidR="00000000" w:rsidRDefault="003C49E9">
            <w:pPr>
              <w:rPr>
                <w:rFonts w:eastAsia="Times New Roman"/>
                <w:sz w:val="20"/>
                <w:szCs w:val="20"/>
              </w:rPr>
            </w:pPr>
          </w:p>
        </w:tc>
        <w:tc>
          <w:tcPr>
            <w:tcW w:w="50" w:type="pct"/>
            <w:vAlign w:val="center"/>
            <w:hideMark/>
          </w:tcPr>
          <w:p w14:paraId="5A032053" w14:textId="77777777" w:rsidR="00000000" w:rsidRDefault="003C49E9">
            <w:pPr>
              <w:rPr>
                <w:rFonts w:eastAsia="Times New Roman"/>
                <w:sz w:val="20"/>
                <w:szCs w:val="20"/>
              </w:rPr>
            </w:pPr>
          </w:p>
        </w:tc>
        <w:tc>
          <w:tcPr>
            <w:tcW w:w="386" w:type="pct"/>
            <w:vAlign w:val="center"/>
            <w:hideMark/>
          </w:tcPr>
          <w:p w14:paraId="44FBFDB3" w14:textId="77777777" w:rsidR="00000000" w:rsidRDefault="003C49E9">
            <w:pPr>
              <w:rPr>
                <w:rFonts w:eastAsia="Times New Roman"/>
                <w:sz w:val="20"/>
                <w:szCs w:val="20"/>
              </w:rPr>
            </w:pPr>
          </w:p>
        </w:tc>
        <w:tc>
          <w:tcPr>
            <w:tcW w:w="50" w:type="pct"/>
            <w:vAlign w:val="center"/>
            <w:hideMark/>
          </w:tcPr>
          <w:p w14:paraId="124084F0" w14:textId="77777777" w:rsidR="00000000" w:rsidRDefault="003C49E9">
            <w:pPr>
              <w:rPr>
                <w:rFonts w:eastAsia="Times New Roman"/>
                <w:sz w:val="20"/>
                <w:szCs w:val="20"/>
              </w:rPr>
            </w:pPr>
          </w:p>
        </w:tc>
        <w:tc>
          <w:tcPr>
            <w:tcW w:w="50" w:type="pct"/>
            <w:vAlign w:val="center"/>
            <w:hideMark/>
          </w:tcPr>
          <w:p w14:paraId="5038948C" w14:textId="77777777" w:rsidR="00000000" w:rsidRDefault="003C49E9">
            <w:pPr>
              <w:rPr>
                <w:rFonts w:eastAsia="Times New Roman"/>
                <w:sz w:val="20"/>
                <w:szCs w:val="20"/>
              </w:rPr>
            </w:pPr>
          </w:p>
        </w:tc>
        <w:tc>
          <w:tcPr>
            <w:tcW w:w="50" w:type="pct"/>
            <w:vAlign w:val="center"/>
            <w:hideMark/>
          </w:tcPr>
          <w:p w14:paraId="25A7A2E4" w14:textId="77777777" w:rsidR="00000000" w:rsidRDefault="003C49E9">
            <w:pPr>
              <w:rPr>
                <w:rFonts w:eastAsia="Times New Roman"/>
                <w:sz w:val="20"/>
                <w:szCs w:val="20"/>
              </w:rPr>
            </w:pPr>
          </w:p>
        </w:tc>
        <w:tc>
          <w:tcPr>
            <w:tcW w:w="251" w:type="pct"/>
            <w:vAlign w:val="center"/>
            <w:hideMark/>
          </w:tcPr>
          <w:p w14:paraId="2B20CB1D" w14:textId="77777777" w:rsidR="00000000" w:rsidRDefault="003C49E9">
            <w:pPr>
              <w:rPr>
                <w:rFonts w:eastAsia="Times New Roman"/>
                <w:sz w:val="20"/>
                <w:szCs w:val="20"/>
              </w:rPr>
            </w:pPr>
          </w:p>
        </w:tc>
        <w:tc>
          <w:tcPr>
            <w:tcW w:w="50" w:type="pct"/>
            <w:vAlign w:val="center"/>
            <w:hideMark/>
          </w:tcPr>
          <w:p w14:paraId="241CD98D" w14:textId="77777777" w:rsidR="00000000" w:rsidRDefault="003C49E9">
            <w:pPr>
              <w:rPr>
                <w:rFonts w:eastAsia="Times New Roman"/>
                <w:sz w:val="20"/>
                <w:szCs w:val="20"/>
              </w:rPr>
            </w:pPr>
          </w:p>
        </w:tc>
        <w:tc>
          <w:tcPr>
            <w:tcW w:w="50" w:type="pct"/>
            <w:vAlign w:val="center"/>
            <w:hideMark/>
          </w:tcPr>
          <w:p w14:paraId="01D2AAAD" w14:textId="77777777" w:rsidR="00000000" w:rsidRDefault="003C49E9">
            <w:pPr>
              <w:rPr>
                <w:rFonts w:eastAsia="Times New Roman"/>
                <w:sz w:val="20"/>
                <w:szCs w:val="20"/>
              </w:rPr>
            </w:pPr>
          </w:p>
        </w:tc>
        <w:tc>
          <w:tcPr>
            <w:tcW w:w="50" w:type="pct"/>
            <w:vAlign w:val="center"/>
            <w:hideMark/>
          </w:tcPr>
          <w:p w14:paraId="09EA6806" w14:textId="77777777" w:rsidR="00000000" w:rsidRDefault="003C49E9">
            <w:pPr>
              <w:rPr>
                <w:rFonts w:eastAsia="Times New Roman"/>
                <w:sz w:val="20"/>
                <w:szCs w:val="20"/>
              </w:rPr>
            </w:pPr>
          </w:p>
        </w:tc>
        <w:tc>
          <w:tcPr>
            <w:tcW w:w="386" w:type="pct"/>
            <w:vAlign w:val="center"/>
            <w:hideMark/>
          </w:tcPr>
          <w:p w14:paraId="00A55200" w14:textId="77777777" w:rsidR="00000000" w:rsidRDefault="003C49E9">
            <w:pPr>
              <w:rPr>
                <w:rFonts w:eastAsia="Times New Roman"/>
                <w:sz w:val="20"/>
                <w:szCs w:val="20"/>
              </w:rPr>
            </w:pPr>
          </w:p>
        </w:tc>
        <w:tc>
          <w:tcPr>
            <w:tcW w:w="50" w:type="pct"/>
            <w:vAlign w:val="center"/>
            <w:hideMark/>
          </w:tcPr>
          <w:p w14:paraId="61478DB9" w14:textId="77777777" w:rsidR="00000000" w:rsidRDefault="003C49E9">
            <w:pPr>
              <w:rPr>
                <w:rFonts w:eastAsia="Times New Roman"/>
                <w:sz w:val="20"/>
                <w:szCs w:val="20"/>
              </w:rPr>
            </w:pPr>
          </w:p>
        </w:tc>
        <w:tc>
          <w:tcPr>
            <w:tcW w:w="50" w:type="pct"/>
            <w:vAlign w:val="center"/>
            <w:hideMark/>
          </w:tcPr>
          <w:p w14:paraId="1114EAF3" w14:textId="77777777" w:rsidR="00000000" w:rsidRDefault="003C49E9">
            <w:pPr>
              <w:rPr>
                <w:rFonts w:eastAsia="Times New Roman"/>
                <w:sz w:val="20"/>
                <w:szCs w:val="20"/>
              </w:rPr>
            </w:pPr>
          </w:p>
        </w:tc>
        <w:tc>
          <w:tcPr>
            <w:tcW w:w="50" w:type="pct"/>
            <w:vAlign w:val="center"/>
            <w:hideMark/>
          </w:tcPr>
          <w:p w14:paraId="6A86242C" w14:textId="77777777" w:rsidR="00000000" w:rsidRDefault="003C49E9">
            <w:pPr>
              <w:rPr>
                <w:rFonts w:eastAsia="Times New Roman"/>
                <w:sz w:val="20"/>
                <w:szCs w:val="20"/>
              </w:rPr>
            </w:pPr>
          </w:p>
        </w:tc>
        <w:tc>
          <w:tcPr>
            <w:tcW w:w="289" w:type="pct"/>
            <w:vAlign w:val="center"/>
            <w:hideMark/>
          </w:tcPr>
          <w:p w14:paraId="37269928" w14:textId="77777777" w:rsidR="00000000" w:rsidRDefault="003C49E9">
            <w:pPr>
              <w:rPr>
                <w:rFonts w:eastAsia="Times New Roman"/>
                <w:sz w:val="20"/>
                <w:szCs w:val="20"/>
              </w:rPr>
            </w:pPr>
          </w:p>
        </w:tc>
        <w:tc>
          <w:tcPr>
            <w:tcW w:w="50" w:type="pct"/>
            <w:vAlign w:val="center"/>
            <w:hideMark/>
          </w:tcPr>
          <w:p w14:paraId="5ECE5FF5" w14:textId="77777777" w:rsidR="00000000" w:rsidRDefault="003C49E9">
            <w:pPr>
              <w:rPr>
                <w:rFonts w:eastAsia="Times New Roman"/>
                <w:sz w:val="20"/>
                <w:szCs w:val="20"/>
              </w:rPr>
            </w:pPr>
          </w:p>
        </w:tc>
        <w:tc>
          <w:tcPr>
            <w:tcW w:w="50" w:type="pct"/>
            <w:vAlign w:val="center"/>
            <w:hideMark/>
          </w:tcPr>
          <w:p w14:paraId="2E441E56" w14:textId="77777777" w:rsidR="00000000" w:rsidRDefault="003C49E9">
            <w:pPr>
              <w:rPr>
                <w:rFonts w:eastAsia="Times New Roman"/>
                <w:sz w:val="20"/>
                <w:szCs w:val="20"/>
              </w:rPr>
            </w:pPr>
          </w:p>
        </w:tc>
        <w:tc>
          <w:tcPr>
            <w:tcW w:w="50" w:type="pct"/>
            <w:vAlign w:val="center"/>
            <w:hideMark/>
          </w:tcPr>
          <w:p w14:paraId="064C850A" w14:textId="77777777" w:rsidR="00000000" w:rsidRDefault="003C49E9">
            <w:pPr>
              <w:rPr>
                <w:rFonts w:eastAsia="Times New Roman"/>
                <w:sz w:val="20"/>
                <w:szCs w:val="20"/>
              </w:rPr>
            </w:pPr>
          </w:p>
        </w:tc>
        <w:tc>
          <w:tcPr>
            <w:tcW w:w="386" w:type="pct"/>
            <w:vAlign w:val="center"/>
            <w:hideMark/>
          </w:tcPr>
          <w:p w14:paraId="40988229" w14:textId="77777777" w:rsidR="00000000" w:rsidRDefault="003C49E9">
            <w:pPr>
              <w:rPr>
                <w:rFonts w:eastAsia="Times New Roman"/>
                <w:sz w:val="20"/>
                <w:szCs w:val="20"/>
              </w:rPr>
            </w:pPr>
          </w:p>
        </w:tc>
        <w:tc>
          <w:tcPr>
            <w:tcW w:w="50" w:type="pct"/>
            <w:vAlign w:val="center"/>
            <w:hideMark/>
          </w:tcPr>
          <w:p w14:paraId="35C63B35" w14:textId="77777777" w:rsidR="00000000" w:rsidRDefault="003C49E9">
            <w:pPr>
              <w:rPr>
                <w:rFonts w:eastAsia="Times New Roman"/>
                <w:sz w:val="20"/>
                <w:szCs w:val="20"/>
              </w:rPr>
            </w:pPr>
          </w:p>
        </w:tc>
        <w:tc>
          <w:tcPr>
            <w:tcW w:w="50" w:type="pct"/>
            <w:vAlign w:val="center"/>
            <w:hideMark/>
          </w:tcPr>
          <w:p w14:paraId="10DA31B4" w14:textId="77777777" w:rsidR="00000000" w:rsidRDefault="003C49E9">
            <w:pPr>
              <w:rPr>
                <w:rFonts w:eastAsia="Times New Roman"/>
                <w:sz w:val="20"/>
                <w:szCs w:val="20"/>
              </w:rPr>
            </w:pPr>
          </w:p>
        </w:tc>
        <w:tc>
          <w:tcPr>
            <w:tcW w:w="50" w:type="pct"/>
            <w:vAlign w:val="center"/>
            <w:hideMark/>
          </w:tcPr>
          <w:p w14:paraId="1DB18AE1" w14:textId="77777777" w:rsidR="00000000" w:rsidRDefault="003C49E9">
            <w:pPr>
              <w:rPr>
                <w:rFonts w:eastAsia="Times New Roman"/>
                <w:sz w:val="20"/>
                <w:szCs w:val="20"/>
              </w:rPr>
            </w:pPr>
          </w:p>
        </w:tc>
        <w:tc>
          <w:tcPr>
            <w:tcW w:w="329" w:type="pct"/>
            <w:vAlign w:val="center"/>
            <w:hideMark/>
          </w:tcPr>
          <w:p w14:paraId="3F298DF7" w14:textId="77777777" w:rsidR="00000000" w:rsidRDefault="003C49E9">
            <w:pPr>
              <w:rPr>
                <w:rFonts w:eastAsia="Times New Roman"/>
                <w:sz w:val="20"/>
                <w:szCs w:val="20"/>
              </w:rPr>
            </w:pPr>
          </w:p>
        </w:tc>
        <w:tc>
          <w:tcPr>
            <w:tcW w:w="50" w:type="pct"/>
            <w:vAlign w:val="center"/>
            <w:hideMark/>
          </w:tcPr>
          <w:p w14:paraId="3838075C" w14:textId="77777777" w:rsidR="00000000" w:rsidRDefault="003C49E9">
            <w:pPr>
              <w:rPr>
                <w:rFonts w:eastAsia="Times New Roman"/>
                <w:sz w:val="20"/>
                <w:szCs w:val="20"/>
              </w:rPr>
            </w:pPr>
          </w:p>
        </w:tc>
        <w:tc>
          <w:tcPr>
            <w:tcW w:w="50" w:type="pct"/>
            <w:vAlign w:val="center"/>
            <w:hideMark/>
          </w:tcPr>
          <w:p w14:paraId="587F2AF6" w14:textId="77777777" w:rsidR="00000000" w:rsidRDefault="003C49E9">
            <w:pPr>
              <w:rPr>
                <w:rFonts w:eastAsia="Times New Roman"/>
                <w:sz w:val="20"/>
                <w:szCs w:val="20"/>
              </w:rPr>
            </w:pPr>
          </w:p>
        </w:tc>
        <w:tc>
          <w:tcPr>
            <w:tcW w:w="50" w:type="pct"/>
            <w:vAlign w:val="center"/>
            <w:hideMark/>
          </w:tcPr>
          <w:p w14:paraId="21A017B4" w14:textId="77777777" w:rsidR="00000000" w:rsidRDefault="003C49E9">
            <w:pPr>
              <w:rPr>
                <w:rFonts w:eastAsia="Times New Roman"/>
                <w:sz w:val="20"/>
                <w:szCs w:val="20"/>
              </w:rPr>
            </w:pPr>
          </w:p>
        </w:tc>
        <w:tc>
          <w:tcPr>
            <w:tcW w:w="420" w:type="pct"/>
            <w:vAlign w:val="center"/>
            <w:hideMark/>
          </w:tcPr>
          <w:p w14:paraId="15BA234B" w14:textId="77777777" w:rsidR="00000000" w:rsidRDefault="003C49E9">
            <w:pPr>
              <w:rPr>
                <w:rFonts w:eastAsia="Times New Roman"/>
                <w:sz w:val="20"/>
                <w:szCs w:val="20"/>
              </w:rPr>
            </w:pPr>
          </w:p>
        </w:tc>
        <w:tc>
          <w:tcPr>
            <w:tcW w:w="50" w:type="pct"/>
            <w:vAlign w:val="center"/>
            <w:hideMark/>
          </w:tcPr>
          <w:p w14:paraId="20E8B1FD" w14:textId="77777777" w:rsidR="00000000" w:rsidRDefault="003C49E9">
            <w:pPr>
              <w:rPr>
                <w:rFonts w:eastAsia="Times New Roman"/>
                <w:sz w:val="20"/>
                <w:szCs w:val="20"/>
              </w:rPr>
            </w:pPr>
          </w:p>
        </w:tc>
      </w:tr>
      <w:tr w:rsidR="00000000" w14:paraId="0565B80B" w14:textId="77777777">
        <w:trPr>
          <w:trHeight w:val="140"/>
          <w:tblCellSpacing w:w="15" w:type="dxa"/>
        </w:trPr>
        <w:tc>
          <w:tcPr>
            <w:tcW w:w="0" w:type="auto"/>
            <w:vAlign w:val="bottom"/>
            <w:hideMark/>
          </w:tcPr>
          <w:p w14:paraId="34097D26"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B12F5FD"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5173ED49"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6762E57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8098E7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1AB910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DE8521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4A17F2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297699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5B978D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75E1E3D"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30BAC8DE"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08B8B87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189F34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446547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9232E1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5AD53C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572A33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9EC9D91"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27F11576" w14:textId="77777777">
        <w:trPr>
          <w:trHeight w:val="140"/>
          <w:tblCellSpacing w:w="15" w:type="dxa"/>
        </w:trPr>
        <w:tc>
          <w:tcPr>
            <w:tcW w:w="0" w:type="auto"/>
            <w:vAlign w:val="bottom"/>
            <w:hideMark/>
          </w:tcPr>
          <w:p w14:paraId="2A5234EC"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2EC4FAA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5D1C0D9"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6AE0244A"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3DD147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366A3CC"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53A6940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388A0FB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388946D"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49B2E9F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FC7B1A7"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AF74196"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5A9C035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E37FC84"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4DF0F5F"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6C5D8AE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BA770A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1998651"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39C2AE7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CACBBD0"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9AE0291"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73A52CA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2AEAA1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21BFB016"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51D30845"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7C699257" w14:textId="77777777">
        <w:trPr>
          <w:trHeight w:val="180"/>
          <w:tblCellSpacing w:w="15" w:type="dxa"/>
        </w:trPr>
        <w:tc>
          <w:tcPr>
            <w:tcW w:w="0" w:type="auto"/>
            <w:vAlign w:val="bottom"/>
            <w:hideMark/>
          </w:tcPr>
          <w:p w14:paraId="66D113E6" w14:textId="77777777" w:rsidR="00000000" w:rsidRDefault="003C49E9">
            <w:pPr>
              <w:pStyle w:val="a3"/>
              <w:spacing w:before="0" w:beforeAutospacing="0" w:after="0" w:afterAutospacing="0"/>
              <w:rPr>
                <w:sz w:val="19"/>
                <w:szCs w:val="19"/>
              </w:rPr>
            </w:pPr>
            <w:r>
              <w:rPr>
                <w:sz w:val="19"/>
                <w:szCs w:val="19"/>
              </w:rPr>
              <w:t>Interest expens</w:t>
            </w:r>
            <w:r>
              <w:rPr>
                <w:sz w:val="19"/>
                <w:szCs w:val="19"/>
              </w:rPr>
              <w:t>e</w:t>
            </w:r>
          </w:p>
        </w:tc>
        <w:tc>
          <w:tcPr>
            <w:tcW w:w="0" w:type="auto"/>
            <w:vAlign w:val="bottom"/>
            <w:hideMark/>
          </w:tcPr>
          <w:p w14:paraId="7DF55C0E"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8D98ECE"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D484947" w14:textId="77777777" w:rsidR="00000000" w:rsidRDefault="003C49E9">
            <w:pPr>
              <w:pStyle w:val="a3"/>
              <w:spacing w:before="0" w:beforeAutospacing="0" w:after="0" w:afterAutospacing="0"/>
              <w:jc w:val="right"/>
              <w:rPr>
                <w:sz w:val="19"/>
                <w:szCs w:val="19"/>
              </w:rPr>
            </w:pPr>
            <w:r>
              <w:rPr>
                <w:sz w:val="19"/>
                <w:szCs w:val="19"/>
              </w:rPr>
              <w:t>(94</w:t>
            </w:r>
            <w:r>
              <w:rPr>
                <w:sz w:val="19"/>
                <w:szCs w:val="19"/>
              </w:rPr>
              <w:t>9</w:t>
            </w:r>
          </w:p>
        </w:tc>
        <w:tc>
          <w:tcPr>
            <w:tcW w:w="0" w:type="auto"/>
            <w:noWrap/>
            <w:vAlign w:val="bottom"/>
            <w:hideMark/>
          </w:tcPr>
          <w:p w14:paraId="39301DD5"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5F5439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D2E5E6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6E7925E" w14:textId="77777777" w:rsidR="00000000" w:rsidRDefault="003C49E9">
            <w:pPr>
              <w:pStyle w:val="a3"/>
              <w:spacing w:before="0" w:beforeAutospacing="0" w:after="0" w:afterAutospacing="0"/>
              <w:jc w:val="right"/>
              <w:rPr>
                <w:sz w:val="19"/>
                <w:szCs w:val="19"/>
              </w:rPr>
            </w:pPr>
            <w:r>
              <w:rPr>
                <w:sz w:val="19"/>
                <w:szCs w:val="19"/>
              </w:rPr>
              <w:t>(7,17</w:t>
            </w:r>
            <w:r>
              <w:rPr>
                <w:sz w:val="19"/>
                <w:szCs w:val="19"/>
              </w:rPr>
              <w:t>9</w:t>
            </w:r>
          </w:p>
        </w:tc>
        <w:tc>
          <w:tcPr>
            <w:tcW w:w="0" w:type="auto"/>
            <w:noWrap/>
            <w:vAlign w:val="bottom"/>
            <w:hideMark/>
          </w:tcPr>
          <w:p w14:paraId="5CE705E6"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5DA3C0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03D622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DEA95C9" w14:textId="77777777" w:rsidR="00000000" w:rsidRDefault="003C49E9">
            <w:pPr>
              <w:pStyle w:val="a3"/>
              <w:spacing w:before="0" w:beforeAutospacing="0" w:after="0" w:afterAutospacing="0"/>
              <w:jc w:val="right"/>
              <w:rPr>
                <w:sz w:val="19"/>
                <w:szCs w:val="19"/>
              </w:rPr>
            </w:pPr>
            <w:r>
              <w:rPr>
                <w:sz w:val="19"/>
                <w:szCs w:val="19"/>
              </w:rPr>
              <w:t>(6,23</w:t>
            </w:r>
            <w:r>
              <w:rPr>
                <w:sz w:val="19"/>
                <w:szCs w:val="19"/>
              </w:rPr>
              <w:t>0</w:t>
            </w:r>
          </w:p>
        </w:tc>
        <w:tc>
          <w:tcPr>
            <w:tcW w:w="0" w:type="auto"/>
            <w:noWrap/>
            <w:vAlign w:val="bottom"/>
            <w:hideMark/>
          </w:tcPr>
          <w:p w14:paraId="7B80F4EA"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1D40BE5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7D35A9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624708CD" w14:textId="77777777" w:rsidR="00000000" w:rsidRDefault="003C49E9">
            <w:pPr>
              <w:pStyle w:val="a3"/>
              <w:spacing w:before="0" w:beforeAutospacing="0" w:after="0" w:afterAutospacing="0"/>
              <w:jc w:val="right"/>
              <w:rPr>
                <w:sz w:val="19"/>
                <w:szCs w:val="19"/>
              </w:rPr>
            </w:pPr>
            <w:r>
              <w:rPr>
                <w:sz w:val="19"/>
                <w:szCs w:val="19"/>
              </w:rPr>
              <w:t>(8</w:t>
            </w:r>
            <w:r>
              <w:rPr>
                <w:sz w:val="19"/>
                <w:szCs w:val="19"/>
              </w:rPr>
              <w:t>7</w:t>
            </w:r>
          </w:p>
        </w:tc>
        <w:tc>
          <w:tcPr>
            <w:tcW w:w="0" w:type="auto"/>
            <w:noWrap/>
            <w:vAlign w:val="bottom"/>
            <w:hideMark/>
          </w:tcPr>
          <w:p w14:paraId="5A299848" w14:textId="77777777" w:rsidR="00000000" w:rsidRDefault="003C49E9">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14:paraId="08C3ED02"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F6819F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7B87045" w14:textId="77777777" w:rsidR="00000000" w:rsidRDefault="003C49E9">
            <w:pPr>
              <w:pStyle w:val="a3"/>
              <w:spacing w:before="0" w:beforeAutospacing="0" w:after="0" w:afterAutospacing="0"/>
              <w:jc w:val="right"/>
              <w:rPr>
                <w:sz w:val="19"/>
                <w:szCs w:val="19"/>
              </w:rPr>
            </w:pPr>
            <w:r>
              <w:rPr>
                <w:sz w:val="19"/>
                <w:szCs w:val="19"/>
              </w:rPr>
              <w:t>(1,89</w:t>
            </w:r>
            <w:r>
              <w:rPr>
                <w:sz w:val="19"/>
                <w:szCs w:val="19"/>
              </w:rPr>
              <w:t>8</w:t>
            </w:r>
          </w:p>
        </w:tc>
        <w:tc>
          <w:tcPr>
            <w:tcW w:w="0" w:type="auto"/>
            <w:noWrap/>
            <w:vAlign w:val="bottom"/>
            <w:hideMark/>
          </w:tcPr>
          <w:p w14:paraId="39B7DD9C"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DBD7BA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93D37D7"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C941736" w14:textId="77777777" w:rsidR="00000000" w:rsidRDefault="003C49E9">
            <w:pPr>
              <w:pStyle w:val="a3"/>
              <w:spacing w:before="0" w:beforeAutospacing="0" w:after="0" w:afterAutospacing="0"/>
              <w:jc w:val="right"/>
              <w:rPr>
                <w:sz w:val="19"/>
                <w:szCs w:val="19"/>
              </w:rPr>
            </w:pPr>
            <w:r>
              <w:rPr>
                <w:sz w:val="19"/>
                <w:szCs w:val="19"/>
              </w:rPr>
              <w:t>(16,57</w:t>
            </w:r>
            <w:r>
              <w:rPr>
                <w:sz w:val="19"/>
                <w:szCs w:val="19"/>
              </w:rPr>
              <w:t>8</w:t>
            </w:r>
          </w:p>
        </w:tc>
        <w:tc>
          <w:tcPr>
            <w:tcW w:w="0" w:type="auto"/>
            <w:noWrap/>
            <w:vAlign w:val="bottom"/>
            <w:hideMark/>
          </w:tcPr>
          <w:p w14:paraId="684B3FDE"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9DE0BE7"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467B781B"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9BB7FD3" w14:textId="77777777" w:rsidR="00000000" w:rsidRDefault="003C49E9">
            <w:pPr>
              <w:pStyle w:val="a3"/>
              <w:spacing w:before="0" w:beforeAutospacing="0" w:after="0" w:afterAutospacing="0"/>
              <w:jc w:val="right"/>
              <w:rPr>
                <w:sz w:val="19"/>
                <w:szCs w:val="19"/>
              </w:rPr>
            </w:pPr>
            <w:r>
              <w:rPr>
                <w:sz w:val="19"/>
                <w:szCs w:val="19"/>
              </w:rPr>
              <w:t>(14,68</w:t>
            </w:r>
            <w:r>
              <w:rPr>
                <w:sz w:val="19"/>
                <w:szCs w:val="19"/>
              </w:rPr>
              <w:t>0</w:t>
            </w:r>
          </w:p>
        </w:tc>
        <w:tc>
          <w:tcPr>
            <w:tcW w:w="0" w:type="auto"/>
            <w:noWrap/>
            <w:vAlign w:val="bottom"/>
            <w:hideMark/>
          </w:tcPr>
          <w:p w14:paraId="79237739"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0A1C10A"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87775E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9F1D2AA" w14:textId="77777777" w:rsidR="00000000" w:rsidRDefault="003C49E9">
            <w:pPr>
              <w:pStyle w:val="a3"/>
              <w:spacing w:before="0" w:beforeAutospacing="0" w:after="0" w:afterAutospacing="0"/>
              <w:jc w:val="right"/>
              <w:rPr>
                <w:sz w:val="19"/>
                <w:szCs w:val="19"/>
              </w:rPr>
            </w:pPr>
            <w:r>
              <w:rPr>
                <w:sz w:val="19"/>
                <w:szCs w:val="19"/>
              </w:rPr>
              <w:t>(8</w:t>
            </w:r>
            <w:r>
              <w:rPr>
                <w:sz w:val="19"/>
                <w:szCs w:val="19"/>
              </w:rPr>
              <w:t>9</w:t>
            </w:r>
          </w:p>
        </w:tc>
        <w:tc>
          <w:tcPr>
            <w:tcW w:w="0" w:type="auto"/>
            <w:noWrap/>
            <w:vAlign w:val="bottom"/>
            <w:hideMark/>
          </w:tcPr>
          <w:p w14:paraId="2D2B97C1" w14:textId="77777777" w:rsidR="00000000" w:rsidRDefault="003C49E9">
            <w:pPr>
              <w:pStyle w:val="a3"/>
              <w:spacing w:before="0" w:beforeAutospacing="0" w:after="0" w:afterAutospacing="0"/>
              <w:rPr>
                <w:sz w:val="19"/>
                <w:szCs w:val="19"/>
              </w:rPr>
            </w:pPr>
            <w:r>
              <w:rPr>
                <w:sz w:val="19"/>
                <w:szCs w:val="19"/>
              </w:rPr>
              <w:t>)</w:t>
            </w:r>
            <w:r>
              <w:rPr>
                <w:sz w:val="19"/>
                <w:szCs w:val="19"/>
              </w:rPr>
              <w:t>%</w:t>
            </w:r>
          </w:p>
        </w:tc>
      </w:tr>
      <w:tr w:rsidR="00000000" w14:paraId="1BBD76ED" w14:textId="77777777">
        <w:trPr>
          <w:trHeight w:val="180"/>
          <w:tblCellSpacing w:w="15" w:type="dxa"/>
        </w:trPr>
        <w:tc>
          <w:tcPr>
            <w:tcW w:w="0" w:type="auto"/>
            <w:vAlign w:val="bottom"/>
            <w:hideMark/>
          </w:tcPr>
          <w:p w14:paraId="791FFB87" w14:textId="77777777" w:rsidR="00000000" w:rsidRDefault="003C49E9">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14:paraId="5B0167D9"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5FF9C8C5"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0C981EB6"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42DEEA3C"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7CCCC986"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75C0FB1" w14:textId="77777777" w:rsidR="00000000" w:rsidRDefault="003C49E9">
            <w:pPr>
              <w:pStyle w:val="a3"/>
              <w:spacing w:before="0" w:beforeAutospacing="0" w:after="0" w:afterAutospacing="0"/>
              <w:jc w:val="right"/>
              <w:rPr>
                <w:sz w:val="19"/>
                <w:szCs w:val="19"/>
              </w:rPr>
            </w:pPr>
            <w:r>
              <w:rPr>
                <w:sz w:val="19"/>
                <w:szCs w:val="19"/>
              </w:rPr>
              <w:t>(</w:t>
            </w:r>
            <w:r>
              <w:rPr>
                <w:sz w:val="19"/>
                <w:szCs w:val="19"/>
              </w:rPr>
              <w:t>2</w:t>
            </w:r>
          </w:p>
        </w:tc>
        <w:tc>
          <w:tcPr>
            <w:tcW w:w="0" w:type="auto"/>
            <w:noWrap/>
            <w:vAlign w:val="bottom"/>
            <w:hideMark/>
          </w:tcPr>
          <w:p w14:paraId="01D2D671" w14:textId="77777777" w:rsidR="00000000" w:rsidRDefault="003C49E9">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14:paraId="10795810"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1A341B55"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5C095B3A"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DFDA79E"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371459A7"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22C01BE2"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EFA7A21"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2A2C1357"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77EEB1CA"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1B2793A3"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5857946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2E60CFD" w14:textId="77777777" w:rsidR="00000000" w:rsidRDefault="003C49E9">
            <w:pPr>
              <w:pStyle w:val="a3"/>
              <w:spacing w:before="0" w:beforeAutospacing="0" w:after="0" w:afterAutospacing="0"/>
              <w:jc w:val="right"/>
              <w:rPr>
                <w:sz w:val="19"/>
                <w:szCs w:val="19"/>
              </w:rPr>
            </w:pPr>
            <w:r>
              <w:rPr>
                <w:sz w:val="19"/>
                <w:szCs w:val="19"/>
              </w:rPr>
              <w:t>(</w:t>
            </w:r>
            <w:r>
              <w:rPr>
                <w:sz w:val="19"/>
                <w:szCs w:val="19"/>
              </w:rPr>
              <w:t>3</w:t>
            </w:r>
          </w:p>
        </w:tc>
        <w:tc>
          <w:tcPr>
            <w:tcW w:w="0" w:type="auto"/>
            <w:noWrap/>
            <w:vAlign w:val="bottom"/>
            <w:hideMark/>
          </w:tcPr>
          <w:p w14:paraId="3E8D1542" w14:textId="77777777" w:rsidR="00000000" w:rsidRDefault="003C49E9">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14:paraId="45756C87" w14:textId="77777777" w:rsidR="00000000" w:rsidRDefault="003C49E9">
            <w:pPr>
              <w:pStyle w:val="a3"/>
              <w:spacing w:before="0" w:beforeAutospacing="0" w:after="0" w:afterAutospacing="0"/>
              <w:jc w:val="center"/>
              <w:rPr>
                <w:sz w:val="19"/>
                <w:szCs w:val="19"/>
              </w:rPr>
            </w:pPr>
            <w:r>
              <w:rPr>
                <w:sz w:val="19"/>
                <w:szCs w:val="19"/>
              </w:rPr>
              <w:t> </w:t>
            </w:r>
          </w:p>
        </w:tc>
        <w:tc>
          <w:tcPr>
            <w:tcW w:w="0" w:type="auto"/>
            <w:gridSpan w:val="2"/>
            <w:vAlign w:val="bottom"/>
            <w:hideMark/>
          </w:tcPr>
          <w:p w14:paraId="44D151EE"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2D40FDF7"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15BB2CA"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25E6C2DB"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20CE0C60" w14:textId="77777777" w:rsidR="00000000" w:rsidRDefault="003C49E9">
            <w:pPr>
              <w:pStyle w:val="a3"/>
              <w:spacing w:before="0" w:beforeAutospacing="0" w:after="0" w:afterAutospacing="0"/>
              <w:jc w:val="right"/>
              <w:rPr>
                <w:sz w:val="19"/>
                <w:szCs w:val="19"/>
              </w:rPr>
            </w:pPr>
            <w:r>
              <w:rPr>
                <w:sz w:val="19"/>
                <w:szCs w:val="19"/>
              </w:rPr>
              <w:t> </w:t>
            </w:r>
          </w:p>
        </w:tc>
      </w:tr>
    </w:tbl>
    <w:p w14:paraId="4E88107A" w14:textId="77777777" w:rsidR="00000000" w:rsidRDefault="003C49E9">
      <w:pPr>
        <w:pStyle w:val="a3"/>
        <w:spacing w:before="200" w:beforeAutospacing="0" w:after="0" w:afterAutospacing="0"/>
        <w:ind w:hanging="581"/>
        <w:rPr>
          <w:sz w:val="20"/>
          <w:szCs w:val="20"/>
        </w:rPr>
      </w:pPr>
      <w:r>
        <w:rPr>
          <w:sz w:val="20"/>
          <w:szCs w:val="20"/>
        </w:rPr>
        <w:t xml:space="preserve">* </w:t>
      </w:r>
      <w:r>
        <w:rPr>
          <w:sz w:val="20"/>
          <w:szCs w:val="20"/>
        </w:rPr>
        <w:t>not meaningfu</w:t>
      </w:r>
      <w:r>
        <w:rPr>
          <w:sz w:val="20"/>
          <w:szCs w:val="20"/>
        </w:rPr>
        <w:t>l</w:t>
      </w:r>
    </w:p>
    <w:p w14:paraId="54ED02DE" w14:textId="77777777" w:rsidR="00000000" w:rsidRDefault="003C49E9">
      <w:pPr>
        <w:pStyle w:val="a3"/>
        <w:spacing w:before="200" w:beforeAutospacing="0" w:after="0" w:afterAutospacing="0"/>
        <w:ind w:firstLine="592"/>
        <w:rPr>
          <w:sz w:val="20"/>
          <w:szCs w:val="20"/>
        </w:rPr>
      </w:pPr>
      <w:r>
        <w:rPr>
          <w:sz w:val="20"/>
          <w:szCs w:val="20"/>
        </w:rPr>
        <w:t>The change in interest expense for the three and six months ended June 30, 2022 compared to the same period in 2021 is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29"/>
        <w:gridCol w:w="110"/>
        <w:gridCol w:w="160"/>
        <w:gridCol w:w="967"/>
        <w:gridCol w:w="127"/>
        <w:gridCol w:w="115"/>
        <w:gridCol w:w="160"/>
        <w:gridCol w:w="1035"/>
        <w:gridCol w:w="142"/>
      </w:tblGrid>
      <w:tr w:rsidR="00000000" w14:paraId="1C3D1416" w14:textId="77777777">
        <w:trPr>
          <w:tblCellSpacing w:w="15" w:type="dxa"/>
        </w:trPr>
        <w:tc>
          <w:tcPr>
            <w:tcW w:w="3044" w:type="pct"/>
            <w:vAlign w:val="center"/>
            <w:hideMark/>
          </w:tcPr>
          <w:p w14:paraId="2393E3BB" w14:textId="77777777" w:rsidR="00000000" w:rsidRDefault="003C49E9">
            <w:pPr>
              <w:rPr>
                <w:sz w:val="20"/>
                <w:szCs w:val="20"/>
              </w:rPr>
            </w:pPr>
          </w:p>
        </w:tc>
        <w:tc>
          <w:tcPr>
            <w:tcW w:w="48" w:type="pct"/>
            <w:vAlign w:val="center"/>
            <w:hideMark/>
          </w:tcPr>
          <w:p w14:paraId="7B9431AE" w14:textId="77777777" w:rsidR="00000000" w:rsidRDefault="003C49E9">
            <w:pPr>
              <w:rPr>
                <w:rFonts w:eastAsia="Times New Roman"/>
                <w:sz w:val="20"/>
                <w:szCs w:val="20"/>
              </w:rPr>
            </w:pPr>
          </w:p>
        </w:tc>
        <w:tc>
          <w:tcPr>
            <w:tcW w:w="50" w:type="pct"/>
            <w:vAlign w:val="center"/>
            <w:hideMark/>
          </w:tcPr>
          <w:p w14:paraId="7F42DB9D" w14:textId="77777777" w:rsidR="00000000" w:rsidRDefault="003C49E9">
            <w:pPr>
              <w:rPr>
                <w:rFonts w:eastAsia="Times New Roman"/>
                <w:sz w:val="20"/>
                <w:szCs w:val="20"/>
              </w:rPr>
            </w:pPr>
          </w:p>
        </w:tc>
        <w:tc>
          <w:tcPr>
            <w:tcW w:w="802" w:type="pct"/>
            <w:vAlign w:val="center"/>
            <w:hideMark/>
          </w:tcPr>
          <w:p w14:paraId="42F01C88" w14:textId="77777777" w:rsidR="00000000" w:rsidRDefault="003C49E9">
            <w:pPr>
              <w:rPr>
                <w:rFonts w:eastAsia="Times New Roman"/>
                <w:sz w:val="20"/>
                <w:szCs w:val="20"/>
              </w:rPr>
            </w:pPr>
          </w:p>
        </w:tc>
        <w:tc>
          <w:tcPr>
            <w:tcW w:w="50" w:type="pct"/>
            <w:vAlign w:val="center"/>
            <w:hideMark/>
          </w:tcPr>
          <w:p w14:paraId="1083690C" w14:textId="77777777" w:rsidR="00000000" w:rsidRDefault="003C49E9">
            <w:pPr>
              <w:rPr>
                <w:rFonts w:eastAsia="Times New Roman"/>
                <w:sz w:val="20"/>
                <w:szCs w:val="20"/>
              </w:rPr>
            </w:pPr>
          </w:p>
        </w:tc>
        <w:tc>
          <w:tcPr>
            <w:tcW w:w="48" w:type="pct"/>
            <w:vAlign w:val="center"/>
            <w:hideMark/>
          </w:tcPr>
          <w:p w14:paraId="1C61AA75" w14:textId="77777777" w:rsidR="00000000" w:rsidRDefault="003C49E9">
            <w:pPr>
              <w:rPr>
                <w:rFonts w:eastAsia="Times New Roman"/>
                <w:sz w:val="20"/>
                <w:szCs w:val="20"/>
              </w:rPr>
            </w:pPr>
          </w:p>
        </w:tc>
        <w:tc>
          <w:tcPr>
            <w:tcW w:w="50" w:type="pct"/>
            <w:vAlign w:val="center"/>
            <w:hideMark/>
          </w:tcPr>
          <w:p w14:paraId="69D50DB6" w14:textId="77777777" w:rsidR="00000000" w:rsidRDefault="003C49E9">
            <w:pPr>
              <w:rPr>
                <w:rFonts w:eastAsia="Times New Roman"/>
                <w:sz w:val="20"/>
                <w:szCs w:val="20"/>
              </w:rPr>
            </w:pPr>
          </w:p>
        </w:tc>
        <w:tc>
          <w:tcPr>
            <w:tcW w:w="855" w:type="pct"/>
            <w:vAlign w:val="center"/>
            <w:hideMark/>
          </w:tcPr>
          <w:p w14:paraId="2D7BFCB3" w14:textId="77777777" w:rsidR="00000000" w:rsidRDefault="003C49E9">
            <w:pPr>
              <w:rPr>
                <w:rFonts w:eastAsia="Times New Roman"/>
                <w:sz w:val="20"/>
                <w:szCs w:val="20"/>
              </w:rPr>
            </w:pPr>
          </w:p>
        </w:tc>
        <w:tc>
          <w:tcPr>
            <w:tcW w:w="50" w:type="pct"/>
            <w:vAlign w:val="center"/>
            <w:hideMark/>
          </w:tcPr>
          <w:p w14:paraId="089A22FE" w14:textId="77777777" w:rsidR="00000000" w:rsidRDefault="003C49E9">
            <w:pPr>
              <w:rPr>
                <w:rFonts w:eastAsia="Times New Roman"/>
                <w:sz w:val="20"/>
                <w:szCs w:val="20"/>
              </w:rPr>
            </w:pPr>
          </w:p>
        </w:tc>
      </w:tr>
      <w:tr w:rsidR="00000000" w14:paraId="60C1D45C" w14:textId="77777777">
        <w:trPr>
          <w:trHeight w:val="160"/>
          <w:tblCellSpacing w:w="15" w:type="dxa"/>
        </w:trPr>
        <w:tc>
          <w:tcPr>
            <w:tcW w:w="0" w:type="auto"/>
            <w:vAlign w:val="bottom"/>
            <w:hideMark/>
          </w:tcPr>
          <w:p w14:paraId="6E38511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018C4CBB"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7E686631"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062551D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78A91C24" w14:textId="77777777">
        <w:trPr>
          <w:trHeight w:val="160"/>
          <w:tblCellSpacing w:w="15" w:type="dxa"/>
        </w:trPr>
        <w:tc>
          <w:tcPr>
            <w:tcW w:w="0" w:type="auto"/>
            <w:vAlign w:val="bottom"/>
            <w:hideMark/>
          </w:tcPr>
          <w:p w14:paraId="06FCC829"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A976E3D"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0E6CED7C"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03DF60ED"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2B962463"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39FEBDF6"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7CCA5198"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A6946E0" w14:textId="77777777">
        <w:trPr>
          <w:trHeight w:val="160"/>
          <w:tblCellSpacing w:w="15" w:type="dxa"/>
        </w:trPr>
        <w:tc>
          <w:tcPr>
            <w:tcW w:w="0" w:type="auto"/>
            <w:vAlign w:val="bottom"/>
            <w:hideMark/>
          </w:tcPr>
          <w:p w14:paraId="0AA98EE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DB4D0B" w14:textId="77777777" w:rsidR="00000000" w:rsidRDefault="003C49E9">
            <w:pPr>
              <w:pStyle w:val="a3"/>
              <w:spacing w:before="0" w:beforeAutospacing="0" w:after="0" w:afterAutospacing="0"/>
              <w:rPr>
                <w:sz w:val="20"/>
                <w:szCs w:val="20"/>
              </w:rPr>
            </w:pPr>
            <w:r>
              <w:rPr>
                <w:sz w:val="20"/>
                <w:szCs w:val="20"/>
              </w:rPr>
              <w:t> </w:t>
            </w:r>
          </w:p>
        </w:tc>
        <w:tc>
          <w:tcPr>
            <w:tcW w:w="0" w:type="auto"/>
            <w:gridSpan w:val="6"/>
            <w:vAlign w:val="bottom"/>
            <w:hideMark/>
          </w:tcPr>
          <w:p w14:paraId="692769C6"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811B569"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CE96BE0" w14:textId="77777777">
        <w:trPr>
          <w:trHeight w:val="200"/>
          <w:tblCellSpacing w:w="15" w:type="dxa"/>
        </w:trPr>
        <w:tc>
          <w:tcPr>
            <w:tcW w:w="0" w:type="auto"/>
            <w:hideMark/>
          </w:tcPr>
          <w:p w14:paraId="43D0CF06" w14:textId="77777777" w:rsidR="00000000" w:rsidRDefault="003C49E9">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14:paraId="3CA2F63E" w14:textId="77777777" w:rsidR="00000000" w:rsidRDefault="003C49E9">
            <w:pPr>
              <w:pStyle w:val="a3"/>
              <w:spacing w:before="0" w:beforeAutospacing="0" w:after="0" w:afterAutospacing="0"/>
              <w:rPr>
                <w:sz w:val="20"/>
                <w:szCs w:val="20"/>
              </w:rPr>
            </w:pPr>
            <w:r>
              <w:rPr>
                <w:sz w:val="20"/>
                <w:szCs w:val="20"/>
              </w:rPr>
              <w:t> </w:t>
            </w:r>
          </w:p>
        </w:tc>
        <w:tc>
          <w:tcPr>
            <w:tcW w:w="0" w:type="auto"/>
            <w:noWrap/>
            <w:hideMark/>
          </w:tcPr>
          <w:p w14:paraId="52CD72ED" w14:textId="77777777" w:rsidR="00000000" w:rsidRDefault="003C49E9">
            <w:pPr>
              <w:pStyle w:val="a3"/>
              <w:spacing w:before="0" w:beforeAutospacing="0" w:after="0" w:afterAutospacing="0"/>
              <w:rPr>
                <w:sz w:val="20"/>
                <w:szCs w:val="20"/>
              </w:rPr>
            </w:pPr>
            <w:r>
              <w:rPr>
                <w:sz w:val="20"/>
                <w:szCs w:val="20"/>
              </w:rPr>
              <w:t>$</w:t>
            </w:r>
          </w:p>
        </w:tc>
        <w:tc>
          <w:tcPr>
            <w:tcW w:w="0" w:type="auto"/>
            <w:hideMark/>
          </w:tcPr>
          <w:p w14:paraId="2EBED619" w14:textId="77777777" w:rsidR="00000000" w:rsidRDefault="003C49E9">
            <w:pPr>
              <w:pStyle w:val="a3"/>
              <w:spacing w:before="0" w:beforeAutospacing="0" w:after="0" w:afterAutospacing="0"/>
              <w:jc w:val="right"/>
              <w:rPr>
                <w:sz w:val="20"/>
                <w:szCs w:val="20"/>
              </w:rPr>
            </w:pPr>
            <w:r>
              <w:rPr>
                <w:sz w:val="20"/>
                <w:szCs w:val="20"/>
              </w:rPr>
              <w:t>(5,54</w:t>
            </w:r>
            <w:r>
              <w:rPr>
                <w:sz w:val="20"/>
                <w:szCs w:val="20"/>
              </w:rPr>
              <w:t>7</w:t>
            </w:r>
          </w:p>
        </w:tc>
        <w:tc>
          <w:tcPr>
            <w:tcW w:w="0" w:type="auto"/>
            <w:noWrap/>
            <w:hideMark/>
          </w:tcPr>
          <w:p w14:paraId="6A285B6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947E5A6" w14:textId="77777777" w:rsidR="00000000" w:rsidRDefault="003C49E9">
            <w:pPr>
              <w:pStyle w:val="a3"/>
              <w:spacing w:before="0" w:beforeAutospacing="0" w:after="0" w:afterAutospacing="0"/>
              <w:rPr>
                <w:sz w:val="22"/>
                <w:szCs w:val="22"/>
              </w:rPr>
            </w:pPr>
            <w:r>
              <w:rPr>
                <w:sz w:val="22"/>
                <w:szCs w:val="22"/>
              </w:rPr>
              <w:t> </w:t>
            </w:r>
          </w:p>
        </w:tc>
        <w:tc>
          <w:tcPr>
            <w:tcW w:w="0" w:type="auto"/>
            <w:noWrap/>
            <w:hideMark/>
          </w:tcPr>
          <w:p w14:paraId="4641D99C" w14:textId="77777777" w:rsidR="00000000" w:rsidRDefault="003C49E9">
            <w:pPr>
              <w:pStyle w:val="a3"/>
              <w:spacing w:before="0" w:beforeAutospacing="0" w:after="0" w:afterAutospacing="0"/>
              <w:rPr>
                <w:sz w:val="20"/>
                <w:szCs w:val="20"/>
              </w:rPr>
            </w:pPr>
            <w:r>
              <w:rPr>
                <w:sz w:val="20"/>
                <w:szCs w:val="20"/>
              </w:rPr>
              <w:t>$</w:t>
            </w:r>
          </w:p>
        </w:tc>
        <w:tc>
          <w:tcPr>
            <w:tcW w:w="0" w:type="auto"/>
            <w:hideMark/>
          </w:tcPr>
          <w:p w14:paraId="67461A60" w14:textId="77777777" w:rsidR="00000000" w:rsidRDefault="003C49E9">
            <w:pPr>
              <w:pStyle w:val="a3"/>
              <w:spacing w:before="0" w:beforeAutospacing="0" w:after="0" w:afterAutospacing="0"/>
              <w:jc w:val="right"/>
              <w:rPr>
                <w:sz w:val="20"/>
                <w:szCs w:val="20"/>
              </w:rPr>
            </w:pPr>
            <w:r>
              <w:rPr>
                <w:sz w:val="20"/>
                <w:szCs w:val="20"/>
              </w:rPr>
              <w:t>(11,59</w:t>
            </w:r>
            <w:r>
              <w:rPr>
                <w:sz w:val="20"/>
                <w:szCs w:val="20"/>
              </w:rPr>
              <w:t>3</w:t>
            </w:r>
          </w:p>
        </w:tc>
        <w:tc>
          <w:tcPr>
            <w:tcW w:w="0" w:type="auto"/>
            <w:noWrap/>
            <w:hideMark/>
          </w:tcPr>
          <w:p w14:paraId="076EB383" w14:textId="77777777" w:rsidR="00000000" w:rsidRDefault="003C49E9">
            <w:pPr>
              <w:pStyle w:val="a3"/>
              <w:spacing w:before="0" w:beforeAutospacing="0" w:after="0" w:afterAutospacing="0"/>
              <w:rPr>
                <w:sz w:val="20"/>
                <w:szCs w:val="20"/>
              </w:rPr>
            </w:pPr>
            <w:r>
              <w:rPr>
                <w:sz w:val="20"/>
                <w:szCs w:val="20"/>
              </w:rPr>
              <w:t>)</w:t>
            </w:r>
          </w:p>
        </w:tc>
      </w:tr>
      <w:tr w:rsidR="00000000" w14:paraId="7B2E4CD8" w14:textId="77777777">
        <w:trPr>
          <w:trHeight w:val="200"/>
          <w:tblCellSpacing w:w="15" w:type="dxa"/>
        </w:trPr>
        <w:tc>
          <w:tcPr>
            <w:tcW w:w="0" w:type="auto"/>
            <w:hideMark/>
          </w:tcPr>
          <w:p w14:paraId="61DC4E8F" w14:textId="77777777" w:rsidR="00000000" w:rsidRDefault="003C49E9">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14:paraId="5BBEAA2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C926AB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814D26F" w14:textId="77777777" w:rsidR="00000000" w:rsidRDefault="003C49E9">
            <w:pPr>
              <w:pStyle w:val="a3"/>
              <w:spacing w:before="0" w:beforeAutospacing="0" w:after="0" w:afterAutospacing="0"/>
              <w:jc w:val="right"/>
              <w:rPr>
                <w:sz w:val="20"/>
                <w:szCs w:val="20"/>
              </w:rPr>
            </w:pPr>
            <w:r>
              <w:rPr>
                <w:sz w:val="20"/>
                <w:szCs w:val="20"/>
              </w:rPr>
              <w:t>(68</w:t>
            </w:r>
            <w:r>
              <w:rPr>
                <w:sz w:val="20"/>
                <w:szCs w:val="20"/>
              </w:rPr>
              <w:t>3</w:t>
            </w:r>
          </w:p>
        </w:tc>
        <w:tc>
          <w:tcPr>
            <w:tcW w:w="0" w:type="auto"/>
            <w:noWrap/>
            <w:vAlign w:val="bottom"/>
            <w:hideMark/>
          </w:tcPr>
          <w:p w14:paraId="31D9D20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C5A3680"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BE9809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F66A75" w14:textId="77777777" w:rsidR="00000000" w:rsidRDefault="003C49E9">
            <w:pPr>
              <w:pStyle w:val="a3"/>
              <w:spacing w:before="0" w:beforeAutospacing="0" w:after="0" w:afterAutospacing="0"/>
              <w:jc w:val="right"/>
              <w:rPr>
                <w:sz w:val="20"/>
                <w:szCs w:val="20"/>
              </w:rPr>
            </w:pPr>
            <w:r>
              <w:rPr>
                <w:sz w:val="20"/>
                <w:szCs w:val="20"/>
              </w:rPr>
              <w:t>(3,08</w:t>
            </w:r>
            <w:r>
              <w:rPr>
                <w:sz w:val="20"/>
                <w:szCs w:val="20"/>
              </w:rPr>
              <w:t>7</w:t>
            </w:r>
          </w:p>
        </w:tc>
        <w:tc>
          <w:tcPr>
            <w:tcW w:w="0" w:type="auto"/>
            <w:noWrap/>
            <w:vAlign w:val="bottom"/>
            <w:hideMark/>
          </w:tcPr>
          <w:p w14:paraId="535EE970" w14:textId="77777777" w:rsidR="00000000" w:rsidRDefault="003C49E9">
            <w:pPr>
              <w:pStyle w:val="a3"/>
              <w:spacing w:before="0" w:beforeAutospacing="0" w:after="0" w:afterAutospacing="0"/>
              <w:rPr>
                <w:sz w:val="20"/>
                <w:szCs w:val="20"/>
              </w:rPr>
            </w:pPr>
            <w:r>
              <w:rPr>
                <w:sz w:val="20"/>
                <w:szCs w:val="20"/>
              </w:rPr>
              <w:t>)</w:t>
            </w:r>
          </w:p>
        </w:tc>
      </w:tr>
      <w:tr w:rsidR="00000000" w14:paraId="4E880A2E" w14:textId="77777777">
        <w:trPr>
          <w:trHeight w:val="200"/>
          <w:tblCellSpacing w:w="15" w:type="dxa"/>
        </w:trPr>
        <w:tc>
          <w:tcPr>
            <w:tcW w:w="0" w:type="auto"/>
            <w:hideMark/>
          </w:tcPr>
          <w:p w14:paraId="3A46EE8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39BF2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868378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1262A00" w14:textId="77777777" w:rsidR="00000000" w:rsidRDefault="003C49E9">
            <w:pPr>
              <w:pStyle w:val="a3"/>
              <w:spacing w:before="0" w:beforeAutospacing="0" w:after="0" w:afterAutospacing="0"/>
              <w:jc w:val="right"/>
              <w:rPr>
                <w:sz w:val="20"/>
                <w:szCs w:val="20"/>
              </w:rPr>
            </w:pPr>
            <w:r>
              <w:rPr>
                <w:sz w:val="20"/>
                <w:szCs w:val="20"/>
              </w:rPr>
              <w:t>(6,23</w:t>
            </w:r>
            <w:r>
              <w:rPr>
                <w:sz w:val="20"/>
                <w:szCs w:val="20"/>
              </w:rPr>
              <w:t>0</w:t>
            </w:r>
          </w:p>
        </w:tc>
        <w:tc>
          <w:tcPr>
            <w:tcW w:w="0" w:type="auto"/>
            <w:noWrap/>
            <w:vAlign w:val="bottom"/>
            <w:hideMark/>
          </w:tcPr>
          <w:p w14:paraId="60262F8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3FAD6EA"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3913ACA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2D3F7E9" w14:textId="77777777" w:rsidR="00000000" w:rsidRDefault="003C49E9">
            <w:pPr>
              <w:pStyle w:val="a3"/>
              <w:spacing w:before="0" w:beforeAutospacing="0" w:after="0" w:afterAutospacing="0"/>
              <w:jc w:val="right"/>
              <w:rPr>
                <w:sz w:val="20"/>
                <w:szCs w:val="20"/>
              </w:rPr>
            </w:pPr>
            <w:r>
              <w:rPr>
                <w:sz w:val="20"/>
                <w:szCs w:val="20"/>
              </w:rPr>
              <w:t>(14,68</w:t>
            </w:r>
            <w:r>
              <w:rPr>
                <w:sz w:val="20"/>
                <w:szCs w:val="20"/>
              </w:rPr>
              <w:t>0</w:t>
            </w:r>
          </w:p>
        </w:tc>
        <w:tc>
          <w:tcPr>
            <w:tcW w:w="0" w:type="auto"/>
            <w:noWrap/>
            <w:vAlign w:val="bottom"/>
            <w:hideMark/>
          </w:tcPr>
          <w:p w14:paraId="58DA6CAD" w14:textId="77777777" w:rsidR="00000000" w:rsidRDefault="003C49E9">
            <w:pPr>
              <w:pStyle w:val="a3"/>
              <w:spacing w:before="0" w:beforeAutospacing="0" w:after="0" w:afterAutospacing="0"/>
              <w:rPr>
                <w:sz w:val="20"/>
                <w:szCs w:val="20"/>
              </w:rPr>
            </w:pPr>
            <w:r>
              <w:rPr>
                <w:sz w:val="20"/>
                <w:szCs w:val="20"/>
              </w:rPr>
              <w:t>)</w:t>
            </w:r>
          </w:p>
        </w:tc>
      </w:tr>
    </w:tbl>
    <w:p w14:paraId="53FB5EAD"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6D6BF620" w14:textId="77777777" w:rsidR="00000000" w:rsidRDefault="003C49E9">
      <w:pPr>
        <w:pStyle w:val="a3"/>
        <w:spacing w:before="200" w:beforeAutospacing="0" w:after="0" w:afterAutospacing="0"/>
        <w:ind w:firstLine="555"/>
        <w:rPr>
          <w:sz w:val="20"/>
          <w:szCs w:val="20"/>
        </w:rPr>
      </w:pPr>
      <w:r>
        <w:rPr>
          <w:sz w:val="20"/>
          <w:szCs w:val="20"/>
        </w:rPr>
        <w:t xml:space="preserve">Interest expense primarily consists of amortization of the debt discount and issuance costs and contractual interest expense related to our Notes and the loss on early extinguishment of our 2022 Notes. The decrease in interest expense related to the Notes </w:t>
      </w:r>
      <w:r>
        <w:rPr>
          <w:sz w:val="20"/>
          <w:szCs w:val="20"/>
        </w:rPr>
        <w:t>and loss on extinguishment is primarily due to the adoption of the new convertible debt guidance</w:t>
      </w:r>
      <w:r>
        <w:rPr>
          <w:sz w:val="20"/>
          <w:szCs w:val="20"/>
        </w:rPr>
        <w:t>.</w:t>
      </w:r>
    </w:p>
    <w:p w14:paraId="61CE1D50"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3B477149" w14:textId="77777777" w:rsidR="00000000" w:rsidRDefault="003C49E9">
      <w:pPr>
        <w:pStyle w:val="a3"/>
        <w:spacing w:before="200" w:beforeAutospacing="0" w:after="0" w:afterAutospacing="0"/>
        <w:ind w:firstLine="555"/>
        <w:rPr>
          <w:sz w:val="20"/>
          <w:szCs w:val="20"/>
        </w:rPr>
      </w:pPr>
      <w:r>
        <w:rPr>
          <w:sz w:val="20"/>
          <w:szCs w:val="20"/>
        </w:rPr>
        <w:t>Interest expense primarily consists of amortization of the debt discount and issuance costs and contractual interest expense related to our N</w:t>
      </w:r>
      <w:r>
        <w:rPr>
          <w:sz w:val="20"/>
          <w:szCs w:val="20"/>
        </w:rPr>
        <w:t>otes, and the loss on early extinguishment of our 2022 Notes. The decrease in interest expense related to the Notes and loss on extinguishment is primarily due to the adoption of the new convertible debt guidance</w:t>
      </w:r>
      <w:r>
        <w:rPr>
          <w:sz w:val="20"/>
          <w:szCs w:val="20"/>
        </w:rPr>
        <w:t>.</w:t>
      </w:r>
    </w:p>
    <w:p w14:paraId="3ED1D496" w14:textId="77777777" w:rsidR="00000000" w:rsidRDefault="003C49E9">
      <w:pPr>
        <w:pStyle w:val="a3"/>
        <w:spacing w:before="200" w:beforeAutospacing="0" w:after="0" w:afterAutospacing="0"/>
        <w:ind w:firstLine="592"/>
        <w:rPr>
          <w:sz w:val="20"/>
          <w:szCs w:val="20"/>
        </w:rPr>
      </w:pPr>
      <w:r>
        <w:rPr>
          <w:b/>
          <w:bCs/>
          <w:i/>
          <w:iCs/>
          <w:sz w:val="20"/>
          <w:szCs w:val="20"/>
        </w:rPr>
        <w:t xml:space="preserve">Other (expense) income </w:t>
      </w:r>
      <w:r>
        <w:rPr>
          <w:b/>
          <w:bCs/>
          <w:i/>
          <w:iCs/>
          <w:sz w:val="20"/>
          <w:szCs w:val="20"/>
        </w:rPr>
        <w:br/>
      </w:r>
      <w:r>
        <w:rPr>
          <w:b/>
          <w:bCs/>
          <w:i/>
          <w:iCs/>
          <w:sz w:val="20"/>
          <w:szCs w:val="20"/>
        </w:rPr>
        <w:t> </w:t>
      </w:r>
    </w:p>
    <w:p w14:paraId="12D55AE2" w14:textId="77777777" w:rsidR="00000000" w:rsidRDefault="003C49E9">
      <w:pPr>
        <w:pStyle w:val="a3"/>
        <w:spacing w:before="240" w:beforeAutospacing="0" w:after="0" w:afterAutospacing="0"/>
        <w:jc w:val="center"/>
        <w:rPr>
          <w:sz w:val="20"/>
          <w:szCs w:val="20"/>
        </w:rPr>
      </w:pPr>
      <w:r>
        <w:rPr>
          <w:sz w:val="20"/>
          <w:szCs w:val="20"/>
        </w:rPr>
        <w:t>2</w:t>
      </w:r>
      <w:r>
        <w:rPr>
          <w:sz w:val="20"/>
          <w:szCs w:val="20"/>
        </w:rPr>
        <w:t>9</w:t>
      </w:r>
    </w:p>
    <w:p w14:paraId="1E0C4228" w14:textId="77777777" w:rsidR="00000000" w:rsidRDefault="003C49E9">
      <w:pPr>
        <w:rPr>
          <w:rFonts w:eastAsia="Times New Roman"/>
        </w:rPr>
      </w:pPr>
      <w:r>
        <w:rPr>
          <w:rFonts w:eastAsia="Times New Roman"/>
        </w:rPr>
        <w:pict w14:anchorId="69BA9729">
          <v:rect id="_x0000_i1053" style="width:0;height:1.5pt" o:hralign="center" o:hrstd="t" o:hr="t" fillcolor="#a0a0a0" stroked="f"/>
        </w:pict>
      </w:r>
    </w:p>
    <w:p w14:paraId="5752B8E5" w14:textId="77777777" w:rsidR="00000000" w:rsidRDefault="003C49E9">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4"/>
        <w:gridCol w:w="108"/>
        <w:gridCol w:w="155"/>
        <w:gridCol w:w="551"/>
        <w:gridCol w:w="282"/>
        <w:gridCol w:w="108"/>
        <w:gridCol w:w="155"/>
        <w:gridCol w:w="345"/>
        <w:gridCol w:w="108"/>
        <w:gridCol w:w="108"/>
        <w:gridCol w:w="155"/>
        <w:gridCol w:w="551"/>
        <w:gridCol w:w="124"/>
        <w:gridCol w:w="108"/>
        <w:gridCol w:w="109"/>
        <w:gridCol w:w="468"/>
        <w:gridCol w:w="282"/>
        <w:gridCol w:w="108"/>
        <w:gridCol w:w="155"/>
        <w:gridCol w:w="345"/>
        <w:gridCol w:w="108"/>
        <w:gridCol w:w="108"/>
        <w:gridCol w:w="155"/>
        <w:gridCol w:w="488"/>
        <w:gridCol w:w="108"/>
        <w:gridCol w:w="108"/>
        <w:gridCol w:w="156"/>
        <w:gridCol w:w="541"/>
        <w:gridCol w:w="124"/>
        <w:gridCol w:w="108"/>
        <w:gridCol w:w="109"/>
        <w:gridCol w:w="470"/>
        <w:gridCol w:w="234"/>
      </w:tblGrid>
      <w:tr w:rsidR="00000000" w14:paraId="6A606563" w14:textId="77777777">
        <w:trPr>
          <w:tblCellSpacing w:w="15" w:type="dxa"/>
        </w:trPr>
        <w:tc>
          <w:tcPr>
            <w:tcW w:w="1071" w:type="pct"/>
            <w:vAlign w:val="center"/>
            <w:hideMark/>
          </w:tcPr>
          <w:p w14:paraId="1B8C0428" w14:textId="77777777" w:rsidR="00000000" w:rsidRDefault="003C49E9">
            <w:pPr>
              <w:rPr>
                <w:sz w:val="20"/>
                <w:szCs w:val="20"/>
              </w:rPr>
            </w:pPr>
          </w:p>
        </w:tc>
        <w:tc>
          <w:tcPr>
            <w:tcW w:w="49" w:type="pct"/>
            <w:vAlign w:val="center"/>
            <w:hideMark/>
          </w:tcPr>
          <w:p w14:paraId="658839A3" w14:textId="77777777" w:rsidR="00000000" w:rsidRDefault="003C49E9">
            <w:pPr>
              <w:rPr>
                <w:rFonts w:eastAsia="Times New Roman"/>
                <w:sz w:val="20"/>
                <w:szCs w:val="20"/>
              </w:rPr>
            </w:pPr>
          </w:p>
        </w:tc>
        <w:tc>
          <w:tcPr>
            <w:tcW w:w="50" w:type="pct"/>
            <w:vAlign w:val="center"/>
            <w:hideMark/>
          </w:tcPr>
          <w:p w14:paraId="36180A84" w14:textId="77777777" w:rsidR="00000000" w:rsidRDefault="003C49E9">
            <w:pPr>
              <w:rPr>
                <w:rFonts w:eastAsia="Times New Roman"/>
                <w:sz w:val="20"/>
                <w:szCs w:val="20"/>
              </w:rPr>
            </w:pPr>
          </w:p>
        </w:tc>
        <w:tc>
          <w:tcPr>
            <w:tcW w:w="368" w:type="pct"/>
            <w:vAlign w:val="center"/>
            <w:hideMark/>
          </w:tcPr>
          <w:p w14:paraId="53583DCC" w14:textId="77777777" w:rsidR="00000000" w:rsidRDefault="003C49E9">
            <w:pPr>
              <w:rPr>
                <w:rFonts w:eastAsia="Times New Roman"/>
                <w:sz w:val="20"/>
                <w:szCs w:val="20"/>
              </w:rPr>
            </w:pPr>
          </w:p>
        </w:tc>
        <w:tc>
          <w:tcPr>
            <w:tcW w:w="50" w:type="pct"/>
            <w:vAlign w:val="center"/>
            <w:hideMark/>
          </w:tcPr>
          <w:p w14:paraId="7B479EC3" w14:textId="77777777" w:rsidR="00000000" w:rsidRDefault="003C49E9">
            <w:pPr>
              <w:rPr>
                <w:rFonts w:eastAsia="Times New Roman"/>
                <w:sz w:val="20"/>
                <w:szCs w:val="20"/>
              </w:rPr>
            </w:pPr>
          </w:p>
        </w:tc>
        <w:tc>
          <w:tcPr>
            <w:tcW w:w="49" w:type="pct"/>
            <w:vAlign w:val="center"/>
            <w:hideMark/>
          </w:tcPr>
          <w:p w14:paraId="05A28F03" w14:textId="77777777" w:rsidR="00000000" w:rsidRDefault="003C49E9">
            <w:pPr>
              <w:rPr>
                <w:rFonts w:eastAsia="Times New Roman"/>
                <w:sz w:val="20"/>
                <w:szCs w:val="20"/>
              </w:rPr>
            </w:pPr>
          </w:p>
        </w:tc>
        <w:tc>
          <w:tcPr>
            <w:tcW w:w="50" w:type="pct"/>
            <w:vAlign w:val="center"/>
            <w:hideMark/>
          </w:tcPr>
          <w:p w14:paraId="4855166B" w14:textId="77777777" w:rsidR="00000000" w:rsidRDefault="003C49E9">
            <w:pPr>
              <w:rPr>
                <w:rFonts w:eastAsia="Times New Roman"/>
                <w:sz w:val="20"/>
                <w:szCs w:val="20"/>
              </w:rPr>
            </w:pPr>
          </w:p>
        </w:tc>
        <w:tc>
          <w:tcPr>
            <w:tcW w:w="303" w:type="pct"/>
            <w:vAlign w:val="center"/>
            <w:hideMark/>
          </w:tcPr>
          <w:p w14:paraId="0349E6C9" w14:textId="77777777" w:rsidR="00000000" w:rsidRDefault="003C49E9">
            <w:pPr>
              <w:rPr>
                <w:rFonts w:eastAsia="Times New Roman"/>
                <w:sz w:val="20"/>
                <w:szCs w:val="20"/>
              </w:rPr>
            </w:pPr>
          </w:p>
        </w:tc>
        <w:tc>
          <w:tcPr>
            <w:tcW w:w="50" w:type="pct"/>
            <w:vAlign w:val="center"/>
            <w:hideMark/>
          </w:tcPr>
          <w:p w14:paraId="45274D50" w14:textId="77777777" w:rsidR="00000000" w:rsidRDefault="003C49E9">
            <w:pPr>
              <w:rPr>
                <w:rFonts w:eastAsia="Times New Roman"/>
                <w:sz w:val="20"/>
                <w:szCs w:val="20"/>
              </w:rPr>
            </w:pPr>
          </w:p>
        </w:tc>
        <w:tc>
          <w:tcPr>
            <w:tcW w:w="49" w:type="pct"/>
            <w:vAlign w:val="center"/>
            <w:hideMark/>
          </w:tcPr>
          <w:p w14:paraId="0FCDDAEC" w14:textId="77777777" w:rsidR="00000000" w:rsidRDefault="003C49E9">
            <w:pPr>
              <w:rPr>
                <w:rFonts w:eastAsia="Times New Roman"/>
                <w:sz w:val="20"/>
                <w:szCs w:val="20"/>
              </w:rPr>
            </w:pPr>
          </w:p>
        </w:tc>
        <w:tc>
          <w:tcPr>
            <w:tcW w:w="50" w:type="pct"/>
            <w:vAlign w:val="center"/>
            <w:hideMark/>
          </w:tcPr>
          <w:p w14:paraId="67544694" w14:textId="77777777" w:rsidR="00000000" w:rsidRDefault="003C49E9">
            <w:pPr>
              <w:rPr>
                <w:rFonts w:eastAsia="Times New Roman"/>
                <w:sz w:val="20"/>
                <w:szCs w:val="20"/>
              </w:rPr>
            </w:pPr>
          </w:p>
        </w:tc>
        <w:tc>
          <w:tcPr>
            <w:tcW w:w="264" w:type="pct"/>
            <w:vAlign w:val="center"/>
            <w:hideMark/>
          </w:tcPr>
          <w:p w14:paraId="27249A79" w14:textId="77777777" w:rsidR="00000000" w:rsidRDefault="003C49E9">
            <w:pPr>
              <w:rPr>
                <w:rFonts w:eastAsia="Times New Roman"/>
                <w:sz w:val="20"/>
                <w:szCs w:val="20"/>
              </w:rPr>
            </w:pPr>
          </w:p>
        </w:tc>
        <w:tc>
          <w:tcPr>
            <w:tcW w:w="50" w:type="pct"/>
            <w:vAlign w:val="center"/>
            <w:hideMark/>
          </w:tcPr>
          <w:p w14:paraId="4246CD5A" w14:textId="77777777" w:rsidR="00000000" w:rsidRDefault="003C49E9">
            <w:pPr>
              <w:rPr>
                <w:rFonts w:eastAsia="Times New Roman"/>
                <w:sz w:val="20"/>
                <w:szCs w:val="20"/>
              </w:rPr>
            </w:pPr>
          </w:p>
        </w:tc>
        <w:tc>
          <w:tcPr>
            <w:tcW w:w="49" w:type="pct"/>
            <w:vAlign w:val="center"/>
            <w:hideMark/>
          </w:tcPr>
          <w:p w14:paraId="3140D4C8" w14:textId="77777777" w:rsidR="00000000" w:rsidRDefault="003C49E9">
            <w:pPr>
              <w:rPr>
                <w:rFonts w:eastAsia="Times New Roman"/>
                <w:sz w:val="20"/>
                <w:szCs w:val="20"/>
              </w:rPr>
            </w:pPr>
          </w:p>
        </w:tc>
        <w:tc>
          <w:tcPr>
            <w:tcW w:w="50" w:type="pct"/>
            <w:vAlign w:val="center"/>
            <w:hideMark/>
          </w:tcPr>
          <w:p w14:paraId="1F2FC364" w14:textId="77777777" w:rsidR="00000000" w:rsidRDefault="003C49E9">
            <w:pPr>
              <w:rPr>
                <w:rFonts w:eastAsia="Times New Roman"/>
                <w:sz w:val="20"/>
                <w:szCs w:val="20"/>
              </w:rPr>
            </w:pPr>
          </w:p>
        </w:tc>
        <w:tc>
          <w:tcPr>
            <w:tcW w:w="407" w:type="pct"/>
            <w:vAlign w:val="center"/>
            <w:hideMark/>
          </w:tcPr>
          <w:p w14:paraId="066798CA" w14:textId="77777777" w:rsidR="00000000" w:rsidRDefault="003C49E9">
            <w:pPr>
              <w:rPr>
                <w:rFonts w:eastAsia="Times New Roman"/>
                <w:sz w:val="20"/>
                <w:szCs w:val="20"/>
              </w:rPr>
            </w:pPr>
          </w:p>
        </w:tc>
        <w:tc>
          <w:tcPr>
            <w:tcW w:w="50" w:type="pct"/>
            <w:vAlign w:val="center"/>
            <w:hideMark/>
          </w:tcPr>
          <w:p w14:paraId="4F5D3F78" w14:textId="77777777" w:rsidR="00000000" w:rsidRDefault="003C49E9">
            <w:pPr>
              <w:rPr>
                <w:rFonts w:eastAsia="Times New Roman"/>
                <w:sz w:val="20"/>
                <w:szCs w:val="20"/>
              </w:rPr>
            </w:pPr>
          </w:p>
        </w:tc>
        <w:tc>
          <w:tcPr>
            <w:tcW w:w="49" w:type="pct"/>
            <w:vAlign w:val="center"/>
            <w:hideMark/>
          </w:tcPr>
          <w:p w14:paraId="4758C060" w14:textId="77777777" w:rsidR="00000000" w:rsidRDefault="003C49E9">
            <w:pPr>
              <w:rPr>
                <w:rFonts w:eastAsia="Times New Roman"/>
                <w:sz w:val="20"/>
                <w:szCs w:val="20"/>
              </w:rPr>
            </w:pPr>
          </w:p>
        </w:tc>
        <w:tc>
          <w:tcPr>
            <w:tcW w:w="50" w:type="pct"/>
            <w:vAlign w:val="center"/>
            <w:hideMark/>
          </w:tcPr>
          <w:p w14:paraId="32D8FE4A" w14:textId="77777777" w:rsidR="00000000" w:rsidRDefault="003C49E9">
            <w:pPr>
              <w:rPr>
                <w:rFonts w:eastAsia="Times New Roman"/>
                <w:sz w:val="20"/>
                <w:szCs w:val="20"/>
              </w:rPr>
            </w:pPr>
          </w:p>
        </w:tc>
        <w:tc>
          <w:tcPr>
            <w:tcW w:w="332" w:type="pct"/>
            <w:vAlign w:val="center"/>
            <w:hideMark/>
          </w:tcPr>
          <w:p w14:paraId="49A02770" w14:textId="77777777" w:rsidR="00000000" w:rsidRDefault="003C49E9">
            <w:pPr>
              <w:rPr>
                <w:rFonts w:eastAsia="Times New Roman"/>
                <w:sz w:val="20"/>
                <w:szCs w:val="20"/>
              </w:rPr>
            </w:pPr>
          </w:p>
        </w:tc>
        <w:tc>
          <w:tcPr>
            <w:tcW w:w="50" w:type="pct"/>
            <w:vAlign w:val="center"/>
            <w:hideMark/>
          </w:tcPr>
          <w:p w14:paraId="2015C343" w14:textId="77777777" w:rsidR="00000000" w:rsidRDefault="003C49E9">
            <w:pPr>
              <w:rPr>
                <w:rFonts w:eastAsia="Times New Roman"/>
                <w:sz w:val="20"/>
                <w:szCs w:val="20"/>
              </w:rPr>
            </w:pPr>
          </w:p>
        </w:tc>
        <w:tc>
          <w:tcPr>
            <w:tcW w:w="49" w:type="pct"/>
            <w:vAlign w:val="center"/>
            <w:hideMark/>
          </w:tcPr>
          <w:p w14:paraId="7DF0B76E" w14:textId="77777777" w:rsidR="00000000" w:rsidRDefault="003C49E9">
            <w:pPr>
              <w:rPr>
                <w:rFonts w:eastAsia="Times New Roman"/>
                <w:sz w:val="20"/>
                <w:szCs w:val="20"/>
              </w:rPr>
            </w:pPr>
          </w:p>
        </w:tc>
        <w:tc>
          <w:tcPr>
            <w:tcW w:w="50" w:type="pct"/>
            <w:vAlign w:val="center"/>
            <w:hideMark/>
          </w:tcPr>
          <w:p w14:paraId="16B9EBDA" w14:textId="77777777" w:rsidR="00000000" w:rsidRDefault="003C49E9">
            <w:pPr>
              <w:rPr>
                <w:rFonts w:eastAsia="Times New Roman"/>
                <w:sz w:val="20"/>
                <w:szCs w:val="20"/>
              </w:rPr>
            </w:pPr>
          </w:p>
        </w:tc>
        <w:tc>
          <w:tcPr>
            <w:tcW w:w="354" w:type="pct"/>
            <w:vAlign w:val="center"/>
            <w:hideMark/>
          </w:tcPr>
          <w:p w14:paraId="7599CB74" w14:textId="77777777" w:rsidR="00000000" w:rsidRDefault="003C49E9">
            <w:pPr>
              <w:rPr>
                <w:rFonts w:eastAsia="Times New Roman"/>
                <w:sz w:val="20"/>
                <w:szCs w:val="20"/>
              </w:rPr>
            </w:pPr>
          </w:p>
        </w:tc>
        <w:tc>
          <w:tcPr>
            <w:tcW w:w="50" w:type="pct"/>
            <w:vAlign w:val="center"/>
            <w:hideMark/>
          </w:tcPr>
          <w:p w14:paraId="281F295D" w14:textId="77777777" w:rsidR="00000000" w:rsidRDefault="003C49E9">
            <w:pPr>
              <w:rPr>
                <w:rFonts w:eastAsia="Times New Roman"/>
                <w:sz w:val="20"/>
                <w:szCs w:val="20"/>
              </w:rPr>
            </w:pPr>
          </w:p>
        </w:tc>
        <w:tc>
          <w:tcPr>
            <w:tcW w:w="49" w:type="pct"/>
            <w:vAlign w:val="center"/>
            <w:hideMark/>
          </w:tcPr>
          <w:p w14:paraId="4E8290F4" w14:textId="77777777" w:rsidR="00000000" w:rsidRDefault="003C49E9">
            <w:pPr>
              <w:rPr>
                <w:rFonts w:eastAsia="Times New Roman"/>
                <w:sz w:val="20"/>
                <w:szCs w:val="20"/>
              </w:rPr>
            </w:pPr>
          </w:p>
        </w:tc>
        <w:tc>
          <w:tcPr>
            <w:tcW w:w="50" w:type="pct"/>
            <w:vAlign w:val="center"/>
            <w:hideMark/>
          </w:tcPr>
          <w:p w14:paraId="01FFB504" w14:textId="77777777" w:rsidR="00000000" w:rsidRDefault="003C49E9">
            <w:pPr>
              <w:rPr>
                <w:rFonts w:eastAsia="Times New Roman"/>
                <w:sz w:val="20"/>
                <w:szCs w:val="20"/>
              </w:rPr>
            </w:pPr>
          </w:p>
        </w:tc>
        <w:tc>
          <w:tcPr>
            <w:tcW w:w="273" w:type="pct"/>
            <w:vAlign w:val="center"/>
            <w:hideMark/>
          </w:tcPr>
          <w:p w14:paraId="49CFFBCC" w14:textId="77777777" w:rsidR="00000000" w:rsidRDefault="003C49E9">
            <w:pPr>
              <w:rPr>
                <w:rFonts w:eastAsia="Times New Roman"/>
                <w:sz w:val="20"/>
                <w:szCs w:val="20"/>
              </w:rPr>
            </w:pPr>
          </w:p>
        </w:tc>
        <w:tc>
          <w:tcPr>
            <w:tcW w:w="50" w:type="pct"/>
            <w:vAlign w:val="center"/>
            <w:hideMark/>
          </w:tcPr>
          <w:p w14:paraId="4AFB946E" w14:textId="77777777" w:rsidR="00000000" w:rsidRDefault="003C49E9">
            <w:pPr>
              <w:rPr>
                <w:rFonts w:eastAsia="Times New Roman"/>
                <w:sz w:val="20"/>
                <w:szCs w:val="20"/>
              </w:rPr>
            </w:pPr>
          </w:p>
        </w:tc>
        <w:tc>
          <w:tcPr>
            <w:tcW w:w="49" w:type="pct"/>
            <w:vAlign w:val="center"/>
            <w:hideMark/>
          </w:tcPr>
          <w:p w14:paraId="307A3034" w14:textId="77777777" w:rsidR="00000000" w:rsidRDefault="003C49E9">
            <w:pPr>
              <w:rPr>
                <w:rFonts w:eastAsia="Times New Roman"/>
                <w:sz w:val="20"/>
                <w:szCs w:val="20"/>
              </w:rPr>
            </w:pPr>
          </w:p>
        </w:tc>
        <w:tc>
          <w:tcPr>
            <w:tcW w:w="50" w:type="pct"/>
            <w:vAlign w:val="center"/>
            <w:hideMark/>
          </w:tcPr>
          <w:p w14:paraId="5A98187A" w14:textId="77777777" w:rsidR="00000000" w:rsidRDefault="003C49E9">
            <w:pPr>
              <w:rPr>
                <w:rFonts w:eastAsia="Times New Roman"/>
                <w:sz w:val="20"/>
                <w:szCs w:val="20"/>
              </w:rPr>
            </w:pPr>
          </w:p>
        </w:tc>
        <w:tc>
          <w:tcPr>
            <w:tcW w:w="431" w:type="pct"/>
            <w:vAlign w:val="center"/>
            <w:hideMark/>
          </w:tcPr>
          <w:p w14:paraId="17EFD524" w14:textId="77777777" w:rsidR="00000000" w:rsidRDefault="003C49E9">
            <w:pPr>
              <w:rPr>
                <w:rFonts w:eastAsia="Times New Roman"/>
                <w:sz w:val="20"/>
                <w:szCs w:val="20"/>
              </w:rPr>
            </w:pPr>
          </w:p>
        </w:tc>
        <w:tc>
          <w:tcPr>
            <w:tcW w:w="50" w:type="pct"/>
            <w:vAlign w:val="center"/>
            <w:hideMark/>
          </w:tcPr>
          <w:p w14:paraId="66D0913B" w14:textId="77777777" w:rsidR="00000000" w:rsidRDefault="003C49E9">
            <w:pPr>
              <w:rPr>
                <w:rFonts w:eastAsia="Times New Roman"/>
                <w:sz w:val="20"/>
                <w:szCs w:val="20"/>
              </w:rPr>
            </w:pPr>
          </w:p>
        </w:tc>
      </w:tr>
      <w:tr w:rsidR="00000000" w14:paraId="70BA1C8C" w14:textId="77777777">
        <w:trPr>
          <w:trHeight w:val="140"/>
          <w:tblCellSpacing w:w="15" w:type="dxa"/>
        </w:trPr>
        <w:tc>
          <w:tcPr>
            <w:tcW w:w="0" w:type="auto"/>
            <w:vAlign w:val="bottom"/>
            <w:hideMark/>
          </w:tcPr>
          <w:p w14:paraId="0F1E88D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1738B73"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68B9863A"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305F5BE7"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55577EC"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AE66BC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4C0AED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F00653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7D38CE04"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7446F36"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76B128D"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11B3A44F"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33B3328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CA752D7"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A21F97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46C31B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5BBC0A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EDB711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38F04DC"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76543025" w14:textId="77777777">
        <w:trPr>
          <w:trHeight w:val="140"/>
          <w:tblCellSpacing w:w="15" w:type="dxa"/>
        </w:trPr>
        <w:tc>
          <w:tcPr>
            <w:tcW w:w="0" w:type="auto"/>
            <w:vAlign w:val="bottom"/>
            <w:hideMark/>
          </w:tcPr>
          <w:p w14:paraId="2EE622A4"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4DCBCA1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E15A0E4"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3ECA02F3"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6DFFFF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A6C7356"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6D918FB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4427742"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4E5DF7E"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01BBA75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70E66E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E8F7B27"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0174449D"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478EC69"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E126CE3"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73E7FF4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63842B2"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76377A9"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1DF275C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99DE00F"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8A98E32"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5BC0D99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0699137"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CF4A666"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10A07278"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1400F7EE" w14:textId="77777777">
        <w:trPr>
          <w:trHeight w:val="180"/>
          <w:tblCellSpacing w:w="15" w:type="dxa"/>
        </w:trPr>
        <w:tc>
          <w:tcPr>
            <w:tcW w:w="0" w:type="auto"/>
            <w:vAlign w:val="bottom"/>
            <w:hideMark/>
          </w:tcPr>
          <w:p w14:paraId="16C7F162" w14:textId="77777777" w:rsidR="00000000" w:rsidRDefault="003C49E9">
            <w:pPr>
              <w:pStyle w:val="a3"/>
              <w:spacing w:before="0" w:beforeAutospacing="0" w:after="0" w:afterAutospacing="0"/>
              <w:rPr>
                <w:sz w:val="19"/>
                <w:szCs w:val="19"/>
              </w:rPr>
            </w:pPr>
            <w:r>
              <w:rPr>
                <w:sz w:val="19"/>
                <w:szCs w:val="19"/>
              </w:rPr>
              <w:t>Other (expense) incom</w:t>
            </w:r>
            <w:r>
              <w:rPr>
                <w:sz w:val="19"/>
                <w:szCs w:val="19"/>
              </w:rPr>
              <w:t>e</w:t>
            </w:r>
          </w:p>
        </w:tc>
        <w:tc>
          <w:tcPr>
            <w:tcW w:w="0" w:type="auto"/>
            <w:vAlign w:val="bottom"/>
            <w:hideMark/>
          </w:tcPr>
          <w:p w14:paraId="0F83EC7C"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53140725"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4262F5D3" w14:textId="77777777" w:rsidR="00000000" w:rsidRDefault="003C49E9">
            <w:pPr>
              <w:pStyle w:val="a3"/>
              <w:spacing w:before="0" w:beforeAutospacing="0" w:after="0" w:afterAutospacing="0"/>
              <w:jc w:val="right"/>
              <w:rPr>
                <w:sz w:val="19"/>
                <w:szCs w:val="19"/>
              </w:rPr>
            </w:pPr>
            <w:r>
              <w:rPr>
                <w:sz w:val="19"/>
                <w:szCs w:val="19"/>
              </w:rPr>
              <w:t>(3,09</w:t>
            </w:r>
            <w:r>
              <w:rPr>
                <w:sz w:val="19"/>
                <w:szCs w:val="19"/>
              </w:rPr>
              <w:t>1</w:t>
            </w:r>
          </w:p>
        </w:tc>
        <w:tc>
          <w:tcPr>
            <w:tcW w:w="0" w:type="auto"/>
            <w:noWrap/>
            <w:vAlign w:val="bottom"/>
            <w:hideMark/>
          </w:tcPr>
          <w:p w14:paraId="697D8241"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EFAF951"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D3B5C03"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945B2C8" w14:textId="77777777" w:rsidR="00000000" w:rsidRDefault="003C49E9">
            <w:pPr>
              <w:pStyle w:val="a3"/>
              <w:spacing w:before="0" w:beforeAutospacing="0" w:after="0" w:afterAutospacing="0"/>
              <w:jc w:val="right"/>
              <w:rPr>
                <w:sz w:val="19"/>
                <w:szCs w:val="19"/>
              </w:rPr>
            </w:pPr>
            <w:r>
              <w:rPr>
                <w:sz w:val="19"/>
                <w:szCs w:val="19"/>
              </w:rPr>
              <w:t>52</w:t>
            </w:r>
            <w:r>
              <w:rPr>
                <w:sz w:val="19"/>
                <w:szCs w:val="19"/>
              </w:rPr>
              <w:t>8</w:t>
            </w:r>
          </w:p>
        </w:tc>
        <w:tc>
          <w:tcPr>
            <w:tcW w:w="0" w:type="auto"/>
            <w:noWrap/>
            <w:vAlign w:val="bottom"/>
            <w:hideMark/>
          </w:tcPr>
          <w:p w14:paraId="01E89EBE"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41E8AB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32BC17A0"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74E325BF" w14:textId="77777777" w:rsidR="00000000" w:rsidRDefault="003C49E9">
            <w:pPr>
              <w:pStyle w:val="a3"/>
              <w:spacing w:before="0" w:beforeAutospacing="0" w:after="0" w:afterAutospacing="0"/>
              <w:jc w:val="right"/>
              <w:rPr>
                <w:sz w:val="19"/>
                <w:szCs w:val="19"/>
              </w:rPr>
            </w:pPr>
            <w:r>
              <w:rPr>
                <w:sz w:val="19"/>
                <w:szCs w:val="19"/>
              </w:rPr>
              <w:t>(3,61</w:t>
            </w:r>
            <w:r>
              <w:rPr>
                <w:sz w:val="19"/>
                <w:szCs w:val="19"/>
              </w:rPr>
              <w:t>9</w:t>
            </w:r>
          </w:p>
        </w:tc>
        <w:tc>
          <w:tcPr>
            <w:tcW w:w="0" w:type="auto"/>
            <w:noWrap/>
            <w:vAlign w:val="bottom"/>
            <w:hideMark/>
          </w:tcPr>
          <w:p w14:paraId="492BFB4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3754E755"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F3B755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711F6DB" w14:textId="77777777" w:rsidR="00000000" w:rsidRDefault="003C49E9">
            <w:pPr>
              <w:pStyle w:val="a3"/>
              <w:spacing w:before="0" w:beforeAutospacing="0" w:after="0" w:afterAutospacing="0"/>
              <w:jc w:val="right"/>
              <w:rPr>
                <w:sz w:val="19"/>
                <w:szCs w:val="19"/>
              </w:rPr>
            </w:pPr>
            <w:r>
              <w:rPr>
                <w:sz w:val="19"/>
                <w:szCs w:val="19"/>
              </w:rPr>
              <w:t>(68</w:t>
            </w:r>
            <w:r>
              <w:rPr>
                <w:sz w:val="19"/>
                <w:szCs w:val="19"/>
              </w:rPr>
              <w:t>5</w:t>
            </w:r>
          </w:p>
        </w:tc>
        <w:tc>
          <w:tcPr>
            <w:tcW w:w="0" w:type="auto"/>
            <w:noWrap/>
            <w:vAlign w:val="bottom"/>
            <w:hideMark/>
          </w:tcPr>
          <w:p w14:paraId="4737FE62" w14:textId="77777777" w:rsidR="00000000" w:rsidRDefault="003C49E9">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14:paraId="4A26D2BD"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E6F6E08"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23DD0CCA" w14:textId="77777777" w:rsidR="00000000" w:rsidRDefault="003C49E9">
            <w:pPr>
              <w:pStyle w:val="a3"/>
              <w:spacing w:before="0" w:beforeAutospacing="0" w:after="0" w:afterAutospacing="0"/>
              <w:jc w:val="right"/>
              <w:rPr>
                <w:sz w:val="19"/>
                <w:szCs w:val="19"/>
              </w:rPr>
            </w:pPr>
            <w:r>
              <w:rPr>
                <w:sz w:val="19"/>
                <w:szCs w:val="19"/>
              </w:rPr>
              <w:t>60</w:t>
            </w:r>
            <w:r>
              <w:rPr>
                <w:sz w:val="19"/>
                <w:szCs w:val="19"/>
              </w:rPr>
              <w:t>2</w:t>
            </w:r>
          </w:p>
        </w:tc>
        <w:tc>
          <w:tcPr>
            <w:tcW w:w="0" w:type="auto"/>
            <w:noWrap/>
            <w:vAlign w:val="bottom"/>
            <w:hideMark/>
          </w:tcPr>
          <w:p w14:paraId="724059B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9BF2530"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25027C94"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6B7200F2" w14:textId="77777777" w:rsidR="00000000" w:rsidRDefault="003C49E9">
            <w:pPr>
              <w:pStyle w:val="a3"/>
              <w:spacing w:before="0" w:beforeAutospacing="0" w:after="0" w:afterAutospacing="0"/>
              <w:jc w:val="right"/>
              <w:rPr>
                <w:sz w:val="19"/>
                <w:szCs w:val="19"/>
              </w:rPr>
            </w:pPr>
            <w:r>
              <w:rPr>
                <w:sz w:val="19"/>
                <w:szCs w:val="19"/>
              </w:rPr>
              <w:t>1,18</w:t>
            </w:r>
            <w:r>
              <w:rPr>
                <w:sz w:val="19"/>
                <w:szCs w:val="19"/>
              </w:rPr>
              <w:t>8</w:t>
            </w:r>
          </w:p>
        </w:tc>
        <w:tc>
          <w:tcPr>
            <w:tcW w:w="0" w:type="auto"/>
            <w:noWrap/>
            <w:vAlign w:val="bottom"/>
            <w:hideMark/>
          </w:tcPr>
          <w:p w14:paraId="0F9B3330"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500761DF" w14:textId="77777777" w:rsidR="00000000" w:rsidRDefault="003C49E9">
            <w:pPr>
              <w:pStyle w:val="a3"/>
              <w:spacing w:before="0" w:beforeAutospacing="0" w:after="0" w:afterAutospacing="0"/>
              <w:jc w:val="right"/>
              <w:rPr>
                <w:sz w:val="19"/>
                <w:szCs w:val="19"/>
              </w:rPr>
            </w:pPr>
            <w:r>
              <w:rPr>
                <w:sz w:val="19"/>
                <w:szCs w:val="19"/>
              </w:rPr>
              <w:t> </w:t>
            </w:r>
          </w:p>
        </w:tc>
        <w:tc>
          <w:tcPr>
            <w:tcW w:w="0" w:type="auto"/>
            <w:noWrap/>
            <w:vAlign w:val="bottom"/>
            <w:hideMark/>
          </w:tcPr>
          <w:p w14:paraId="46429302"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030E9C41" w14:textId="77777777" w:rsidR="00000000" w:rsidRDefault="003C49E9">
            <w:pPr>
              <w:pStyle w:val="a3"/>
              <w:spacing w:before="0" w:beforeAutospacing="0" w:after="0" w:afterAutospacing="0"/>
              <w:jc w:val="right"/>
              <w:rPr>
                <w:sz w:val="19"/>
                <w:szCs w:val="19"/>
              </w:rPr>
            </w:pPr>
            <w:r>
              <w:rPr>
                <w:sz w:val="19"/>
                <w:szCs w:val="19"/>
              </w:rPr>
              <w:t>(58</w:t>
            </w:r>
            <w:r>
              <w:rPr>
                <w:sz w:val="19"/>
                <w:szCs w:val="19"/>
              </w:rPr>
              <w:t>6</w:t>
            </w:r>
          </w:p>
        </w:tc>
        <w:tc>
          <w:tcPr>
            <w:tcW w:w="0" w:type="auto"/>
            <w:noWrap/>
            <w:vAlign w:val="bottom"/>
            <w:hideMark/>
          </w:tcPr>
          <w:p w14:paraId="628D2BFF" w14:textId="77777777" w:rsidR="00000000" w:rsidRDefault="003C49E9">
            <w:pPr>
              <w:pStyle w:val="a3"/>
              <w:spacing w:before="0" w:beforeAutospacing="0" w:after="0" w:afterAutospacing="0"/>
              <w:rPr>
                <w:sz w:val="19"/>
                <w:szCs w:val="19"/>
              </w:rPr>
            </w:pPr>
            <w:r>
              <w:rPr>
                <w:sz w:val="19"/>
                <w:szCs w:val="19"/>
              </w:rPr>
              <w:t>)</w:t>
            </w:r>
          </w:p>
        </w:tc>
        <w:tc>
          <w:tcPr>
            <w:tcW w:w="0" w:type="auto"/>
            <w:vAlign w:val="bottom"/>
            <w:hideMark/>
          </w:tcPr>
          <w:p w14:paraId="5CDDD34B"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44FFC62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36295B3" w14:textId="77777777" w:rsidR="00000000" w:rsidRDefault="003C49E9">
            <w:pPr>
              <w:pStyle w:val="a3"/>
              <w:spacing w:before="0" w:beforeAutospacing="0" w:after="0" w:afterAutospacing="0"/>
              <w:jc w:val="right"/>
              <w:rPr>
                <w:sz w:val="19"/>
                <w:szCs w:val="19"/>
              </w:rPr>
            </w:pPr>
            <w:r>
              <w:rPr>
                <w:sz w:val="19"/>
                <w:szCs w:val="19"/>
              </w:rPr>
              <w:t>4</w:t>
            </w:r>
            <w:r>
              <w:rPr>
                <w:sz w:val="19"/>
                <w:szCs w:val="19"/>
              </w:rPr>
              <w:t>9</w:t>
            </w:r>
          </w:p>
        </w:tc>
        <w:tc>
          <w:tcPr>
            <w:tcW w:w="0" w:type="auto"/>
            <w:noWrap/>
            <w:vAlign w:val="bottom"/>
            <w:hideMark/>
          </w:tcPr>
          <w:p w14:paraId="1815B657" w14:textId="77777777" w:rsidR="00000000" w:rsidRDefault="003C49E9">
            <w:pPr>
              <w:pStyle w:val="a3"/>
              <w:spacing w:before="0" w:beforeAutospacing="0" w:after="0" w:afterAutospacing="0"/>
              <w:rPr>
                <w:sz w:val="19"/>
                <w:szCs w:val="19"/>
              </w:rPr>
            </w:pPr>
            <w:r>
              <w:rPr>
                <w:sz w:val="19"/>
                <w:szCs w:val="19"/>
              </w:rPr>
              <w:t>%</w:t>
            </w:r>
          </w:p>
        </w:tc>
      </w:tr>
      <w:tr w:rsidR="00000000" w14:paraId="43AF4EF9" w14:textId="77777777">
        <w:trPr>
          <w:trHeight w:val="180"/>
          <w:tblCellSpacing w:w="15" w:type="dxa"/>
        </w:trPr>
        <w:tc>
          <w:tcPr>
            <w:tcW w:w="0" w:type="auto"/>
            <w:vAlign w:val="bottom"/>
            <w:hideMark/>
          </w:tcPr>
          <w:p w14:paraId="04343484" w14:textId="77777777" w:rsidR="00000000" w:rsidRDefault="003C49E9">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14:paraId="61CF5144" w14:textId="77777777" w:rsidR="00000000" w:rsidRDefault="003C49E9">
            <w:pPr>
              <w:pStyle w:val="a3"/>
              <w:spacing w:before="0" w:beforeAutospacing="0" w:after="0" w:afterAutospacing="0"/>
              <w:rPr>
                <w:sz w:val="19"/>
                <w:szCs w:val="19"/>
              </w:rPr>
            </w:pPr>
            <w:r>
              <w:rPr>
                <w:sz w:val="19"/>
                <w:szCs w:val="19"/>
              </w:rPr>
              <w:t> </w:t>
            </w:r>
          </w:p>
        </w:tc>
        <w:tc>
          <w:tcPr>
            <w:tcW w:w="0" w:type="auto"/>
            <w:noWrap/>
            <w:vAlign w:val="bottom"/>
            <w:hideMark/>
          </w:tcPr>
          <w:p w14:paraId="696D8913"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2A3082E8" w14:textId="77777777" w:rsidR="00000000" w:rsidRDefault="003C49E9">
            <w:pPr>
              <w:pStyle w:val="a3"/>
              <w:spacing w:before="0" w:beforeAutospacing="0" w:after="0" w:afterAutospacing="0"/>
              <w:jc w:val="right"/>
              <w:rPr>
                <w:sz w:val="19"/>
                <w:szCs w:val="19"/>
              </w:rPr>
            </w:pPr>
            <w:r>
              <w:rPr>
                <w:sz w:val="19"/>
                <w:szCs w:val="19"/>
              </w:rPr>
              <w:t>(</w:t>
            </w:r>
            <w:r>
              <w:rPr>
                <w:sz w:val="19"/>
                <w:szCs w:val="19"/>
              </w:rPr>
              <w:t>1</w:t>
            </w:r>
          </w:p>
        </w:tc>
        <w:tc>
          <w:tcPr>
            <w:tcW w:w="0" w:type="auto"/>
            <w:noWrap/>
            <w:vAlign w:val="bottom"/>
            <w:hideMark/>
          </w:tcPr>
          <w:p w14:paraId="221AD26E" w14:textId="77777777" w:rsidR="00000000" w:rsidRDefault="003C49E9">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14:paraId="7A0778C2"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0BB0B087"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1470DCE0"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48D628D5"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5AE95AB4"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454997BD"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34EFA2A"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77DFE230"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62F54FD6"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78049D14"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640B0E63"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1733CB34"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9073832" w14:textId="77777777" w:rsidR="00000000" w:rsidRDefault="003C49E9">
            <w:pPr>
              <w:pStyle w:val="a3"/>
              <w:spacing w:before="0" w:beforeAutospacing="0" w:after="0" w:afterAutospacing="0"/>
              <w:rPr>
                <w:sz w:val="19"/>
                <w:szCs w:val="19"/>
              </w:rPr>
            </w:pPr>
            <w:r>
              <w:rPr>
                <w:sz w:val="19"/>
                <w:szCs w:val="19"/>
              </w:rPr>
              <w:t> </w:t>
            </w:r>
          </w:p>
        </w:tc>
        <w:tc>
          <w:tcPr>
            <w:tcW w:w="0" w:type="auto"/>
            <w:gridSpan w:val="2"/>
            <w:vAlign w:val="bottom"/>
            <w:hideMark/>
          </w:tcPr>
          <w:p w14:paraId="6503B9BE" w14:textId="77777777" w:rsidR="00000000" w:rsidRDefault="003C49E9">
            <w:pPr>
              <w:pStyle w:val="a3"/>
              <w:spacing w:before="0" w:beforeAutospacing="0" w:after="0" w:afterAutospacing="0"/>
              <w:jc w:val="right"/>
              <w:rPr>
                <w:sz w:val="19"/>
                <w:szCs w:val="19"/>
              </w:rPr>
            </w:pPr>
            <w:r>
              <w:rPr>
                <w:sz w:val="19"/>
                <w:szCs w:val="19"/>
              </w:rPr>
              <w:t>*</w:t>
            </w:r>
          </w:p>
        </w:tc>
        <w:tc>
          <w:tcPr>
            <w:tcW w:w="0" w:type="auto"/>
            <w:vAlign w:val="bottom"/>
            <w:hideMark/>
          </w:tcPr>
          <w:p w14:paraId="5AF99739" w14:textId="77777777" w:rsidR="00000000" w:rsidRDefault="003C49E9">
            <w:pPr>
              <w:pStyle w:val="a3"/>
              <w:spacing w:before="0" w:beforeAutospacing="0" w:after="0" w:afterAutospacing="0"/>
              <w:jc w:val="right"/>
              <w:rPr>
                <w:sz w:val="19"/>
                <w:szCs w:val="19"/>
              </w:rPr>
            </w:pPr>
            <w:r>
              <w:rPr>
                <w:sz w:val="19"/>
                <w:szCs w:val="19"/>
              </w:rPr>
              <w:t> </w:t>
            </w:r>
          </w:p>
        </w:tc>
        <w:tc>
          <w:tcPr>
            <w:tcW w:w="0" w:type="auto"/>
            <w:vAlign w:val="bottom"/>
            <w:hideMark/>
          </w:tcPr>
          <w:p w14:paraId="342B4072" w14:textId="77777777" w:rsidR="00000000" w:rsidRDefault="003C49E9">
            <w:pPr>
              <w:pStyle w:val="a3"/>
              <w:spacing w:before="0" w:beforeAutospacing="0" w:after="0" w:afterAutospacing="0"/>
              <w:jc w:val="center"/>
              <w:rPr>
                <w:sz w:val="19"/>
                <w:szCs w:val="19"/>
              </w:rPr>
            </w:pPr>
            <w:r>
              <w:rPr>
                <w:sz w:val="19"/>
                <w:szCs w:val="19"/>
              </w:rPr>
              <w:t> </w:t>
            </w:r>
          </w:p>
        </w:tc>
        <w:tc>
          <w:tcPr>
            <w:tcW w:w="0" w:type="auto"/>
            <w:gridSpan w:val="2"/>
            <w:vAlign w:val="bottom"/>
            <w:hideMark/>
          </w:tcPr>
          <w:p w14:paraId="7A542DFA"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0A74C47D"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3CA29BD8" w14:textId="77777777" w:rsidR="00000000" w:rsidRDefault="003C49E9">
            <w:pPr>
              <w:pStyle w:val="a3"/>
              <w:spacing w:before="0" w:beforeAutospacing="0" w:after="0" w:afterAutospacing="0"/>
              <w:jc w:val="right"/>
              <w:rPr>
                <w:sz w:val="19"/>
                <w:szCs w:val="19"/>
              </w:rPr>
            </w:pPr>
            <w:r>
              <w:rPr>
                <w:sz w:val="19"/>
                <w:szCs w:val="19"/>
              </w:rPr>
              <w:t> </w:t>
            </w:r>
          </w:p>
        </w:tc>
        <w:tc>
          <w:tcPr>
            <w:tcW w:w="0" w:type="auto"/>
            <w:gridSpan w:val="2"/>
            <w:vAlign w:val="bottom"/>
            <w:hideMark/>
          </w:tcPr>
          <w:p w14:paraId="45417C4B" w14:textId="77777777" w:rsidR="00000000" w:rsidRDefault="003C49E9">
            <w:pPr>
              <w:pStyle w:val="a3"/>
              <w:spacing w:before="0" w:beforeAutospacing="0" w:after="0" w:afterAutospacing="0"/>
              <w:rPr>
                <w:sz w:val="19"/>
                <w:szCs w:val="19"/>
              </w:rPr>
            </w:pPr>
            <w:r>
              <w:rPr>
                <w:sz w:val="19"/>
                <w:szCs w:val="19"/>
              </w:rPr>
              <w:t> </w:t>
            </w:r>
          </w:p>
        </w:tc>
        <w:tc>
          <w:tcPr>
            <w:tcW w:w="0" w:type="auto"/>
            <w:vAlign w:val="bottom"/>
            <w:hideMark/>
          </w:tcPr>
          <w:p w14:paraId="7C4A2661" w14:textId="77777777" w:rsidR="00000000" w:rsidRDefault="003C49E9">
            <w:pPr>
              <w:pStyle w:val="a3"/>
              <w:spacing w:before="0" w:beforeAutospacing="0" w:after="0" w:afterAutospacing="0"/>
              <w:rPr>
                <w:sz w:val="19"/>
                <w:szCs w:val="19"/>
              </w:rPr>
            </w:pPr>
            <w:r>
              <w:rPr>
                <w:sz w:val="19"/>
                <w:szCs w:val="19"/>
              </w:rPr>
              <w:t> </w:t>
            </w:r>
          </w:p>
        </w:tc>
      </w:tr>
    </w:tbl>
    <w:p w14:paraId="37758A7D" w14:textId="77777777" w:rsidR="00000000" w:rsidRDefault="003C49E9">
      <w:pPr>
        <w:pStyle w:val="a3"/>
        <w:spacing w:before="200" w:beforeAutospacing="0" w:after="0" w:afterAutospacing="0"/>
        <w:ind w:hanging="581"/>
        <w:rPr>
          <w:sz w:val="20"/>
          <w:szCs w:val="20"/>
        </w:rPr>
      </w:pPr>
      <w:r>
        <w:rPr>
          <w:sz w:val="20"/>
          <w:szCs w:val="20"/>
        </w:rPr>
        <w:t xml:space="preserve">* </w:t>
      </w:r>
      <w:r>
        <w:rPr>
          <w:sz w:val="20"/>
          <w:szCs w:val="20"/>
        </w:rPr>
        <w:t>not meaningfu</w:t>
      </w:r>
      <w:r>
        <w:rPr>
          <w:sz w:val="20"/>
          <w:szCs w:val="20"/>
        </w:rPr>
        <w:t>l</w:t>
      </w:r>
    </w:p>
    <w:p w14:paraId="334EA3B2" w14:textId="77777777" w:rsidR="00000000" w:rsidRDefault="003C49E9">
      <w:pPr>
        <w:pStyle w:val="a3"/>
        <w:spacing w:before="200" w:beforeAutospacing="0" w:after="0" w:afterAutospacing="0"/>
        <w:ind w:firstLine="592"/>
        <w:rPr>
          <w:sz w:val="20"/>
          <w:szCs w:val="20"/>
        </w:rPr>
      </w:pPr>
      <w:r>
        <w:rPr>
          <w:sz w:val="20"/>
          <w:szCs w:val="20"/>
        </w:rPr>
        <w:t xml:space="preserve">The change in other income during the three and six months ended June 30, 2022 is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29"/>
        <w:gridCol w:w="110"/>
        <w:gridCol w:w="160"/>
        <w:gridCol w:w="967"/>
        <w:gridCol w:w="127"/>
        <w:gridCol w:w="115"/>
        <w:gridCol w:w="160"/>
        <w:gridCol w:w="1035"/>
        <w:gridCol w:w="142"/>
      </w:tblGrid>
      <w:tr w:rsidR="00000000" w14:paraId="2966BBC4" w14:textId="77777777">
        <w:trPr>
          <w:tblCellSpacing w:w="15" w:type="dxa"/>
        </w:trPr>
        <w:tc>
          <w:tcPr>
            <w:tcW w:w="3044" w:type="pct"/>
            <w:vAlign w:val="center"/>
            <w:hideMark/>
          </w:tcPr>
          <w:p w14:paraId="6AEAA5AC" w14:textId="77777777" w:rsidR="00000000" w:rsidRDefault="003C49E9">
            <w:pPr>
              <w:rPr>
                <w:sz w:val="20"/>
                <w:szCs w:val="20"/>
              </w:rPr>
            </w:pPr>
          </w:p>
        </w:tc>
        <w:tc>
          <w:tcPr>
            <w:tcW w:w="48" w:type="pct"/>
            <w:vAlign w:val="center"/>
            <w:hideMark/>
          </w:tcPr>
          <w:p w14:paraId="46E2B8A9" w14:textId="77777777" w:rsidR="00000000" w:rsidRDefault="003C49E9">
            <w:pPr>
              <w:rPr>
                <w:rFonts w:eastAsia="Times New Roman"/>
                <w:sz w:val="20"/>
                <w:szCs w:val="20"/>
              </w:rPr>
            </w:pPr>
          </w:p>
        </w:tc>
        <w:tc>
          <w:tcPr>
            <w:tcW w:w="50" w:type="pct"/>
            <w:vAlign w:val="center"/>
            <w:hideMark/>
          </w:tcPr>
          <w:p w14:paraId="02D30AEF" w14:textId="77777777" w:rsidR="00000000" w:rsidRDefault="003C49E9">
            <w:pPr>
              <w:rPr>
                <w:rFonts w:eastAsia="Times New Roman"/>
                <w:sz w:val="20"/>
                <w:szCs w:val="20"/>
              </w:rPr>
            </w:pPr>
          </w:p>
        </w:tc>
        <w:tc>
          <w:tcPr>
            <w:tcW w:w="802" w:type="pct"/>
            <w:vAlign w:val="center"/>
            <w:hideMark/>
          </w:tcPr>
          <w:p w14:paraId="755716A3" w14:textId="77777777" w:rsidR="00000000" w:rsidRDefault="003C49E9">
            <w:pPr>
              <w:rPr>
                <w:rFonts w:eastAsia="Times New Roman"/>
                <w:sz w:val="20"/>
                <w:szCs w:val="20"/>
              </w:rPr>
            </w:pPr>
          </w:p>
        </w:tc>
        <w:tc>
          <w:tcPr>
            <w:tcW w:w="50" w:type="pct"/>
            <w:vAlign w:val="center"/>
            <w:hideMark/>
          </w:tcPr>
          <w:p w14:paraId="290C64AD" w14:textId="77777777" w:rsidR="00000000" w:rsidRDefault="003C49E9">
            <w:pPr>
              <w:rPr>
                <w:rFonts w:eastAsia="Times New Roman"/>
                <w:sz w:val="20"/>
                <w:szCs w:val="20"/>
              </w:rPr>
            </w:pPr>
          </w:p>
        </w:tc>
        <w:tc>
          <w:tcPr>
            <w:tcW w:w="48" w:type="pct"/>
            <w:vAlign w:val="center"/>
            <w:hideMark/>
          </w:tcPr>
          <w:p w14:paraId="5B7F1C2F" w14:textId="77777777" w:rsidR="00000000" w:rsidRDefault="003C49E9">
            <w:pPr>
              <w:rPr>
                <w:rFonts w:eastAsia="Times New Roman"/>
                <w:sz w:val="20"/>
                <w:szCs w:val="20"/>
              </w:rPr>
            </w:pPr>
          </w:p>
        </w:tc>
        <w:tc>
          <w:tcPr>
            <w:tcW w:w="50" w:type="pct"/>
            <w:vAlign w:val="center"/>
            <w:hideMark/>
          </w:tcPr>
          <w:p w14:paraId="36692106" w14:textId="77777777" w:rsidR="00000000" w:rsidRDefault="003C49E9">
            <w:pPr>
              <w:rPr>
                <w:rFonts w:eastAsia="Times New Roman"/>
                <w:sz w:val="20"/>
                <w:szCs w:val="20"/>
              </w:rPr>
            </w:pPr>
          </w:p>
        </w:tc>
        <w:tc>
          <w:tcPr>
            <w:tcW w:w="855" w:type="pct"/>
            <w:vAlign w:val="center"/>
            <w:hideMark/>
          </w:tcPr>
          <w:p w14:paraId="7A24B6DF" w14:textId="77777777" w:rsidR="00000000" w:rsidRDefault="003C49E9">
            <w:pPr>
              <w:rPr>
                <w:rFonts w:eastAsia="Times New Roman"/>
                <w:sz w:val="20"/>
                <w:szCs w:val="20"/>
              </w:rPr>
            </w:pPr>
          </w:p>
        </w:tc>
        <w:tc>
          <w:tcPr>
            <w:tcW w:w="50" w:type="pct"/>
            <w:vAlign w:val="center"/>
            <w:hideMark/>
          </w:tcPr>
          <w:p w14:paraId="6D888517" w14:textId="77777777" w:rsidR="00000000" w:rsidRDefault="003C49E9">
            <w:pPr>
              <w:rPr>
                <w:rFonts w:eastAsia="Times New Roman"/>
                <w:sz w:val="20"/>
                <w:szCs w:val="20"/>
              </w:rPr>
            </w:pPr>
          </w:p>
        </w:tc>
      </w:tr>
      <w:tr w:rsidR="00000000" w14:paraId="0063AD7F" w14:textId="77777777">
        <w:trPr>
          <w:trHeight w:val="160"/>
          <w:tblCellSpacing w:w="15" w:type="dxa"/>
        </w:trPr>
        <w:tc>
          <w:tcPr>
            <w:tcW w:w="0" w:type="auto"/>
            <w:vAlign w:val="bottom"/>
            <w:hideMark/>
          </w:tcPr>
          <w:p w14:paraId="653E242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1BFD8665"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68199A32" w14:textId="77777777" w:rsidR="00000000" w:rsidRDefault="003C49E9">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393D5146"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45E2E1C6" w14:textId="77777777">
        <w:trPr>
          <w:trHeight w:val="160"/>
          <w:tblCellSpacing w:w="15" w:type="dxa"/>
        </w:trPr>
        <w:tc>
          <w:tcPr>
            <w:tcW w:w="0" w:type="auto"/>
            <w:vAlign w:val="bottom"/>
            <w:hideMark/>
          </w:tcPr>
          <w:p w14:paraId="0B03840F"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20EDD94B"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FB5C9AF" w14:textId="77777777" w:rsidR="00000000" w:rsidRDefault="003C49E9">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14:paraId="5C07190C"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1758DB0C" w14:textId="77777777" w:rsidR="00000000" w:rsidRDefault="003C49E9">
            <w:pPr>
              <w:pStyle w:val="a3"/>
              <w:spacing w:before="0" w:beforeAutospacing="0" w:after="0" w:afterAutospacing="0"/>
              <w:rPr>
                <w:sz w:val="22"/>
                <w:szCs w:val="22"/>
              </w:rPr>
            </w:pPr>
            <w:r>
              <w:rPr>
                <w:sz w:val="22"/>
                <w:szCs w:val="22"/>
              </w:rPr>
              <w:t> </w:t>
            </w:r>
          </w:p>
        </w:tc>
        <w:tc>
          <w:tcPr>
            <w:tcW w:w="0" w:type="auto"/>
            <w:gridSpan w:val="2"/>
            <w:vAlign w:val="bottom"/>
            <w:hideMark/>
          </w:tcPr>
          <w:p w14:paraId="46D80E3C" w14:textId="77777777" w:rsidR="00000000" w:rsidRDefault="003C49E9">
            <w:pPr>
              <w:pStyle w:val="a3"/>
              <w:spacing w:before="0" w:beforeAutospacing="0" w:after="0" w:afterAutospacing="0"/>
              <w:jc w:val="center"/>
              <w:rPr>
                <w:sz w:val="16"/>
                <w:szCs w:val="16"/>
              </w:rPr>
            </w:pPr>
            <w:r>
              <w:rPr>
                <w:b/>
                <w:bCs/>
                <w:sz w:val="16"/>
                <w:szCs w:val="16"/>
              </w:rPr>
              <w:t>Six Month</w:t>
            </w:r>
            <w:r>
              <w:rPr>
                <w:b/>
                <w:bCs/>
                <w:sz w:val="16"/>
                <w:szCs w:val="16"/>
              </w:rPr>
              <w:t>s</w:t>
            </w:r>
          </w:p>
        </w:tc>
        <w:tc>
          <w:tcPr>
            <w:tcW w:w="0" w:type="auto"/>
            <w:vAlign w:val="bottom"/>
            <w:hideMark/>
          </w:tcPr>
          <w:p w14:paraId="69A6FA72"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EC00794" w14:textId="77777777">
        <w:trPr>
          <w:trHeight w:val="160"/>
          <w:tblCellSpacing w:w="15" w:type="dxa"/>
        </w:trPr>
        <w:tc>
          <w:tcPr>
            <w:tcW w:w="0" w:type="auto"/>
            <w:vAlign w:val="bottom"/>
            <w:hideMark/>
          </w:tcPr>
          <w:p w14:paraId="2BFC342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569CA76" w14:textId="77777777" w:rsidR="00000000" w:rsidRDefault="003C49E9">
            <w:pPr>
              <w:pStyle w:val="a3"/>
              <w:spacing w:before="0" w:beforeAutospacing="0" w:after="0" w:afterAutospacing="0"/>
              <w:rPr>
                <w:sz w:val="20"/>
                <w:szCs w:val="20"/>
              </w:rPr>
            </w:pPr>
            <w:r>
              <w:rPr>
                <w:sz w:val="20"/>
                <w:szCs w:val="20"/>
              </w:rPr>
              <w:t> </w:t>
            </w:r>
          </w:p>
        </w:tc>
        <w:tc>
          <w:tcPr>
            <w:tcW w:w="0" w:type="auto"/>
            <w:gridSpan w:val="6"/>
            <w:vAlign w:val="bottom"/>
            <w:hideMark/>
          </w:tcPr>
          <w:p w14:paraId="4688C1DF"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78259EA"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684CBA4" w14:textId="77777777">
        <w:trPr>
          <w:trHeight w:val="200"/>
          <w:tblCellSpacing w:w="15" w:type="dxa"/>
        </w:trPr>
        <w:tc>
          <w:tcPr>
            <w:tcW w:w="0" w:type="auto"/>
            <w:hideMark/>
          </w:tcPr>
          <w:p w14:paraId="17EF7AA1" w14:textId="77777777" w:rsidR="00000000" w:rsidRDefault="003C49E9">
            <w:pPr>
              <w:pStyle w:val="a3"/>
              <w:spacing w:before="0" w:beforeAutospacing="0" w:after="0" w:afterAutospacing="0"/>
              <w:rPr>
                <w:sz w:val="20"/>
                <w:szCs w:val="20"/>
              </w:rPr>
            </w:pPr>
            <w:r>
              <w:rPr>
                <w:sz w:val="20"/>
                <w:szCs w:val="20"/>
              </w:rPr>
              <w:t>Foreign currency transaction gains and losse</w:t>
            </w:r>
            <w:r>
              <w:rPr>
                <w:sz w:val="20"/>
                <w:szCs w:val="20"/>
              </w:rPr>
              <w:t>s</w:t>
            </w:r>
          </w:p>
        </w:tc>
        <w:tc>
          <w:tcPr>
            <w:tcW w:w="0" w:type="auto"/>
            <w:vAlign w:val="bottom"/>
            <w:hideMark/>
          </w:tcPr>
          <w:p w14:paraId="59403F5D" w14:textId="77777777" w:rsidR="00000000" w:rsidRDefault="003C49E9">
            <w:pPr>
              <w:pStyle w:val="a3"/>
              <w:spacing w:before="0" w:beforeAutospacing="0" w:after="0" w:afterAutospacing="0"/>
              <w:rPr>
                <w:sz w:val="20"/>
                <w:szCs w:val="20"/>
              </w:rPr>
            </w:pPr>
            <w:r>
              <w:rPr>
                <w:sz w:val="20"/>
                <w:szCs w:val="20"/>
              </w:rPr>
              <w:t> </w:t>
            </w:r>
          </w:p>
        </w:tc>
        <w:tc>
          <w:tcPr>
            <w:tcW w:w="0" w:type="auto"/>
            <w:noWrap/>
            <w:hideMark/>
          </w:tcPr>
          <w:p w14:paraId="10CBBA90" w14:textId="77777777" w:rsidR="00000000" w:rsidRDefault="003C49E9">
            <w:pPr>
              <w:pStyle w:val="a3"/>
              <w:spacing w:before="0" w:beforeAutospacing="0" w:after="0" w:afterAutospacing="0"/>
              <w:rPr>
                <w:sz w:val="20"/>
                <w:szCs w:val="20"/>
              </w:rPr>
            </w:pPr>
            <w:r>
              <w:rPr>
                <w:sz w:val="20"/>
                <w:szCs w:val="20"/>
              </w:rPr>
              <w:t>$</w:t>
            </w:r>
          </w:p>
        </w:tc>
        <w:tc>
          <w:tcPr>
            <w:tcW w:w="0" w:type="auto"/>
            <w:hideMark/>
          </w:tcPr>
          <w:p w14:paraId="72C0EFBD" w14:textId="77777777" w:rsidR="00000000" w:rsidRDefault="003C49E9">
            <w:pPr>
              <w:pStyle w:val="a3"/>
              <w:spacing w:before="0" w:beforeAutospacing="0" w:after="0" w:afterAutospacing="0"/>
              <w:jc w:val="right"/>
              <w:rPr>
                <w:sz w:val="20"/>
                <w:szCs w:val="20"/>
              </w:rPr>
            </w:pPr>
            <w:r>
              <w:rPr>
                <w:sz w:val="20"/>
                <w:szCs w:val="20"/>
              </w:rPr>
              <w:t>(2,59</w:t>
            </w:r>
            <w:r>
              <w:rPr>
                <w:sz w:val="20"/>
                <w:szCs w:val="20"/>
              </w:rPr>
              <w:t>7</w:t>
            </w:r>
          </w:p>
        </w:tc>
        <w:tc>
          <w:tcPr>
            <w:tcW w:w="0" w:type="auto"/>
            <w:noWrap/>
            <w:hideMark/>
          </w:tcPr>
          <w:p w14:paraId="6EBA2629"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656E083" w14:textId="77777777" w:rsidR="00000000" w:rsidRDefault="003C49E9">
            <w:pPr>
              <w:pStyle w:val="a3"/>
              <w:spacing w:before="0" w:beforeAutospacing="0" w:after="0" w:afterAutospacing="0"/>
              <w:rPr>
                <w:sz w:val="22"/>
                <w:szCs w:val="22"/>
              </w:rPr>
            </w:pPr>
            <w:r>
              <w:rPr>
                <w:sz w:val="22"/>
                <w:szCs w:val="22"/>
              </w:rPr>
              <w:t> </w:t>
            </w:r>
          </w:p>
        </w:tc>
        <w:tc>
          <w:tcPr>
            <w:tcW w:w="0" w:type="auto"/>
            <w:noWrap/>
            <w:hideMark/>
          </w:tcPr>
          <w:p w14:paraId="7DEFF7E6" w14:textId="77777777" w:rsidR="00000000" w:rsidRDefault="003C49E9">
            <w:pPr>
              <w:pStyle w:val="a3"/>
              <w:spacing w:before="0" w:beforeAutospacing="0" w:after="0" w:afterAutospacing="0"/>
              <w:rPr>
                <w:sz w:val="20"/>
                <w:szCs w:val="20"/>
              </w:rPr>
            </w:pPr>
            <w:r>
              <w:rPr>
                <w:sz w:val="20"/>
                <w:szCs w:val="20"/>
              </w:rPr>
              <w:t>$</w:t>
            </w:r>
          </w:p>
        </w:tc>
        <w:tc>
          <w:tcPr>
            <w:tcW w:w="0" w:type="auto"/>
            <w:hideMark/>
          </w:tcPr>
          <w:p w14:paraId="7A062B90" w14:textId="77777777" w:rsidR="00000000" w:rsidRDefault="003C49E9">
            <w:pPr>
              <w:pStyle w:val="a3"/>
              <w:spacing w:before="0" w:beforeAutospacing="0" w:after="0" w:afterAutospacing="0"/>
              <w:jc w:val="right"/>
              <w:rPr>
                <w:sz w:val="20"/>
                <w:szCs w:val="20"/>
              </w:rPr>
            </w:pPr>
            <w:r>
              <w:rPr>
                <w:sz w:val="20"/>
                <w:szCs w:val="20"/>
              </w:rPr>
              <w:t>(3,76</w:t>
            </w:r>
            <w:r>
              <w:rPr>
                <w:sz w:val="20"/>
                <w:szCs w:val="20"/>
              </w:rPr>
              <w:t>3</w:t>
            </w:r>
          </w:p>
        </w:tc>
        <w:tc>
          <w:tcPr>
            <w:tcW w:w="0" w:type="auto"/>
            <w:noWrap/>
            <w:hideMark/>
          </w:tcPr>
          <w:p w14:paraId="59C21AA3" w14:textId="77777777" w:rsidR="00000000" w:rsidRDefault="003C49E9">
            <w:pPr>
              <w:pStyle w:val="a3"/>
              <w:spacing w:before="0" w:beforeAutospacing="0" w:after="0" w:afterAutospacing="0"/>
              <w:rPr>
                <w:sz w:val="20"/>
                <w:szCs w:val="20"/>
              </w:rPr>
            </w:pPr>
            <w:r>
              <w:rPr>
                <w:sz w:val="20"/>
                <w:szCs w:val="20"/>
              </w:rPr>
              <w:t>)</w:t>
            </w:r>
          </w:p>
        </w:tc>
      </w:tr>
      <w:tr w:rsidR="00000000" w14:paraId="60C9B51A" w14:textId="77777777">
        <w:trPr>
          <w:trHeight w:val="200"/>
          <w:tblCellSpacing w:w="15" w:type="dxa"/>
        </w:trPr>
        <w:tc>
          <w:tcPr>
            <w:tcW w:w="0" w:type="auto"/>
            <w:hideMark/>
          </w:tcPr>
          <w:p w14:paraId="2F84FFB0" w14:textId="77777777" w:rsidR="00000000" w:rsidRDefault="003C49E9">
            <w:pPr>
              <w:pStyle w:val="a3"/>
              <w:spacing w:before="0" w:beforeAutospacing="0" w:after="0" w:afterAutospacing="0"/>
              <w:rPr>
                <w:sz w:val="20"/>
                <w:szCs w:val="20"/>
              </w:rPr>
            </w:pPr>
            <w:r>
              <w:rPr>
                <w:sz w:val="20"/>
                <w:szCs w:val="20"/>
              </w:rPr>
              <w:t>Gain on strategic investment</w:t>
            </w:r>
            <w:r>
              <w:rPr>
                <w:sz w:val="20"/>
                <w:szCs w:val="20"/>
              </w:rPr>
              <w:t>s</w:t>
            </w:r>
          </w:p>
        </w:tc>
        <w:tc>
          <w:tcPr>
            <w:tcW w:w="0" w:type="auto"/>
            <w:vAlign w:val="bottom"/>
            <w:hideMark/>
          </w:tcPr>
          <w:p w14:paraId="1C51C3C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7CF7B2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3DB4A8A4" w14:textId="77777777" w:rsidR="00000000" w:rsidRDefault="003C49E9">
            <w:pPr>
              <w:pStyle w:val="a3"/>
              <w:spacing w:before="0" w:beforeAutospacing="0" w:after="0" w:afterAutospacing="0"/>
              <w:jc w:val="right"/>
              <w:rPr>
                <w:sz w:val="20"/>
                <w:szCs w:val="20"/>
              </w:rPr>
            </w:pPr>
            <w:r>
              <w:rPr>
                <w:sz w:val="20"/>
                <w:szCs w:val="20"/>
              </w:rPr>
              <w:t>(1,02</w:t>
            </w:r>
            <w:r>
              <w:rPr>
                <w:sz w:val="20"/>
                <w:szCs w:val="20"/>
              </w:rPr>
              <w:t>2</w:t>
            </w:r>
          </w:p>
        </w:tc>
        <w:tc>
          <w:tcPr>
            <w:tcW w:w="0" w:type="auto"/>
            <w:noWrap/>
            <w:vAlign w:val="bottom"/>
            <w:hideMark/>
          </w:tcPr>
          <w:p w14:paraId="56B65FC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D84A0EB"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541E32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5839418" w14:textId="77777777" w:rsidR="00000000" w:rsidRDefault="003C49E9">
            <w:pPr>
              <w:pStyle w:val="a3"/>
              <w:spacing w:before="0" w:beforeAutospacing="0" w:after="0" w:afterAutospacing="0"/>
              <w:jc w:val="right"/>
              <w:rPr>
                <w:sz w:val="20"/>
                <w:szCs w:val="20"/>
              </w:rPr>
            </w:pPr>
            <w:r>
              <w:rPr>
                <w:sz w:val="20"/>
                <w:szCs w:val="20"/>
              </w:rPr>
              <w:t>3,17</w:t>
            </w:r>
            <w:r>
              <w:rPr>
                <w:sz w:val="20"/>
                <w:szCs w:val="20"/>
              </w:rPr>
              <w:t>7</w:t>
            </w:r>
          </w:p>
        </w:tc>
        <w:tc>
          <w:tcPr>
            <w:tcW w:w="0" w:type="auto"/>
            <w:noWrap/>
            <w:vAlign w:val="bottom"/>
            <w:hideMark/>
          </w:tcPr>
          <w:p w14:paraId="43D5166A" w14:textId="77777777" w:rsidR="00000000" w:rsidRDefault="003C49E9">
            <w:pPr>
              <w:pStyle w:val="a3"/>
              <w:spacing w:before="0" w:beforeAutospacing="0" w:after="0" w:afterAutospacing="0"/>
              <w:rPr>
                <w:sz w:val="20"/>
                <w:szCs w:val="20"/>
              </w:rPr>
            </w:pPr>
            <w:r>
              <w:rPr>
                <w:sz w:val="20"/>
                <w:szCs w:val="20"/>
              </w:rPr>
              <w:t> </w:t>
            </w:r>
          </w:p>
        </w:tc>
      </w:tr>
      <w:tr w:rsidR="00000000" w14:paraId="1713BDC9" w14:textId="77777777">
        <w:trPr>
          <w:trHeight w:val="200"/>
          <w:tblCellSpacing w:w="15" w:type="dxa"/>
        </w:trPr>
        <w:tc>
          <w:tcPr>
            <w:tcW w:w="0" w:type="auto"/>
            <w:hideMark/>
          </w:tcPr>
          <w:p w14:paraId="3535830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0F19D6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030792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EA45C87" w14:textId="77777777" w:rsidR="00000000" w:rsidRDefault="003C49E9">
            <w:pPr>
              <w:pStyle w:val="a3"/>
              <w:spacing w:before="0" w:beforeAutospacing="0" w:after="0" w:afterAutospacing="0"/>
              <w:jc w:val="right"/>
              <w:rPr>
                <w:sz w:val="20"/>
                <w:szCs w:val="20"/>
              </w:rPr>
            </w:pPr>
            <w:r>
              <w:rPr>
                <w:sz w:val="20"/>
                <w:szCs w:val="20"/>
              </w:rPr>
              <w:t>(3,61</w:t>
            </w:r>
            <w:r>
              <w:rPr>
                <w:sz w:val="20"/>
                <w:szCs w:val="20"/>
              </w:rPr>
              <w:t>9</w:t>
            </w:r>
          </w:p>
        </w:tc>
        <w:tc>
          <w:tcPr>
            <w:tcW w:w="0" w:type="auto"/>
            <w:noWrap/>
            <w:vAlign w:val="bottom"/>
            <w:hideMark/>
          </w:tcPr>
          <w:p w14:paraId="127E89F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B7F0021" w14:textId="77777777" w:rsidR="00000000" w:rsidRDefault="003C49E9">
            <w:pPr>
              <w:pStyle w:val="a3"/>
              <w:spacing w:before="0" w:beforeAutospacing="0" w:after="0" w:afterAutospacing="0"/>
              <w:rPr>
                <w:sz w:val="22"/>
                <w:szCs w:val="22"/>
              </w:rPr>
            </w:pPr>
            <w:r>
              <w:rPr>
                <w:sz w:val="22"/>
                <w:szCs w:val="22"/>
              </w:rPr>
              <w:t> </w:t>
            </w:r>
          </w:p>
        </w:tc>
        <w:tc>
          <w:tcPr>
            <w:tcW w:w="0" w:type="auto"/>
            <w:noWrap/>
            <w:vAlign w:val="bottom"/>
            <w:hideMark/>
          </w:tcPr>
          <w:p w14:paraId="7234A51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8AE388C" w14:textId="77777777" w:rsidR="00000000" w:rsidRDefault="003C49E9">
            <w:pPr>
              <w:pStyle w:val="a3"/>
              <w:spacing w:before="0" w:beforeAutospacing="0" w:after="0" w:afterAutospacing="0"/>
              <w:jc w:val="right"/>
              <w:rPr>
                <w:sz w:val="20"/>
                <w:szCs w:val="20"/>
              </w:rPr>
            </w:pPr>
            <w:r>
              <w:rPr>
                <w:sz w:val="20"/>
                <w:szCs w:val="20"/>
              </w:rPr>
              <w:t>(58</w:t>
            </w:r>
            <w:r>
              <w:rPr>
                <w:sz w:val="20"/>
                <w:szCs w:val="20"/>
              </w:rPr>
              <w:t>6</w:t>
            </w:r>
          </w:p>
        </w:tc>
        <w:tc>
          <w:tcPr>
            <w:tcW w:w="0" w:type="auto"/>
            <w:noWrap/>
            <w:vAlign w:val="bottom"/>
            <w:hideMark/>
          </w:tcPr>
          <w:p w14:paraId="7EBC40ED" w14:textId="77777777" w:rsidR="00000000" w:rsidRDefault="003C49E9">
            <w:pPr>
              <w:pStyle w:val="a3"/>
              <w:spacing w:before="0" w:beforeAutospacing="0" w:after="0" w:afterAutospacing="0"/>
              <w:rPr>
                <w:sz w:val="20"/>
                <w:szCs w:val="20"/>
              </w:rPr>
            </w:pPr>
            <w:r>
              <w:rPr>
                <w:sz w:val="20"/>
                <w:szCs w:val="20"/>
              </w:rPr>
              <w:t>)</w:t>
            </w:r>
          </w:p>
        </w:tc>
      </w:tr>
    </w:tbl>
    <w:p w14:paraId="6B647AE5"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08CB89D9" w14:textId="77777777" w:rsidR="00000000" w:rsidRDefault="003C49E9">
      <w:pPr>
        <w:pStyle w:val="a3"/>
        <w:spacing w:before="200" w:beforeAutospacing="0" w:after="0" w:afterAutospacing="0"/>
        <w:ind w:firstLine="592"/>
        <w:rPr>
          <w:sz w:val="20"/>
          <w:szCs w:val="20"/>
        </w:rPr>
      </w:pPr>
      <w:r>
        <w:rPr>
          <w:sz w:val="20"/>
          <w:szCs w:val="20"/>
        </w:rPr>
        <w:t>Other (expense) income primarily consists of the impact of foreign currency transaction gains and losses associated with monetary assets and liabilities and any gains or losses on our strategic investments. The increase in foreign currency transaction loss</w:t>
      </w:r>
      <w:r>
        <w:rPr>
          <w:sz w:val="20"/>
          <w:szCs w:val="20"/>
        </w:rPr>
        <w:t>es is primarily attributable to the decline in the value of the Euro relative to the U.S. Dollar. The decrease in gain on investments is due to an adjustment to the fair value of an investment as a result of an observable price change in the three months e</w:t>
      </w:r>
      <w:r>
        <w:rPr>
          <w:sz w:val="20"/>
          <w:szCs w:val="20"/>
        </w:rPr>
        <w:t>nded June 30, 2021, whereas no gain was recognized in the three months ended June 30, 2022</w:t>
      </w:r>
      <w:r>
        <w:rPr>
          <w:sz w:val="20"/>
          <w:szCs w:val="20"/>
        </w:rPr>
        <w:t>.</w:t>
      </w:r>
      <w:r>
        <w:rPr>
          <w:sz w:val="20"/>
          <w:szCs w:val="20"/>
        </w:rPr>
        <w:t xml:space="preserve"> </w:t>
      </w:r>
    </w:p>
    <w:p w14:paraId="0373F79E"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12EF1B34" w14:textId="77777777" w:rsidR="00000000" w:rsidRDefault="003C49E9">
      <w:pPr>
        <w:pStyle w:val="a3"/>
        <w:spacing w:before="200" w:beforeAutospacing="0" w:after="0" w:afterAutospacing="0"/>
        <w:ind w:firstLine="555"/>
        <w:rPr>
          <w:sz w:val="20"/>
          <w:szCs w:val="20"/>
        </w:rPr>
      </w:pPr>
      <w:r>
        <w:rPr>
          <w:sz w:val="20"/>
          <w:szCs w:val="20"/>
        </w:rPr>
        <w:t>Other (expense) income primarily consists of the impact of foreign currency transaction gains and losses associated with monetary assets and liabi</w:t>
      </w:r>
      <w:r>
        <w:rPr>
          <w:sz w:val="20"/>
          <w:szCs w:val="20"/>
        </w:rPr>
        <w:t>lities and any gains or losses on our strategic investments. The increase in foreign currency transaction losses is primarily attributable to the decline in the value of the Euro relative to the U.S. Dollar. The increase in gain on investments is due to an</w:t>
      </w:r>
      <w:r>
        <w:rPr>
          <w:sz w:val="20"/>
          <w:szCs w:val="20"/>
        </w:rPr>
        <w:t xml:space="preserve"> adjustment to the fair value of an investment as a result of an observable price change of $4.2 million in the six months ended June 30, 2022 compared to $1.0 million in the six months ended June 30, 2021</w:t>
      </w:r>
      <w:r>
        <w:rPr>
          <w:sz w:val="20"/>
          <w:szCs w:val="20"/>
        </w:rPr>
        <w:t>.</w:t>
      </w:r>
      <w:r>
        <w:rPr>
          <w:sz w:val="20"/>
          <w:szCs w:val="20"/>
        </w:rPr>
        <w:t xml:space="preserve"> </w:t>
      </w:r>
    </w:p>
    <w:p w14:paraId="79F35335" w14:textId="77777777" w:rsidR="00000000" w:rsidRDefault="003C49E9">
      <w:pPr>
        <w:pStyle w:val="a3"/>
        <w:spacing w:before="200" w:beforeAutospacing="0" w:after="0" w:afterAutospacing="0"/>
        <w:ind w:firstLine="592"/>
        <w:rPr>
          <w:sz w:val="20"/>
          <w:szCs w:val="20"/>
        </w:rPr>
      </w:pPr>
      <w:r>
        <w:rPr>
          <w:b/>
          <w:bCs/>
          <w:i/>
          <w:iCs/>
          <w:sz w:val="20"/>
          <w:szCs w:val="20"/>
        </w:rPr>
        <w:t>Income tax expense</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8"/>
        <w:gridCol w:w="110"/>
        <w:gridCol w:w="160"/>
        <w:gridCol w:w="577"/>
        <w:gridCol w:w="227"/>
        <w:gridCol w:w="110"/>
        <w:gridCol w:w="160"/>
        <w:gridCol w:w="577"/>
        <w:gridCol w:w="227"/>
        <w:gridCol w:w="110"/>
        <w:gridCol w:w="161"/>
        <w:gridCol w:w="549"/>
        <w:gridCol w:w="127"/>
        <w:gridCol w:w="110"/>
        <w:gridCol w:w="111"/>
        <w:gridCol w:w="470"/>
        <w:gridCol w:w="227"/>
        <w:gridCol w:w="110"/>
        <w:gridCol w:w="160"/>
        <w:gridCol w:w="577"/>
        <w:gridCol w:w="227"/>
        <w:gridCol w:w="110"/>
        <w:gridCol w:w="160"/>
        <w:gridCol w:w="577"/>
        <w:gridCol w:w="227"/>
        <w:gridCol w:w="110"/>
        <w:gridCol w:w="160"/>
        <w:gridCol w:w="577"/>
        <w:gridCol w:w="127"/>
        <w:gridCol w:w="110"/>
        <w:gridCol w:w="111"/>
        <w:gridCol w:w="468"/>
        <w:gridCol w:w="242"/>
      </w:tblGrid>
      <w:tr w:rsidR="00000000" w14:paraId="72B2E107" w14:textId="77777777">
        <w:trPr>
          <w:tblCellSpacing w:w="15" w:type="dxa"/>
        </w:trPr>
        <w:tc>
          <w:tcPr>
            <w:tcW w:w="839" w:type="pct"/>
            <w:vAlign w:val="center"/>
            <w:hideMark/>
          </w:tcPr>
          <w:p w14:paraId="06CC16BD" w14:textId="77777777" w:rsidR="00000000" w:rsidRDefault="003C49E9">
            <w:pPr>
              <w:rPr>
                <w:sz w:val="20"/>
                <w:szCs w:val="20"/>
              </w:rPr>
            </w:pPr>
          </w:p>
        </w:tc>
        <w:tc>
          <w:tcPr>
            <w:tcW w:w="49" w:type="pct"/>
            <w:vAlign w:val="center"/>
            <w:hideMark/>
          </w:tcPr>
          <w:p w14:paraId="5E90F526" w14:textId="77777777" w:rsidR="00000000" w:rsidRDefault="003C49E9">
            <w:pPr>
              <w:rPr>
                <w:rFonts w:eastAsia="Times New Roman"/>
                <w:sz w:val="20"/>
                <w:szCs w:val="20"/>
              </w:rPr>
            </w:pPr>
          </w:p>
        </w:tc>
        <w:tc>
          <w:tcPr>
            <w:tcW w:w="50" w:type="pct"/>
            <w:vAlign w:val="center"/>
            <w:hideMark/>
          </w:tcPr>
          <w:p w14:paraId="7A199E40" w14:textId="77777777" w:rsidR="00000000" w:rsidRDefault="003C49E9">
            <w:pPr>
              <w:rPr>
                <w:rFonts w:eastAsia="Times New Roman"/>
                <w:sz w:val="20"/>
                <w:szCs w:val="20"/>
              </w:rPr>
            </w:pPr>
          </w:p>
        </w:tc>
        <w:tc>
          <w:tcPr>
            <w:tcW w:w="335" w:type="pct"/>
            <w:vAlign w:val="center"/>
            <w:hideMark/>
          </w:tcPr>
          <w:p w14:paraId="43D8E939" w14:textId="77777777" w:rsidR="00000000" w:rsidRDefault="003C49E9">
            <w:pPr>
              <w:rPr>
                <w:rFonts w:eastAsia="Times New Roman"/>
                <w:sz w:val="20"/>
                <w:szCs w:val="20"/>
              </w:rPr>
            </w:pPr>
          </w:p>
        </w:tc>
        <w:tc>
          <w:tcPr>
            <w:tcW w:w="50" w:type="pct"/>
            <w:vAlign w:val="center"/>
            <w:hideMark/>
          </w:tcPr>
          <w:p w14:paraId="7377FFCD" w14:textId="77777777" w:rsidR="00000000" w:rsidRDefault="003C49E9">
            <w:pPr>
              <w:rPr>
                <w:rFonts w:eastAsia="Times New Roman"/>
                <w:sz w:val="20"/>
                <w:szCs w:val="20"/>
              </w:rPr>
            </w:pPr>
          </w:p>
        </w:tc>
        <w:tc>
          <w:tcPr>
            <w:tcW w:w="49" w:type="pct"/>
            <w:vAlign w:val="center"/>
            <w:hideMark/>
          </w:tcPr>
          <w:p w14:paraId="5D9D6258" w14:textId="77777777" w:rsidR="00000000" w:rsidRDefault="003C49E9">
            <w:pPr>
              <w:rPr>
                <w:rFonts w:eastAsia="Times New Roman"/>
                <w:sz w:val="20"/>
                <w:szCs w:val="20"/>
              </w:rPr>
            </w:pPr>
          </w:p>
        </w:tc>
        <w:tc>
          <w:tcPr>
            <w:tcW w:w="50" w:type="pct"/>
            <w:vAlign w:val="center"/>
            <w:hideMark/>
          </w:tcPr>
          <w:p w14:paraId="79D2A202" w14:textId="77777777" w:rsidR="00000000" w:rsidRDefault="003C49E9">
            <w:pPr>
              <w:rPr>
                <w:rFonts w:eastAsia="Times New Roman"/>
                <w:sz w:val="20"/>
                <w:szCs w:val="20"/>
              </w:rPr>
            </w:pPr>
          </w:p>
        </w:tc>
        <w:tc>
          <w:tcPr>
            <w:tcW w:w="313" w:type="pct"/>
            <w:vAlign w:val="center"/>
            <w:hideMark/>
          </w:tcPr>
          <w:p w14:paraId="209E10FA" w14:textId="77777777" w:rsidR="00000000" w:rsidRDefault="003C49E9">
            <w:pPr>
              <w:rPr>
                <w:rFonts w:eastAsia="Times New Roman"/>
                <w:sz w:val="20"/>
                <w:szCs w:val="20"/>
              </w:rPr>
            </w:pPr>
          </w:p>
        </w:tc>
        <w:tc>
          <w:tcPr>
            <w:tcW w:w="50" w:type="pct"/>
            <w:vAlign w:val="center"/>
            <w:hideMark/>
          </w:tcPr>
          <w:p w14:paraId="6AFE102C" w14:textId="77777777" w:rsidR="00000000" w:rsidRDefault="003C49E9">
            <w:pPr>
              <w:rPr>
                <w:rFonts w:eastAsia="Times New Roman"/>
                <w:sz w:val="20"/>
                <w:szCs w:val="20"/>
              </w:rPr>
            </w:pPr>
          </w:p>
        </w:tc>
        <w:tc>
          <w:tcPr>
            <w:tcW w:w="49" w:type="pct"/>
            <w:vAlign w:val="center"/>
            <w:hideMark/>
          </w:tcPr>
          <w:p w14:paraId="2FBF6185" w14:textId="77777777" w:rsidR="00000000" w:rsidRDefault="003C49E9">
            <w:pPr>
              <w:rPr>
                <w:rFonts w:eastAsia="Times New Roman"/>
                <w:sz w:val="20"/>
                <w:szCs w:val="20"/>
              </w:rPr>
            </w:pPr>
          </w:p>
        </w:tc>
        <w:tc>
          <w:tcPr>
            <w:tcW w:w="50" w:type="pct"/>
            <w:vAlign w:val="center"/>
            <w:hideMark/>
          </w:tcPr>
          <w:p w14:paraId="5C0CF6C5" w14:textId="77777777" w:rsidR="00000000" w:rsidRDefault="003C49E9">
            <w:pPr>
              <w:rPr>
                <w:rFonts w:eastAsia="Times New Roman"/>
                <w:sz w:val="20"/>
                <w:szCs w:val="20"/>
              </w:rPr>
            </w:pPr>
          </w:p>
        </w:tc>
        <w:tc>
          <w:tcPr>
            <w:tcW w:w="305" w:type="pct"/>
            <w:vAlign w:val="center"/>
            <w:hideMark/>
          </w:tcPr>
          <w:p w14:paraId="7863BA08" w14:textId="77777777" w:rsidR="00000000" w:rsidRDefault="003C49E9">
            <w:pPr>
              <w:rPr>
                <w:rFonts w:eastAsia="Times New Roman"/>
                <w:sz w:val="20"/>
                <w:szCs w:val="20"/>
              </w:rPr>
            </w:pPr>
          </w:p>
        </w:tc>
        <w:tc>
          <w:tcPr>
            <w:tcW w:w="50" w:type="pct"/>
            <w:vAlign w:val="center"/>
            <w:hideMark/>
          </w:tcPr>
          <w:p w14:paraId="24E4B646" w14:textId="77777777" w:rsidR="00000000" w:rsidRDefault="003C49E9">
            <w:pPr>
              <w:rPr>
                <w:rFonts w:eastAsia="Times New Roman"/>
                <w:sz w:val="20"/>
                <w:szCs w:val="20"/>
              </w:rPr>
            </w:pPr>
          </w:p>
        </w:tc>
        <w:tc>
          <w:tcPr>
            <w:tcW w:w="49" w:type="pct"/>
            <w:vAlign w:val="center"/>
            <w:hideMark/>
          </w:tcPr>
          <w:p w14:paraId="75316E86" w14:textId="77777777" w:rsidR="00000000" w:rsidRDefault="003C49E9">
            <w:pPr>
              <w:rPr>
                <w:rFonts w:eastAsia="Times New Roman"/>
                <w:sz w:val="20"/>
                <w:szCs w:val="20"/>
              </w:rPr>
            </w:pPr>
          </w:p>
        </w:tc>
        <w:tc>
          <w:tcPr>
            <w:tcW w:w="50" w:type="pct"/>
            <w:vAlign w:val="center"/>
            <w:hideMark/>
          </w:tcPr>
          <w:p w14:paraId="0469F562" w14:textId="77777777" w:rsidR="00000000" w:rsidRDefault="003C49E9">
            <w:pPr>
              <w:rPr>
                <w:rFonts w:eastAsia="Times New Roman"/>
                <w:sz w:val="20"/>
                <w:szCs w:val="20"/>
              </w:rPr>
            </w:pPr>
          </w:p>
        </w:tc>
        <w:tc>
          <w:tcPr>
            <w:tcW w:w="430" w:type="pct"/>
            <w:vAlign w:val="center"/>
            <w:hideMark/>
          </w:tcPr>
          <w:p w14:paraId="6FF756E3" w14:textId="77777777" w:rsidR="00000000" w:rsidRDefault="003C49E9">
            <w:pPr>
              <w:rPr>
                <w:rFonts w:eastAsia="Times New Roman"/>
                <w:sz w:val="20"/>
                <w:szCs w:val="20"/>
              </w:rPr>
            </w:pPr>
          </w:p>
        </w:tc>
        <w:tc>
          <w:tcPr>
            <w:tcW w:w="50" w:type="pct"/>
            <w:vAlign w:val="center"/>
            <w:hideMark/>
          </w:tcPr>
          <w:p w14:paraId="7ECD3BB2" w14:textId="77777777" w:rsidR="00000000" w:rsidRDefault="003C49E9">
            <w:pPr>
              <w:rPr>
                <w:rFonts w:eastAsia="Times New Roman"/>
                <w:sz w:val="20"/>
                <w:szCs w:val="20"/>
              </w:rPr>
            </w:pPr>
          </w:p>
        </w:tc>
        <w:tc>
          <w:tcPr>
            <w:tcW w:w="49" w:type="pct"/>
            <w:vAlign w:val="center"/>
            <w:hideMark/>
          </w:tcPr>
          <w:p w14:paraId="227817F9" w14:textId="77777777" w:rsidR="00000000" w:rsidRDefault="003C49E9">
            <w:pPr>
              <w:rPr>
                <w:rFonts w:eastAsia="Times New Roman"/>
                <w:sz w:val="20"/>
                <w:szCs w:val="20"/>
              </w:rPr>
            </w:pPr>
          </w:p>
        </w:tc>
        <w:tc>
          <w:tcPr>
            <w:tcW w:w="50" w:type="pct"/>
            <w:vAlign w:val="center"/>
            <w:hideMark/>
          </w:tcPr>
          <w:p w14:paraId="743C6C1E" w14:textId="77777777" w:rsidR="00000000" w:rsidRDefault="003C49E9">
            <w:pPr>
              <w:rPr>
                <w:rFonts w:eastAsia="Times New Roman"/>
                <w:sz w:val="20"/>
                <w:szCs w:val="20"/>
              </w:rPr>
            </w:pPr>
          </w:p>
        </w:tc>
        <w:tc>
          <w:tcPr>
            <w:tcW w:w="398" w:type="pct"/>
            <w:vAlign w:val="center"/>
            <w:hideMark/>
          </w:tcPr>
          <w:p w14:paraId="4D0CB1BC" w14:textId="77777777" w:rsidR="00000000" w:rsidRDefault="003C49E9">
            <w:pPr>
              <w:rPr>
                <w:rFonts w:eastAsia="Times New Roman"/>
                <w:sz w:val="20"/>
                <w:szCs w:val="20"/>
              </w:rPr>
            </w:pPr>
          </w:p>
        </w:tc>
        <w:tc>
          <w:tcPr>
            <w:tcW w:w="50" w:type="pct"/>
            <w:vAlign w:val="center"/>
            <w:hideMark/>
          </w:tcPr>
          <w:p w14:paraId="7B0B566E" w14:textId="77777777" w:rsidR="00000000" w:rsidRDefault="003C49E9">
            <w:pPr>
              <w:rPr>
                <w:rFonts w:eastAsia="Times New Roman"/>
                <w:sz w:val="20"/>
                <w:szCs w:val="20"/>
              </w:rPr>
            </w:pPr>
          </w:p>
        </w:tc>
        <w:tc>
          <w:tcPr>
            <w:tcW w:w="49" w:type="pct"/>
            <w:vAlign w:val="center"/>
            <w:hideMark/>
          </w:tcPr>
          <w:p w14:paraId="7CFFB1B1" w14:textId="77777777" w:rsidR="00000000" w:rsidRDefault="003C49E9">
            <w:pPr>
              <w:rPr>
                <w:rFonts w:eastAsia="Times New Roman"/>
                <w:sz w:val="20"/>
                <w:szCs w:val="20"/>
              </w:rPr>
            </w:pPr>
          </w:p>
        </w:tc>
        <w:tc>
          <w:tcPr>
            <w:tcW w:w="50" w:type="pct"/>
            <w:vAlign w:val="center"/>
            <w:hideMark/>
          </w:tcPr>
          <w:p w14:paraId="7850DDB1" w14:textId="77777777" w:rsidR="00000000" w:rsidRDefault="003C49E9">
            <w:pPr>
              <w:rPr>
                <w:rFonts w:eastAsia="Times New Roman"/>
                <w:sz w:val="20"/>
                <w:szCs w:val="20"/>
              </w:rPr>
            </w:pPr>
          </w:p>
        </w:tc>
        <w:tc>
          <w:tcPr>
            <w:tcW w:w="397" w:type="pct"/>
            <w:vAlign w:val="center"/>
            <w:hideMark/>
          </w:tcPr>
          <w:p w14:paraId="5155BC05" w14:textId="77777777" w:rsidR="00000000" w:rsidRDefault="003C49E9">
            <w:pPr>
              <w:rPr>
                <w:rFonts w:eastAsia="Times New Roman"/>
                <w:sz w:val="20"/>
                <w:szCs w:val="20"/>
              </w:rPr>
            </w:pPr>
          </w:p>
        </w:tc>
        <w:tc>
          <w:tcPr>
            <w:tcW w:w="50" w:type="pct"/>
            <w:vAlign w:val="center"/>
            <w:hideMark/>
          </w:tcPr>
          <w:p w14:paraId="611AFB3C" w14:textId="77777777" w:rsidR="00000000" w:rsidRDefault="003C49E9">
            <w:pPr>
              <w:rPr>
                <w:rFonts w:eastAsia="Times New Roman"/>
                <w:sz w:val="20"/>
                <w:szCs w:val="20"/>
              </w:rPr>
            </w:pPr>
          </w:p>
        </w:tc>
        <w:tc>
          <w:tcPr>
            <w:tcW w:w="49" w:type="pct"/>
            <w:vAlign w:val="center"/>
            <w:hideMark/>
          </w:tcPr>
          <w:p w14:paraId="63250A75" w14:textId="77777777" w:rsidR="00000000" w:rsidRDefault="003C49E9">
            <w:pPr>
              <w:rPr>
                <w:rFonts w:eastAsia="Times New Roman"/>
                <w:sz w:val="20"/>
                <w:szCs w:val="20"/>
              </w:rPr>
            </w:pPr>
          </w:p>
        </w:tc>
        <w:tc>
          <w:tcPr>
            <w:tcW w:w="50" w:type="pct"/>
            <w:vAlign w:val="center"/>
            <w:hideMark/>
          </w:tcPr>
          <w:p w14:paraId="1F0F064B" w14:textId="77777777" w:rsidR="00000000" w:rsidRDefault="003C49E9">
            <w:pPr>
              <w:rPr>
                <w:rFonts w:eastAsia="Times New Roman"/>
                <w:sz w:val="20"/>
                <w:szCs w:val="20"/>
              </w:rPr>
            </w:pPr>
          </w:p>
        </w:tc>
        <w:tc>
          <w:tcPr>
            <w:tcW w:w="377" w:type="pct"/>
            <w:vAlign w:val="center"/>
            <w:hideMark/>
          </w:tcPr>
          <w:p w14:paraId="1E713248" w14:textId="77777777" w:rsidR="00000000" w:rsidRDefault="003C49E9">
            <w:pPr>
              <w:rPr>
                <w:rFonts w:eastAsia="Times New Roman"/>
                <w:sz w:val="20"/>
                <w:szCs w:val="20"/>
              </w:rPr>
            </w:pPr>
          </w:p>
        </w:tc>
        <w:tc>
          <w:tcPr>
            <w:tcW w:w="50" w:type="pct"/>
            <w:vAlign w:val="center"/>
            <w:hideMark/>
          </w:tcPr>
          <w:p w14:paraId="77A2AF1F" w14:textId="77777777" w:rsidR="00000000" w:rsidRDefault="003C49E9">
            <w:pPr>
              <w:rPr>
                <w:rFonts w:eastAsia="Times New Roman"/>
                <w:sz w:val="20"/>
                <w:szCs w:val="20"/>
              </w:rPr>
            </w:pPr>
          </w:p>
        </w:tc>
        <w:tc>
          <w:tcPr>
            <w:tcW w:w="49" w:type="pct"/>
            <w:vAlign w:val="center"/>
            <w:hideMark/>
          </w:tcPr>
          <w:p w14:paraId="37253697" w14:textId="77777777" w:rsidR="00000000" w:rsidRDefault="003C49E9">
            <w:pPr>
              <w:rPr>
                <w:rFonts w:eastAsia="Times New Roman"/>
                <w:sz w:val="20"/>
                <w:szCs w:val="20"/>
              </w:rPr>
            </w:pPr>
          </w:p>
        </w:tc>
        <w:tc>
          <w:tcPr>
            <w:tcW w:w="50" w:type="pct"/>
            <w:vAlign w:val="center"/>
            <w:hideMark/>
          </w:tcPr>
          <w:p w14:paraId="29AC2249" w14:textId="77777777" w:rsidR="00000000" w:rsidRDefault="003C49E9">
            <w:pPr>
              <w:rPr>
                <w:rFonts w:eastAsia="Times New Roman"/>
                <w:sz w:val="20"/>
                <w:szCs w:val="20"/>
              </w:rPr>
            </w:pPr>
          </w:p>
        </w:tc>
        <w:tc>
          <w:tcPr>
            <w:tcW w:w="409" w:type="pct"/>
            <w:vAlign w:val="center"/>
            <w:hideMark/>
          </w:tcPr>
          <w:p w14:paraId="4BAC25C8" w14:textId="77777777" w:rsidR="00000000" w:rsidRDefault="003C49E9">
            <w:pPr>
              <w:rPr>
                <w:rFonts w:eastAsia="Times New Roman"/>
                <w:sz w:val="20"/>
                <w:szCs w:val="20"/>
              </w:rPr>
            </w:pPr>
          </w:p>
        </w:tc>
        <w:tc>
          <w:tcPr>
            <w:tcW w:w="50" w:type="pct"/>
            <w:vAlign w:val="center"/>
            <w:hideMark/>
          </w:tcPr>
          <w:p w14:paraId="26324CA3" w14:textId="77777777" w:rsidR="00000000" w:rsidRDefault="003C49E9">
            <w:pPr>
              <w:rPr>
                <w:rFonts w:eastAsia="Times New Roman"/>
                <w:sz w:val="20"/>
                <w:szCs w:val="20"/>
              </w:rPr>
            </w:pPr>
          </w:p>
        </w:tc>
      </w:tr>
      <w:tr w:rsidR="00000000" w14:paraId="6CEAF9C4" w14:textId="77777777">
        <w:trPr>
          <w:trHeight w:val="140"/>
          <w:tblCellSpacing w:w="15" w:type="dxa"/>
        </w:trPr>
        <w:tc>
          <w:tcPr>
            <w:tcW w:w="0" w:type="auto"/>
            <w:vAlign w:val="bottom"/>
            <w:hideMark/>
          </w:tcPr>
          <w:p w14:paraId="536FC54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1EEFDE6"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488F0545" w14:textId="77777777" w:rsidR="00000000" w:rsidRDefault="003C49E9">
            <w:pPr>
              <w:pStyle w:val="a3"/>
              <w:spacing w:before="0" w:beforeAutospacing="0" w:after="0" w:afterAutospacing="0"/>
              <w:jc w:val="center"/>
              <w:rPr>
                <w:sz w:val="15"/>
                <w:szCs w:val="15"/>
              </w:rPr>
            </w:pPr>
            <w:r>
              <w:rPr>
                <w:b/>
                <w:bCs/>
                <w:sz w:val="15"/>
                <w:szCs w:val="15"/>
              </w:rPr>
              <w:t xml:space="preserve">Three Months </w:t>
            </w:r>
            <w:r>
              <w:rPr>
                <w:b/>
                <w:bCs/>
                <w:sz w:val="15"/>
                <w:szCs w:val="15"/>
              </w:rPr>
              <w:br/>
              <w:t> Ended June 30</w:t>
            </w:r>
            <w:r>
              <w:rPr>
                <w:b/>
                <w:bCs/>
                <w:sz w:val="15"/>
                <w:szCs w:val="15"/>
              </w:rPr>
              <w:t>,</w:t>
            </w:r>
          </w:p>
        </w:tc>
        <w:tc>
          <w:tcPr>
            <w:tcW w:w="0" w:type="auto"/>
            <w:vAlign w:val="bottom"/>
            <w:hideMark/>
          </w:tcPr>
          <w:p w14:paraId="31CA020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DBDC9B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4EFA01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7DE21F8"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7FCA121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624E4E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06D749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21D9693" w14:textId="77777777" w:rsidR="00000000" w:rsidRDefault="003C49E9">
            <w:pPr>
              <w:pStyle w:val="a3"/>
              <w:spacing w:before="0" w:beforeAutospacing="0" w:after="0" w:afterAutospacing="0"/>
              <w:rPr>
                <w:sz w:val="15"/>
                <w:szCs w:val="15"/>
              </w:rPr>
            </w:pPr>
            <w:r>
              <w:rPr>
                <w:sz w:val="15"/>
                <w:szCs w:val="15"/>
              </w:rPr>
              <w:t> </w:t>
            </w:r>
          </w:p>
        </w:tc>
        <w:tc>
          <w:tcPr>
            <w:tcW w:w="0" w:type="auto"/>
            <w:gridSpan w:val="6"/>
            <w:vAlign w:val="bottom"/>
            <w:hideMark/>
          </w:tcPr>
          <w:p w14:paraId="14264C36" w14:textId="77777777" w:rsidR="00000000" w:rsidRDefault="003C49E9">
            <w:pPr>
              <w:pStyle w:val="a3"/>
              <w:spacing w:before="0" w:beforeAutospacing="0" w:after="0" w:afterAutospacing="0"/>
              <w:jc w:val="center"/>
              <w:rPr>
                <w:sz w:val="15"/>
                <w:szCs w:val="15"/>
              </w:rPr>
            </w:pPr>
            <w:r>
              <w:rPr>
                <w:b/>
                <w:bCs/>
                <w:sz w:val="15"/>
                <w:szCs w:val="15"/>
              </w:rPr>
              <w:t>Six Months</w:t>
            </w:r>
            <w:r>
              <w:rPr>
                <w:b/>
                <w:bCs/>
                <w:sz w:val="15"/>
                <w:szCs w:val="15"/>
              </w:rPr>
              <w:br/>
              <w:t> Ended June 30</w:t>
            </w:r>
            <w:r>
              <w:rPr>
                <w:b/>
                <w:bCs/>
                <w:sz w:val="15"/>
                <w:szCs w:val="15"/>
              </w:rPr>
              <w:t>,</w:t>
            </w:r>
          </w:p>
        </w:tc>
        <w:tc>
          <w:tcPr>
            <w:tcW w:w="0" w:type="auto"/>
            <w:vAlign w:val="bottom"/>
            <w:hideMark/>
          </w:tcPr>
          <w:p w14:paraId="1C46800C"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7AB0A53"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57B7F44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47245297"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781472A"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5940E12"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BEC8D05"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0F62BDDF" w14:textId="77777777">
        <w:trPr>
          <w:trHeight w:val="140"/>
          <w:tblCellSpacing w:w="15" w:type="dxa"/>
        </w:trPr>
        <w:tc>
          <w:tcPr>
            <w:tcW w:w="0" w:type="auto"/>
            <w:vAlign w:val="bottom"/>
            <w:hideMark/>
          </w:tcPr>
          <w:p w14:paraId="0D7CC546" w14:textId="77777777" w:rsidR="00000000" w:rsidRDefault="003C49E9">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14:paraId="06A8C5A8"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13B36C7D"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6555C290"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2615EF46"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289058E"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4DA6EA1B"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76FFFA1"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3EAE7398"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45955939"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D8CB2BB"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9B16D4C"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56BAF3BF"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5D25B8E2"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B328F6B"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14:paraId="2DB4C321"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0AAE98DE"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672B21E3" w14:textId="77777777" w:rsidR="00000000" w:rsidRDefault="003C49E9">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14:paraId="7CBFE5DE"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68E25EC5"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4F5AA5C6" w14:textId="77777777" w:rsidR="00000000" w:rsidRDefault="003C49E9">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14:paraId="63968095" w14:textId="77777777" w:rsidR="00000000" w:rsidRDefault="003C49E9">
            <w:pPr>
              <w:pStyle w:val="a3"/>
              <w:spacing w:before="0" w:beforeAutospacing="0" w:after="0" w:afterAutospacing="0"/>
              <w:jc w:val="center"/>
              <w:rPr>
                <w:sz w:val="15"/>
                <w:szCs w:val="15"/>
              </w:rPr>
            </w:pPr>
            <w:r>
              <w:rPr>
                <w:sz w:val="15"/>
                <w:szCs w:val="15"/>
              </w:rPr>
              <w:t> </w:t>
            </w:r>
          </w:p>
        </w:tc>
        <w:tc>
          <w:tcPr>
            <w:tcW w:w="0" w:type="auto"/>
            <w:vAlign w:val="bottom"/>
            <w:hideMark/>
          </w:tcPr>
          <w:p w14:paraId="1FCFC44D" w14:textId="77777777" w:rsidR="00000000" w:rsidRDefault="003C49E9">
            <w:pPr>
              <w:pStyle w:val="a3"/>
              <w:spacing w:before="0" w:beforeAutospacing="0" w:after="0" w:afterAutospacing="0"/>
              <w:rPr>
                <w:sz w:val="15"/>
                <w:szCs w:val="15"/>
              </w:rPr>
            </w:pPr>
            <w:r>
              <w:rPr>
                <w:sz w:val="15"/>
                <w:szCs w:val="15"/>
              </w:rPr>
              <w:t> </w:t>
            </w:r>
          </w:p>
        </w:tc>
        <w:tc>
          <w:tcPr>
            <w:tcW w:w="0" w:type="auto"/>
            <w:gridSpan w:val="2"/>
            <w:vAlign w:val="bottom"/>
            <w:hideMark/>
          </w:tcPr>
          <w:p w14:paraId="00AA6E3B" w14:textId="77777777" w:rsidR="00000000" w:rsidRDefault="003C49E9">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14:paraId="25538003" w14:textId="77777777" w:rsidR="00000000" w:rsidRDefault="003C49E9">
            <w:pPr>
              <w:pStyle w:val="a3"/>
              <w:spacing w:before="0" w:beforeAutospacing="0" w:after="0" w:afterAutospacing="0"/>
              <w:jc w:val="center"/>
              <w:rPr>
                <w:sz w:val="15"/>
                <w:szCs w:val="15"/>
              </w:rPr>
            </w:pPr>
            <w:r>
              <w:rPr>
                <w:sz w:val="15"/>
                <w:szCs w:val="15"/>
              </w:rPr>
              <w:t> </w:t>
            </w:r>
          </w:p>
        </w:tc>
      </w:tr>
      <w:tr w:rsidR="00000000" w14:paraId="251C6033" w14:textId="77777777">
        <w:trPr>
          <w:trHeight w:val="200"/>
          <w:tblCellSpacing w:w="15" w:type="dxa"/>
        </w:trPr>
        <w:tc>
          <w:tcPr>
            <w:tcW w:w="0" w:type="auto"/>
            <w:vAlign w:val="bottom"/>
            <w:hideMark/>
          </w:tcPr>
          <w:p w14:paraId="5A1ADDA1" w14:textId="77777777" w:rsidR="00000000" w:rsidRDefault="003C49E9">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14:paraId="53B541D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BACB1A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B28ED06" w14:textId="77777777" w:rsidR="00000000" w:rsidRDefault="003C49E9">
            <w:pPr>
              <w:pStyle w:val="a3"/>
              <w:spacing w:before="0" w:beforeAutospacing="0" w:after="0" w:afterAutospacing="0"/>
              <w:jc w:val="right"/>
              <w:rPr>
                <w:sz w:val="20"/>
                <w:szCs w:val="20"/>
              </w:rPr>
            </w:pPr>
            <w:r>
              <w:rPr>
                <w:sz w:val="20"/>
                <w:szCs w:val="20"/>
              </w:rPr>
              <w:t>(2,12</w:t>
            </w:r>
            <w:r>
              <w:rPr>
                <w:sz w:val="20"/>
                <w:szCs w:val="20"/>
              </w:rPr>
              <w:t>1</w:t>
            </w:r>
          </w:p>
        </w:tc>
        <w:tc>
          <w:tcPr>
            <w:tcW w:w="0" w:type="auto"/>
            <w:noWrap/>
            <w:vAlign w:val="bottom"/>
            <w:hideMark/>
          </w:tcPr>
          <w:p w14:paraId="4C19DB6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703625A"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7E0DF4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08E36731" w14:textId="77777777" w:rsidR="00000000" w:rsidRDefault="003C49E9">
            <w:pPr>
              <w:pStyle w:val="a3"/>
              <w:spacing w:before="0" w:beforeAutospacing="0" w:after="0" w:afterAutospacing="0"/>
              <w:jc w:val="right"/>
              <w:rPr>
                <w:sz w:val="20"/>
                <w:szCs w:val="20"/>
              </w:rPr>
            </w:pPr>
            <w:r>
              <w:rPr>
                <w:sz w:val="20"/>
                <w:szCs w:val="20"/>
              </w:rPr>
              <w:t>(1,66</w:t>
            </w:r>
            <w:r>
              <w:rPr>
                <w:sz w:val="20"/>
                <w:szCs w:val="20"/>
              </w:rPr>
              <w:t>0</w:t>
            </w:r>
          </w:p>
        </w:tc>
        <w:tc>
          <w:tcPr>
            <w:tcW w:w="0" w:type="auto"/>
            <w:noWrap/>
            <w:vAlign w:val="bottom"/>
            <w:hideMark/>
          </w:tcPr>
          <w:p w14:paraId="16FA6A9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FD7E7A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8DE4EA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37D235B" w14:textId="77777777" w:rsidR="00000000" w:rsidRDefault="003C49E9">
            <w:pPr>
              <w:pStyle w:val="a3"/>
              <w:spacing w:before="0" w:beforeAutospacing="0" w:after="0" w:afterAutospacing="0"/>
              <w:jc w:val="right"/>
              <w:rPr>
                <w:sz w:val="20"/>
                <w:szCs w:val="20"/>
              </w:rPr>
            </w:pPr>
            <w:r>
              <w:rPr>
                <w:sz w:val="20"/>
                <w:szCs w:val="20"/>
              </w:rPr>
              <w:t>(46</w:t>
            </w:r>
            <w:r>
              <w:rPr>
                <w:sz w:val="20"/>
                <w:szCs w:val="20"/>
              </w:rPr>
              <w:t>1</w:t>
            </w:r>
          </w:p>
        </w:tc>
        <w:tc>
          <w:tcPr>
            <w:tcW w:w="0" w:type="auto"/>
            <w:noWrap/>
            <w:vAlign w:val="bottom"/>
            <w:hideMark/>
          </w:tcPr>
          <w:p w14:paraId="32C2321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F08D35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0A02D1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EE6A3A" w14:textId="77777777" w:rsidR="00000000" w:rsidRDefault="003C49E9">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14:paraId="146E069E"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C00A32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F80F60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16A331F" w14:textId="77777777" w:rsidR="00000000" w:rsidRDefault="003C49E9">
            <w:pPr>
              <w:pStyle w:val="a3"/>
              <w:spacing w:before="0" w:beforeAutospacing="0" w:after="0" w:afterAutospacing="0"/>
              <w:jc w:val="right"/>
              <w:rPr>
                <w:sz w:val="20"/>
                <w:szCs w:val="20"/>
              </w:rPr>
            </w:pPr>
            <w:r>
              <w:rPr>
                <w:sz w:val="20"/>
                <w:szCs w:val="20"/>
              </w:rPr>
              <w:t>(3,56</w:t>
            </w:r>
            <w:r>
              <w:rPr>
                <w:sz w:val="20"/>
                <w:szCs w:val="20"/>
              </w:rPr>
              <w:t>5</w:t>
            </w:r>
          </w:p>
        </w:tc>
        <w:tc>
          <w:tcPr>
            <w:tcW w:w="0" w:type="auto"/>
            <w:noWrap/>
            <w:vAlign w:val="bottom"/>
            <w:hideMark/>
          </w:tcPr>
          <w:p w14:paraId="5237ECED"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689109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34D8E0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14E65FB" w14:textId="77777777" w:rsidR="00000000" w:rsidRDefault="003C49E9">
            <w:pPr>
              <w:pStyle w:val="a3"/>
              <w:spacing w:before="0" w:beforeAutospacing="0" w:after="0" w:afterAutospacing="0"/>
              <w:jc w:val="right"/>
              <w:rPr>
                <w:sz w:val="20"/>
                <w:szCs w:val="20"/>
              </w:rPr>
            </w:pPr>
            <w:r>
              <w:rPr>
                <w:sz w:val="20"/>
                <w:szCs w:val="20"/>
              </w:rPr>
              <w:t>(1,52</w:t>
            </w:r>
            <w:r>
              <w:rPr>
                <w:sz w:val="20"/>
                <w:szCs w:val="20"/>
              </w:rPr>
              <w:t>2</w:t>
            </w:r>
          </w:p>
        </w:tc>
        <w:tc>
          <w:tcPr>
            <w:tcW w:w="0" w:type="auto"/>
            <w:noWrap/>
            <w:vAlign w:val="bottom"/>
            <w:hideMark/>
          </w:tcPr>
          <w:p w14:paraId="57AB13F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928E28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0868CE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4D7BD61" w14:textId="77777777" w:rsidR="00000000" w:rsidRDefault="003C49E9">
            <w:pPr>
              <w:pStyle w:val="a3"/>
              <w:spacing w:before="0" w:beforeAutospacing="0" w:after="0" w:afterAutospacing="0"/>
              <w:jc w:val="right"/>
              <w:rPr>
                <w:sz w:val="20"/>
                <w:szCs w:val="20"/>
              </w:rPr>
            </w:pPr>
            <w:r>
              <w:rPr>
                <w:sz w:val="20"/>
                <w:szCs w:val="20"/>
              </w:rPr>
              <w:t>(2,04</w:t>
            </w:r>
            <w:r>
              <w:rPr>
                <w:sz w:val="20"/>
                <w:szCs w:val="20"/>
              </w:rPr>
              <w:t>3</w:t>
            </w:r>
          </w:p>
        </w:tc>
        <w:tc>
          <w:tcPr>
            <w:tcW w:w="0" w:type="auto"/>
            <w:noWrap/>
            <w:vAlign w:val="bottom"/>
            <w:hideMark/>
          </w:tcPr>
          <w:p w14:paraId="3388EEB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73A5FA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0573A77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EB4882" w14:textId="77777777" w:rsidR="00000000" w:rsidRDefault="003C49E9">
            <w:pPr>
              <w:pStyle w:val="a3"/>
              <w:spacing w:before="0" w:beforeAutospacing="0" w:after="0" w:afterAutospacing="0"/>
              <w:jc w:val="right"/>
              <w:rPr>
                <w:sz w:val="20"/>
                <w:szCs w:val="20"/>
              </w:rPr>
            </w:pPr>
            <w:r>
              <w:rPr>
                <w:sz w:val="20"/>
                <w:szCs w:val="20"/>
              </w:rPr>
              <w:t>13</w:t>
            </w:r>
            <w:r>
              <w:rPr>
                <w:sz w:val="20"/>
                <w:szCs w:val="20"/>
              </w:rPr>
              <w:t>4</w:t>
            </w:r>
          </w:p>
        </w:tc>
        <w:tc>
          <w:tcPr>
            <w:tcW w:w="0" w:type="auto"/>
            <w:noWrap/>
            <w:vAlign w:val="bottom"/>
            <w:hideMark/>
          </w:tcPr>
          <w:p w14:paraId="1D496E62" w14:textId="77777777" w:rsidR="00000000" w:rsidRDefault="003C49E9">
            <w:pPr>
              <w:pStyle w:val="a3"/>
              <w:spacing w:before="0" w:beforeAutospacing="0" w:after="0" w:afterAutospacing="0"/>
              <w:rPr>
                <w:sz w:val="20"/>
                <w:szCs w:val="20"/>
              </w:rPr>
            </w:pPr>
            <w:r>
              <w:rPr>
                <w:sz w:val="20"/>
                <w:szCs w:val="20"/>
              </w:rPr>
              <w:t>%</w:t>
            </w:r>
          </w:p>
        </w:tc>
      </w:tr>
      <w:tr w:rsidR="00000000" w14:paraId="03FAECC2" w14:textId="77777777">
        <w:trPr>
          <w:trHeight w:val="200"/>
          <w:tblCellSpacing w:w="15" w:type="dxa"/>
        </w:trPr>
        <w:tc>
          <w:tcPr>
            <w:tcW w:w="0" w:type="auto"/>
            <w:vAlign w:val="bottom"/>
            <w:hideMark/>
          </w:tcPr>
          <w:p w14:paraId="4CA339A7" w14:textId="77777777" w:rsidR="00000000" w:rsidRDefault="003C49E9">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14:paraId="2CE78D3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A205C4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6800014" w14:textId="77777777" w:rsidR="00000000" w:rsidRDefault="003C49E9">
            <w:pPr>
              <w:pStyle w:val="a3"/>
              <w:spacing w:before="0" w:beforeAutospacing="0" w:after="0" w:afterAutospacing="0"/>
              <w:jc w:val="right"/>
              <w:rPr>
                <w:sz w:val="20"/>
                <w:szCs w:val="20"/>
              </w:rPr>
            </w:pPr>
            <w:r>
              <w:rPr>
                <w:sz w:val="20"/>
                <w:szCs w:val="20"/>
              </w:rPr>
              <w:t>4</w:t>
            </w:r>
          </w:p>
        </w:tc>
        <w:tc>
          <w:tcPr>
            <w:tcW w:w="0" w:type="auto"/>
            <w:noWrap/>
            <w:vAlign w:val="bottom"/>
            <w:hideMark/>
          </w:tcPr>
          <w:p w14:paraId="078FF0A3"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80F49D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D91D3B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E74F0CC" w14:textId="77777777" w:rsidR="00000000" w:rsidRDefault="003C49E9">
            <w:pPr>
              <w:pStyle w:val="a3"/>
              <w:spacing w:before="0" w:beforeAutospacing="0" w:after="0" w:afterAutospacing="0"/>
              <w:jc w:val="right"/>
              <w:rPr>
                <w:sz w:val="20"/>
                <w:szCs w:val="20"/>
              </w:rPr>
            </w:pPr>
            <w:r>
              <w:rPr>
                <w:sz w:val="20"/>
                <w:szCs w:val="20"/>
              </w:rPr>
              <w:t>7</w:t>
            </w:r>
          </w:p>
        </w:tc>
        <w:tc>
          <w:tcPr>
            <w:tcW w:w="0" w:type="auto"/>
            <w:noWrap/>
            <w:vAlign w:val="bottom"/>
            <w:hideMark/>
          </w:tcPr>
          <w:p w14:paraId="0746949C"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9BFD7A0"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0FBFDC63"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E766B79"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3005F2ED"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6F452C2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BB23D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55AC2F3"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5F5C7E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103E5A1" w14:textId="77777777" w:rsidR="00000000" w:rsidRDefault="003C49E9">
            <w:pPr>
              <w:pStyle w:val="a3"/>
              <w:spacing w:before="0" w:beforeAutospacing="0" w:after="0" w:afterAutospacing="0"/>
              <w:jc w:val="right"/>
              <w:rPr>
                <w:sz w:val="20"/>
                <w:szCs w:val="20"/>
              </w:rPr>
            </w:pPr>
            <w:r>
              <w:rPr>
                <w:sz w:val="20"/>
                <w:szCs w:val="20"/>
              </w:rPr>
              <w:t>6</w:t>
            </w:r>
          </w:p>
        </w:tc>
        <w:tc>
          <w:tcPr>
            <w:tcW w:w="0" w:type="auto"/>
            <w:noWrap/>
            <w:vAlign w:val="bottom"/>
            <w:hideMark/>
          </w:tcPr>
          <w:p w14:paraId="2D8D281B"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B486CC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480CC8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C333B86" w14:textId="77777777" w:rsidR="00000000" w:rsidRDefault="003C49E9">
            <w:pPr>
              <w:pStyle w:val="a3"/>
              <w:spacing w:before="0" w:beforeAutospacing="0" w:after="0" w:afterAutospacing="0"/>
              <w:jc w:val="right"/>
              <w:rPr>
                <w:sz w:val="20"/>
                <w:szCs w:val="20"/>
              </w:rPr>
            </w:pPr>
            <w:r>
              <w:rPr>
                <w:sz w:val="20"/>
                <w:szCs w:val="20"/>
              </w:rPr>
              <w:t>3</w:t>
            </w:r>
          </w:p>
        </w:tc>
        <w:tc>
          <w:tcPr>
            <w:tcW w:w="0" w:type="auto"/>
            <w:noWrap/>
            <w:vAlign w:val="bottom"/>
            <w:hideMark/>
          </w:tcPr>
          <w:p w14:paraId="747F4D6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52C984CB"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17F83CE2"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29447B7A" w14:textId="77777777" w:rsidR="00000000" w:rsidRDefault="003C49E9">
            <w:pPr>
              <w:pStyle w:val="a3"/>
              <w:spacing w:before="0" w:beforeAutospacing="0" w:after="0" w:afterAutospacing="0"/>
              <w:jc w:val="right"/>
              <w:rPr>
                <w:sz w:val="20"/>
                <w:szCs w:val="20"/>
              </w:rPr>
            </w:pPr>
            <w:r>
              <w:rPr>
                <w:sz w:val="20"/>
                <w:szCs w:val="20"/>
              </w:rPr>
              <w:t> </w:t>
            </w:r>
          </w:p>
        </w:tc>
        <w:tc>
          <w:tcPr>
            <w:tcW w:w="0" w:type="auto"/>
            <w:vAlign w:val="bottom"/>
            <w:hideMark/>
          </w:tcPr>
          <w:p w14:paraId="4341B4D6" w14:textId="77777777" w:rsidR="00000000" w:rsidRDefault="003C49E9">
            <w:pPr>
              <w:pStyle w:val="a3"/>
              <w:spacing w:before="0" w:beforeAutospacing="0" w:after="0" w:afterAutospacing="0"/>
              <w:rPr>
                <w:sz w:val="20"/>
                <w:szCs w:val="20"/>
              </w:rPr>
            </w:pPr>
            <w:r>
              <w:rPr>
                <w:sz w:val="20"/>
                <w:szCs w:val="20"/>
              </w:rPr>
              <w:t> </w:t>
            </w:r>
          </w:p>
        </w:tc>
        <w:tc>
          <w:tcPr>
            <w:tcW w:w="0" w:type="auto"/>
            <w:gridSpan w:val="2"/>
            <w:vAlign w:val="bottom"/>
            <w:hideMark/>
          </w:tcPr>
          <w:p w14:paraId="4AC3547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28BB065" w14:textId="77777777" w:rsidR="00000000" w:rsidRDefault="003C49E9">
            <w:pPr>
              <w:pStyle w:val="a3"/>
              <w:spacing w:before="0" w:beforeAutospacing="0" w:after="0" w:afterAutospacing="0"/>
              <w:rPr>
                <w:sz w:val="20"/>
                <w:szCs w:val="20"/>
              </w:rPr>
            </w:pPr>
            <w:r>
              <w:rPr>
                <w:sz w:val="20"/>
                <w:szCs w:val="20"/>
              </w:rPr>
              <w:t> </w:t>
            </w:r>
          </w:p>
        </w:tc>
      </w:tr>
    </w:tbl>
    <w:p w14:paraId="4C598EB1" w14:textId="77777777" w:rsidR="00000000" w:rsidRDefault="003C49E9">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14:paraId="22C3E954" w14:textId="77777777" w:rsidR="00000000" w:rsidRDefault="003C49E9">
      <w:pPr>
        <w:pStyle w:val="a3"/>
        <w:spacing w:before="200" w:beforeAutospacing="0" w:after="0" w:afterAutospacing="0"/>
        <w:ind w:firstLine="555"/>
        <w:rPr>
          <w:sz w:val="20"/>
          <w:szCs w:val="20"/>
        </w:rPr>
      </w:pPr>
      <w:r>
        <w:rPr>
          <w:sz w:val="20"/>
          <w:szCs w:val="20"/>
        </w:rPr>
        <w:t>Income tax expense consists of current and deferred taxes for U.S. and foreign income taxes. The increase in income tax expense was primarily driven by increased income in jurisdictions outside of the U.S. that are profitable from a tax perspective, the st</w:t>
      </w:r>
      <w:r>
        <w:rPr>
          <w:sz w:val="20"/>
          <w:szCs w:val="20"/>
        </w:rPr>
        <w:t>ate tax effect of a U.S. federal tax law change in effect from January 1, 2022 that requires the capitalization of research and experimental costs, and lower-than-expected tax benefits associated with stock-based compensation</w:t>
      </w:r>
      <w:r>
        <w:rPr>
          <w:sz w:val="20"/>
          <w:szCs w:val="20"/>
        </w:rPr>
        <w:t>.</w:t>
      </w:r>
    </w:p>
    <w:p w14:paraId="50DB0ADD" w14:textId="77777777" w:rsidR="00000000" w:rsidRDefault="003C49E9">
      <w:pPr>
        <w:pStyle w:val="a3"/>
        <w:spacing w:before="200" w:beforeAutospacing="0" w:after="0" w:afterAutospacing="0"/>
        <w:ind w:firstLine="555"/>
        <w:rPr>
          <w:sz w:val="20"/>
          <w:szCs w:val="20"/>
        </w:rPr>
      </w:pPr>
      <w:r>
        <w:rPr>
          <w:i/>
          <w:iCs/>
          <w:sz w:val="20"/>
          <w:szCs w:val="20"/>
          <w:u w:val="single"/>
        </w:rPr>
        <w:t>Six month chang</w:t>
      </w:r>
      <w:r>
        <w:rPr>
          <w:i/>
          <w:iCs/>
          <w:sz w:val="20"/>
          <w:szCs w:val="20"/>
          <w:u w:val="single"/>
        </w:rPr>
        <w:t>e</w:t>
      </w:r>
    </w:p>
    <w:p w14:paraId="7E3CA7D5" w14:textId="77777777" w:rsidR="00000000" w:rsidRDefault="003C49E9">
      <w:pPr>
        <w:pStyle w:val="a3"/>
        <w:spacing w:before="200" w:beforeAutospacing="0" w:after="0" w:afterAutospacing="0"/>
        <w:ind w:firstLine="555"/>
        <w:rPr>
          <w:sz w:val="20"/>
          <w:szCs w:val="20"/>
        </w:rPr>
      </w:pPr>
      <w:r>
        <w:rPr>
          <w:sz w:val="20"/>
          <w:szCs w:val="20"/>
        </w:rPr>
        <w:t>Income tax e</w:t>
      </w:r>
      <w:r>
        <w:rPr>
          <w:sz w:val="20"/>
          <w:szCs w:val="20"/>
        </w:rPr>
        <w:t>xpense consists of current and deferred taxes for U.S. and foreign income taxes. The increase in income tax expense was primarily driven by increased income in jurisdictions outside of the U.S. that are profitable from a tax perspective, the state tax effe</w:t>
      </w:r>
      <w:r>
        <w:rPr>
          <w:sz w:val="20"/>
          <w:szCs w:val="20"/>
        </w:rPr>
        <w:t>ct of a U.S. federal tax law change in effect from January 1, 2022 that requires the capitalization of research and experimental costs, and lower-than-expected tax benefits associated with stock-based compensation, partially offset by a non-recurring incom</w:t>
      </w:r>
      <w:r>
        <w:rPr>
          <w:sz w:val="20"/>
          <w:szCs w:val="20"/>
        </w:rPr>
        <w:t>e tax benefit recognized in 2021 relating to the release of a portion of the Company’s valuation allowance. The release was due to recording net deferred tax liabilities related to the Hustle acquisition, which are a source of income to support the realiza</w:t>
      </w:r>
      <w:r>
        <w:rPr>
          <w:sz w:val="20"/>
          <w:szCs w:val="20"/>
        </w:rPr>
        <w:t>bility of the Company’s pre-existing U.S. deferred tax assets</w:t>
      </w:r>
      <w:r>
        <w:rPr>
          <w:sz w:val="20"/>
          <w:szCs w:val="20"/>
        </w:rPr>
        <w:t>.</w:t>
      </w:r>
      <w:r>
        <w:rPr>
          <w:sz w:val="20"/>
          <w:szCs w:val="20"/>
        </w:rPr>
        <w:t xml:space="preserve"> </w:t>
      </w:r>
    </w:p>
    <w:p w14:paraId="77FF97A1"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0</w:t>
      </w:r>
    </w:p>
    <w:p w14:paraId="2368E211" w14:textId="77777777" w:rsidR="00000000" w:rsidRDefault="003C49E9">
      <w:pPr>
        <w:rPr>
          <w:rFonts w:eastAsia="Times New Roman"/>
        </w:rPr>
      </w:pPr>
      <w:r>
        <w:rPr>
          <w:rFonts w:eastAsia="Times New Roman"/>
        </w:rPr>
        <w:pict w14:anchorId="3645F801">
          <v:rect id="_x0000_i1054" style="width:0;height:1.5pt" o:hralign="center" o:hrstd="t" o:hr="t" fillcolor="#a0a0a0" stroked="f"/>
        </w:pict>
      </w:r>
    </w:p>
    <w:p w14:paraId="09B57348" w14:textId="77777777" w:rsidR="00000000" w:rsidRDefault="003C49E9">
      <w:pPr>
        <w:pStyle w:val="a3"/>
        <w:spacing w:before="0" w:beforeAutospacing="0" w:after="0" w:afterAutospacing="0"/>
        <w:rPr>
          <w:sz w:val="20"/>
          <w:szCs w:val="20"/>
        </w:rPr>
      </w:pPr>
      <w:r>
        <w:rPr>
          <w:sz w:val="20"/>
          <w:szCs w:val="20"/>
        </w:rPr>
        <w:t> </w:t>
      </w:r>
    </w:p>
    <w:p w14:paraId="1114411D" w14:textId="77777777" w:rsidR="00000000" w:rsidRDefault="003C49E9">
      <w:pPr>
        <w:pStyle w:val="a3"/>
        <w:spacing w:before="200" w:beforeAutospacing="0" w:after="0" w:afterAutospacing="0"/>
        <w:ind w:firstLine="555"/>
        <w:rPr>
          <w:sz w:val="20"/>
          <w:szCs w:val="20"/>
        </w:rPr>
      </w:pPr>
      <w:r>
        <w:rPr>
          <w:b/>
          <w:bCs/>
          <w:sz w:val="20"/>
          <w:szCs w:val="20"/>
        </w:rPr>
        <w:t>Liquidity and Capital Resource</w:t>
      </w:r>
      <w:r>
        <w:rPr>
          <w:b/>
          <w:bCs/>
          <w:sz w:val="20"/>
          <w:szCs w:val="20"/>
        </w:rPr>
        <w:t>s</w:t>
      </w:r>
    </w:p>
    <w:p w14:paraId="5112B29A" w14:textId="77777777" w:rsidR="00000000" w:rsidRDefault="003C49E9">
      <w:pPr>
        <w:pStyle w:val="a3"/>
        <w:spacing w:before="200" w:beforeAutospacing="0" w:after="0" w:afterAutospacing="0"/>
        <w:ind w:firstLine="555"/>
        <w:rPr>
          <w:sz w:val="20"/>
          <w:szCs w:val="20"/>
        </w:rPr>
      </w:pPr>
      <w:r>
        <w:rPr>
          <w:sz w:val="20"/>
          <w:szCs w:val="20"/>
        </w:rPr>
        <w:t>Our principal sources of liquidity to date have been cash and cash equivalents, net accounts receivable, our common st</w:t>
      </w:r>
      <w:r>
        <w:rPr>
          <w:sz w:val="20"/>
          <w:szCs w:val="20"/>
        </w:rPr>
        <w:t>ock offerings, and our convertible notes offerings</w:t>
      </w:r>
      <w:r>
        <w:rPr>
          <w:sz w:val="20"/>
          <w:szCs w:val="20"/>
        </w:rPr>
        <w:t>.</w:t>
      </w:r>
      <w:r>
        <w:rPr>
          <w:sz w:val="20"/>
          <w:szCs w:val="20"/>
        </w:rPr>
        <w:t xml:space="preserve"> </w:t>
      </w:r>
    </w:p>
    <w:p w14:paraId="555A9935" w14:textId="77777777" w:rsidR="00000000" w:rsidRDefault="003C49E9">
      <w:pPr>
        <w:pStyle w:val="a3"/>
        <w:spacing w:before="200" w:beforeAutospacing="0" w:after="0" w:afterAutospacing="0"/>
        <w:ind w:firstLine="555"/>
        <w:rPr>
          <w:sz w:val="20"/>
          <w:szCs w:val="20"/>
        </w:rPr>
      </w:pPr>
      <w:r>
        <w:rPr>
          <w:sz w:val="20"/>
          <w:szCs w:val="20"/>
        </w:rPr>
        <w:t>The following table shows cash and cash equivalents, working capital, net cash and cash equivalents provided by operating activities, net cash and cash equivalents used in investing activities, and net c</w:t>
      </w:r>
      <w:r>
        <w:rPr>
          <w:sz w:val="20"/>
          <w:szCs w:val="20"/>
        </w:rPr>
        <w:t xml:space="preserve">ash and cash equivalents provided by financing activities for the six months ended June 30, 2022 and 2021.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482"/>
        <w:gridCol w:w="110"/>
        <w:gridCol w:w="160"/>
        <w:gridCol w:w="1092"/>
        <w:gridCol w:w="127"/>
        <w:gridCol w:w="110"/>
        <w:gridCol w:w="160"/>
        <w:gridCol w:w="1092"/>
        <w:gridCol w:w="142"/>
      </w:tblGrid>
      <w:tr w:rsidR="00000000" w14:paraId="1DF419F8" w14:textId="77777777">
        <w:trPr>
          <w:tblCellSpacing w:w="15" w:type="dxa"/>
        </w:trPr>
        <w:tc>
          <w:tcPr>
            <w:tcW w:w="3114" w:type="pct"/>
            <w:vAlign w:val="center"/>
            <w:hideMark/>
          </w:tcPr>
          <w:p w14:paraId="0FB4693D" w14:textId="77777777" w:rsidR="00000000" w:rsidRDefault="003C49E9">
            <w:pPr>
              <w:rPr>
                <w:sz w:val="20"/>
                <w:szCs w:val="20"/>
              </w:rPr>
            </w:pPr>
          </w:p>
        </w:tc>
        <w:tc>
          <w:tcPr>
            <w:tcW w:w="79" w:type="pct"/>
            <w:vAlign w:val="center"/>
            <w:hideMark/>
          </w:tcPr>
          <w:p w14:paraId="1735FA9E" w14:textId="77777777" w:rsidR="00000000" w:rsidRDefault="003C49E9">
            <w:pPr>
              <w:rPr>
                <w:rFonts w:eastAsia="Times New Roman"/>
                <w:sz w:val="20"/>
                <w:szCs w:val="20"/>
              </w:rPr>
            </w:pPr>
          </w:p>
        </w:tc>
        <w:tc>
          <w:tcPr>
            <w:tcW w:w="50" w:type="pct"/>
            <w:vAlign w:val="center"/>
            <w:hideMark/>
          </w:tcPr>
          <w:p w14:paraId="0CDC2E62" w14:textId="77777777" w:rsidR="00000000" w:rsidRDefault="003C49E9">
            <w:pPr>
              <w:rPr>
                <w:rFonts w:eastAsia="Times New Roman"/>
                <w:sz w:val="20"/>
                <w:szCs w:val="20"/>
              </w:rPr>
            </w:pPr>
          </w:p>
        </w:tc>
        <w:tc>
          <w:tcPr>
            <w:tcW w:w="763" w:type="pct"/>
            <w:vAlign w:val="center"/>
            <w:hideMark/>
          </w:tcPr>
          <w:p w14:paraId="75EC14CE" w14:textId="77777777" w:rsidR="00000000" w:rsidRDefault="003C49E9">
            <w:pPr>
              <w:rPr>
                <w:rFonts w:eastAsia="Times New Roman"/>
                <w:sz w:val="20"/>
                <w:szCs w:val="20"/>
              </w:rPr>
            </w:pPr>
          </w:p>
        </w:tc>
        <w:tc>
          <w:tcPr>
            <w:tcW w:w="50" w:type="pct"/>
            <w:vAlign w:val="center"/>
            <w:hideMark/>
          </w:tcPr>
          <w:p w14:paraId="7CE70D4E" w14:textId="77777777" w:rsidR="00000000" w:rsidRDefault="003C49E9">
            <w:pPr>
              <w:rPr>
                <w:rFonts w:eastAsia="Times New Roman"/>
                <w:sz w:val="20"/>
                <w:szCs w:val="20"/>
              </w:rPr>
            </w:pPr>
          </w:p>
        </w:tc>
        <w:tc>
          <w:tcPr>
            <w:tcW w:w="79" w:type="pct"/>
            <w:vAlign w:val="center"/>
            <w:hideMark/>
          </w:tcPr>
          <w:p w14:paraId="46F66DE2" w14:textId="77777777" w:rsidR="00000000" w:rsidRDefault="003C49E9">
            <w:pPr>
              <w:rPr>
                <w:rFonts w:eastAsia="Times New Roman"/>
                <w:sz w:val="20"/>
                <w:szCs w:val="20"/>
              </w:rPr>
            </w:pPr>
          </w:p>
        </w:tc>
        <w:tc>
          <w:tcPr>
            <w:tcW w:w="50" w:type="pct"/>
            <w:vAlign w:val="center"/>
            <w:hideMark/>
          </w:tcPr>
          <w:p w14:paraId="76E25D60" w14:textId="77777777" w:rsidR="00000000" w:rsidRDefault="003C49E9">
            <w:pPr>
              <w:rPr>
                <w:rFonts w:eastAsia="Times New Roman"/>
                <w:sz w:val="20"/>
                <w:szCs w:val="20"/>
              </w:rPr>
            </w:pPr>
          </w:p>
        </w:tc>
        <w:tc>
          <w:tcPr>
            <w:tcW w:w="763" w:type="pct"/>
            <w:vAlign w:val="center"/>
            <w:hideMark/>
          </w:tcPr>
          <w:p w14:paraId="652529C1" w14:textId="77777777" w:rsidR="00000000" w:rsidRDefault="003C49E9">
            <w:pPr>
              <w:rPr>
                <w:rFonts w:eastAsia="Times New Roman"/>
                <w:sz w:val="20"/>
                <w:szCs w:val="20"/>
              </w:rPr>
            </w:pPr>
          </w:p>
        </w:tc>
        <w:tc>
          <w:tcPr>
            <w:tcW w:w="50" w:type="pct"/>
            <w:vAlign w:val="center"/>
            <w:hideMark/>
          </w:tcPr>
          <w:p w14:paraId="5DBFB0F2" w14:textId="77777777" w:rsidR="00000000" w:rsidRDefault="003C49E9">
            <w:pPr>
              <w:rPr>
                <w:rFonts w:eastAsia="Times New Roman"/>
                <w:sz w:val="20"/>
                <w:szCs w:val="20"/>
              </w:rPr>
            </w:pPr>
          </w:p>
        </w:tc>
      </w:tr>
      <w:tr w:rsidR="00000000" w14:paraId="45B1066E" w14:textId="77777777">
        <w:trPr>
          <w:trHeight w:val="160"/>
          <w:tblCellSpacing w:w="15" w:type="dxa"/>
        </w:trPr>
        <w:tc>
          <w:tcPr>
            <w:tcW w:w="0" w:type="auto"/>
            <w:vAlign w:val="bottom"/>
            <w:hideMark/>
          </w:tcPr>
          <w:p w14:paraId="389501B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476F4296"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125A596C" w14:textId="77777777" w:rsidR="00000000" w:rsidRDefault="003C49E9">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F255169"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0B2F8F9D" w14:textId="77777777">
        <w:trPr>
          <w:trHeight w:val="160"/>
          <w:tblCellSpacing w:w="15" w:type="dxa"/>
        </w:trPr>
        <w:tc>
          <w:tcPr>
            <w:tcW w:w="0" w:type="auto"/>
            <w:vAlign w:val="bottom"/>
            <w:hideMark/>
          </w:tcPr>
          <w:p w14:paraId="33508945"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33AEF7B4"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5A6193D9"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C71D567" w14:textId="77777777" w:rsidR="00000000" w:rsidRDefault="003C49E9">
            <w:pPr>
              <w:pStyle w:val="a3"/>
              <w:spacing w:before="0" w:beforeAutospacing="0" w:after="0" w:afterAutospacing="0"/>
              <w:jc w:val="center"/>
              <w:rPr>
                <w:sz w:val="16"/>
                <w:szCs w:val="16"/>
              </w:rPr>
            </w:pPr>
            <w:r>
              <w:rPr>
                <w:sz w:val="16"/>
                <w:szCs w:val="16"/>
              </w:rPr>
              <w:t> </w:t>
            </w:r>
          </w:p>
        </w:tc>
        <w:tc>
          <w:tcPr>
            <w:tcW w:w="0" w:type="auto"/>
            <w:vAlign w:val="bottom"/>
            <w:hideMark/>
          </w:tcPr>
          <w:p w14:paraId="6614CDFF" w14:textId="77777777" w:rsidR="00000000" w:rsidRDefault="003C49E9">
            <w:pPr>
              <w:pStyle w:val="a3"/>
              <w:spacing w:before="0" w:beforeAutospacing="0" w:after="0" w:afterAutospacing="0"/>
              <w:rPr>
                <w:sz w:val="16"/>
                <w:szCs w:val="16"/>
              </w:rPr>
            </w:pPr>
            <w:r>
              <w:rPr>
                <w:sz w:val="16"/>
                <w:szCs w:val="16"/>
              </w:rPr>
              <w:t> </w:t>
            </w:r>
          </w:p>
        </w:tc>
        <w:tc>
          <w:tcPr>
            <w:tcW w:w="0" w:type="auto"/>
            <w:gridSpan w:val="2"/>
            <w:vAlign w:val="bottom"/>
            <w:hideMark/>
          </w:tcPr>
          <w:p w14:paraId="472F99F6" w14:textId="77777777" w:rsidR="00000000" w:rsidRDefault="003C49E9">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832428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24C1753D" w14:textId="77777777">
        <w:trPr>
          <w:trHeight w:val="160"/>
          <w:tblCellSpacing w:w="15" w:type="dxa"/>
        </w:trPr>
        <w:tc>
          <w:tcPr>
            <w:tcW w:w="0" w:type="auto"/>
            <w:vAlign w:val="bottom"/>
            <w:hideMark/>
          </w:tcPr>
          <w:p w14:paraId="3AA52798"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CECB67A" w14:textId="77777777" w:rsidR="00000000" w:rsidRDefault="003C49E9">
            <w:pPr>
              <w:pStyle w:val="a3"/>
              <w:spacing w:before="0" w:beforeAutospacing="0" w:after="0" w:afterAutospacing="0"/>
              <w:rPr>
                <w:sz w:val="16"/>
                <w:szCs w:val="16"/>
              </w:rPr>
            </w:pPr>
            <w:r>
              <w:rPr>
                <w:sz w:val="16"/>
                <w:szCs w:val="16"/>
              </w:rPr>
              <w:t> </w:t>
            </w:r>
          </w:p>
        </w:tc>
        <w:tc>
          <w:tcPr>
            <w:tcW w:w="0" w:type="auto"/>
            <w:gridSpan w:val="6"/>
            <w:vAlign w:val="bottom"/>
            <w:hideMark/>
          </w:tcPr>
          <w:p w14:paraId="5021525E" w14:textId="77777777" w:rsidR="00000000" w:rsidRDefault="003C49E9">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961B74B" w14:textId="77777777" w:rsidR="00000000" w:rsidRDefault="003C49E9">
            <w:pPr>
              <w:pStyle w:val="a3"/>
              <w:spacing w:before="0" w:beforeAutospacing="0" w:after="0" w:afterAutospacing="0"/>
              <w:jc w:val="center"/>
              <w:rPr>
                <w:sz w:val="16"/>
                <w:szCs w:val="16"/>
              </w:rPr>
            </w:pPr>
            <w:r>
              <w:rPr>
                <w:sz w:val="16"/>
                <w:szCs w:val="16"/>
              </w:rPr>
              <w:t> </w:t>
            </w:r>
          </w:p>
        </w:tc>
      </w:tr>
      <w:tr w:rsidR="00000000" w14:paraId="308A3C7F" w14:textId="77777777">
        <w:trPr>
          <w:trHeight w:val="200"/>
          <w:tblCellSpacing w:w="15" w:type="dxa"/>
        </w:trPr>
        <w:tc>
          <w:tcPr>
            <w:tcW w:w="0" w:type="auto"/>
            <w:vAlign w:val="bottom"/>
            <w:hideMark/>
          </w:tcPr>
          <w:p w14:paraId="2CBB7975" w14:textId="77777777" w:rsidR="00000000" w:rsidRDefault="003C49E9">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14:paraId="2F2F3E3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273A7F7"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9FF8798" w14:textId="77777777" w:rsidR="00000000" w:rsidRDefault="003C49E9">
            <w:pPr>
              <w:pStyle w:val="a3"/>
              <w:spacing w:before="0" w:beforeAutospacing="0" w:after="0" w:afterAutospacing="0"/>
              <w:jc w:val="right"/>
              <w:rPr>
                <w:sz w:val="20"/>
                <w:szCs w:val="20"/>
              </w:rPr>
            </w:pPr>
            <w:r>
              <w:rPr>
                <w:sz w:val="20"/>
                <w:szCs w:val="20"/>
              </w:rPr>
              <w:t>305,66</w:t>
            </w:r>
            <w:r>
              <w:rPr>
                <w:sz w:val="20"/>
                <w:szCs w:val="20"/>
              </w:rPr>
              <w:t>4</w:t>
            </w:r>
          </w:p>
        </w:tc>
        <w:tc>
          <w:tcPr>
            <w:tcW w:w="0" w:type="auto"/>
            <w:noWrap/>
            <w:vAlign w:val="bottom"/>
            <w:hideMark/>
          </w:tcPr>
          <w:p w14:paraId="0B01BC6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A530E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4852E3D1"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EFA9C19" w14:textId="77777777" w:rsidR="00000000" w:rsidRDefault="003C49E9">
            <w:pPr>
              <w:pStyle w:val="a3"/>
              <w:spacing w:before="0" w:beforeAutospacing="0" w:after="0" w:afterAutospacing="0"/>
              <w:jc w:val="right"/>
              <w:rPr>
                <w:sz w:val="20"/>
                <w:szCs w:val="20"/>
              </w:rPr>
            </w:pPr>
            <w:r>
              <w:rPr>
                <w:sz w:val="20"/>
                <w:szCs w:val="20"/>
              </w:rPr>
              <w:t>338,33</w:t>
            </w:r>
            <w:r>
              <w:rPr>
                <w:sz w:val="20"/>
                <w:szCs w:val="20"/>
              </w:rPr>
              <w:t>6</w:t>
            </w:r>
          </w:p>
        </w:tc>
        <w:tc>
          <w:tcPr>
            <w:tcW w:w="0" w:type="auto"/>
            <w:noWrap/>
            <w:vAlign w:val="bottom"/>
            <w:hideMark/>
          </w:tcPr>
          <w:p w14:paraId="5F433662" w14:textId="77777777" w:rsidR="00000000" w:rsidRDefault="003C49E9">
            <w:pPr>
              <w:pStyle w:val="a3"/>
              <w:spacing w:before="0" w:beforeAutospacing="0" w:after="0" w:afterAutospacing="0"/>
              <w:rPr>
                <w:sz w:val="20"/>
                <w:szCs w:val="20"/>
              </w:rPr>
            </w:pPr>
            <w:r>
              <w:rPr>
                <w:sz w:val="20"/>
                <w:szCs w:val="20"/>
              </w:rPr>
              <w:t> </w:t>
            </w:r>
          </w:p>
        </w:tc>
      </w:tr>
      <w:tr w:rsidR="00000000" w14:paraId="22326DEA" w14:textId="77777777">
        <w:trPr>
          <w:trHeight w:val="200"/>
          <w:tblCellSpacing w:w="15" w:type="dxa"/>
        </w:trPr>
        <w:tc>
          <w:tcPr>
            <w:tcW w:w="0" w:type="auto"/>
            <w:vAlign w:val="bottom"/>
            <w:hideMark/>
          </w:tcPr>
          <w:p w14:paraId="423FA762" w14:textId="77777777" w:rsidR="00000000" w:rsidRDefault="003C49E9">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14:paraId="1F052CE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49751C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C295FA3" w14:textId="77777777" w:rsidR="00000000" w:rsidRDefault="003C49E9">
            <w:pPr>
              <w:pStyle w:val="a3"/>
              <w:spacing w:before="0" w:beforeAutospacing="0" w:after="0" w:afterAutospacing="0"/>
              <w:jc w:val="right"/>
              <w:rPr>
                <w:sz w:val="20"/>
                <w:szCs w:val="20"/>
              </w:rPr>
            </w:pPr>
            <w:r>
              <w:rPr>
                <w:sz w:val="20"/>
                <w:szCs w:val="20"/>
              </w:rPr>
              <w:t>869,61</w:t>
            </w:r>
            <w:r>
              <w:rPr>
                <w:sz w:val="20"/>
                <w:szCs w:val="20"/>
              </w:rPr>
              <w:t>7</w:t>
            </w:r>
          </w:p>
        </w:tc>
        <w:tc>
          <w:tcPr>
            <w:tcW w:w="0" w:type="auto"/>
            <w:noWrap/>
            <w:vAlign w:val="bottom"/>
            <w:hideMark/>
          </w:tcPr>
          <w:p w14:paraId="3A46E55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CD89DAF"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D26181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97627AF" w14:textId="77777777" w:rsidR="00000000" w:rsidRDefault="003C49E9">
            <w:pPr>
              <w:pStyle w:val="a3"/>
              <w:spacing w:before="0" w:beforeAutospacing="0" w:after="0" w:afterAutospacing="0"/>
              <w:jc w:val="right"/>
              <w:rPr>
                <w:sz w:val="20"/>
                <w:szCs w:val="20"/>
              </w:rPr>
            </w:pPr>
            <w:r>
              <w:rPr>
                <w:sz w:val="20"/>
                <w:szCs w:val="20"/>
              </w:rPr>
              <w:t>862,41</w:t>
            </w:r>
            <w:r>
              <w:rPr>
                <w:sz w:val="20"/>
                <w:szCs w:val="20"/>
              </w:rPr>
              <w:t>8</w:t>
            </w:r>
          </w:p>
        </w:tc>
        <w:tc>
          <w:tcPr>
            <w:tcW w:w="0" w:type="auto"/>
            <w:noWrap/>
            <w:vAlign w:val="bottom"/>
            <w:hideMark/>
          </w:tcPr>
          <w:p w14:paraId="34DD2071" w14:textId="77777777" w:rsidR="00000000" w:rsidRDefault="003C49E9">
            <w:pPr>
              <w:pStyle w:val="a3"/>
              <w:spacing w:before="0" w:beforeAutospacing="0" w:after="0" w:afterAutospacing="0"/>
              <w:rPr>
                <w:sz w:val="20"/>
                <w:szCs w:val="20"/>
              </w:rPr>
            </w:pPr>
            <w:r>
              <w:rPr>
                <w:sz w:val="20"/>
                <w:szCs w:val="20"/>
              </w:rPr>
              <w:t> </w:t>
            </w:r>
          </w:p>
        </w:tc>
      </w:tr>
      <w:tr w:rsidR="00000000" w14:paraId="4B0776A8" w14:textId="77777777">
        <w:trPr>
          <w:trHeight w:val="200"/>
          <w:tblCellSpacing w:w="15" w:type="dxa"/>
        </w:trPr>
        <w:tc>
          <w:tcPr>
            <w:tcW w:w="0" w:type="auto"/>
            <w:vAlign w:val="bottom"/>
            <w:hideMark/>
          </w:tcPr>
          <w:p w14:paraId="03AF5BD7" w14:textId="77777777" w:rsidR="00000000" w:rsidRDefault="003C49E9">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14:paraId="7962F290"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40065A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480AA2" w14:textId="77777777" w:rsidR="00000000" w:rsidRDefault="003C49E9">
            <w:pPr>
              <w:pStyle w:val="a3"/>
              <w:spacing w:before="0" w:beforeAutospacing="0" w:after="0" w:afterAutospacing="0"/>
              <w:jc w:val="right"/>
              <w:rPr>
                <w:sz w:val="20"/>
                <w:szCs w:val="20"/>
              </w:rPr>
            </w:pPr>
            <w:r>
              <w:rPr>
                <w:sz w:val="20"/>
                <w:szCs w:val="20"/>
              </w:rPr>
              <w:t>123,14</w:t>
            </w:r>
            <w:r>
              <w:rPr>
                <w:sz w:val="20"/>
                <w:szCs w:val="20"/>
              </w:rPr>
              <w:t>6</w:t>
            </w:r>
          </w:p>
        </w:tc>
        <w:tc>
          <w:tcPr>
            <w:tcW w:w="0" w:type="auto"/>
            <w:noWrap/>
            <w:vAlign w:val="bottom"/>
            <w:hideMark/>
          </w:tcPr>
          <w:p w14:paraId="2CCCE2B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B213AE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4DD75E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F00EB6B" w14:textId="77777777" w:rsidR="00000000" w:rsidRDefault="003C49E9">
            <w:pPr>
              <w:pStyle w:val="a3"/>
              <w:spacing w:before="0" w:beforeAutospacing="0" w:after="0" w:afterAutospacing="0"/>
              <w:jc w:val="right"/>
              <w:rPr>
                <w:sz w:val="20"/>
                <w:szCs w:val="20"/>
              </w:rPr>
            </w:pPr>
            <w:r>
              <w:rPr>
                <w:sz w:val="20"/>
                <w:szCs w:val="20"/>
              </w:rPr>
              <w:t>100,89</w:t>
            </w:r>
            <w:r>
              <w:rPr>
                <w:sz w:val="20"/>
                <w:szCs w:val="20"/>
              </w:rPr>
              <w:t>1</w:t>
            </w:r>
          </w:p>
        </w:tc>
        <w:tc>
          <w:tcPr>
            <w:tcW w:w="0" w:type="auto"/>
            <w:noWrap/>
            <w:vAlign w:val="bottom"/>
            <w:hideMark/>
          </w:tcPr>
          <w:p w14:paraId="7154532A" w14:textId="77777777" w:rsidR="00000000" w:rsidRDefault="003C49E9">
            <w:pPr>
              <w:pStyle w:val="a3"/>
              <w:spacing w:before="0" w:beforeAutospacing="0" w:after="0" w:afterAutospacing="0"/>
              <w:rPr>
                <w:sz w:val="20"/>
                <w:szCs w:val="20"/>
              </w:rPr>
            </w:pPr>
            <w:r>
              <w:rPr>
                <w:sz w:val="20"/>
                <w:szCs w:val="20"/>
              </w:rPr>
              <w:t> </w:t>
            </w:r>
          </w:p>
        </w:tc>
      </w:tr>
      <w:tr w:rsidR="00000000" w14:paraId="583EB545" w14:textId="77777777">
        <w:trPr>
          <w:trHeight w:val="200"/>
          <w:tblCellSpacing w:w="15" w:type="dxa"/>
        </w:trPr>
        <w:tc>
          <w:tcPr>
            <w:tcW w:w="0" w:type="auto"/>
            <w:vAlign w:val="bottom"/>
            <w:hideMark/>
          </w:tcPr>
          <w:p w14:paraId="785FE35E" w14:textId="77777777" w:rsidR="00000000" w:rsidRDefault="003C49E9">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14:paraId="11A29346"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4F89D4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0B767A4" w14:textId="77777777" w:rsidR="00000000" w:rsidRDefault="003C49E9">
            <w:pPr>
              <w:pStyle w:val="a3"/>
              <w:spacing w:before="0" w:beforeAutospacing="0" w:after="0" w:afterAutospacing="0"/>
              <w:jc w:val="right"/>
              <w:rPr>
                <w:sz w:val="20"/>
                <w:szCs w:val="20"/>
              </w:rPr>
            </w:pPr>
            <w:r>
              <w:rPr>
                <w:sz w:val="20"/>
                <w:szCs w:val="20"/>
              </w:rPr>
              <w:t>(176,01</w:t>
            </w:r>
            <w:r>
              <w:rPr>
                <w:sz w:val="20"/>
                <w:szCs w:val="20"/>
              </w:rPr>
              <w:t>3</w:t>
            </w:r>
          </w:p>
        </w:tc>
        <w:tc>
          <w:tcPr>
            <w:tcW w:w="0" w:type="auto"/>
            <w:noWrap/>
            <w:vAlign w:val="bottom"/>
            <w:hideMark/>
          </w:tcPr>
          <w:p w14:paraId="470FE228"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76401CE"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62A61D8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9C831F1" w14:textId="77777777" w:rsidR="00000000" w:rsidRDefault="003C49E9">
            <w:pPr>
              <w:pStyle w:val="a3"/>
              <w:spacing w:before="0" w:beforeAutospacing="0" w:after="0" w:afterAutospacing="0"/>
              <w:jc w:val="right"/>
              <w:rPr>
                <w:sz w:val="20"/>
                <w:szCs w:val="20"/>
              </w:rPr>
            </w:pPr>
            <w:r>
              <w:rPr>
                <w:sz w:val="20"/>
                <w:szCs w:val="20"/>
              </w:rPr>
              <w:t>(110,74</w:t>
            </w:r>
            <w:r>
              <w:rPr>
                <w:sz w:val="20"/>
                <w:szCs w:val="20"/>
              </w:rPr>
              <w:t>0</w:t>
            </w:r>
          </w:p>
        </w:tc>
        <w:tc>
          <w:tcPr>
            <w:tcW w:w="0" w:type="auto"/>
            <w:noWrap/>
            <w:vAlign w:val="bottom"/>
            <w:hideMark/>
          </w:tcPr>
          <w:p w14:paraId="3030B93A" w14:textId="77777777" w:rsidR="00000000" w:rsidRDefault="003C49E9">
            <w:pPr>
              <w:pStyle w:val="a3"/>
              <w:spacing w:before="0" w:beforeAutospacing="0" w:after="0" w:afterAutospacing="0"/>
              <w:rPr>
                <w:sz w:val="20"/>
                <w:szCs w:val="20"/>
              </w:rPr>
            </w:pPr>
            <w:r>
              <w:rPr>
                <w:sz w:val="20"/>
                <w:szCs w:val="20"/>
              </w:rPr>
              <w:t>)</w:t>
            </w:r>
          </w:p>
        </w:tc>
      </w:tr>
      <w:tr w:rsidR="00000000" w14:paraId="6AE776E3" w14:textId="77777777">
        <w:trPr>
          <w:trHeight w:val="200"/>
          <w:tblCellSpacing w:w="15" w:type="dxa"/>
        </w:trPr>
        <w:tc>
          <w:tcPr>
            <w:tcW w:w="0" w:type="auto"/>
            <w:vAlign w:val="bottom"/>
            <w:hideMark/>
          </w:tcPr>
          <w:p w14:paraId="78BCF1AD" w14:textId="77777777" w:rsidR="00000000" w:rsidRDefault="003C49E9">
            <w:pPr>
              <w:pStyle w:val="a3"/>
              <w:spacing w:before="0" w:beforeAutospacing="0" w:after="0" w:afterAutospacing="0"/>
              <w:rPr>
                <w:sz w:val="20"/>
                <w:szCs w:val="20"/>
              </w:rPr>
            </w:pPr>
            <w:r>
              <w:rPr>
                <w:sz w:val="20"/>
                <w:szCs w:val="20"/>
              </w:rPr>
              <w:t>Net cash and cash equivalents used in financing activitie</w:t>
            </w:r>
            <w:r>
              <w:rPr>
                <w:sz w:val="20"/>
                <w:szCs w:val="20"/>
              </w:rPr>
              <w:t>s</w:t>
            </w:r>
          </w:p>
        </w:tc>
        <w:tc>
          <w:tcPr>
            <w:tcW w:w="0" w:type="auto"/>
            <w:vAlign w:val="bottom"/>
            <w:hideMark/>
          </w:tcPr>
          <w:p w14:paraId="03908358"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A0B866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7312466" w14:textId="77777777" w:rsidR="00000000" w:rsidRDefault="003C49E9">
            <w:pPr>
              <w:pStyle w:val="a3"/>
              <w:spacing w:before="0" w:beforeAutospacing="0" w:after="0" w:afterAutospacing="0"/>
              <w:jc w:val="right"/>
              <w:rPr>
                <w:sz w:val="20"/>
                <w:szCs w:val="20"/>
              </w:rPr>
            </w:pPr>
            <w:r>
              <w:rPr>
                <w:sz w:val="20"/>
                <w:szCs w:val="20"/>
              </w:rPr>
              <w:t>(9,00</w:t>
            </w:r>
            <w:r>
              <w:rPr>
                <w:sz w:val="20"/>
                <w:szCs w:val="20"/>
              </w:rPr>
              <w:t>8</w:t>
            </w:r>
          </w:p>
        </w:tc>
        <w:tc>
          <w:tcPr>
            <w:tcW w:w="0" w:type="auto"/>
            <w:noWrap/>
            <w:vAlign w:val="bottom"/>
            <w:hideMark/>
          </w:tcPr>
          <w:p w14:paraId="034E08E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63B7D044"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DBDBED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34DF095" w14:textId="77777777" w:rsidR="00000000" w:rsidRDefault="003C49E9">
            <w:pPr>
              <w:pStyle w:val="a3"/>
              <w:spacing w:before="0" w:beforeAutospacing="0" w:after="0" w:afterAutospacing="0"/>
              <w:jc w:val="right"/>
              <w:rPr>
                <w:sz w:val="20"/>
                <w:szCs w:val="20"/>
              </w:rPr>
            </w:pPr>
            <w:r>
              <w:rPr>
                <w:sz w:val="20"/>
                <w:szCs w:val="20"/>
              </w:rPr>
              <w:t>(26,72</w:t>
            </w:r>
            <w:r>
              <w:rPr>
                <w:sz w:val="20"/>
                <w:szCs w:val="20"/>
              </w:rPr>
              <w:t>9</w:t>
            </w:r>
          </w:p>
        </w:tc>
        <w:tc>
          <w:tcPr>
            <w:tcW w:w="0" w:type="auto"/>
            <w:noWrap/>
            <w:vAlign w:val="bottom"/>
            <w:hideMark/>
          </w:tcPr>
          <w:p w14:paraId="30132E64" w14:textId="77777777" w:rsidR="00000000" w:rsidRDefault="003C49E9">
            <w:pPr>
              <w:pStyle w:val="a3"/>
              <w:spacing w:before="0" w:beforeAutospacing="0" w:after="0" w:afterAutospacing="0"/>
              <w:rPr>
                <w:sz w:val="20"/>
                <w:szCs w:val="20"/>
              </w:rPr>
            </w:pPr>
            <w:r>
              <w:rPr>
                <w:sz w:val="20"/>
                <w:szCs w:val="20"/>
              </w:rPr>
              <w:t>)</w:t>
            </w:r>
          </w:p>
        </w:tc>
      </w:tr>
    </w:tbl>
    <w:p w14:paraId="4CC8C405" w14:textId="77777777" w:rsidR="00000000" w:rsidRDefault="003C49E9">
      <w:pPr>
        <w:pStyle w:val="a3"/>
        <w:spacing w:before="200" w:beforeAutospacing="0" w:after="0" w:afterAutospacing="0"/>
        <w:ind w:firstLine="555"/>
        <w:rPr>
          <w:sz w:val="20"/>
          <w:szCs w:val="20"/>
        </w:rPr>
      </w:pPr>
      <w:r>
        <w:rPr>
          <w:sz w:val="20"/>
          <w:szCs w:val="20"/>
        </w:rPr>
        <w:t>Our cash and cash equivalents at June 30, 2022 were held for working capital purposes. At June 30, 2022, $119.7 million of our cash and cash equivalents was held in accounts outside the United States. We do not assert indefinite reinvestment of our foreign</w:t>
      </w:r>
      <w:r>
        <w:rPr>
          <w:sz w:val="20"/>
          <w:szCs w:val="20"/>
        </w:rPr>
        <w:t xml:space="preserve"> earnings because these earnings have been subject to United States Federal tax. While we have concluded that any incremental tax incurred upon ultimate distribution of these earnings to be immaterial, our current plans do not demonstrate a need to repatri</w:t>
      </w:r>
      <w:r>
        <w:rPr>
          <w:sz w:val="20"/>
          <w:szCs w:val="20"/>
        </w:rPr>
        <w:t>ate undistributed earnings to fund our U.S. operations</w:t>
      </w:r>
      <w:r>
        <w:rPr>
          <w:sz w:val="20"/>
          <w:szCs w:val="20"/>
        </w:rPr>
        <w:t>.</w:t>
      </w:r>
    </w:p>
    <w:p w14:paraId="4D14E0D6" w14:textId="77777777" w:rsidR="00000000" w:rsidRDefault="003C49E9">
      <w:pPr>
        <w:pStyle w:val="a3"/>
        <w:spacing w:before="200" w:beforeAutospacing="0" w:after="0" w:afterAutospacing="0"/>
        <w:ind w:firstLine="555"/>
        <w:rPr>
          <w:sz w:val="20"/>
          <w:szCs w:val="20"/>
        </w:rPr>
      </w:pPr>
      <w:r>
        <w:rPr>
          <w:sz w:val="20"/>
          <w:szCs w:val="20"/>
        </w:rPr>
        <w:t>Cash from operations could be affected by various risks and uncertainties detailed in the section titled “Risk Factors” included under Part II, Item 1A. However, based on our current business plan and</w:t>
      </w:r>
      <w:r>
        <w:rPr>
          <w:sz w:val="20"/>
          <w:szCs w:val="20"/>
        </w:rPr>
        <w:t xml:space="preserve"> revenue prospects, we believe that our existing cash, cash equivalents and investment balances, and our anticipated cash flows from operations will be sufficient to meet our working capital and operating resource expenditure requirements for the next twel</w:t>
      </w:r>
      <w:r>
        <w:rPr>
          <w:sz w:val="20"/>
          <w:szCs w:val="20"/>
        </w:rPr>
        <w:t>ve months</w:t>
      </w:r>
      <w:r>
        <w:rPr>
          <w:sz w:val="20"/>
          <w:szCs w:val="20"/>
        </w:rPr>
        <w:t>.</w:t>
      </w:r>
    </w:p>
    <w:p w14:paraId="35025699" w14:textId="77777777" w:rsidR="00000000" w:rsidRDefault="003C49E9">
      <w:pPr>
        <w:pStyle w:val="a3"/>
        <w:spacing w:before="200" w:beforeAutospacing="0" w:after="0" w:afterAutospacing="0"/>
        <w:rPr>
          <w:sz w:val="20"/>
          <w:szCs w:val="20"/>
        </w:rPr>
      </w:pPr>
      <w:r>
        <w:rPr>
          <w:i/>
          <w:iCs/>
          <w:sz w:val="20"/>
          <w:szCs w:val="20"/>
        </w:rPr>
        <w:t>Net Cash and Cash Equivalents Provided by Operating Activitie</w:t>
      </w:r>
      <w:r>
        <w:rPr>
          <w:i/>
          <w:iCs/>
          <w:sz w:val="20"/>
          <w:szCs w:val="20"/>
        </w:rPr>
        <w:t>s</w:t>
      </w:r>
    </w:p>
    <w:p w14:paraId="35C0F1CA" w14:textId="77777777" w:rsidR="00000000" w:rsidRDefault="003C49E9">
      <w:pPr>
        <w:pStyle w:val="a3"/>
        <w:spacing w:before="200" w:beforeAutospacing="0" w:after="0" w:afterAutospacing="0"/>
        <w:ind w:firstLine="555"/>
        <w:rPr>
          <w:sz w:val="20"/>
          <w:szCs w:val="20"/>
        </w:rPr>
      </w:pPr>
      <w:r>
        <w:rPr>
          <w:sz w:val="20"/>
          <w:szCs w:val="20"/>
        </w:rPr>
        <w:t>Net cash and cash equivalents provided by operating activities consists primarily of net loss adjusted for certain non-cash items, including stock-based compensation, depreciation an</w:t>
      </w:r>
      <w:r>
        <w:rPr>
          <w:sz w:val="20"/>
          <w:szCs w:val="20"/>
        </w:rPr>
        <w:t>d amortization and other non-cash charges, net</w:t>
      </w:r>
      <w:r>
        <w:rPr>
          <w:sz w:val="20"/>
          <w:szCs w:val="20"/>
        </w:rPr>
        <w:t>.</w:t>
      </w:r>
    </w:p>
    <w:p w14:paraId="4608B3CA" w14:textId="77777777" w:rsidR="00000000" w:rsidRDefault="003C49E9">
      <w:pPr>
        <w:pStyle w:val="a3"/>
        <w:spacing w:before="200" w:beforeAutospacing="0" w:after="0" w:afterAutospacing="0"/>
        <w:ind w:firstLine="555"/>
        <w:rPr>
          <w:sz w:val="20"/>
          <w:szCs w:val="20"/>
        </w:rPr>
      </w:pPr>
      <w:r>
        <w:rPr>
          <w:sz w:val="20"/>
          <w:szCs w:val="20"/>
        </w:rPr>
        <w:t>Net cash and cash equivalents provided by operating activities during the six months ended June 30, 2022 primarily reflected our net loss of $65.7 million, benefit from deferred income taxes of $0.4 million, $0.2 million accretion of bond discounts, and ga</w:t>
      </w:r>
      <w:r>
        <w:rPr>
          <w:sz w:val="20"/>
          <w:szCs w:val="20"/>
        </w:rPr>
        <w:t>ins on strategic investments of $4.2 million, offset by non-cash expenses that included $27.1 million of depreciation and amortization, $126.9 million in stock-based compensation, and $1.0 million of amortization of debt discount and issuance costs. Workin</w:t>
      </w:r>
      <w:r>
        <w:rPr>
          <w:sz w:val="20"/>
          <w:szCs w:val="20"/>
        </w:rPr>
        <w:t>g capital sources of cash and cash equivalents primarily included a $52.5 million increase in deferred revenue primarily resulting from the growth in the number of customers invoiced during the period, a $13.4 million increase in right-of-use asset, a $9.0</w:t>
      </w:r>
      <w:r>
        <w:rPr>
          <w:sz w:val="20"/>
          <w:szCs w:val="20"/>
        </w:rPr>
        <w:t xml:space="preserve"> million increase in accounts payable related to timing of bill payments, and $23.1 million increase in accrued expenses and other liabilities. These sources of cash and cash equivalents were offset by a $21.9 million increase in prepaid expenses and other</w:t>
      </w:r>
      <w:r>
        <w:rPr>
          <w:sz w:val="20"/>
          <w:szCs w:val="20"/>
        </w:rPr>
        <w:t xml:space="preserve"> assets, a $11.3 million decrease in operating lease liabilities, a $13.7 million increase in deferred commissions, and a $14.3 million increase in accounts receivable as a result of increased billings to customers</w:t>
      </w:r>
      <w:r>
        <w:rPr>
          <w:sz w:val="20"/>
          <w:szCs w:val="20"/>
        </w:rPr>
        <w:t>.</w:t>
      </w:r>
      <w:r>
        <w:rPr>
          <w:sz w:val="20"/>
          <w:szCs w:val="20"/>
        </w:rPr>
        <w:t xml:space="preserve"> </w:t>
      </w:r>
    </w:p>
    <w:p w14:paraId="56E62B51" w14:textId="77777777" w:rsidR="00000000" w:rsidRDefault="003C49E9">
      <w:pPr>
        <w:pStyle w:val="a3"/>
        <w:spacing w:before="200" w:beforeAutospacing="0" w:after="0" w:afterAutospacing="0"/>
        <w:ind w:firstLine="555"/>
        <w:rPr>
          <w:sz w:val="20"/>
          <w:szCs w:val="20"/>
        </w:rPr>
      </w:pPr>
      <w:r>
        <w:rPr>
          <w:sz w:val="20"/>
          <w:szCs w:val="20"/>
        </w:rPr>
        <w:t xml:space="preserve">Net cash and cash equivalents provided </w:t>
      </w:r>
      <w:r>
        <w:rPr>
          <w:sz w:val="20"/>
          <w:szCs w:val="20"/>
        </w:rPr>
        <w:t>by operating activities during the six months ended June 30, 2021 primarily reflected our net loss of $47.7 million, the portion of the repayment of the 2022 Notes attributable to the debt discount of $13.0 million, benefit from deferred income taxes of $1</w:t>
      </w:r>
      <w:r>
        <w:rPr>
          <w:sz w:val="20"/>
          <w:szCs w:val="20"/>
        </w:rPr>
        <w:t>.1 million, and a gain on strategic investments of $1.0 million, offset by non-cash expenses that included $21.7 million of depreciation and amortization, $75.9 million in stock-based compensation, $1.7 million amortization of bond discounts, $12.5 million</w:t>
      </w:r>
      <w:r>
        <w:rPr>
          <w:sz w:val="20"/>
          <w:szCs w:val="20"/>
        </w:rPr>
        <w:t xml:space="preserve"> of amortization of debt discount and issuance costs, and $3.1 million of loss on early extinguishment of 2022 Notes. Working capital sources of cash and cash equivalents primarily included a $49.4 million increase in deferred revenue primarily resulting f</w:t>
      </w:r>
      <w:r>
        <w:rPr>
          <w:sz w:val="20"/>
          <w:szCs w:val="20"/>
        </w:rPr>
        <w:t>rom the growth in the number of customers invoiced during the period, a $8.9 million decrease in accounts receivable related to increased collection, a $18.5 million increase in right-of-use asset, and $15.5 million increase in accrued expenses and other l</w:t>
      </w:r>
      <w:r>
        <w:rPr>
          <w:sz w:val="20"/>
          <w:szCs w:val="20"/>
        </w:rPr>
        <w:t xml:space="preserve">iabilities. These sources of cash and cash equivalents were offset by a $1.3 million increase in accounts payable related to timing of bill payments, a $7.7 million increase in prepaid expenses and other assets, a $18.4 million decrease in operating lease </w:t>
      </w:r>
      <w:r>
        <w:rPr>
          <w:sz w:val="20"/>
          <w:szCs w:val="20"/>
        </w:rPr>
        <w:t>liabilities, and a $16.4 million increase in deferred commissions</w:t>
      </w:r>
      <w:r>
        <w:rPr>
          <w:sz w:val="20"/>
          <w:szCs w:val="20"/>
        </w:rPr>
        <w:t>.</w:t>
      </w:r>
      <w:r>
        <w:rPr>
          <w:sz w:val="20"/>
          <w:szCs w:val="20"/>
        </w:rPr>
        <w:t xml:space="preserve"> </w:t>
      </w:r>
    </w:p>
    <w:p w14:paraId="5718A195" w14:textId="77777777" w:rsidR="00000000" w:rsidRDefault="003C49E9">
      <w:pPr>
        <w:pStyle w:val="a3"/>
        <w:spacing w:before="200" w:beforeAutospacing="0" w:after="0" w:afterAutospacing="0"/>
        <w:rPr>
          <w:sz w:val="20"/>
          <w:szCs w:val="20"/>
        </w:rPr>
      </w:pPr>
      <w:r>
        <w:rPr>
          <w:i/>
          <w:iCs/>
          <w:sz w:val="20"/>
          <w:szCs w:val="20"/>
        </w:rPr>
        <w:t>Net Cash and Cash Equivalents Used in Investing Activitie</w:t>
      </w:r>
      <w:r>
        <w:rPr>
          <w:i/>
          <w:iCs/>
          <w:sz w:val="20"/>
          <w:szCs w:val="20"/>
        </w:rPr>
        <w:t>s</w:t>
      </w:r>
    </w:p>
    <w:p w14:paraId="66FBC531" w14:textId="77777777" w:rsidR="00000000" w:rsidRDefault="003C49E9">
      <w:pPr>
        <w:pStyle w:val="a3"/>
        <w:spacing w:before="200" w:beforeAutospacing="0" w:after="0" w:afterAutospacing="0"/>
        <w:ind w:firstLine="555"/>
        <w:rPr>
          <w:sz w:val="20"/>
          <w:szCs w:val="20"/>
        </w:rPr>
      </w:pPr>
      <w:r>
        <w:rPr>
          <w:sz w:val="20"/>
          <w:szCs w:val="20"/>
        </w:rPr>
        <w:t>Our investing activities have consisted primarily of purchases and maturities of investments, sale of investments, property and e</w:t>
      </w:r>
      <w:r>
        <w:rPr>
          <w:sz w:val="20"/>
          <w:szCs w:val="20"/>
        </w:rPr>
        <w:t>quipment purchases, an acquisition of a business, purchase of intangible assets, purchases of strategic investments, an equity metho</w:t>
      </w:r>
      <w:r>
        <w:rPr>
          <w:sz w:val="20"/>
          <w:szCs w:val="20"/>
        </w:rPr>
        <w:t>d</w:t>
      </w:r>
      <w:r>
        <w:rPr>
          <w:sz w:val="20"/>
          <w:szCs w:val="20"/>
        </w:rPr>
        <w:t xml:space="preserve"> </w:t>
      </w:r>
    </w:p>
    <w:p w14:paraId="63C8D080"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1</w:t>
      </w:r>
    </w:p>
    <w:p w14:paraId="29F3A754" w14:textId="77777777" w:rsidR="00000000" w:rsidRDefault="003C49E9">
      <w:pPr>
        <w:rPr>
          <w:rFonts w:eastAsia="Times New Roman"/>
        </w:rPr>
      </w:pPr>
      <w:r>
        <w:rPr>
          <w:rFonts w:eastAsia="Times New Roman"/>
        </w:rPr>
        <w:pict w14:anchorId="35481EB9">
          <v:rect id="_x0000_i1055" style="width:0;height:1.5pt" o:hralign="center" o:hrstd="t" o:hr="t" fillcolor="#a0a0a0" stroked="f"/>
        </w:pict>
      </w:r>
    </w:p>
    <w:p w14:paraId="0366F96B" w14:textId="77777777" w:rsidR="00000000" w:rsidRDefault="003C49E9">
      <w:pPr>
        <w:pStyle w:val="a3"/>
        <w:spacing w:before="0" w:beforeAutospacing="0" w:after="0" w:afterAutospacing="0"/>
        <w:rPr>
          <w:sz w:val="20"/>
          <w:szCs w:val="20"/>
        </w:rPr>
      </w:pPr>
      <w:r>
        <w:rPr>
          <w:sz w:val="20"/>
          <w:szCs w:val="20"/>
        </w:rPr>
        <w:t> </w:t>
      </w:r>
    </w:p>
    <w:p w14:paraId="207B1E51" w14:textId="77777777" w:rsidR="00000000" w:rsidRDefault="003C49E9">
      <w:pPr>
        <w:pStyle w:val="a3"/>
        <w:spacing w:before="200" w:beforeAutospacing="0" w:after="0" w:afterAutospacing="0"/>
        <w:rPr>
          <w:sz w:val="20"/>
          <w:szCs w:val="20"/>
        </w:rPr>
      </w:pPr>
      <w:r>
        <w:rPr>
          <w:sz w:val="20"/>
          <w:szCs w:val="20"/>
        </w:rPr>
        <w:t>investment and capitalization of software development costs. Capitalized softwar</w:t>
      </w:r>
      <w:r>
        <w:rPr>
          <w:sz w:val="20"/>
          <w:szCs w:val="20"/>
        </w:rPr>
        <w:t>e development costs are related to new products or improvements to our existing software platform that expands the functionality for our customers</w:t>
      </w:r>
      <w:r>
        <w:rPr>
          <w:sz w:val="20"/>
          <w:szCs w:val="20"/>
        </w:rPr>
        <w:t>.</w:t>
      </w:r>
    </w:p>
    <w:p w14:paraId="2E46D5DB" w14:textId="77777777" w:rsidR="00000000" w:rsidRDefault="003C49E9">
      <w:pPr>
        <w:pStyle w:val="a3"/>
        <w:spacing w:before="200" w:beforeAutospacing="0" w:after="0" w:afterAutospacing="0"/>
        <w:ind w:firstLine="555"/>
        <w:rPr>
          <w:sz w:val="20"/>
          <w:szCs w:val="20"/>
        </w:rPr>
      </w:pPr>
      <w:r>
        <w:rPr>
          <w:sz w:val="20"/>
          <w:szCs w:val="20"/>
        </w:rPr>
        <w:t>Net cash and cash equivalents used in investing activities during the six months ended June 30, 2022 consist</w:t>
      </w:r>
      <w:r>
        <w:rPr>
          <w:sz w:val="20"/>
          <w:szCs w:val="20"/>
        </w:rPr>
        <w:t>ed primarily of $864.1 million purchases of investments, $18.3 million of purchased property and equipment, $13.9 million of purchases of strategic investments, $19.9 million of capitalized software development costs, and a $10.0 million purchase of intang</w:t>
      </w:r>
      <w:r>
        <w:rPr>
          <w:sz w:val="20"/>
          <w:szCs w:val="20"/>
        </w:rPr>
        <w:t>ible assets. These uses of cash were offset by $625.4 million received related to the maturity of investments and $125.0 million received for sale of investments</w:t>
      </w:r>
      <w:r>
        <w:rPr>
          <w:sz w:val="20"/>
          <w:szCs w:val="20"/>
        </w:rPr>
        <w:t>.</w:t>
      </w:r>
      <w:r>
        <w:rPr>
          <w:sz w:val="20"/>
          <w:szCs w:val="20"/>
        </w:rPr>
        <w:t xml:space="preserve"> </w:t>
      </w:r>
    </w:p>
    <w:p w14:paraId="6E86F086" w14:textId="77777777" w:rsidR="00000000" w:rsidRDefault="003C49E9">
      <w:pPr>
        <w:pStyle w:val="a3"/>
        <w:spacing w:before="200" w:beforeAutospacing="0" w:after="0" w:afterAutospacing="0"/>
        <w:ind w:firstLine="555"/>
        <w:rPr>
          <w:sz w:val="20"/>
          <w:szCs w:val="20"/>
        </w:rPr>
      </w:pPr>
      <w:r>
        <w:rPr>
          <w:sz w:val="20"/>
          <w:szCs w:val="20"/>
        </w:rPr>
        <w:t xml:space="preserve">Net cash and cash equivalents used in investing activities during the six months ended June </w:t>
      </w:r>
      <w:r>
        <w:rPr>
          <w:sz w:val="20"/>
          <w:szCs w:val="20"/>
        </w:rPr>
        <w:t>30, 2021 consisted primarily of $654.1 million purchases of investments, $10.7 million of purchased property and equipment, a $16.8 million business acquisition, $6.2 million of purchases of strategic investments, $3.1 million in an equity method investmen</w:t>
      </w:r>
      <w:r>
        <w:rPr>
          <w:sz w:val="20"/>
          <w:szCs w:val="20"/>
        </w:rPr>
        <w:t>t and $16.4 million of capitalized software development costs. These uses of cash were offset by $596.6 million received related to the maturity of investments</w:t>
      </w:r>
      <w:r>
        <w:rPr>
          <w:sz w:val="20"/>
          <w:szCs w:val="20"/>
        </w:rPr>
        <w:t>.</w:t>
      </w:r>
    </w:p>
    <w:p w14:paraId="49C626D6" w14:textId="77777777" w:rsidR="00000000" w:rsidRDefault="003C49E9">
      <w:pPr>
        <w:pStyle w:val="a3"/>
        <w:spacing w:before="200" w:beforeAutospacing="0" w:after="0" w:afterAutospacing="0"/>
        <w:rPr>
          <w:sz w:val="20"/>
          <w:szCs w:val="20"/>
        </w:rPr>
      </w:pPr>
      <w:r>
        <w:rPr>
          <w:i/>
          <w:iCs/>
          <w:sz w:val="20"/>
          <w:szCs w:val="20"/>
        </w:rPr>
        <w:t>Net Cash and Cash Equivalents Provided by Financing Activitie</w:t>
      </w:r>
      <w:r>
        <w:rPr>
          <w:i/>
          <w:iCs/>
          <w:sz w:val="20"/>
          <w:szCs w:val="20"/>
        </w:rPr>
        <w:t>s</w:t>
      </w:r>
    </w:p>
    <w:p w14:paraId="51CCB7C8" w14:textId="77777777" w:rsidR="00000000" w:rsidRDefault="003C49E9">
      <w:pPr>
        <w:pStyle w:val="a3"/>
        <w:spacing w:before="200" w:beforeAutospacing="0" w:after="0" w:afterAutospacing="0"/>
        <w:ind w:firstLine="555"/>
        <w:rPr>
          <w:sz w:val="20"/>
          <w:szCs w:val="20"/>
        </w:rPr>
      </w:pPr>
      <w:r>
        <w:rPr>
          <w:sz w:val="20"/>
          <w:szCs w:val="20"/>
        </w:rPr>
        <w:t>Our financing activities have co</w:t>
      </w:r>
      <w:r>
        <w:rPr>
          <w:sz w:val="20"/>
          <w:szCs w:val="20"/>
        </w:rPr>
        <w:t>nsisted primarily of the various components of our 2022 Notes repayment, repayment of our 2025 Notes, the issuance of common stock under our stock plans, and payments of employee taxes related to the net share settlement of stock-based awards,</w:t>
      </w:r>
      <w:r>
        <w:rPr>
          <w:sz w:val="20"/>
          <w:szCs w:val="20"/>
        </w:rPr>
        <w:t>.</w:t>
      </w:r>
    </w:p>
    <w:p w14:paraId="35B35DE8" w14:textId="77777777" w:rsidR="00000000" w:rsidRDefault="003C49E9">
      <w:pPr>
        <w:pStyle w:val="a3"/>
        <w:spacing w:before="200" w:beforeAutospacing="0" w:after="0" w:afterAutospacing="0"/>
        <w:ind w:firstLine="555"/>
        <w:rPr>
          <w:sz w:val="20"/>
          <w:szCs w:val="20"/>
        </w:rPr>
      </w:pPr>
      <w:r>
        <w:rPr>
          <w:sz w:val="20"/>
          <w:szCs w:val="20"/>
        </w:rPr>
        <w:t>For the six</w:t>
      </w:r>
      <w:r>
        <w:rPr>
          <w:sz w:val="20"/>
          <w:szCs w:val="20"/>
        </w:rPr>
        <w:t xml:space="preserve"> months ended June 30, 2022 cash used in financing activities consisted of $1.6 million used for the repayment of the 2025 Notes attributable to the principal, $79.8 million payment for settlement of the 2022 Notes, and $7.8 million used for payment of emp</w:t>
      </w:r>
      <w:r>
        <w:rPr>
          <w:sz w:val="20"/>
          <w:szCs w:val="20"/>
        </w:rPr>
        <w:t>loyee taxes related to the net share settlement of stock-based awards, offset by $19.7 million of proceeds related to issuance of common stock under stock plans and $60.5 million of proceeds from settlement of the Convertible Note Hedges</w:t>
      </w:r>
      <w:r>
        <w:rPr>
          <w:sz w:val="20"/>
          <w:szCs w:val="20"/>
        </w:rPr>
        <w:t>.</w:t>
      </w:r>
      <w:r>
        <w:rPr>
          <w:sz w:val="20"/>
          <w:szCs w:val="20"/>
        </w:rPr>
        <w:t xml:space="preserve"> </w:t>
      </w:r>
    </w:p>
    <w:p w14:paraId="3D26567D" w14:textId="77777777" w:rsidR="00000000" w:rsidRDefault="003C49E9">
      <w:pPr>
        <w:pStyle w:val="a3"/>
        <w:spacing w:before="200" w:beforeAutospacing="0" w:after="0" w:afterAutospacing="0"/>
        <w:ind w:firstLine="555"/>
        <w:rPr>
          <w:sz w:val="20"/>
          <w:szCs w:val="20"/>
        </w:rPr>
      </w:pPr>
      <w:r>
        <w:rPr>
          <w:sz w:val="20"/>
          <w:szCs w:val="20"/>
        </w:rPr>
        <w:t>For the six mont</w:t>
      </w:r>
      <w:r>
        <w:rPr>
          <w:sz w:val="20"/>
          <w:szCs w:val="20"/>
        </w:rPr>
        <w:t>hs ended June 30, 2021 cash used in financing activities consisted of $45.4 million used for repayment of the 2022 Notes attributable to the principal and $6.9 million used for payment of employee taxes related to the net share settlement of stock-based aw</w:t>
      </w:r>
      <w:r>
        <w:rPr>
          <w:sz w:val="20"/>
          <w:szCs w:val="20"/>
        </w:rPr>
        <w:t>ards, offset by $0.7 million of proceeds from the settlement of the Convertible Note Hedges related to the 2022 Notes and $24.9 million of proceeds related to issuance of common stock under stock plans</w:t>
      </w:r>
      <w:r>
        <w:rPr>
          <w:sz w:val="20"/>
          <w:szCs w:val="20"/>
        </w:rPr>
        <w:t>.</w:t>
      </w:r>
    </w:p>
    <w:p w14:paraId="02D0BEA6" w14:textId="77777777" w:rsidR="00000000" w:rsidRDefault="003C49E9">
      <w:pPr>
        <w:pStyle w:val="a3"/>
        <w:spacing w:before="200" w:beforeAutospacing="0" w:after="0" w:afterAutospacing="0"/>
        <w:rPr>
          <w:sz w:val="20"/>
          <w:szCs w:val="20"/>
        </w:rPr>
      </w:pPr>
      <w:r>
        <w:rPr>
          <w:b/>
          <w:bCs/>
          <w:sz w:val="20"/>
          <w:szCs w:val="20"/>
        </w:rPr>
        <w:t>Critical Accounting Policies and Estimate</w:t>
      </w:r>
      <w:r>
        <w:rPr>
          <w:b/>
          <w:bCs/>
          <w:sz w:val="20"/>
          <w:szCs w:val="20"/>
        </w:rPr>
        <w:t>s</w:t>
      </w:r>
    </w:p>
    <w:p w14:paraId="1D2E937D" w14:textId="77777777" w:rsidR="00000000" w:rsidRDefault="003C49E9">
      <w:pPr>
        <w:pStyle w:val="a3"/>
        <w:spacing w:before="200" w:beforeAutospacing="0" w:after="0" w:afterAutospacing="0"/>
        <w:ind w:firstLine="592"/>
        <w:rPr>
          <w:sz w:val="20"/>
          <w:szCs w:val="20"/>
        </w:rPr>
      </w:pPr>
      <w:r>
        <w:rPr>
          <w:sz w:val="20"/>
          <w:szCs w:val="20"/>
        </w:rPr>
        <w:t>There have</w:t>
      </w:r>
      <w:r>
        <w:rPr>
          <w:sz w:val="20"/>
          <w:szCs w:val="20"/>
        </w:rPr>
        <w:t xml:space="preserve"> been no significant changes in our critical accounting policies and estimates during the six months ended June 30, 2022 as compared to the critical accounting policies and estimates disclosed in our Annual Report on Form 10-K for the year ended December 3</w:t>
      </w:r>
      <w:r>
        <w:rPr>
          <w:sz w:val="20"/>
          <w:szCs w:val="20"/>
        </w:rPr>
        <w:t>1, 2021</w:t>
      </w:r>
      <w:r>
        <w:rPr>
          <w:sz w:val="20"/>
          <w:szCs w:val="20"/>
        </w:rPr>
        <w:t>.</w:t>
      </w:r>
    </w:p>
    <w:p w14:paraId="1EDCEA32" w14:textId="77777777" w:rsidR="00000000" w:rsidRDefault="003C49E9">
      <w:pPr>
        <w:pStyle w:val="a3"/>
        <w:spacing w:before="200" w:beforeAutospacing="0" w:after="0" w:afterAutospacing="0"/>
        <w:rPr>
          <w:sz w:val="20"/>
          <w:szCs w:val="20"/>
        </w:rPr>
      </w:pPr>
      <w:r>
        <w:rPr>
          <w:b/>
          <w:bCs/>
          <w:sz w:val="20"/>
          <w:szCs w:val="20"/>
        </w:rPr>
        <w:t>Contractual Obligations and Commitment</w:t>
      </w:r>
      <w:r>
        <w:rPr>
          <w:b/>
          <w:bCs/>
          <w:sz w:val="20"/>
          <w:szCs w:val="20"/>
        </w:rPr>
        <w:t>s</w:t>
      </w:r>
    </w:p>
    <w:p w14:paraId="1C114B18" w14:textId="77777777" w:rsidR="00000000" w:rsidRDefault="003C49E9">
      <w:pPr>
        <w:pStyle w:val="a3"/>
        <w:spacing w:before="200" w:beforeAutospacing="0" w:after="0" w:afterAutospacing="0"/>
        <w:ind w:firstLine="555"/>
        <w:rPr>
          <w:sz w:val="20"/>
          <w:szCs w:val="20"/>
        </w:rPr>
      </w:pPr>
      <w:r>
        <w:rPr>
          <w:sz w:val="20"/>
          <w:szCs w:val="20"/>
        </w:rPr>
        <w:t>Contractual obligations are cash that we are obligated to pay as part of certain contracts that we have entered during our course of business. Our contractual obligations consist of operating lease liabiliti</w:t>
      </w:r>
      <w:r>
        <w:rPr>
          <w:sz w:val="20"/>
          <w:szCs w:val="20"/>
        </w:rPr>
        <w:t>es that are included in our consolidated balance sheet and vendor commitments associated with agreements that are legally binding. See Note 10 for all obligations the Company is committed to in the notes to the consolidated financial statements appearing e</w:t>
      </w:r>
      <w:r>
        <w:rPr>
          <w:sz w:val="20"/>
          <w:szCs w:val="20"/>
        </w:rPr>
        <w:t>lsewhere in this Quarterly Report on Form 10-Q</w:t>
      </w:r>
      <w:r>
        <w:rPr>
          <w:sz w:val="20"/>
          <w:szCs w:val="20"/>
        </w:rPr>
        <w:t>.</w:t>
      </w:r>
    </w:p>
    <w:p w14:paraId="5E7AA3C5" w14:textId="77777777" w:rsidR="00000000" w:rsidRDefault="003C49E9">
      <w:pPr>
        <w:pStyle w:val="a3"/>
        <w:spacing w:before="200" w:beforeAutospacing="0" w:after="0" w:afterAutospacing="0"/>
        <w:rPr>
          <w:sz w:val="20"/>
          <w:szCs w:val="20"/>
        </w:rPr>
      </w:pPr>
      <w:r>
        <w:rPr>
          <w:b/>
          <w:bCs/>
          <w:sz w:val="20"/>
          <w:szCs w:val="20"/>
        </w:rPr>
        <w:t>Recent Accounting Pronouncement</w:t>
      </w:r>
      <w:r>
        <w:rPr>
          <w:b/>
          <w:bCs/>
          <w:sz w:val="20"/>
          <w:szCs w:val="20"/>
        </w:rPr>
        <w:t>s</w:t>
      </w:r>
    </w:p>
    <w:p w14:paraId="21E9A46B" w14:textId="77777777" w:rsidR="00000000" w:rsidRDefault="003C49E9">
      <w:pPr>
        <w:pStyle w:val="a3"/>
        <w:spacing w:before="200" w:beforeAutospacing="0" w:after="0" w:afterAutospacing="0"/>
        <w:ind w:firstLine="555"/>
        <w:rPr>
          <w:sz w:val="20"/>
          <w:szCs w:val="20"/>
        </w:rPr>
      </w:pPr>
      <w:r>
        <w:rPr>
          <w:sz w:val="20"/>
          <w:szCs w:val="20"/>
        </w:rPr>
        <w:t>For 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 the notes to the consolidated financial statements appearing elsewhere in this Qua</w:t>
      </w:r>
      <w:r>
        <w:rPr>
          <w:sz w:val="20"/>
          <w:szCs w:val="20"/>
        </w:rPr>
        <w:t>rterly Report on Form 10-Q</w:t>
      </w:r>
      <w:r>
        <w:rPr>
          <w:sz w:val="20"/>
          <w:szCs w:val="20"/>
        </w:rPr>
        <w:t>.</w:t>
      </w:r>
    </w:p>
    <w:p w14:paraId="1B556D46" w14:textId="77777777" w:rsidR="00000000" w:rsidRDefault="003C49E9">
      <w:pPr>
        <w:pStyle w:val="a3"/>
        <w:spacing w:before="200" w:beforeAutospacing="0" w:after="0" w:afterAutospacing="0"/>
        <w:rPr>
          <w:sz w:val="20"/>
          <w:szCs w:val="20"/>
        </w:rPr>
      </w:pPr>
      <w:r>
        <w:rPr>
          <w:b/>
          <w:bCs/>
          <w:sz w:val="20"/>
          <w:szCs w:val="20"/>
        </w:rPr>
        <w:t>Off-Balance Sheet Arrangement</w:t>
      </w:r>
      <w:r>
        <w:rPr>
          <w:b/>
          <w:bCs/>
          <w:sz w:val="20"/>
          <w:szCs w:val="20"/>
        </w:rPr>
        <w:t>s</w:t>
      </w:r>
    </w:p>
    <w:p w14:paraId="374DC616" w14:textId="77777777" w:rsidR="00000000" w:rsidRDefault="003C49E9">
      <w:pPr>
        <w:pStyle w:val="a3"/>
        <w:spacing w:before="200" w:beforeAutospacing="0" w:after="0" w:afterAutospacing="0"/>
        <w:ind w:firstLine="555"/>
        <w:rPr>
          <w:sz w:val="20"/>
          <w:szCs w:val="20"/>
        </w:rPr>
      </w:pPr>
      <w:r>
        <w:rPr>
          <w:sz w:val="20"/>
          <w:szCs w:val="20"/>
        </w:rPr>
        <w:t xml:space="preserve">As of June 30, 2022, we are committed to contribute additional capital of $9.2 million to the Black Economic Development Fund. There were no other material off-balance sheet arrangements exclusive </w:t>
      </w:r>
      <w:r>
        <w:rPr>
          <w:sz w:val="20"/>
          <w:szCs w:val="20"/>
        </w:rPr>
        <w:t>of operating leases and indemnifications of officers, directors and employees for certain events or occurrences while the officer, director or employee is, or was, serving at our request in such capacity</w:t>
      </w:r>
      <w:r>
        <w:rPr>
          <w:sz w:val="20"/>
          <w:szCs w:val="20"/>
        </w:rPr>
        <w:t>.</w:t>
      </w:r>
    </w:p>
    <w:p w14:paraId="3DB5018D" w14:textId="77777777" w:rsidR="00000000" w:rsidRDefault="003C49E9">
      <w:pPr>
        <w:pStyle w:val="a3"/>
        <w:spacing w:before="240" w:beforeAutospacing="0" w:after="0" w:afterAutospacing="0"/>
        <w:ind w:hanging="1220"/>
        <w:rPr>
          <w:sz w:val="20"/>
          <w:szCs w:val="20"/>
        </w:rPr>
      </w:pPr>
      <w:r>
        <w:rPr>
          <w:b/>
          <w:bCs/>
          <w:sz w:val="20"/>
          <w:szCs w:val="20"/>
        </w:rPr>
        <w:t xml:space="preserve">Item 3. </w:t>
      </w:r>
      <w:r>
        <w:rPr>
          <w:b/>
          <w:bCs/>
          <w:sz w:val="20"/>
          <w:szCs w:val="20"/>
        </w:rPr>
        <w:t>Quantitative and Qualitat</w:t>
      </w:r>
      <w:r>
        <w:rPr>
          <w:b/>
          <w:bCs/>
          <w:sz w:val="20"/>
          <w:szCs w:val="20"/>
        </w:rPr>
        <w:t>i</w:t>
      </w:r>
      <w:r>
        <w:rPr>
          <w:b/>
          <w:bCs/>
          <w:sz w:val="20"/>
          <w:szCs w:val="20"/>
        </w:rPr>
        <w:t>ve Disclosures About Market Ris</w:t>
      </w:r>
      <w:r>
        <w:rPr>
          <w:b/>
          <w:bCs/>
          <w:sz w:val="20"/>
          <w:szCs w:val="20"/>
        </w:rPr>
        <w:t>k</w:t>
      </w:r>
    </w:p>
    <w:p w14:paraId="6409439B" w14:textId="77777777" w:rsidR="00000000" w:rsidRDefault="003C49E9">
      <w:pPr>
        <w:pStyle w:val="a3"/>
        <w:spacing w:before="240" w:beforeAutospacing="0" w:after="0" w:afterAutospacing="0"/>
        <w:ind w:left="476"/>
        <w:rPr>
          <w:sz w:val="20"/>
          <w:szCs w:val="20"/>
        </w:rPr>
      </w:pPr>
      <w:r>
        <w:rPr>
          <w:b/>
          <w:bCs/>
          <w:i/>
          <w:iCs/>
          <w:sz w:val="20"/>
          <w:szCs w:val="20"/>
        </w:rPr>
        <w:t>Foreign Currency Exchange Ris</w:t>
      </w:r>
      <w:r>
        <w:rPr>
          <w:b/>
          <w:bCs/>
          <w:i/>
          <w:iCs/>
          <w:sz w:val="20"/>
          <w:szCs w:val="20"/>
        </w:rPr>
        <w:t>k</w:t>
      </w:r>
    </w:p>
    <w:p w14:paraId="527372CA" w14:textId="77777777" w:rsidR="00000000" w:rsidRDefault="003C49E9">
      <w:pPr>
        <w:pStyle w:val="a3"/>
        <w:spacing w:before="240" w:beforeAutospacing="0" w:after="0" w:afterAutospacing="0"/>
        <w:ind w:firstLine="592"/>
        <w:rPr>
          <w:sz w:val="20"/>
          <w:szCs w:val="20"/>
        </w:rPr>
      </w:pPr>
      <w:r>
        <w:rPr>
          <w:sz w:val="20"/>
          <w:szCs w:val="20"/>
        </w:rPr>
        <w:t>We have foreign currency risks related to our revenue and operating expenses denominated in currencies other than the U.S. dollar, primarily the Euro, British Pound S</w:t>
      </w:r>
      <w:r>
        <w:rPr>
          <w:sz w:val="20"/>
          <w:szCs w:val="20"/>
        </w:rPr>
        <w:t>terling, Australian dollar, Singaporean dollar, Japanese Yen, and Colombian Peso. Since w</w:t>
      </w:r>
      <w:r>
        <w:rPr>
          <w:sz w:val="20"/>
          <w:szCs w:val="20"/>
        </w:rPr>
        <w:t>e</w:t>
      </w:r>
      <w:r>
        <w:rPr>
          <w:sz w:val="20"/>
          <w:szCs w:val="20"/>
        </w:rPr>
        <w:t xml:space="preserve"> </w:t>
      </w:r>
    </w:p>
    <w:p w14:paraId="32079549"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2</w:t>
      </w:r>
    </w:p>
    <w:p w14:paraId="67F6EC8E" w14:textId="77777777" w:rsidR="00000000" w:rsidRDefault="003C49E9">
      <w:pPr>
        <w:rPr>
          <w:rFonts w:eastAsia="Times New Roman"/>
        </w:rPr>
      </w:pPr>
      <w:r>
        <w:rPr>
          <w:rFonts w:eastAsia="Times New Roman"/>
        </w:rPr>
        <w:pict w14:anchorId="2ACF6950">
          <v:rect id="_x0000_i1056" style="width:0;height:1.5pt" o:hralign="center" o:hrstd="t" o:hr="t" fillcolor="#a0a0a0" stroked="f"/>
        </w:pict>
      </w:r>
    </w:p>
    <w:p w14:paraId="06DDF807" w14:textId="77777777" w:rsidR="00000000" w:rsidRDefault="003C49E9">
      <w:pPr>
        <w:pStyle w:val="a3"/>
        <w:spacing w:before="0" w:beforeAutospacing="0" w:after="0" w:afterAutospacing="0"/>
        <w:rPr>
          <w:sz w:val="20"/>
          <w:szCs w:val="20"/>
        </w:rPr>
      </w:pPr>
      <w:r>
        <w:rPr>
          <w:sz w:val="20"/>
          <w:szCs w:val="20"/>
        </w:rPr>
        <w:t> </w:t>
      </w:r>
    </w:p>
    <w:p w14:paraId="0C80E25D" w14:textId="77777777" w:rsidR="00000000" w:rsidRDefault="003C49E9">
      <w:pPr>
        <w:pStyle w:val="a3"/>
        <w:spacing w:before="240" w:beforeAutospacing="0" w:after="0" w:afterAutospacing="0"/>
        <w:rPr>
          <w:sz w:val="20"/>
          <w:szCs w:val="20"/>
        </w:rPr>
      </w:pPr>
      <w:r>
        <w:rPr>
          <w:sz w:val="20"/>
          <w:szCs w:val="20"/>
        </w:rPr>
        <w:t xml:space="preserve">translate foreign currencies into U.S. dollars for financial reporting purposes, currency fluctuations can have an impact </w:t>
      </w:r>
      <w:r>
        <w:rPr>
          <w:sz w:val="20"/>
          <w:szCs w:val="20"/>
        </w:rPr>
        <w:t>on our financial results</w:t>
      </w:r>
      <w:r>
        <w:rPr>
          <w:sz w:val="20"/>
          <w:szCs w:val="20"/>
        </w:rPr>
        <w:t>.</w:t>
      </w:r>
    </w:p>
    <w:p w14:paraId="4778B7A4" w14:textId="77777777" w:rsidR="00000000" w:rsidRDefault="003C49E9">
      <w:pPr>
        <w:pStyle w:val="a3"/>
        <w:spacing w:before="240" w:beforeAutospacing="0" w:after="0" w:afterAutospacing="0"/>
        <w:ind w:firstLine="592"/>
        <w:rPr>
          <w:sz w:val="20"/>
          <w:szCs w:val="20"/>
        </w:rPr>
      </w:pPr>
      <w:r>
        <w:rPr>
          <w:sz w:val="20"/>
          <w:szCs w:val="20"/>
        </w:rPr>
        <w:t>We have experienced and will continue to experience fluctuations in our net loss as a result of transaction gains or losses related to revaluing certain current asset and current liability balances that are denominated in currenci</w:t>
      </w:r>
      <w:r>
        <w:rPr>
          <w:sz w:val="20"/>
          <w:szCs w:val="20"/>
        </w:rPr>
        <w:t>es other than the functional currency of the entities in which they are recorded. While we have not engaged in the hedging of our foreign currency transactions to date, we are evaluating the costs and benefits of initiating such a program and may in the fu</w:t>
      </w:r>
      <w:r>
        <w:rPr>
          <w:sz w:val="20"/>
          <w:szCs w:val="20"/>
        </w:rPr>
        <w:t>ture hedge selected significant transactions denominated in currencies other than the U.S. dollar as we expand our international operation, and our risk grows</w:t>
      </w:r>
      <w:r>
        <w:rPr>
          <w:sz w:val="20"/>
          <w:szCs w:val="20"/>
        </w:rPr>
        <w:t>.</w:t>
      </w:r>
    </w:p>
    <w:p w14:paraId="7D29EEB5" w14:textId="77777777" w:rsidR="00000000" w:rsidRDefault="003C49E9">
      <w:pPr>
        <w:pStyle w:val="a3"/>
        <w:spacing w:before="240" w:beforeAutospacing="0" w:after="0" w:afterAutospacing="0"/>
        <w:ind w:firstLine="592"/>
        <w:rPr>
          <w:sz w:val="20"/>
          <w:szCs w:val="20"/>
        </w:rPr>
      </w:pPr>
      <w:r>
        <w:rPr>
          <w:b/>
          <w:bCs/>
          <w:i/>
          <w:iCs/>
          <w:sz w:val="20"/>
          <w:szCs w:val="20"/>
        </w:rPr>
        <w:t>Interest Rate Sensitivit</w:t>
      </w:r>
      <w:r>
        <w:rPr>
          <w:b/>
          <w:bCs/>
          <w:i/>
          <w:iCs/>
          <w:sz w:val="20"/>
          <w:szCs w:val="20"/>
        </w:rPr>
        <w:t>y</w:t>
      </w:r>
      <w:r>
        <w:rPr>
          <w:b/>
          <w:bCs/>
          <w:i/>
          <w:iCs/>
          <w:sz w:val="20"/>
          <w:szCs w:val="20"/>
        </w:rPr>
        <w:t xml:space="preserve"> </w:t>
      </w:r>
    </w:p>
    <w:p w14:paraId="4CB797AE" w14:textId="77777777" w:rsidR="00000000" w:rsidRDefault="003C49E9">
      <w:pPr>
        <w:pStyle w:val="a3"/>
        <w:spacing w:before="240" w:beforeAutospacing="0" w:after="0" w:afterAutospacing="0"/>
        <w:ind w:firstLine="592"/>
        <w:rPr>
          <w:sz w:val="20"/>
          <w:szCs w:val="20"/>
        </w:rPr>
      </w:pPr>
      <w:r>
        <w:rPr>
          <w:sz w:val="20"/>
          <w:szCs w:val="20"/>
        </w:rPr>
        <w:t>Our portfolio of cash and cash equivalents and short- and long-term i</w:t>
      </w:r>
      <w:r>
        <w:rPr>
          <w:sz w:val="20"/>
          <w:szCs w:val="20"/>
        </w:rPr>
        <w:t>nvestments is maintained in a variety of securities, including government agency obligations, corporate bonds and money market funds. Investments are classified as available-for-sale securities and carried at their fair market value with cumulative unreali</w:t>
      </w:r>
      <w:r>
        <w:rPr>
          <w:sz w:val="20"/>
          <w:szCs w:val="20"/>
        </w:rPr>
        <w:t>zed gains or losses recorded as a component of accumulated other comprehensive loss within stockholders' equity. A sharp rise in interest rates could have an adverse impact on the fair market value of certain securities in our portfolio. We do not currentl</w:t>
      </w:r>
      <w:r>
        <w:rPr>
          <w:sz w:val="20"/>
          <w:szCs w:val="20"/>
        </w:rPr>
        <w:t>y hedge our interest rate exposure and do not enter into financial instruments for trading or speculative purposes</w:t>
      </w:r>
      <w:r>
        <w:rPr>
          <w:sz w:val="20"/>
          <w:szCs w:val="20"/>
        </w:rPr>
        <w:t>.</w:t>
      </w:r>
    </w:p>
    <w:p w14:paraId="3A42C6DA" w14:textId="77777777" w:rsidR="00000000" w:rsidRDefault="003C49E9">
      <w:pPr>
        <w:pStyle w:val="a3"/>
        <w:spacing w:before="240" w:beforeAutospacing="0" w:after="0" w:afterAutospacing="0"/>
        <w:ind w:firstLine="555"/>
        <w:rPr>
          <w:sz w:val="20"/>
          <w:szCs w:val="20"/>
        </w:rPr>
      </w:pPr>
      <w:r>
        <w:rPr>
          <w:b/>
          <w:bCs/>
          <w:i/>
          <w:iCs/>
          <w:sz w:val="20"/>
          <w:szCs w:val="20"/>
        </w:rPr>
        <w:t>Market Risk and Market Interest Ris</w:t>
      </w:r>
      <w:r>
        <w:rPr>
          <w:b/>
          <w:bCs/>
          <w:i/>
          <w:iCs/>
          <w:sz w:val="20"/>
          <w:szCs w:val="20"/>
        </w:rPr>
        <w:t>k</w:t>
      </w:r>
    </w:p>
    <w:p w14:paraId="2ED36E77" w14:textId="77777777" w:rsidR="00000000" w:rsidRDefault="003C49E9">
      <w:pPr>
        <w:pStyle w:val="a3"/>
        <w:spacing w:before="240" w:beforeAutospacing="0" w:after="0" w:afterAutospacing="0"/>
        <w:ind w:firstLine="555"/>
        <w:rPr>
          <w:sz w:val="20"/>
          <w:szCs w:val="20"/>
        </w:rPr>
      </w:pPr>
      <w:r>
        <w:rPr>
          <w:sz w:val="20"/>
          <w:szCs w:val="20"/>
        </w:rPr>
        <w:t>In June 2020, we issued $460 million aggregate principal amount of convertible senior notes due June 1,</w:t>
      </w:r>
      <w:r>
        <w:rPr>
          <w:sz w:val="20"/>
          <w:szCs w:val="20"/>
        </w:rPr>
        <w:t xml:space="preserve"> 2025, of which $459.1 million remains outstanding as of June 30, 2022. The fair value of our convertible senior notes is subject to interest rate risk, market risk and other factors due to the convertible feature. The fair value of the convertible senior </w:t>
      </w:r>
      <w:r>
        <w:rPr>
          <w:sz w:val="20"/>
          <w:szCs w:val="20"/>
        </w:rPr>
        <w:t>notes will generally increase as our common stock price increases and will generally decrease as our common stock price declines in value. The interest and market value changes affect the fair value of our convertible senior notes but do not impact our fin</w:t>
      </w:r>
      <w:r>
        <w:rPr>
          <w:sz w:val="20"/>
          <w:szCs w:val="20"/>
        </w:rPr>
        <w:t>ancial position, cash flows or results of operations due to the fixed nature of the debt obligation. Generally, the fair values of our senior convertible notes will increase as interest rates fall and decrease as interest rates rise. Additionally, we carry</w:t>
      </w:r>
      <w:r>
        <w:rPr>
          <w:sz w:val="20"/>
          <w:szCs w:val="20"/>
        </w:rPr>
        <w:t xml:space="preserve"> the convertible senior notes at face value less unamortized discount on our balance sheet, and we present the fair value for required disclosure purposes only. The Federal Reserve recently raised interest rates in an effort to combat high inflation and ma</w:t>
      </w:r>
      <w:r>
        <w:rPr>
          <w:sz w:val="20"/>
          <w:szCs w:val="20"/>
        </w:rPr>
        <w:t>y continue to do so in the future. There continues to be uncertainty in the changing market and economic conditions, including the possibility or additional measures that could be taken by the Federal Reserve and other government agencies, related to conce</w:t>
      </w:r>
      <w:r>
        <w:rPr>
          <w:sz w:val="20"/>
          <w:szCs w:val="20"/>
        </w:rPr>
        <w:t>rns over inflation risk</w:t>
      </w:r>
      <w:r>
        <w:rPr>
          <w:sz w:val="20"/>
          <w:szCs w:val="20"/>
        </w:rPr>
        <w:t>.</w:t>
      </w:r>
      <w:r>
        <w:rPr>
          <w:sz w:val="20"/>
          <w:szCs w:val="20"/>
        </w:rPr>
        <w:t xml:space="preserve"> </w:t>
      </w:r>
    </w:p>
    <w:p w14:paraId="004199D6" w14:textId="77777777" w:rsidR="00000000" w:rsidRDefault="003C49E9">
      <w:pPr>
        <w:pStyle w:val="a3"/>
        <w:spacing w:before="240" w:beforeAutospacing="0" w:after="0" w:afterAutospacing="0"/>
        <w:ind w:firstLine="592"/>
        <w:rPr>
          <w:sz w:val="20"/>
          <w:szCs w:val="20"/>
        </w:rPr>
      </w:pPr>
      <w:r>
        <w:rPr>
          <w:sz w:val="20"/>
          <w:szCs w:val="20"/>
        </w:rPr>
        <w:t xml:space="preserve">The table below provides a sensitivity analysis of hypothetical 10% changes of our stock price as of June 30, 2022 and the estimated impact on the fair value of the 2025 Notes. The selected scenarios are not predictions of future </w:t>
      </w:r>
      <w:r>
        <w:rPr>
          <w:sz w:val="20"/>
          <w:szCs w:val="20"/>
        </w:rPr>
        <w:t>events, but rather are intended to illustrate the effect such an event may have on the fair value of the 2025 Notes</w:t>
      </w:r>
      <w:r>
        <w:rPr>
          <w:sz w:val="20"/>
          <w:szCs w:val="20"/>
        </w:rPr>
        <w:t>.</w:t>
      </w:r>
    </w:p>
    <w:p w14:paraId="6FB7489B" w14:textId="77777777" w:rsidR="00000000" w:rsidRDefault="003C49E9">
      <w:pPr>
        <w:pStyle w:val="a3"/>
        <w:spacing w:before="240" w:beforeAutospacing="0" w:after="0" w:afterAutospacing="0"/>
        <w:ind w:firstLine="592"/>
        <w:rPr>
          <w:sz w:val="20"/>
          <w:szCs w:val="20"/>
        </w:rPr>
      </w:pPr>
      <w:r>
        <w:rPr>
          <w:b/>
          <w:bCs/>
          <w:sz w:val="20"/>
          <w:szCs w:val="20"/>
        </w:rPr>
        <w:t>2025 Note</w:t>
      </w:r>
      <w:r>
        <w:rPr>
          <w:b/>
          <w:b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70"/>
        <w:gridCol w:w="666"/>
        <w:gridCol w:w="110"/>
        <w:gridCol w:w="160"/>
        <w:gridCol w:w="845"/>
        <w:gridCol w:w="110"/>
        <w:gridCol w:w="110"/>
        <w:gridCol w:w="160"/>
        <w:gridCol w:w="1141"/>
        <w:gridCol w:w="127"/>
        <w:gridCol w:w="110"/>
        <w:gridCol w:w="111"/>
        <w:gridCol w:w="1246"/>
        <w:gridCol w:w="309"/>
      </w:tblGrid>
      <w:tr w:rsidR="00000000" w14:paraId="08709C40" w14:textId="77777777">
        <w:trPr>
          <w:tblCellSpacing w:w="15" w:type="dxa"/>
        </w:trPr>
        <w:tc>
          <w:tcPr>
            <w:tcW w:w="1637" w:type="pct"/>
            <w:vAlign w:val="center"/>
            <w:hideMark/>
          </w:tcPr>
          <w:p w14:paraId="65696668" w14:textId="77777777" w:rsidR="00000000" w:rsidRDefault="003C49E9">
            <w:pPr>
              <w:rPr>
                <w:sz w:val="20"/>
                <w:szCs w:val="20"/>
              </w:rPr>
            </w:pPr>
          </w:p>
        </w:tc>
        <w:tc>
          <w:tcPr>
            <w:tcW w:w="507" w:type="pct"/>
            <w:vAlign w:val="center"/>
            <w:hideMark/>
          </w:tcPr>
          <w:p w14:paraId="178A9500" w14:textId="77777777" w:rsidR="00000000" w:rsidRDefault="003C49E9">
            <w:pPr>
              <w:rPr>
                <w:rFonts w:eastAsia="Times New Roman"/>
                <w:sz w:val="20"/>
                <w:szCs w:val="20"/>
              </w:rPr>
            </w:pPr>
          </w:p>
        </w:tc>
        <w:tc>
          <w:tcPr>
            <w:tcW w:w="55" w:type="pct"/>
            <w:vAlign w:val="center"/>
            <w:hideMark/>
          </w:tcPr>
          <w:p w14:paraId="3A82E616" w14:textId="77777777" w:rsidR="00000000" w:rsidRDefault="003C49E9">
            <w:pPr>
              <w:rPr>
                <w:rFonts w:eastAsia="Times New Roman"/>
                <w:sz w:val="20"/>
                <w:szCs w:val="20"/>
              </w:rPr>
            </w:pPr>
          </w:p>
        </w:tc>
        <w:tc>
          <w:tcPr>
            <w:tcW w:w="50" w:type="pct"/>
            <w:vAlign w:val="center"/>
            <w:hideMark/>
          </w:tcPr>
          <w:p w14:paraId="4AC19F9A" w14:textId="77777777" w:rsidR="00000000" w:rsidRDefault="003C49E9">
            <w:pPr>
              <w:rPr>
                <w:rFonts w:eastAsia="Times New Roman"/>
                <w:sz w:val="20"/>
                <w:szCs w:val="20"/>
              </w:rPr>
            </w:pPr>
          </w:p>
        </w:tc>
        <w:tc>
          <w:tcPr>
            <w:tcW w:w="634" w:type="pct"/>
            <w:vAlign w:val="center"/>
            <w:hideMark/>
          </w:tcPr>
          <w:p w14:paraId="0114A6F9" w14:textId="77777777" w:rsidR="00000000" w:rsidRDefault="003C49E9">
            <w:pPr>
              <w:rPr>
                <w:rFonts w:eastAsia="Times New Roman"/>
                <w:sz w:val="20"/>
                <w:szCs w:val="20"/>
              </w:rPr>
            </w:pPr>
          </w:p>
        </w:tc>
        <w:tc>
          <w:tcPr>
            <w:tcW w:w="50" w:type="pct"/>
            <w:vAlign w:val="center"/>
            <w:hideMark/>
          </w:tcPr>
          <w:p w14:paraId="105651A3" w14:textId="77777777" w:rsidR="00000000" w:rsidRDefault="003C49E9">
            <w:pPr>
              <w:rPr>
                <w:rFonts w:eastAsia="Times New Roman"/>
                <w:sz w:val="20"/>
                <w:szCs w:val="20"/>
              </w:rPr>
            </w:pPr>
          </w:p>
        </w:tc>
        <w:tc>
          <w:tcPr>
            <w:tcW w:w="55" w:type="pct"/>
            <w:vAlign w:val="center"/>
            <w:hideMark/>
          </w:tcPr>
          <w:p w14:paraId="5A869003" w14:textId="77777777" w:rsidR="00000000" w:rsidRDefault="003C49E9">
            <w:pPr>
              <w:rPr>
                <w:rFonts w:eastAsia="Times New Roman"/>
                <w:sz w:val="20"/>
                <w:szCs w:val="20"/>
              </w:rPr>
            </w:pPr>
          </w:p>
        </w:tc>
        <w:tc>
          <w:tcPr>
            <w:tcW w:w="50" w:type="pct"/>
            <w:vAlign w:val="center"/>
            <w:hideMark/>
          </w:tcPr>
          <w:p w14:paraId="774FB876" w14:textId="77777777" w:rsidR="00000000" w:rsidRDefault="003C49E9">
            <w:pPr>
              <w:rPr>
                <w:rFonts w:eastAsia="Times New Roman"/>
                <w:sz w:val="20"/>
                <w:szCs w:val="20"/>
              </w:rPr>
            </w:pPr>
          </w:p>
        </w:tc>
        <w:tc>
          <w:tcPr>
            <w:tcW w:w="843" w:type="pct"/>
            <w:vAlign w:val="center"/>
            <w:hideMark/>
          </w:tcPr>
          <w:p w14:paraId="486488A5" w14:textId="77777777" w:rsidR="00000000" w:rsidRDefault="003C49E9">
            <w:pPr>
              <w:rPr>
                <w:rFonts w:eastAsia="Times New Roman"/>
                <w:sz w:val="20"/>
                <w:szCs w:val="20"/>
              </w:rPr>
            </w:pPr>
          </w:p>
        </w:tc>
        <w:tc>
          <w:tcPr>
            <w:tcW w:w="50" w:type="pct"/>
            <w:vAlign w:val="center"/>
            <w:hideMark/>
          </w:tcPr>
          <w:p w14:paraId="53DAEC7F" w14:textId="77777777" w:rsidR="00000000" w:rsidRDefault="003C49E9">
            <w:pPr>
              <w:rPr>
                <w:rFonts w:eastAsia="Times New Roman"/>
                <w:sz w:val="20"/>
                <w:szCs w:val="20"/>
              </w:rPr>
            </w:pPr>
          </w:p>
        </w:tc>
        <w:tc>
          <w:tcPr>
            <w:tcW w:w="48" w:type="pct"/>
            <w:vAlign w:val="center"/>
            <w:hideMark/>
          </w:tcPr>
          <w:p w14:paraId="10AF93B7" w14:textId="77777777" w:rsidR="00000000" w:rsidRDefault="003C49E9">
            <w:pPr>
              <w:rPr>
                <w:rFonts w:eastAsia="Times New Roman"/>
                <w:sz w:val="20"/>
                <w:szCs w:val="20"/>
              </w:rPr>
            </w:pPr>
          </w:p>
        </w:tc>
        <w:tc>
          <w:tcPr>
            <w:tcW w:w="50" w:type="pct"/>
            <w:vAlign w:val="center"/>
            <w:hideMark/>
          </w:tcPr>
          <w:p w14:paraId="3AC28336" w14:textId="77777777" w:rsidR="00000000" w:rsidRDefault="003C49E9">
            <w:pPr>
              <w:rPr>
                <w:rFonts w:eastAsia="Times New Roman"/>
                <w:sz w:val="20"/>
                <w:szCs w:val="20"/>
              </w:rPr>
            </w:pPr>
          </w:p>
        </w:tc>
        <w:tc>
          <w:tcPr>
            <w:tcW w:w="918" w:type="pct"/>
            <w:vAlign w:val="center"/>
            <w:hideMark/>
          </w:tcPr>
          <w:p w14:paraId="53307D24" w14:textId="77777777" w:rsidR="00000000" w:rsidRDefault="003C49E9">
            <w:pPr>
              <w:rPr>
                <w:rFonts w:eastAsia="Times New Roman"/>
                <w:sz w:val="20"/>
                <w:szCs w:val="20"/>
              </w:rPr>
            </w:pPr>
          </w:p>
        </w:tc>
        <w:tc>
          <w:tcPr>
            <w:tcW w:w="50" w:type="pct"/>
            <w:vAlign w:val="center"/>
            <w:hideMark/>
          </w:tcPr>
          <w:p w14:paraId="063DB5B5" w14:textId="77777777" w:rsidR="00000000" w:rsidRDefault="003C49E9">
            <w:pPr>
              <w:rPr>
                <w:rFonts w:eastAsia="Times New Roman"/>
                <w:sz w:val="20"/>
                <w:szCs w:val="20"/>
              </w:rPr>
            </w:pPr>
          </w:p>
        </w:tc>
      </w:tr>
      <w:tr w:rsidR="00000000" w14:paraId="706AFE07" w14:textId="77777777">
        <w:trPr>
          <w:trHeight w:val="180"/>
          <w:tblCellSpacing w:w="15" w:type="dxa"/>
        </w:trPr>
        <w:tc>
          <w:tcPr>
            <w:tcW w:w="0" w:type="auto"/>
            <w:gridSpan w:val="2"/>
            <w:vAlign w:val="bottom"/>
            <w:hideMark/>
          </w:tcPr>
          <w:p w14:paraId="6326FF44" w14:textId="77777777" w:rsidR="00000000" w:rsidRDefault="003C49E9">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14:paraId="6A1BC07F" w14:textId="77777777" w:rsidR="00000000" w:rsidRDefault="003C49E9">
            <w:pPr>
              <w:pStyle w:val="a3"/>
              <w:spacing w:before="0" w:beforeAutospacing="0" w:after="0" w:afterAutospacing="0"/>
              <w:jc w:val="right"/>
              <w:rPr>
                <w:sz w:val="18"/>
                <w:szCs w:val="18"/>
              </w:rPr>
            </w:pPr>
            <w:r>
              <w:rPr>
                <w:sz w:val="18"/>
                <w:szCs w:val="18"/>
              </w:rPr>
              <w:t> </w:t>
            </w:r>
          </w:p>
        </w:tc>
        <w:tc>
          <w:tcPr>
            <w:tcW w:w="0" w:type="auto"/>
            <w:gridSpan w:val="2"/>
            <w:vAlign w:val="bottom"/>
            <w:hideMark/>
          </w:tcPr>
          <w:p w14:paraId="45B4BE73" w14:textId="77777777" w:rsidR="00000000" w:rsidRDefault="003C49E9">
            <w:pPr>
              <w:pStyle w:val="a3"/>
              <w:spacing w:before="0" w:beforeAutospacing="0" w:after="0" w:afterAutospacing="0"/>
              <w:jc w:val="center"/>
              <w:rPr>
                <w:sz w:val="18"/>
                <w:szCs w:val="18"/>
              </w:rPr>
            </w:pPr>
            <w:r>
              <w:rPr>
                <w:b/>
                <w:bCs/>
                <w:sz w:val="18"/>
                <w:szCs w:val="18"/>
              </w:rPr>
              <w:t>Fair valu</w:t>
            </w:r>
            <w:r>
              <w:rPr>
                <w:b/>
                <w:bCs/>
                <w:sz w:val="18"/>
                <w:szCs w:val="18"/>
              </w:rPr>
              <w:t>e</w:t>
            </w:r>
          </w:p>
        </w:tc>
        <w:tc>
          <w:tcPr>
            <w:tcW w:w="0" w:type="auto"/>
            <w:vAlign w:val="bottom"/>
            <w:hideMark/>
          </w:tcPr>
          <w:p w14:paraId="41FB1459" w14:textId="77777777" w:rsidR="00000000" w:rsidRDefault="003C49E9">
            <w:pPr>
              <w:pStyle w:val="a3"/>
              <w:spacing w:before="0" w:beforeAutospacing="0" w:after="0" w:afterAutospacing="0"/>
              <w:jc w:val="center"/>
              <w:rPr>
                <w:sz w:val="18"/>
                <w:szCs w:val="18"/>
              </w:rPr>
            </w:pPr>
            <w:r>
              <w:rPr>
                <w:sz w:val="18"/>
                <w:szCs w:val="18"/>
              </w:rPr>
              <w:t> </w:t>
            </w:r>
          </w:p>
        </w:tc>
        <w:tc>
          <w:tcPr>
            <w:tcW w:w="0" w:type="auto"/>
            <w:vAlign w:val="bottom"/>
            <w:hideMark/>
          </w:tcPr>
          <w:p w14:paraId="58487A9D"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6F94C288" w14:textId="77777777" w:rsidR="00000000" w:rsidRDefault="003C49E9">
            <w:pPr>
              <w:pStyle w:val="a3"/>
              <w:spacing w:before="0" w:beforeAutospacing="0" w:after="0" w:afterAutospacing="0"/>
              <w:jc w:val="center"/>
              <w:rPr>
                <w:sz w:val="18"/>
                <w:szCs w:val="18"/>
              </w:rPr>
            </w:pPr>
            <w:r>
              <w:rPr>
                <w:b/>
                <w:bCs/>
                <w:sz w:val="18"/>
                <w:szCs w:val="18"/>
              </w:rPr>
              <w:t>Estimated change in</w:t>
            </w:r>
            <w:r>
              <w:rPr>
                <w:b/>
                <w:bCs/>
                <w:sz w:val="18"/>
                <w:szCs w:val="18"/>
              </w:rPr>
              <w:br/>
              <w:t>fair valu</w:t>
            </w:r>
            <w:r>
              <w:rPr>
                <w:b/>
                <w:bCs/>
                <w:sz w:val="18"/>
                <w:szCs w:val="18"/>
              </w:rPr>
              <w:t>e</w:t>
            </w:r>
          </w:p>
        </w:tc>
        <w:tc>
          <w:tcPr>
            <w:tcW w:w="0" w:type="auto"/>
            <w:vAlign w:val="bottom"/>
            <w:hideMark/>
          </w:tcPr>
          <w:p w14:paraId="38F7D205" w14:textId="77777777" w:rsidR="00000000" w:rsidRDefault="003C49E9">
            <w:pPr>
              <w:pStyle w:val="a3"/>
              <w:spacing w:before="0" w:beforeAutospacing="0" w:after="0" w:afterAutospacing="0"/>
              <w:jc w:val="center"/>
              <w:rPr>
                <w:sz w:val="18"/>
                <w:szCs w:val="18"/>
              </w:rPr>
            </w:pPr>
            <w:r>
              <w:rPr>
                <w:sz w:val="18"/>
                <w:szCs w:val="18"/>
              </w:rPr>
              <w:t> </w:t>
            </w:r>
          </w:p>
        </w:tc>
        <w:tc>
          <w:tcPr>
            <w:tcW w:w="0" w:type="auto"/>
            <w:vAlign w:val="bottom"/>
            <w:hideMark/>
          </w:tcPr>
          <w:p w14:paraId="1640D1FA" w14:textId="77777777" w:rsidR="00000000" w:rsidRDefault="003C49E9">
            <w:pPr>
              <w:pStyle w:val="a3"/>
              <w:spacing w:before="0" w:beforeAutospacing="0" w:after="0" w:afterAutospacing="0"/>
              <w:rPr>
                <w:sz w:val="18"/>
                <w:szCs w:val="18"/>
              </w:rPr>
            </w:pPr>
            <w:r>
              <w:rPr>
                <w:sz w:val="18"/>
                <w:szCs w:val="18"/>
              </w:rPr>
              <w:t> </w:t>
            </w:r>
          </w:p>
        </w:tc>
        <w:tc>
          <w:tcPr>
            <w:tcW w:w="0" w:type="auto"/>
            <w:gridSpan w:val="2"/>
            <w:vAlign w:val="bottom"/>
            <w:hideMark/>
          </w:tcPr>
          <w:p w14:paraId="4FC41439" w14:textId="77777777" w:rsidR="00000000" w:rsidRDefault="003C49E9">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14:paraId="3048B596" w14:textId="77777777" w:rsidR="00000000" w:rsidRDefault="003C49E9">
            <w:pPr>
              <w:pStyle w:val="a3"/>
              <w:spacing w:before="0" w:beforeAutospacing="0" w:after="0" w:afterAutospacing="0"/>
              <w:jc w:val="center"/>
              <w:rPr>
                <w:sz w:val="18"/>
                <w:szCs w:val="18"/>
              </w:rPr>
            </w:pPr>
            <w:r>
              <w:rPr>
                <w:sz w:val="18"/>
                <w:szCs w:val="18"/>
              </w:rPr>
              <w:t> </w:t>
            </w:r>
          </w:p>
        </w:tc>
      </w:tr>
      <w:tr w:rsidR="00000000" w14:paraId="3899FB6E" w14:textId="77777777">
        <w:trPr>
          <w:trHeight w:val="200"/>
          <w:tblCellSpacing w:w="15" w:type="dxa"/>
        </w:trPr>
        <w:tc>
          <w:tcPr>
            <w:tcW w:w="0" w:type="auto"/>
            <w:vAlign w:val="bottom"/>
            <w:hideMark/>
          </w:tcPr>
          <w:p w14:paraId="53A037C5" w14:textId="77777777" w:rsidR="00000000" w:rsidRDefault="003C49E9">
            <w:pPr>
              <w:pStyle w:val="a3"/>
              <w:spacing w:before="0" w:beforeAutospacing="0" w:after="0" w:afterAutospacing="0"/>
              <w:rPr>
                <w:sz w:val="18"/>
                <w:szCs w:val="18"/>
              </w:rPr>
            </w:pPr>
            <w:r>
              <w:rPr>
                <w:sz w:val="18"/>
                <w:szCs w:val="18"/>
              </w:rPr>
              <w:t>10% increas</w:t>
            </w:r>
            <w:r>
              <w:rPr>
                <w:sz w:val="18"/>
                <w:szCs w:val="18"/>
              </w:rPr>
              <w:t>e</w:t>
            </w:r>
          </w:p>
        </w:tc>
        <w:tc>
          <w:tcPr>
            <w:tcW w:w="0" w:type="auto"/>
            <w:vAlign w:val="bottom"/>
            <w:hideMark/>
          </w:tcPr>
          <w:p w14:paraId="448869B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04B7F12"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2B56B23A"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80028FF" w14:textId="77777777" w:rsidR="00000000" w:rsidRDefault="003C49E9">
            <w:pPr>
              <w:pStyle w:val="a3"/>
              <w:spacing w:before="0" w:beforeAutospacing="0" w:after="0" w:afterAutospacing="0"/>
              <w:jc w:val="right"/>
              <w:rPr>
                <w:sz w:val="20"/>
                <w:szCs w:val="20"/>
              </w:rPr>
            </w:pPr>
            <w:r>
              <w:rPr>
                <w:sz w:val="20"/>
                <w:szCs w:val="20"/>
              </w:rPr>
              <w:t>625,40</w:t>
            </w:r>
            <w:r>
              <w:rPr>
                <w:sz w:val="20"/>
                <w:szCs w:val="20"/>
              </w:rPr>
              <w:t>9</w:t>
            </w:r>
          </w:p>
        </w:tc>
        <w:tc>
          <w:tcPr>
            <w:tcW w:w="0" w:type="auto"/>
            <w:noWrap/>
            <w:vAlign w:val="bottom"/>
            <w:hideMark/>
          </w:tcPr>
          <w:p w14:paraId="793194E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E295832"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13297C1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39893C11" w14:textId="77777777" w:rsidR="00000000" w:rsidRDefault="003C49E9">
            <w:pPr>
              <w:pStyle w:val="a3"/>
              <w:spacing w:before="0" w:beforeAutospacing="0" w:after="0" w:afterAutospacing="0"/>
              <w:jc w:val="right"/>
              <w:rPr>
                <w:sz w:val="20"/>
                <w:szCs w:val="20"/>
              </w:rPr>
            </w:pPr>
            <w:r>
              <w:rPr>
                <w:sz w:val="20"/>
                <w:szCs w:val="20"/>
              </w:rPr>
              <w:t>19,23</w:t>
            </w:r>
            <w:r>
              <w:rPr>
                <w:sz w:val="20"/>
                <w:szCs w:val="20"/>
              </w:rPr>
              <w:t>1</w:t>
            </w:r>
          </w:p>
        </w:tc>
        <w:tc>
          <w:tcPr>
            <w:tcW w:w="0" w:type="auto"/>
            <w:noWrap/>
            <w:vAlign w:val="bottom"/>
            <w:hideMark/>
          </w:tcPr>
          <w:p w14:paraId="60D2323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ADE34B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399A03B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648C4649" w14:textId="77777777" w:rsidR="00000000" w:rsidRDefault="003C49E9">
            <w:pPr>
              <w:pStyle w:val="a3"/>
              <w:spacing w:before="0" w:beforeAutospacing="0" w:after="0" w:afterAutospacing="0"/>
              <w:jc w:val="right"/>
              <w:rPr>
                <w:sz w:val="20"/>
                <w:szCs w:val="20"/>
              </w:rPr>
            </w:pPr>
            <w:r>
              <w:rPr>
                <w:sz w:val="20"/>
                <w:szCs w:val="20"/>
              </w:rPr>
              <w:t>3</w:t>
            </w:r>
          </w:p>
        </w:tc>
        <w:tc>
          <w:tcPr>
            <w:tcW w:w="0" w:type="auto"/>
            <w:noWrap/>
            <w:vAlign w:val="bottom"/>
            <w:hideMark/>
          </w:tcPr>
          <w:p w14:paraId="74714611" w14:textId="77777777" w:rsidR="00000000" w:rsidRDefault="003C49E9">
            <w:pPr>
              <w:pStyle w:val="a3"/>
              <w:spacing w:before="0" w:beforeAutospacing="0" w:after="0" w:afterAutospacing="0"/>
              <w:rPr>
                <w:sz w:val="20"/>
                <w:szCs w:val="20"/>
              </w:rPr>
            </w:pPr>
            <w:r>
              <w:rPr>
                <w:sz w:val="20"/>
                <w:szCs w:val="20"/>
              </w:rPr>
              <w:t>%</w:t>
            </w:r>
          </w:p>
        </w:tc>
      </w:tr>
      <w:tr w:rsidR="00000000" w14:paraId="7C6F286C" w14:textId="77777777">
        <w:trPr>
          <w:trHeight w:val="200"/>
          <w:tblCellSpacing w:w="15" w:type="dxa"/>
        </w:trPr>
        <w:tc>
          <w:tcPr>
            <w:tcW w:w="0" w:type="auto"/>
            <w:vAlign w:val="bottom"/>
            <w:hideMark/>
          </w:tcPr>
          <w:p w14:paraId="064F6B2E" w14:textId="77777777" w:rsidR="00000000" w:rsidRDefault="003C49E9">
            <w:pPr>
              <w:pStyle w:val="a3"/>
              <w:spacing w:before="0" w:beforeAutospacing="0" w:after="0" w:afterAutospacing="0"/>
              <w:rPr>
                <w:sz w:val="18"/>
                <w:szCs w:val="18"/>
              </w:rPr>
            </w:pPr>
            <w:r>
              <w:rPr>
                <w:sz w:val="18"/>
                <w:szCs w:val="18"/>
              </w:rPr>
              <w:t>No chang</w:t>
            </w:r>
            <w:r>
              <w:rPr>
                <w:sz w:val="18"/>
                <w:szCs w:val="18"/>
              </w:rPr>
              <w:t>e</w:t>
            </w:r>
          </w:p>
        </w:tc>
        <w:tc>
          <w:tcPr>
            <w:tcW w:w="0" w:type="auto"/>
            <w:vAlign w:val="bottom"/>
            <w:hideMark/>
          </w:tcPr>
          <w:p w14:paraId="2FCF6A6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330B439"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3E7ED642"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22EE7CDE" w14:textId="77777777" w:rsidR="00000000" w:rsidRDefault="003C49E9">
            <w:pPr>
              <w:pStyle w:val="a3"/>
              <w:spacing w:before="0" w:beforeAutospacing="0" w:after="0" w:afterAutospacing="0"/>
              <w:jc w:val="right"/>
              <w:rPr>
                <w:sz w:val="20"/>
                <w:szCs w:val="20"/>
              </w:rPr>
            </w:pPr>
            <w:r>
              <w:rPr>
                <w:sz w:val="20"/>
                <w:szCs w:val="20"/>
              </w:rPr>
              <w:t>606,17</w:t>
            </w:r>
            <w:r>
              <w:rPr>
                <w:sz w:val="20"/>
                <w:szCs w:val="20"/>
              </w:rPr>
              <w:t>8</w:t>
            </w:r>
          </w:p>
        </w:tc>
        <w:tc>
          <w:tcPr>
            <w:tcW w:w="0" w:type="auto"/>
            <w:noWrap/>
            <w:vAlign w:val="bottom"/>
            <w:hideMark/>
          </w:tcPr>
          <w:p w14:paraId="323910C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245DB71"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5D005185"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044427D"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05B7BA30"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6E71D1"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4C114979"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3C8C2F" w14:textId="77777777" w:rsidR="00000000" w:rsidRDefault="003C49E9">
            <w:pPr>
              <w:pStyle w:val="a3"/>
              <w:spacing w:before="0" w:beforeAutospacing="0" w:after="0" w:afterAutospacing="0"/>
              <w:jc w:val="right"/>
              <w:rPr>
                <w:sz w:val="20"/>
                <w:szCs w:val="20"/>
              </w:rPr>
            </w:pPr>
            <w:r>
              <w:rPr>
                <w:sz w:val="20"/>
                <w:szCs w:val="20"/>
              </w:rPr>
              <w:t>—</w:t>
            </w:r>
          </w:p>
        </w:tc>
        <w:tc>
          <w:tcPr>
            <w:tcW w:w="0" w:type="auto"/>
            <w:noWrap/>
            <w:vAlign w:val="bottom"/>
            <w:hideMark/>
          </w:tcPr>
          <w:p w14:paraId="03DAD021" w14:textId="77777777" w:rsidR="00000000" w:rsidRDefault="003C49E9">
            <w:pPr>
              <w:pStyle w:val="a3"/>
              <w:spacing w:before="0" w:beforeAutospacing="0" w:after="0" w:afterAutospacing="0"/>
              <w:rPr>
                <w:sz w:val="20"/>
                <w:szCs w:val="20"/>
              </w:rPr>
            </w:pPr>
            <w:r>
              <w:rPr>
                <w:sz w:val="20"/>
                <w:szCs w:val="20"/>
              </w:rPr>
              <w:t> </w:t>
            </w:r>
          </w:p>
        </w:tc>
      </w:tr>
      <w:tr w:rsidR="00000000" w14:paraId="643D3F89" w14:textId="77777777">
        <w:trPr>
          <w:trHeight w:val="200"/>
          <w:tblCellSpacing w:w="15" w:type="dxa"/>
        </w:trPr>
        <w:tc>
          <w:tcPr>
            <w:tcW w:w="0" w:type="auto"/>
            <w:vAlign w:val="bottom"/>
            <w:hideMark/>
          </w:tcPr>
          <w:p w14:paraId="4F6EBE68" w14:textId="77777777" w:rsidR="00000000" w:rsidRDefault="003C49E9">
            <w:pPr>
              <w:pStyle w:val="a3"/>
              <w:spacing w:before="0" w:beforeAutospacing="0" w:after="0" w:afterAutospacing="0"/>
              <w:rPr>
                <w:sz w:val="18"/>
                <w:szCs w:val="18"/>
              </w:rPr>
            </w:pPr>
            <w:r>
              <w:rPr>
                <w:sz w:val="18"/>
                <w:szCs w:val="18"/>
              </w:rPr>
              <w:t>10% decreas</w:t>
            </w:r>
            <w:r>
              <w:rPr>
                <w:sz w:val="18"/>
                <w:szCs w:val="18"/>
              </w:rPr>
              <w:t>e</w:t>
            </w:r>
          </w:p>
        </w:tc>
        <w:tc>
          <w:tcPr>
            <w:tcW w:w="0" w:type="auto"/>
            <w:vAlign w:val="bottom"/>
            <w:hideMark/>
          </w:tcPr>
          <w:p w14:paraId="668B695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54BBA5" w14:textId="77777777" w:rsidR="00000000" w:rsidRDefault="003C49E9">
            <w:pPr>
              <w:pStyle w:val="a3"/>
              <w:spacing w:before="0" w:beforeAutospacing="0" w:after="0" w:afterAutospacing="0"/>
              <w:jc w:val="right"/>
              <w:rPr>
                <w:sz w:val="20"/>
                <w:szCs w:val="20"/>
              </w:rPr>
            </w:pPr>
            <w:r>
              <w:rPr>
                <w:sz w:val="20"/>
                <w:szCs w:val="20"/>
              </w:rPr>
              <w:t> </w:t>
            </w:r>
          </w:p>
        </w:tc>
        <w:tc>
          <w:tcPr>
            <w:tcW w:w="0" w:type="auto"/>
            <w:noWrap/>
            <w:vAlign w:val="bottom"/>
            <w:hideMark/>
          </w:tcPr>
          <w:p w14:paraId="06AF73A6"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13F45E74" w14:textId="77777777" w:rsidR="00000000" w:rsidRDefault="003C49E9">
            <w:pPr>
              <w:pStyle w:val="a3"/>
              <w:spacing w:before="0" w:beforeAutospacing="0" w:after="0" w:afterAutospacing="0"/>
              <w:jc w:val="right"/>
              <w:rPr>
                <w:sz w:val="20"/>
                <w:szCs w:val="20"/>
              </w:rPr>
            </w:pPr>
            <w:r>
              <w:rPr>
                <w:sz w:val="20"/>
                <w:szCs w:val="20"/>
              </w:rPr>
              <w:t>549,66</w:t>
            </w:r>
            <w:r>
              <w:rPr>
                <w:sz w:val="20"/>
                <w:szCs w:val="20"/>
              </w:rPr>
              <w:t>0</w:t>
            </w:r>
          </w:p>
        </w:tc>
        <w:tc>
          <w:tcPr>
            <w:tcW w:w="0" w:type="auto"/>
            <w:noWrap/>
            <w:vAlign w:val="bottom"/>
            <w:hideMark/>
          </w:tcPr>
          <w:p w14:paraId="20D855F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667C08D"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75529B70"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7D221D0E" w14:textId="77777777" w:rsidR="00000000" w:rsidRDefault="003C49E9">
            <w:pPr>
              <w:pStyle w:val="a3"/>
              <w:spacing w:before="0" w:beforeAutospacing="0" w:after="0" w:afterAutospacing="0"/>
              <w:jc w:val="right"/>
              <w:rPr>
                <w:sz w:val="20"/>
                <w:szCs w:val="20"/>
              </w:rPr>
            </w:pPr>
            <w:r>
              <w:rPr>
                <w:sz w:val="20"/>
                <w:szCs w:val="20"/>
              </w:rPr>
              <w:t>(56,51</w:t>
            </w:r>
            <w:r>
              <w:rPr>
                <w:sz w:val="20"/>
                <w:szCs w:val="20"/>
              </w:rPr>
              <w:t>8</w:t>
            </w:r>
          </w:p>
        </w:tc>
        <w:tc>
          <w:tcPr>
            <w:tcW w:w="0" w:type="auto"/>
            <w:noWrap/>
            <w:vAlign w:val="bottom"/>
            <w:hideMark/>
          </w:tcPr>
          <w:p w14:paraId="20C1AE94" w14:textId="77777777" w:rsidR="00000000" w:rsidRDefault="003C49E9">
            <w:pPr>
              <w:pStyle w:val="a3"/>
              <w:spacing w:before="0" w:beforeAutospacing="0" w:after="0" w:afterAutospacing="0"/>
              <w:rPr>
                <w:sz w:val="20"/>
                <w:szCs w:val="20"/>
              </w:rPr>
            </w:pPr>
            <w:r>
              <w:rPr>
                <w:sz w:val="20"/>
                <w:szCs w:val="20"/>
              </w:rPr>
              <w:t>)</w:t>
            </w:r>
          </w:p>
        </w:tc>
        <w:tc>
          <w:tcPr>
            <w:tcW w:w="0" w:type="auto"/>
            <w:vAlign w:val="bottom"/>
            <w:hideMark/>
          </w:tcPr>
          <w:p w14:paraId="41532D6C" w14:textId="77777777" w:rsidR="00000000" w:rsidRDefault="003C49E9">
            <w:pPr>
              <w:pStyle w:val="a3"/>
              <w:spacing w:before="0" w:beforeAutospacing="0" w:after="0" w:afterAutospacing="0"/>
              <w:rPr>
                <w:sz w:val="20"/>
                <w:szCs w:val="20"/>
              </w:rPr>
            </w:pPr>
            <w:r>
              <w:rPr>
                <w:sz w:val="20"/>
                <w:szCs w:val="20"/>
              </w:rPr>
              <w:t> </w:t>
            </w:r>
          </w:p>
        </w:tc>
        <w:tc>
          <w:tcPr>
            <w:tcW w:w="0" w:type="auto"/>
            <w:noWrap/>
            <w:vAlign w:val="bottom"/>
            <w:hideMark/>
          </w:tcPr>
          <w:p w14:paraId="2F0250E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6E70232" w14:textId="77777777" w:rsidR="00000000" w:rsidRDefault="003C49E9">
            <w:pPr>
              <w:pStyle w:val="a3"/>
              <w:spacing w:before="0" w:beforeAutospacing="0" w:after="0" w:afterAutospacing="0"/>
              <w:jc w:val="right"/>
              <w:rPr>
                <w:sz w:val="20"/>
                <w:szCs w:val="20"/>
              </w:rPr>
            </w:pPr>
            <w:r>
              <w:rPr>
                <w:sz w:val="20"/>
                <w:szCs w:val="20"/>
              </w:rPr>
              <w:t>(</w:t>
            </w:r>
            <w:r>
              <w:rPr>
                <w:sz w:val="20"/>
                <w:szCs w:val="20"/>
              </w:rPr>
              <w:t>9</w:t>
            </w:r>
          </w:p>
        </w:tc>
        <w:tc>
          <w:tcPr>
            <w:tcW w:w="0" w:type="auto"/>
            <w:noWrap/>
            <w:vAlign w:val="bottom"/>
            <w:hideMark/>
          </w:tcPr>
          <w:p w14:paraId="674BDBD4" w14:textId="77777777" w:rsidR="00000000" w:rsidRDefault="003C49E9">
            <w:pPr>
              <w:pStyle w:val="a3"/>
              <w:spacing w:before="0" w:beforeAutospacing="0" w:after="0" w:afterAutospacing="0"/>
              <w:rPr>
                <w:sz w:val="20"/>
                <w:szCs w:val="20"/>
              </w:rPr>
            </w:pPr>
            <w:r>
              <w:rPr>
                <w:sz w:val="20"/>
                <w:szCs w:val="20"/>
              </w:rPr>
              <w:t>)</w:t>
            </w:r>
            <w:r>
              <w:rPr>
                <w:sz w:val="20"/>
                <w:szCs w:val="20"/>
              </w:rPr>
              <w:t>%</w:t>
            </w:r>
          </w:p>
        </w:tc>
      </w:tr>
    </w:tbl>
    <w:p w14:paraId="1CBB5DB6" w14:textId="77777777" w:rsidR="00000000" w:rsidRDefault="003C49E9">
      <w:pPr>
        <w:pStyle w:val="a3"/>
        <w:spacing w:before="240" w:beforeAutospacing="0" w:after="0" w:afterAutospacing="0"/>
        <w:ind w:hanging="1220"/>
        <w:rPr>
          <w:sz w:val="20"/>
          <w:szCs w:val="20"/>
        </w:rPr>
      </w:pPr>
      <w:r>
        <w:rPr>
          <w:sz w:val="20"/>
          <w:szCs w:val="20"/>
        </w:rPr>
        <w:t> </w:t>
      </w:r>
    </w:p>
    <w:p w14:paraId="5B06DB05" w14:textId="77777777" w:rsidR="00000000" w:rsidRDefault="003C49E9">
      <w:pPr>
        <w:pStyle w:val="a3"/>
        <w:spacing w:before="240" w:beforeAutospacing="0" w:after="0" w:afterAutospacing="0"/>
        <w:ind w:hanging="1220"/>
        <w:rPr>
          <w:sz w:val="20"/>
          <w:szCs w:val="20"/>
        </w:rPr>
      </w:pPr>
      <w:r>
        <w:rPr>
          <w:b/>
          <w:bCs/>
          <w:sz w:val="20"/>
          <w:szCs w:val="20"/>
        </w:rPr>
        <w:t>Item 4. Control</w:t>
      </w:r>
      <w:r>
        <w:rPr>
          <w:b/>
          <w:bCs/>
          <w:sz w:val="20"/>
          <w:szCs w:val="20"/>
        </w:rPr>
        <w:t>s</w:t>
      </w:r>
      <w:r>
        <w:rPr>
          <w:b/>
          <w:bCs/>
          <w:sz w:val="20"/>
          <w:szCs w:val="20"/>
        </w:rPr>
        <w:t xml:space="preserve"> </w:t>
      </w:r>
      <w:r>
        <w:rPr>
          <w:b/>
          <w:bCs/>
          <w:sz w:val="20"/>
          <w:szCs w:val="20"/>
        </w:rPr>
        <w:t>and Procedure</w:t>
      </w:r>
      <w:r>
        <w:rPr>
          <w:b/>
          <w:bCs/>
          <w:sz w:val="20"/>
          <w:szCs w:val="20"/>
        </w:rPr>
        <w:t>s</w:t>
      </w:r>
    </w:p>
    <w:p w14:paraId="310D28BB" w14:textId="77777777" w:rsidR="00000000" w:rsidRDefault="003C49E9">
      <w:pPr>
        <w:pStyle w:val="a3"/>
        <w:spacing w:before="240" w:beforeAutospacing="0" w:after="0" w:afterAutospacing="0"/>
        <w:ind w:firstLine="555"/>
        <w:rPr>
          <w:sz w:val="20"/>
          <w:szCs w:val="20"/>
        </w:rPr>
      </w:pPr>
      <w:r>
        <w:rPr>
          <w:sz w:val="20"/>
          <w:szCs w:val="20"/>
          <w:u w:val="single"/>
        </w:rPr>
        <w:t>Evaluation of Disclosure Controls and Procedure</w:t>
      </w:r>
      <w:r>
        <w:rPr>
          <w:sz w:val="20"/>
          <w:szCs w:val="20"/>
          <w:u w:val="single"/>
        </w:rPr>
        <w:t>s</w:t>
      </w:r>
      <w:r>
        <w:rPr>
          <w:sz w:val="20"/>
          <w:szCs w:val="20"/>
        </w:rPr>
        <w:t>. Our management, with the participation of our principal executive officer and principal financial officer, has evaluated the effectiveness of our disclosure controls and procedures (as define</w:t>
      </w:r>
      <w:r>
        <w:rPr>
          <w:sz w:val="20"/>
          <w:szCs w:val="20"/>
        </w:rPr>
        <w:t>d in Rules 13a-15(e) and 15d-15(e) under the Securities Exchange Act of 1934, as amended (the “Exchange Act”), as of the end of the period covered by this Quarterly Report on Form 10-Q. Based on such evaluation, our principal executive officer and principa</w:t>
      </w:r>
      <w:r>
        <w:rPr>
          <w:sz w:val="20"/>
          <w:szCs w:val="20"/>
        </w:rPr>
        <w:t>l financial officer have concluded that as of such date, our disclosure controls and procedures were effective</w:t>
      </w:r>
      <w:r>
        <w:rPr>
          <w:sz w:val="20"/>
          <w:szCs w:val="20"/>
        </w:rPr>
        <w:t>.</w:t>
      </w:r>
    </w:p>
    <w:p w14:paraId="60E06692" w14:textId="77777777" w:rsidR="00000000" w:rsidRDefault="003C49E9">
      <w:pPr>
        <w:pStyle w:val="a3"/>
        <w:spacing w:before="240" w:beforeAutospacing="0" w:after="0" w:afterAutospacing="0"/>
        <w:ind w:firstLine="555"/>
        <w:rPr>
          <w:sz w:val="20"/>
          <w:szCs w:val="20"/>
        </w:rPr>
      </w:pPr>
      <w:r>
        <w:rPr>
          <w:sz w:val="20"/>
          <w:szCs w:val="20"/>
          <w:u w:val="single"/>
        </w:rPr>
        <w:t>Changes in Internal Control Over Financial Reportin</w:t>
      </w:r>
      <w:r>
        <w:rPr>
          <w:sz w:val="20"/>
          <w:szCs w:val="20"/>
          <w:u w:val="single"/>
        </w:rPr>
        <w:t>g</w:t>
      </w:r>
      <w:r>
        <w:rPr>
          <w:sz w:val="20"/>
          <w:szCs w:val="20"/>
        </w:rPr>
        <w:t xml:space="preserve">. There was no change in our internal control over financial reporting (as defined in Rules </w:t>
      </w:r>
      <w:r>
        <w:rPr>
          <w:sz w:val="20"/>
          <w:szCs w:val="20"/>
        </w:rPr>
        <w:t>13a-15(f) and 15d-15(f) under the Exchange Act) that occurred during the period covered by this Quarterly Report on Form 10-Q that has materially affected, or is reasonably likely to materially affect, our internal control over financial reporting</w:t>
      </w:r>
      <w:r>
        <w:rPr>
          <w:sz w:val="20"/>
          <w:szCs w:val="20"/>
        </w:rPr>
        <w:t>.</w:t>
      </w:r>
      <w:r>
        <w:rPr>
          <w:sz w:val="20"/>
          <w:szCs w:val="20"/>
        </w:rPr>
        <w:t xml:space="preserve"> </w:t>
      </w:r>
    </w:p>
    <w:p w14:paraId="1BCBEAAC"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3</w:t>
      </w:r>
    </w:p>
    <w:p w14:paraId="78F69715" w14:textId="77777777" w:rsidR="00000000" w:rsidRDefault="003C49E9">
      <w:pPr>
        <w:rPr>
          <w:rFonts w:eastAsia="Times New Roman"/>
        </w:rPr>
      </w:pPr>
      <w:r>
        <w:rPr>
          <w:rFonts w:eastAsia="Times New Roman"/>
        </w:rPr>
        <w:pict w14:anchorId="7207EE30">
          <v:rect id="_x0000_i1057" style="width:0;height:1.5pt" o:hralign="center" o:hrstd="t" o:hr="t" fillcolor="#a0a0a0" stroked="f"/>
        </w:pict>
      </w:r>
    </w:p>
    <w:p w14:paraId="270EEF3A" w14:textId="77777777" w:rsidR="00000000" w:rsidRDefault="003C49E9">
      <w:pPr>
        <w:pStyle w:val="a3"/>
        <w:spacing w:before="0" w:beforeAutospacing="0" w:after="0" w:afterAutospacing="0"/>
        <w:rPr>
          <w:sz w:val="20"/>
          <w:szCs w:val="20"/>
        </w:rPr>
      </w:pPr>
      <w:r>
        <w:rPr>
          <w:sz w:val="20"/>
          <w:szCs w:val="20"/>
        </w:rPr>
        <w:t> </w:t>
      </w:r>
    </w:p>
    <w:p w14:paraId="02FC3B72" w14:textId="77777777" w:rsidR="00000000" w:rsidRDefault="003C49E9">
      <w:pPr>
        <w:pStyle w:val="a3"/>
        <w:spacing w:before="240" w:beforeAutospacing="0" w:after="0" w:afterAutospacing="0"/>
        <w:ind w:firstLine="555"/>
        <w:rPr>
          <w:sz w:val="20"/>
          <w:szCs w:val="20"/>
        </w:rPr>
      </w:pPr>
      <w:r>
        <w:rPr>
          <w:sz w:val="20"/>
          <w:szCs w:val="20"/>
          <w:u w:val="single"/>
        </w:rPr>
        <w:t>Inherent Limitations of Internal Control</w:t>
      </w:r>
      <w:r>
        <w:rPr>
          <w:sz w:val="20"/>
          <w:szCs w:val="20"/>
          <w:u w:val="single"/>
        </w:rPr>
        <w:t>s</w:t>
      </w:r>
      <w:r>
        <w:rPr>
          <w:sz w:val="20"/>
          <w:szCs w:val="20"/>
        </w:rPr>
        <w:t xml:space="preserve">. Our management, including our Chief Executive Officer and Chief Financial Officer, does not expect that our disclosure controls and procedures or our internal controls will prevent all errors and all fraud. A control system, no matter how well conceived </w:t>
      </w:r>
      <w:r>
        <w:rPr>
          <w:sz w:val="20"/>
          <w:szCs w:val="20"/>
        </w:rPr>
        <w:t>and operated, can provide only reasonable, not absolute, assurance that the objectives of the control system are met. Because of the inherent limitations in all control systems, no evaluation of controls can provide absolute assurance that all control issu</w:t>
      </w:r>
      <w:r>
        <w:rPr>
          <w:sz w:val="20"/>
          <w:szCs w:val="20"/>
        </w:rPr>
        <w:t>es and instances of fraud, if any, within the Company have been detected. These inherent limitations include the realities that judgments in decision-making can be faulty, and that breakdowns can occur because of a simple error or mistake. Additionally, co</w:t>
      </w:r>
      <w:r>
        <w:rPr>
          <w:sz w:val="20"/>
          <w:szCs w:val="20"/>
        </w:rPr>
        <w:t>ntrols can be circumvented by the individual acts of some persons, by collusion of two or more people, or by management override of the control. The design of any system of controls also is based in part upon certain assumptions about the likelihood of fut</w:t>
      </w:r>
      <w:r>
        <w:rPr>
          <w:sz w:val="20"/>
          <w:szCs w:val="20"/>
        </w:rPr>
        <w:t>ure events, and there can be no assurance that any design will succeed in achieving its stated goals under all potential future conditions. Over time, controls may become inadequate because of changes in conditions, or the degree of compliance with the pol</w:t>
      </w:r>
      <w:r>
        <w:rPr>
          <w:sz w:val="20"/>
          <w:szCs w:val="20"/>
        </w:rPr>
        <w:t>icies or procedures may deteriorate. Because of the inherent limitations in a cost-effective control system, misstatements due to error or fraud may occur and not be detected</w:t>
      </w:r>
      <w:r>
        <w:rPr>
          <w:sz w:val="20"/>
          <w:szCs w:val="20"/>
        </w:rPr>
        <w:t>.</w:t>
      </w:r>
    </w:p>
    <w:p w14:paraId="218140CF"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4</w:t>
      </w:r>
    </w:p>
    <w:p w14:paraId="76A0081C" w14:textId="77777777" w:rsidR="00000000" w:rsidRDefault="003C49E9">
      <w:pPr>
        <w:rPr>
          <w:rFonts w:eastAsia="Times New Roman"/>
        </w:rPr>
      </w:pPr>
      <w:r>
        <w:rPr>
          <w:rFonts w:eastAsia="Times New Roman"/>
        </w:rPr>
        <w:pict w14:anchorId="35499642">
          <v:rect id="_x0000_i1058" style="width:0;height:1.5pt" o:hralign="center" o:hrstd="t" o:hr="t" fillcolor="#a0a0a0" stroked="f"/>
        </w:pict>
      </w:r>
    </w:p>
    <w:p w14:paraId="746412E1" w14:textId="77777777" w:rsidR="00000000" w:rsidRDefault="003C49E9">
      <w:pPr>
        <w:pStyle w:val="a3"/>
        <w:spacing w:before="0" w:beforeAutospacing="0" w:after="0" w:afterAutospacing="0"/>
        <w:rPr>
          <w:sz w:val="20"/>
          <w:szCs w:val="20"/>
        </w:rPr>
      </w:pPr>
      <w:r>
        <w:rPr>
          <w:sz w:val="20"/>
          <w:szCs w:val="20"/>
        </w:rPr>
        <w:t> </w:t>
      </w:r>
    </w:p>
    <w:p w14:paraId="3E35338E" w14:textId="77777777" w:rsidR="00000000" w:rsidRDefault="003C49E9">
      <w:pPr>
        <w:pStyle w:val="a3"/>
        <w:spacing w:before="24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14:paraId="1A07A521" w14:textId="77777777" w:rsidR="00000000" w:rsidRDefault="003C49E9">
      <w:pPr>
        <w:pStyle w:val="a3"/>
        <w:spacing w:before="240" w:beforeAutospacing="0" w:after="0" w:afterAutospacing="0"/>
        <w:jc w:val="center"/>
        <w:rPr>
          <w:sz w:val="20"/>
          <w:szCs w:val="20"/>
        </w:rPr>
      </w:pPr>
      <w:r>
        <w:rPr>
          <w:b/>
          <w:bCs/>
          <w:sz w:val="20"/>
          <w:szCs w:val="20"/>
        </w:rPr>
        <w:t>Other Informatio</w:t>
      </w:r>
      <w:r>
        <w:rPr>
          <w:b/>
          <w:bCs/>
          <w:sz w:val="20"/>
          <w:szCs w:val="20"/>
        </w:rPr>
        <w:t>n</w:t>
      </w:r>
    </w:p>
    <w:p w14:paraId="3256B4F6" w14:textId="77777777" w:rsidR="00000000" w:rsidRDefault="003C49E9">
      <w:pPr>
        <w:pStyle w:val="a3"/>
        <w:spacing w:before="240" w:beforeAutospacing="0" w:after="0" w:afterAutospacing="0"/>
        <w:ind w:hanging="1220"/>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14:paraId="43691044" w14:textId="77777777" w:rsidR="00000000" w:rsidRDefault="003C49E9">
      <w:pPr>
        <w:pStyle w:val="a3"/>
        <w:spacing w:before="240" w:beforeAutospacing="0" w:after="0" w:afterAutospacing="0"/>
        <w:ind w:firstLine="555"/>
        <w:rPr>
          <w:sz w:val="20"/>
          <w:szCs w:val="20"/>
        </w:rPr>
      </w:pPr>
      <w:r>
        <w:rPr>
          <w:sz w:val="20"/>
          <w:szCs w:val="20"/>
        </w:rPr>
        <w:t xml:space="preserve">From time to time we may become involved in legal proceedings or be subject to claims arising in the ordinary course of our business. Although the results of litigation and claims cannot be predicted with certainty, we currently believe that </w:t>
      </w:r>
      <w:r>
        <w:rPr>
          <w:sz w:val="20"/>
          <w:szCs w:val="20"/>
        </w:rPr>
        <w:t xml:space="preserve">the final outcome of these ordinary course matters will not have a material adverse effect on our business, operating results, financial condition or cash flows. Regardless of the outcome, litigation can have an adverse impact on us because of defense and </w:t>
      </w:r>
      <w:r>
        <w:rPr>
          <w:sz w:val="20"/>
          <w:szCs w:val="20"/>
        </w:rPr>
        <w:t>settlement costs, diversion of management resources and other factors</w:t>
      </w:r>
      <w:r>
        <w:rPr>
          <w:sz w:val="20"/>
          <w:szCs w:val="20"/>
        </w:rPr>
        <w:t>.</w:t>
      </w:r>
    </w:p>
    <w:p w14:paraId="30A1E4CF" w14:textId="77777777" w:rsidR="00000000" w:rsidRDefault="003C49E9">
      <w:pPr>
        <w:pStyle w:val="a3"/>
        <w:spacing w:before="240" w:beforeAutospacing="0" w:after="0" w:afterAutospacing="0"/>
        <w:rPr>
          <w:sz w:val="20"/>
          <w:szCs w:val="20"/>
        </w:rPr>
      </w:pPr>
      <w:r>
        <w:rPr>
          <w:sz w:val="20"/>
          <w:szCs w:val="20"/>
        </w:rPr>
        <w:t> </w:t>
      </w:r>
    </w:p>
    <w:p w14:paraId="4DD3A673" w14:textId="77777777" w:rsidR="00000000" w:rsidRDefault="003C49E9">
      <w:pPr>
        <w:pStyle w:val="a3"/>
        <w:spacing w:before="200" w:beforeAutospacing="0" w:after="0" w:afterAutospacing="0"/>
        <w:rPr>
          <w:sz w:val="20"/>
          <w:szCs w:val="20"/>
        </w:rPr>
      </w:pPr>
      <w:r>
        <w:rPr>
          <w:sz w:val="20"/>
          <w:szCs w:val="20"/>
        </w:rPr>
        <w:t> </w:t>
      </w:r>
    </w:p>
    <w:p w14:paraId="4BA56E08" w14:textId="77777777" w:rsidR="00000000" w:rsidRDefault="003C49E9">
      <w:pPr>
        <w:pStyle w:val="a3"/>
        <w:spacing w:before="200" w:beforeAutospacing="0" w:after="0" w:afterAutospacing="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14:paraId="247B0419" w14:textId="77777777" w:rsidR="00000000" w:rsidRDefault="003C49E9">
      <w:pPr>
        <w:pStyle w:val="a3"/>
        <w:spacing w:before="200" w:beforeAutospacing="0" w:after="0" w:afterAutospacing="0"/>
        <w:ind w:firstLine="555"/>
        <w:rPr>
          <w:sz w:val="20"/>
          <w:szCs w:val="20"/>
        </w:rPr>
      </w:pPr>
      <w:r>
        <w:rPr>
          <w:i/>
          <w:iCs/>
          <w:sz w:val="20"/>
          <w:szCs w:val="20"/>
        </w:rPr>
        <w:t>An investment in our common stock involves a high degree of risk. You should carefully consider the risks described below and the other information in this Qua</w:t>
      </w:r>
      <w:r>
        <w:rPr>
          <w:i/>
          <w:iCs/>
          <w:sz w:val="20"/>
          <w:szCs w:val="20"/>
        </w:rPr>
        <w:t>rterly Report on Form 10-Q and in our other public filings before making an investment decision. Our business, prospects, financial condition, or operating results could be harmed by any of these risks, as well as other risks not currently known to us or t</w:t>
      </w:r>
      <w:r>
        <w:rPr>
          <w:i/>
          <w:iCs/>
          <w:sz w:val="20"/>
          <w:szCs w:val="20"/>
        </w:rPr>
        <w:t>hat we currently consider immaterial. If any such risks and uncertainties actually occurs, our business, financial condition or operating results could differ materially from the plans, projections and other forward-looking statements included in the secti</w:t>
      </w:r>
      <w:r>
        <w:rPr>
          <w:i/>
          <w:iCs/>
          <w:sz w:val="20"/>
          <w:szCs w:val="20"/>
        </w:rPr>
        <w:t>on titled “Management’s Discussion and Analysis of Financial Condition and Results of Operations” and elsewhere in this report and in our other public filings. The trading price of our common stock could decline due to any of these risks, and, as a result,</w:t>
      </w:r>
      <w:r>
        <w:rPr>
          <w:i/>
          <w:iCs/>
          <w:sz w:val="20"/>
          <w:szCs w:val="20"/>
        </w:rPr>
        <w:t xml:space="preserve"> you may lose all or part of your investment</w:t>
      </w:r>
      <w:r>
        <w:rPr>
          <w:i/>
          <w:iCs/>
          <w:sz w:val="20"/>
          <w:szCs w:val="20"/>
        </w:rPr>
        <w:t>.</w:t>
      </w:r>
    </w:p>
    <w:p w14:paraId="1E58E8BC" w14:textId="77777777" w:rsidR="00000000" w:rsidRDefault="003C49E9">
      <w:pPr>
        <w:pStyle w:val="a3"/>
        <w:spacing w:before="200" w:beforeAutospacing="0" w:after="0" w:afterAutospacing="0"/>
        <w:rPr>
          <w:sz w:val="20"/>
          <w:szCs w:val="20"/>
        </w:rPr>
      </w:pPr>
      <w:r>
        <w:rPr>
          <w:sz w:val="20"/>
          <w:szCs w:val="20"/>
        </w:rPr>
        <w:t> </w:t>
      </w:r>
    </w:p>
    <w:p w14:paraId="53E529DF" w14:textId="77777777" w:rsidR="00000000" w:rsidRDefault="003C49E9">
      <w:pPr>
        <w:pStyle w:val="a3"/>
        <w:spacing w:before="200" w:beforeAutospacing="0" w:after="0" w:afterAutospacing="0"/>
        <w:rPr>
          <w:sz w:val="20"/>
          <w:szCs w:val="20"/>
        </w:rPr>
      </w:pPr>
      <w:r>
        <w:rPr>
          <w:b/>
          <w:bCs/>
          <w:sz w:val="20"/>
          <w:szCs w:val="20"/>
        </w:rPr>
        <w:t>Risks Related to Our Business and Strateg</w:t>
      </w:r>
      <w:r>
        <w:rPr>
          <w:b/>
          <w:bCs/>
          <w:sz w:val="20"/>
          <w:szCs w:val="20"/>
        </w:rPr>
        <w:t>y</w:t>
      </w:r>
    </w:p>
    <w:p w14:paraId="198424FC" w14:textId="77777777" w:rsidR="00000000" w:rsidRDefault="003C49E9">
      <w:pPr>
        <w:pStyle w:val="a3"/>
        <w:spacing w:before="200" w:beforeAutospacing="0" w:after="0" w:afterAutospacing="0"/>
        <w:rPr>
          <w:sz w:val="20"/>
          <w:szCs w:val="20"/>
        </w:rPr>
      </w:pPr>
      <w:r>
        <w:rPr>
          <w:b/>
          <w:bCs/>
          <w:i/>
          <w:iCs/>
          <w:sz w:val="20"/>
          <w:szCs w:val="20"/>
        </w:rPr>
        <w:t>We are dependent upon customer renewals, the addition of new customers, increased revenue from existing customers and the continued growth of the market for a CRM Pl</w:t>
      </w:r>
      <w:r>
        <w:rPr>
          <w:b/>
          <w:bCs/>
          <w:i/>
          <w:iCs/>
          <w:sz w:val="20"/>
          <w:szCs w:val="20"/>
        </w:rPr>
        <w:t>atform</w:t>
      </w:r>
      <w:r>
        <w:rPr>
          <w:b/>
          <w:bCs/>
          <w:i/>
          <w:iCs/>
          <w:sz w:val="20"/>
          <w:szCs w:val="20"/>
        </w:rPr>
        <w:t>.</w:t>
      </w:r>
    </w:p>
    <w:p w14:paraId="7D8B8A45" w14:textId="77777777" w:rsidR="00000000" w:rsidRDefault="003C49E9">
      <w:pPr>
        <w:pStyle w:val="a3"/>
        <w:spacing w:before="200" w:beforeAutospacing="0" w:after="0" w:afterAutospacing="0"/>
        <w:ind w:firstLine="555"/>
        <w:rPr>
          <w:sz w:val="20"/>
          <w:szCs w:val="20"/>
        </w:rPr>
      </w:pPr>
      <w:r>
        <w:rPr>
          <w:sz w:val="20"/>
          <w:szCs w:val="20"/>
        </w:rPr>
        <w:t xml:space="preserve">We derive, and expect to continue to derive, a substantial portion of our revenue from the sale of subscriptions to our CRM Platform. The market for inbound marketing, sales and customer service products is still evolving, and competitive dynamics </w:t>
      </w:r>
      <w:r>
        <w:rPr>
          <w:sz w:val="20"/>
          <w:szCs w:val="20"/>
        </w:rPr>
        <w:t>may cause pricing levels to change as the market matures and as existing and new market participants introduce new types of point applications and different approaches to enable businesses to address their respective needs. As a result, we may be forced to</w:t>
      </w:r>
      <w:r>
        <w:rPr>
          <w:sz w:val="20"/>
          <w:szCs w:val="20"/>
        </w:rPr>
        <w:t xml:space="preserve"> reduce the prices we charge for our platform and may be unable to renew existing customer agreements or enter into new customer agreements at the same prices and upon the same terms that we have historically. In addition, our growth strategy involves a sc</w:t>
      </w:r>
      <w:r>
        <w:rPr>
          <w:sz w:val="20"/>
          <w:szCs w:val="20"/>
        </w:rPr>
        <w:t xml:space="preserve">alable pricing model (including freemium versions of our products) intended to provide us with an opportunity to increase the value of our customer relationships over time as we expand their use of our platform, sell to other parts of their organizations, </w:t>
      </w:r>
      <w:r>
        <w:rPr>
          <w:sz w:val="20"/>
          <w:szCs w:val="20"/>
        </w:rPr>
        <w:t>cross-sell our sales products to existing marketing product customers and vice versa through touchless or low touch in product purchases, and upsell additional offerings and features. If our cross-selling efforts are unsuccessful or if our existing custome</w:t>
      </w:r>
      <w:r>
        <w:rPr>
          <w:sz w:val="20"/>
          <w:szCs w:val="20"/>
        </w:rPr>
        <w:t>rs do not expand their use of our platform or adopt additional offerings and features, our operating results may suffer</w:t>
      </w:r>
      <w:r>
        <w:rPr>
          <w:sz w:val="20"/>
          <w:szCs w:val="20"/>
        </w:rPr>
        <w:t>.</w:t>
      </w:r>
    </w:p>
    <w:p w14:paraId="6D447824" w14:textId="77777777" w:rsidR="00000000" w:rsidRDefault="003C49E9">
      <w:pPr>
        <w:pStyle w:val="a3"/>
        <w:spacing w:before="20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14:paraId="76C1FFAD" w14:textId="77777777" w:rsidR="00000000" w:rsidRDefault="003C49E9">
      <w:pPr>
        <w:pStyle w:val="a3"/>
        <w:spacing w:before="200" w:beforeAutospacing="0" w:after="0" w:afterAutospacing="0"/>
        <w:ind w:firstLine="555"/>
        <w:rPr>
          <w:sz w:val="20"/>
          <w:szCs w:val="20"/>
        </w:rPr>
      </w:pPr>
      <w:r>
        <w:rPr>
          <w:sz w:val="20"/>
          <w:szCs w:val="20"/>
        </w:rPr>
        <w:t>Our customers have n</w:t>
      </w:r>
      <w:r>
        <w:rPr>
          <w:sz w:val="20"/>
          <w:szCs w:val="20"/>
        </w:rPr>
        <w:t>o obligation to renew their subscriptions for our platform after the expiration of their subscription periods, substantially all of which are one year or less. In addition, our customers may seek to renew for lower subscription tiers, for fewer contacts or</w:t>
      </w:r>
      <w:r>
        <w:rPr>
          <w:sz w:val="20"/>
          <w:szCs w:val="20"/>
        </w:rPr>
        <w:t xml:space="preserve"> seats, or for shorter contract lengths. Also, customers may choose not to renew their subscriptions for a variety of reasons. Our renewal rates may decline or fluctuate as a result of a number of factors, including limited customer resources, pricing chan</w:t>
      </w:r>
      <w:r>
        <w:rPr>
          <w:sz w:val="20"/>
          <w:szCs w:val="20"/>
        </w:rPr>
        <w:t>ges, the prices of services offered by our competitors, adoption and utilization of our platform and add-on applications by our customers, adoption of our new products, customer satisfaction with our platform, mergers and acquisitions affecting our custome</w:t>
      </w:r>
      <w:r>
        <w:rPr>
          <w:sz w:val="20"/>
          <w:szCs w:val="20"/>
        </w:rPr>
        <w:t>r base, reductions in our customers’ spending levels or declines in customer activity as a result of economic downturns or uncertainty in financial markets. If our customers do not renew their subscriptions for our platform or decrease the amount they spen</w:t>
      </w:r>
      <w:r>
        <w:rPr>
          <w:sz w:val="20"/>
          <w:szCs w:val="20"/>
        </w:rPr>
        <w:t>d with us, our revenue will decline and our business will suffer. In addition, a subscription model creates certain risks related to the timing of revenue recognition and potential reductions in cash flows. A portion of the subscription-based revenue we re</w:t>
      </w:r>
      <w:r>
        <w:rPr>
          <w:sz w:val="20"/>
          <w:szCs w:val="20"/>
        </w:rPr>
        <w:t>port each quarter results from the recognition of deferred revenue relating to subscription agreements entered into during previous quarters. A decline in new or renewed subscriptions in any period may not be immediately reflected in our reported financial</w:t>
      </w:r>
      <w:r>
        <w:rPr>
          <w:sz w:val="20"/>
          <w:szCs w:val="20"/>
        </w:rPr>
        <w:t xml:space="preserve"> results for that period, but may resul</w:t>
      </w:r>
      <w:r>
        <w:rPr>
          <w:sz w:val="20"/>
          <w:szCs w:val="20"/>
        </w:rPr>
        <w:t>t</w:t>
      </w:r>
      <w:r>
        <w:rPr>
          <w:sz w:val="20"/>
          <w:szCs w:val="20"/>
        </w:rPr>
        <w:t xml:space="preserve"> </w:t>
      </w:r>
    </w:p>
    <w:p w14:paraId="0B7A80C5"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5</w:t>
      </w:r>
    </w:p>
    <w:p w14:paraId="75AAAED9" w14:textId="77777777" w:rsidR="00000000" w:rsidRDefault="003C49E9">
      <w:pPr>
        <w:rPr>
          <w:rFonts w:eastAsia="Times New Roman"/>
        </w:rPr>
      </w:pPr>
      <w:r>
        <w:rPr>
          <w:rFonts w:eastAsia="Times New Roman"/>
        </w:rPr>
        <w:pict w14:anchorId="63162E54">
          <v:rect id="_x0000_i1059" style="width:0;height:1.5pt" o:hralign="center" o:hrstd="t" o:hr="t" fillcolor="#a0a0a0" stroked="f"/>
        </w:pict>
      </w:r>
    </w:p>
    <w:p w14:paraId="3002BE42" w14:textId="77777777" w:rsidR="00000000" w:rsidRDefault="003C49E9">
      <w:pPr>
        <w:pStyle w:val="a3"/>
        <w:spacing w:before="0" w:beforeAutospacing="0" w:after="0" w:afterAutospacing="0"/>
        <w:rPr>
          <w:sz w:val="20"/>
          <w:szCs w:val="20"/>
        </w:rPr>
      </w:pPr>
      <w:r>
        <w:rPr>
          <w:sz w:val="20"/>
          <w:szCs w:val="20"/>
        </w:rPr>
        <w:t> </w:t>
      </w:r>
    </w:p>
    <w:p w14:paraId="7449B487" w14:textId="77777777" w:rsidR="00000000" w:rsidRDefault="003C49E9">
      <w:pPr>
        <w:pStyle w:val="a3"/>
        <w:spacing w:before="200" w:beforeAutospacing="0" w:after="0" w:afterAutospacing="0"/>
        <w:rPr>
          <w:sz w:val="20"/>
          <w:szCs w:val="20"/>
        </w:rPr>
      </w:pPr>
      <w:r>
        <w:rPr>
          <w:sz w:val="20"/>
          <w:szCs w:val="20"/>
        </w:rPr>
        <w:t>in a decline in our revenue in future quarters. If we were to experience significant downturns in subscription sales and renewal rates, our reported financial results might not reflect such downturns until future perio</w:t>
      </w:r>
      <w:r>
        <w:rPr>
          <w:sz w:val="20"/>
          <w:szCs w:val="20"/>
        </w:rPr>
        <w:t>ds</w:t>
      </w:r>
      <w:r>
        <w:rPr>
          <w:sz w:val="20"/>
          <w:szCs w:val="20"/>
        </w:rPr>
        <w:t>.</w:t>
      </w:r>
    </w:p>
    <w:p w14:paraId="4A9F94FB" w14:textId="77777777" w:rsidR="00000000" w:rsidRDefault="003C49E9">
      <w:pPr>
        <w:pStyle w:val="a3"/>
        <w:spacing w:before="200" w:beforeAutospacing="0" w:after="0" w:afterAutospacing="0"/>
        <w:rPr>
          <w:sz w:val="20"/>
          <w:szCs w:val="20"/>
        </w:rPr>
      </w:pPr>
      <w:r>
        <w:rPr>
          <w:b/>
          <w:bCs/>
          <w:i/>
          <w:iCs/>
          <w:sz w:val="20"/>
          <w:szCs w:val="20"/>
        </w:rPr>
        <w:t>We face significant competition from both established and new companies offering marketing, sales and customer service software and other related applications, as well as internally developed software, which may harm our ability to add new customers, r</w:t>
      </w:r>
      <w:r>
        <w:rPr>
          <w:b/>
          <w:bCs/>
          <w:i/>
          <w:iCs/>
          <w:sz w:val="20"/>
          <w:szCs w:val="20"/>
        </w:rPr>
        <w:t>etain existing customers and grow our business</w:t>
      </w:r>
      <w:r>
        <w:rPr>
          <w:b/>
          <w:bCs/>
          <w:i/>
          <w:iCs/>
          <w:sz w:val="20"/>
          <w:szCs w:val="20"/>
        </w:rPr>
        <w:t>.</w:t>
      </w:r>
    </w:p>
    <w:p w14:paraId="6723376D" w14:textId="77777777" w:rsidR="00000000" w:rsidRDefault="003C49E9">
      <w:pPr>
        <w:pStyle w:val="a3"/>
        <w:spacing w:before="200" w:beforeAutospacing="0" w:after="0" w:afterAutospacing="0"/>
        <w:ind w:firstLine="555"/>
        <w:rPr>
          <w:sz w:val="20"/>
          <w:szCs w:val="20"/>
        </w:rPr>
      </w:pPr>
      <w:r>
        <w:rPr>
          <w:sz w:val="20"/>
          <w:szCs w:val="20"/>
        </w:rPr>
        <w:t>The marketing, sales, customer service, operations, and content management software market is evolving, highly competitive and significantly fragmented. With the introduction of new technologies and the poten</w:t>
      </w:r>
      <w:r>
        <w:rPr>
          <w:sz w:val="20"/>
          <w:szCs w:val="20"/>
        </w:rPr>
        <w:t>tial entry of new competitors into the market, we expect competition to persist and intensify in the future, which could harm our ability to increase sales, maintain or increase renewals and maintain our prices</w:t>
      </w:r>
      <w:r>
        <w:rPr>
          <w:sz w:val="20"/>
          <w:szCs w:val="20"/>
        </w:rPr>
        <w:t>.</w:t>
      </w:r>
      <w:r>
        <w:rPr>
          <w:sz w:val="20"/>
          <w:szCs w:val="20"/>
        </w:rPr>
        <w:t xml:space="preserve"> </w:t>
      </w:r>
    </w:p>
    <w:p w14:paraId="4D122D0F" w14:textId="77777777" w:rsidR="00000000" w:rsidRDefault="003C49E9">
      <w:pPr>
        <w:pStyle w:val="a3"/>
        <w:spacing w:before="200" w:beforeAutospacing="0" w:after="0" w:afterAutospacing="0"/>
        <w:ind w:firstLine="555"/>
        <w:rPr>
          <w:sz w:val="20"/>
          <w:szCs w:val="20"/>
        </w:rPr>
      </w:pPr>
      <w:r>
        <w:rPr>
          <w:sz w:val="20"/>
          <w:szCs w:val="20"/>
        </w:rPr>
        <w:t>We face intense competition from other soft</w:t>
      </w:r>
      <w:r>
        <w:rPr>
          <w:sz w:val="20"/>
          <w:szCs w:val="20"/>
        </w:rPr>
        <w:t>ware companies that develop marketing, sales, customer service, operations, and content management software and from marketing services companies that provide interactive marketing services. Competition could significantly impede our ability to sell subscr</w:t>
      </w:r>
      <w:r>
        <w:rPr>
          <w:sz w:val="20"/>
          <w:szCs w:val="20"/>
        </w:rPr>
        <w:t>iptions to our CRM Platform on terms favorable to us. Our current and potential competitors may develop and market new technologies that render our existing or future products less competitive, or obsolete. In addition, if these competitors develop product</w:t>
      </w:r>
      <w:r>
        <w:rPr>
          <w:sz w:val="20"/>
          <w:szCs w:val="20"/>
        </w:rPr>
        <w:t>s with similar or superior functionality to our platform, we may need to decrease the prices or accept less favorable terms for our platform subscriptions in order to remain competitive. If we are unable to maintain our pricing due to competitive pressures</w:t>
      </w:r>
      <w:r>
        <w:rPr>
          <w:sz w:val="20"/>
          <w:szCs w:val="20"/>
        </w:rPr>
        <w:t>, our margins will be reduced and our operating results will be negatively affected</w:t>
      </w:r>
      <w:r>
        <w:rPr>
          <w:sz w:val="20"/>
          <w:szCs w:val="20"/>
        </w:rPr>
        <w:t>.</w:t>
      </w:r>
    </w:p>
    <w:p w14:paraId="4D5777D5" w14:textId="77777777" w:rsidR="00000000" w:rsidRDefault="003C49E9">
      <w:pPr>
        <w:pStyle w:val="a3"/>
        <w:spacing w:before="200" w:beforeAutospacing="0" w:after="0" w:afterAutospacing="0"/>
        <w:ind w:firstLine="555"/>
        <w:rPr>
          <w:sz w:val="20"/>
          <w:szCs w:val="20"/>
        </w:rPr>
      </w:pPr>
      <w:r>
        <w:rPr>
          <w:sz w:val="20"/>
          <w:szCs w:val="20"/>
        </w:rPr>
        <w:t>Our competitors include</w:t>
      </w:r>
      <w:r>
        <w:rPr>
          <w:sz w:val="20"/>
          <w:szCs w:val="20"/>
        </w:rPr>
        <w:t>:</w:t>
      </w:r>
    </w:p>
    <w:p w14:paraId="2F9D08FC" w14:textId="77777777" w:rsidR="00000000" w:rsidRDefault="003C49E9">
      <w:pPr>
        <w:divId w:val="457259007"/>
        <w:rPr>
          <w:rFonts w:eastAsia="Times New Roman"/>
        </w:rPr>
      </w:pPr>
      <w:r>
        <w:rPr>
          <w:rFonts w:eastAsia="Times New Roman"/>
          <w:sz w:val="20"/>
          <w:szCs w:val="20"/>
        </w:rPr>
        <w:t>•</w:t>
      </w:r>
    </w:p>
    <w:p w14:paraId="366E86E3" w14:textId="77777777" w:rsidR="00000000" w:rsidRDefault="003C49E9">
      <w:pPr>
        <w:divId w:val="1459109613"/>
        <w:rPr>
          <w:rFonts w:eastAsia="Times New Roman"/>
        </w:rPr>
      </w:pPr>
      <w:r>
        <w:rPr>
          <w:rFonts w:eastAsia="Times New Roman"/>
          <w:sz w:val="20"/>
          <w:szCs w:val="20"/>
        </w:rPr>
        <w:t>cloud-based marketing automation providers</w:t>
      </w:r>
      <w:r>
        <w:rPr>
          <w:rFonts w:eastAsia="Times New Roman"/>
          <w:sz w:val="20"/>
          <w:szCs w:val="20"/>
        </w:rPr>
        <w:t>;</w:t>
      </w:r>
    </w:p>
    <w:p w14:paraId="4939760D" w14:textId="77777777" w:rsidR="00000000" w:rsidRDefault="003C49E9">
      <w:pPr>
        <w:divId w:val="1063331966"/>
        <w:rPr>
          <w:rFonts w:eastAsia="Times New Roman"/>
        </w:rPr>
      </w:pPr>
      <w:r>
        <w:rPr>
          <w:rFonts w:eastAsia="Times New Roman"/>
          <w:sz w:val="20"/>
          <w:szCs w:val="20"/>
        </w:rPr>
        <w:t>•</w:t>
      </w:r>
    </w:p>
    <w:p w14:paraId="3C72A46B" w14:textId="77777777" w:rsidR="00000000" w:rsidRDefault="003C49E9">
      <w:pPr>
        <w:divId w:val="932128655"/>
        <w:rPr>
          <w:rFonts w:eastAsia="Times New Roman"/>
        </w:rPr>
      </w:pPr>
      <w:r>
        <w:rPr>
          <w:rFonts w:eastAsia="Times New Roman"/>
          <w:sz w:val="20"/>
          <w:szCs w:val="20"/>
        </w:rPr>
        <w:t>email marketing software vendors</w:t>
      </w:r>
      <w:r>
        <w:rPr>
          <w:rFonts w:eastAsia="Times New Roman"/>
          <w:sz w:val="20"/>
          <w:szCs w:val="20"/>
        </w:rPr>
        <w:t>;</w:t>
      </w:r>
    </w:p>
    <w:p w14:paraId="151A7298" w14:textId="77777777" w:rsidR="00000000" w:rsidRDefault="003C49E9">
      <w:pPr>
        <w:divId w:val="499662201"/>
        <w:rPr>
          <w:rFonts w:eastAsia="Times New Roman"/>
        </w:rPr>
      </w:pPr>
      <w:r>
        <w:rPr>
          <w:rFonts w:eastAsia="Times New Roman"/>
          <w:sz w:val="20"/>
          <w:szCs w:val="20"/>
        </w:rPr>
        <w:t>•</w:t>
      </w:r>
    </w:p>
    <w:p w14:paraId="32AADCE7" w14:textId="77777777" w:rsidR="00000000" w:rsidRDefault="003C49E9">
      <w:pPr>
        <w:divId w:val="1854949388"/>
        <w:rPr>
          <w:rFonts w:eastAsia="Times New Roman"/>
        </w:rPr>
      </w:pPr>
      <w:r>
        <w:rPr>
          <w:rFonts w:eastAsia="Times New Roman"/>
          <w:sz w:val="20"/>
          <w:szCs w:val="20"/>
        </w:rPr>
        <w:t>sales force automation and CRM software vendors</w:t>
      </w:r>
      <w:r>
        <w:rPr>
          <w:rFonts w:eastAsia="Times New Roman"/>
          <w:sz w:val="20"/>
          <w:szCs w:val="20"/>
        </w:rPr>
        <w:t>;</w:t>
      </w:r>
    </w:p>
    <w:p w14:paraId="5FE95FC9" w14:textId="77777777" w:rsidR="00000000" w:rsidRDefault="003C49E9">
      <w:pPr>
        <w:divId w:val="755828503"/>
        <w:rPr>
          <w:rFonts w:eastAsia="Times New Roman"/>
        </w:rPr>
      </w:pPr>
      <w:r>
        <w:rPr>
          <w:rFonts w:eastAsia="Times New Roman"/>
          <w:sz w:val="20"/>
          <w:szCs w:val="20"/>
        </w:rPr>
        <w:t>•</w:t>
      </w:r>
    </w:p>
    <w:p w14:paraId="170C8201" w14:textId="77777777" w:rsidR="00000000" w:rsidRDefault="003C49E9">
      <w:pPr>
        <w:divId w:val="1519545242"/>
        <w:rPr>
          <w:rFonts w:eastAsia="Times New Roman"/>
        </w:rPr>
      </w:pPr>
      <w:r>
        <w:rPr>
          <w:rFonts w:eastAsia="Times New Roman"/>
          <w:sz w:val="20"/>
          <w:szCs w:val="20"/>
        </w:rPr>
        <w:t>large-scale</w:t>
      </w:r>
      <w:r>
        <w:rPr>
          <w:rFonts w:eastAsia="Times New Roman"/>
          <w:sz w:val="20"/>
          <w:szCs w:val="20"/>
        </w:rPr>
        <w:t xml:space="preserve"> enterprise suites</w:t>
      </w:r>
      <w:r>
        <w:rPr>
          <w:rFonts w:eastAsia="Times New Roman"/>
          <w:sz w:val="20"/>
          <w:szCs w:val="20"/>
        </w:rPr>
        <w:t>;</w:t>
      </w:r>
    </w:p>
    <w:p w14:paraId="55E42DFD" w14:textId="77777777" w:rsidR="00000000" w:rsidRDefault="003C49E9">
      <w:pPr>
        <w:divId w:val="1869221781"/>
        <w:rPr>
          <w:rFonts w:eastAsia="Times New Roman"/>
        </w:rPr>
      </w:pPr>
      <w:r>
        <w:rPr>
          <w:rFonts w:eastAsia="Times New Roman"/>
          <w:sz w:val="20"/>
          <w:szCs w:val="20"/>
        </w:rPr>
        <w:t>•</w:t>
      </w:r>
    </w:p>
    <w:p w14:paraId="2DC523A5" w14:textId="77777777" w:rsidR="00000000" w:rsidRDefault="003C49E9">
      <w:pPr>
        <w:divId w:val="85425654"/>
        <w:rPr>
          <w:rFonts w:eastAsia="Times New Roman"/>
        </w:rPr>
      </w:pPr>
      <w:r>
        <w:rPr>
          <w:rFonts w:eastAsia="Times New Roman"/>
          <w:sz w:val="20"/>
          <w:szCs w:val="20"/>
        </w:rPr>
        <w:t>customer service software providers; an</w:t>
      </w:r>
      <w:r>
        <w:rPr>
          <w:rFonts w:eastAsia="Times New Roman"/>
          <w:sz w:val="20"/>
          <w:szCs w:val="20"/>
        </w:rPr>
        <w:t>d</w:t>
      </w:r>
    </w:p>
    <w:p w14:paraId="7EF53785" w14:textId="77777777" w:rsidR="00000000" w:rsidRDefault="003C49E9">
      <w:pPr>
        <w:divId w:val="1309703888"/>
        <w:rPr>
          <w:rFonts w:eastAsia="Times New Roman"/>
        </w:rPr>
      </w:pPr>
      <w:r>
        <w:rPr>
          <w:rFonts w:eastAsia="Times New Roman"/>
          <w:sz w:val="20"/>
          <w:szCs w:val="20"/>
        </w:rPr>
        <w:t>•</w:t>
      </w:r>
    </w:p>
    <w:p w14:paraId="205FED91" w14:textId="77777777" w:rsidR="00000000" w:rsidRDefault="003C49E9">
      <w:pPr>
        <w:divId w:val="1268199786"/>
        <w:rPr>
          <w:rFonts w:eastAsia="Times New Roman"/>
        </w:rPr>
      </w:pPr>
      <w:r>
        <w:rPr>
          <w:rFonts w:eastAsia="Times New Roman"/>
          <w:sz w:val="20"/>
          <w:szCs w:val="20"/>
        </w:rPr>
        <w:t>content management systems</w:t>
      </w:r>
      <w:r>
        <w:rPr>
          <w:rFonts w:eastAsia="Times New Roman"/>
          <w:sz w:val="20"/>
          <w:szCs w:val="20"/>
        </w:rPr>
        <w:t>.</w:t>
      </w:r>
    </w:p>
    <w:p w14:paraId="1B299E15" w14:textId="77777777" w:rsidR="00000000" w:rsidRDefault="003C49E9">
      <w:pPr>
        <w:pStyle w:val="a3"/>
        <w:spacing w:before="200" w:beforeAutospacing="0" w:after="0" w:afterAutospacing="0"/>
        <w:ind w:firstLine="555"/>
        <w:rPr>
          <w:sz w:val="20"/>
          <w:szCs w:val="20"/>
        </w:rPr>
      </w:pPr>
      <w:r>
        <w:rPr>
          <w:sz w:val="20"/>
          <w:szCs w:val="20"/>
        </w:rPr>
        <w:t>In addition, instead of using our platform, some prospective customers may elect to combine disparate point applications, such as content management, marketing aut</w:t>
      </w:r>
      <w:r>
        <w:rPr>
          <w:sz w:val="20"/>
          <w:szCs w:val="20"/>
        </w:rPr>
        <w:t>omation, CRM, analytics and social media management. We expect that new competitors, such as enterprise software vendors that have traditionally focused on enterprise resource planning or other applications supporting back office functions, will develop an</w:t>
      </w:r>
      <w:r>
        <w:rPr>
          <w:sz w:val="20"/>
          <w:szCs w:val="20"/>
        </w:rPr>
        <w:t>d introduce applications serving customer-facing and other front office functions. This development could have an adverse effect on our business, operating results and financial condition. In addition, sales force automation and CRM vendors could acquire o</w:t>
      </w:r>
      <w:r>
        <w:rPr>
          <w:sz w:val="20"/>
          <w:szCs w:val="20"/>
        </w:rPr>
        <w:t>r develop applications that compete with our marketing software offerings. Some of these companies have acquired social media marketing and other marketing software providers to integrate with their broader offerings</w:t>
      </w:r>
      <w:r>
        <w:rPr>
          <w:sz w:val="20"/>
          <w:szCs w:val="20"/>
        </w:rPr>
        <w:t>.</w:t>
      </w:r>
      <w:r>
        <w:rPr>
          <w:sz w:val="20"/>
          <w:szCs w:val="20"/>
        </w:rPr>
        <w:t xml:space="preserve"> </w:t>
      </w:r>
    </w:p>
    <w:p w14:paraId="26A24D45" w14:textId="77777777" w:rsidR="00000000" w:rsidRDefault="003C49E9">
      <w:pPr>
        <w:pStyle w:val="a3"/>
        <w:spacing w:before="200" w:beforeAutospacing="0" w:after="0" w:afterAutospacing="0"/>
        <w:ind w:firstLine="555"/>
        <w:rPr>
          <w:sz w:val="20"/>
          <w:szCs w:val="20"/>
        </w:rPr>
      </w:pPr>
      <w:r>
        <w:rPr>
          <w:sz w:val="20"/>
          <w:szCs w:val="20"/>
        </w:rPr>
        <w:t>Our current and potential competitors</w:t>
      </w:r>
      <w:r>
        <w:rPr>
          <w:sz w:val="20"/>
          <w:szCs w:val="20"/>
        </w:rPr>
        <w:t xml:space="preserve"> may have significantly more financial, technical, marketing and other resources than we have, be able to devote greater resources to the development, promotion, sale and support of their products and services, may have more extensive customer bases and br</w:t>
      </w:r>
      <w:r>
        <w:rPr>
          <w:sz w:val="20"/>
          <w:szCs w:val="20"/>
        </w:rPr>
        <w:t>oader customer relationships than we have, and may have longer operating histories and greater name recognition than we have. As a result, these competitors may respond faster to new technologies and undertake more extensive marketing campaigns for their p</w:t>
      </w:r>
      <w:r>
        <w:rPr>
          <w:sz w:val="20"/>
          <w:szCs w:val="20"/>
        </w:rPr>
        <w:t>roducts. In a few cases, these vendors may also be able to offer marketing, sales, customer service and content management software at little or no additional cost by bundling it with their existing suite of applications. To the extent any of our competito</w:t>
      </w:r>
      <w:r>
        <w:rPr>
          <w:sz w:val="20"/>
          <w:szCs w:val="20"/>
        </w:rPr>
        <w:t>rs has existing relationships with potential customers for either marketing software or other applications, those customers may be unwilling to purchase our platform because of their existing relationships with our competitor. If we are unable to compete w</w:t>
      </w:r>
      <w:r>
        <w:rPr>
          <w:sz w:val="20"/>
          <w:szCs w:val="20"/>
        </w:rPr>
        <w:t>ith such companies, the demand for our CRM Platform could substantially decline</w:t>
      </w:r>
      <w:r>
        <w:rPr>
          <w:sz w:val="20"/>
          <w:szCs w:val="20"/>
        </w:rPr>
        <w:t>.</w:t>
      </w:r>
    </w:p>
    <w:p w14:paraId="3B7B080A" w14:textId="77777777" w:rsidR="00000000" w:rsidRDefault="003C49E9">
      <w:pPr>
        <w:pStyle w:val="a3"/>
        <w:spacing w:before="200" w:beforeAutospacing="0" w:after="0" w:afterAutospacing="0"/>
        <w:ind w:firstLine="555"/>
        <w:rPr>
          <w:sz w:val="20"/>
          <w:szCs w:val="20"/>
        </w:rPr>
      </w:pPr>
      <w:r>
        <w:rPr>
          <w:sz w:val="20"/>
          <w:szCs w:val="20"/>
        </w:rPr>
        <w:t>In addition, if one or more of our competitors were to merge or partner with another of our competitors, our ability to compete effectively could be adversely affected. Our co</w:t>
      </w:r>
      <w:r>
        <w:rPr>
          <w:sz w:val="20"/>
          <w:szCs w:val="20"/>
        </w:rPr>
        <w:t>mpetitors may also establish or strengthen cooperative relationships with our current or future strategic distribution and technology partners or other parties with whom we have relationships, thereby limiting our ability to promote and implement our platf</w:t>
      </w:r>
      <w:r>
        <w:rPr>
          <w:sz w:val="20"/>
          <w:szCs w:val="20"/>
        </w:rPr>
        <w:t>orm. We may not be able to compete successfully against current or future competitors, and competitive pressures may harm our business, operating results and financial condition</w:t>
      </w:r>
      <w:r>
        <w:rPr>
          <w:sz w:val="20"/>
          <w:szCs w:val="20"/>
        </w:rPr>
        <w:t>.</w:t>
      </w:r>
    </w:p>
    <w:p w14:paraId="79F03568"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6</w:t>
      </w:r>
    </w:p>
    <w:p w14:paraId="0F3DC574" w14:textId="77777777" w:rsidR="00000000" w:rsidRDefault="003C49E9">
      <w:pPr>
        <w:rPr>
          <w:rFonts w:eastAsia="Times New Roman"/>
        </w:rPr>
      </w:pPr>
      <w:r>
        <w:rPr>
          <w:rFonts w:eastAsia="Times New Roman"/>
        </w:rPr>
        <w:pict w14:anchorId="64FC29E0">
          <v:rect id="_x0000_i1060" style="width:0;height:1.5pt" o:hralign="center" o:hrstd="t" o:hr="t" fillcolor="#a0a0a0" stroked="f"/>
        </w:pict>
      </w:r>
    </w:p>
    <w:p w14:paraId="4FCCB18E" w14:textId="77777777" w:rsidR="00000000" w:rsidRDefault="003C49E9">
      <w:pPr>
        <w:pStyle w:val="a3"/>
        <w:spacing w:before="0" w:beforeAutospacing="0" w:after="0" w:afterAutospacing="0"/>
        <w:rPr>
          <w:sz w:val="20"/>
          <w:szCs w:val="20"/>
        </w:rPr>
      </w:pPr>
      <w:r>
        <w:rPr>
          <w:sz w:val="20"/>
          <w:szCs w:val="20"/>
        </w:rPr>
        <w:t> </w:t>
      </w:r>
    </w:p>
    <w:p w14:paraId="7AC47A2F" w14:textId="77777777" w:rsidR="00000000" w:rsidRDefault="003C49E9">
      <w:pPr>
        <w:pStyle w:val="a3"/>
        <w:spacing w:before="200" w:beforeAutospacing="0" w:after="0" w:afterAutospacing="0"/>
        <w:rPr>
          <w:sz w:val="20"/>
          <w:szCs w:val="20"/>
        </w:rPr>
      </w:pPr>
      <w:r>
        <w:rPr>
          <w:b/>
          <w:bCs/>
          <w:i/>
          <w:iCs/>
          <w:sz w:val="20"/>
          <w:szCs w:val="20"/>
        </w:rPr>
        <w:t>We have experienced rapid growth and organizational change in recent periods and expect continued future growth. If we fail to manage our growth effectively, we may be unable to execute our business plan, maintain high</w:t>
      </w:r>
      <w:r>
        <w:rPr>
          <w:b/>
          <w:bCs/>
          <w:i/>
          <w:iCs/>
          <w:sz w:val="20"/>
          <w:szCs w:val="20"/>
        </w:rPr>
        <w:t xml:space="preserve"> levels of service or address competitive challenges adequately</w:t>
      </w:r>
      <w:r>
        <w:rPr>
          <w:b/>
          <w:bCs/>
          <w:i/>
          <w:iCs/>
          <w:sz w:val="20"/>
          <w:szCs w:val="20"/>
        </w:rPr>
        <w:t>.</w:t>
      </w:r>
    </w:p>
    <w:p w14:paraId="5E9068F7" w14:textId="77777777" w:rsidR="00000000" w:rsidRDefault="003C49E9">
      <w:pPr>
        <w:pStyle w:val="a3"/>
        <w:spacing w:before="200" w:beforeAutospacing="0" w:after="0" w:afterAutospacing="0"/>
        <w:ind w:firstLine="555"/>
        <w:rPr>
          <w:sz w:val="20"/>
          <w:szCs w:val="20"/>
        </w:rPr>
      </w:pPr>
      <w:r>
        <w:rPr>
          <w:sz w:val="20"/>
          <w:szCs w:val="20"/>
        </w:rPr>
        <w:t>Our headcount and operations have grown substantially. For example, we had 7,045 full-time employees as of June 30, 2022, compared with 5,895 as of December 31, 2021. We have opened several i</w:t>
      </w:r>
      <w:r>
        <w:rPr>
          <w:sz w:val="20"/>
          <w:szCs w:val="20"/>
        </w:rPr>
        <w:t>nternational offices and may plan to open additional offices in the future. This growth has placed, and will continue to place, a significant strain on our management, administrative, operational and financial infrastructure. We anticipate further growth w</w:t>
      </w:r>
      <w:r>
        <w:rPr>
          <w:sz w:val="20"/>
          <w:szCs w:val="20"/>
        </w:rPr>
        <w:t>ill be required to address increases in our product offerings and continued expansion. Our success will depend in part upon our ability to recruit, hire, train, manage and integrate qualified managers, technical personnel and employees in specialized roles</w:t>
      </w:r>
      <w:r>
        <w:rPr>
          <w:sz w:val="20"/>
          <w:szCs w:val="20"/>
        </w:rPr>
        <w:t xml:space="preserve"> within our company, including in technology, sales and marketing. Furthermore, as our employees work remotely from geographic areas across the globe and more of our employees work remotely on a permanent basis (pursuant to our newly implemented hybrid wor</w:t>
      </w:r>
      <w:r>
        <w:rPr>
          <w:sz w:val="20"/>
          <w:szCs w:val="20"/>
        </w:rPr>
        <w:t>kplace model, which provides our employees with the option to be fully remote, work full-time from one of our offices, or have the flexibility to work both in the office and remotely), we may need to reallocate our investment of resources and closely monit</w:t>
      </w:r>
      <w:r>
        <w:rPr>
          <w:sz w:val="20"/>
          <w:szCs w:val="20"/>
        </w:rPr>
        <w:t>or a variety of local regulations and requirements, including local tax laws, and we may experience unpredictability in our expenses and employee work culture. If we experience any of these effects in connection with future growth, if our new employees per</w:t>
      </w:r>
      <w:r>
        <w:rPr>
          <w:sz w:val="20"/>
          <w:szCs w:val="20"/>
        </w:rPr>
        <w:t>form poorly, or if we are unsuccessful in recruiting, hiring, training, managing and integrating these new employees, or retaining these or our existing employees, it could materially impair our ability to attract new customers, retain existing customers a</w:t>
      </w:r>
      <w:r>
        <w:rPr>
          <w:sz w:val="20"/>
          <w:szCs w:val="20"/>
        </w:rPr>
        <w:t>nd expand their use of our platform, all of which would materially and adversely affect our business, financial condition and results of operations</w:t>
      </w:r>
      <w:r>
        <w:rPr>
          <w:sz w:val="20"/>
          <w:szCs w:val="20"/>
        </w:rPr>
        <w:t>.</w:t>
      </w:r>
      <w:r>
        <w:rPr>
          <w:sz w:val="20"/>
          <w:szCs w:val="20"/>
        </w:rPr>
        <w:t xml:space="preserve"> </w:t>
      </w:r>
    </w:p>
    <w:p w14:paraId="6517AA5D" w14:textId="77777777" w:rsidR="00000000" w:rsidRDefault="003C49E9">
      <w:pPr>
        <w:pStyle w:val="a3"/>
        <w:spacing w:before="200" w:beforeAutospacing="0" w:after="0" w:afterAutospacing="0"/>
        <w:ind w:firstLine="555"/>
        <w:rPr>
          <w:sz w:val="20"/>
          <w:szCs w:val="20"/>
        </w:rPr>
      </w:pPr>
      <w:r>
        <w:rPr>
          <w:sz w:val="20"/>
          <w:szCs w:val="20"/>
        </w:rPr>
        <w:t>In addition, to manage the recent growth of our headcount, operations and geographic expansion, we will ne</w:t>
      </w:r>
      <w:r>
        <w:rPr>
          <w:sz w:val="20"/>
          <w:szCs w:val="20"/>
        </w:rPr>
        <w:t>ed to continue to expand our information technology infrastructure, operational, financial and management systems and procedures. Our anticipated additional headcount and capital investments will increase our costs, which will make it more difficult for us</w:t>
      </w:r>
      <w:r>
        <w:rPr>
          <w:sz w:val="20"/>
          <w:szCs w:val="20"/>
        </w:rPr>
        <w:t xml:space="preserve"> to address any future revenue shortfalls by reducing expenses in the short term. If we fail to successfully manage our growth, we will be unable to successfully execute our business plan, which could have a negative impact on our business, results of oper</w:t>
      </w:r>
      <w:r>
        <w:rPr>
          <w:sz w:val="20"/>
          <w:szCs w:val="20"/>
        </w:rPr>
        <w:t>ations or financial condition</w:t>
      </w:r>
      <w:r>
        <w:rPr>
          <w:sz w:val="20"/>
          <w:szCs w:val="20"/>
        </w:rPr>
        <w:t>.</w:t>
      </w:r>
      <w:r>
        <w:rPr>
          <w:sz w:val="20"/>
          <w:szCs w:val="20"/>
        </w:rPr>
        <w:t xml:space="preserve"> </w:t>
      </w:r>
    </w:p>
    <w:p w14:paraId="57EF9B6F" w14:textId="77777777" w:rsidR="00000000" w:rsidRDefault="003C49E9">
      <w:pPr>
        <w:pStyle w:val="a3"/>
        <w:spacing w:before="200" w:beforeAutospacing="0" w:after="0" w:afterAutospacing="0"/>
        <w:rPr>
          <w:sz w:val="20"/>
          <w:szCs w:val="20"/>
        </w:rPr>
      </w:pPr>
      <w:r>
        <w:rPr>
          <w:b/>
          <w:bCs/>
          <w:i/>
          <w:iCs/>
          <w:sz w:val="20"/>
          <w:szCs w:val="20"/>
        </w:rPr>
        <w:t xml:space="preserve">Failure to effectively develop and expand our marketing, sales, customer service, operations, and content management capabilities could harm our ability to increase our customer base and achieve broader market acceptance of </w:t>
      </w:r>
      <w:r>
        <w:rPr>
          <w:b/>
          <w:bCs/>
          <w:i/>
          <w:iCs/>
          <w:sz w:val="20"/>
          <w:szCs w:val="20"/>
        </w:rPr>
        <w:t>our platform</w:t>
      </w:r>
      <w:r>
        <w:rPr>
          <w:b/>
          <w:bCs/>
          <w:i/>
          <w:iCs/>
          <w:sz w:val="20"/>
          <w:szCs w:val="20"/>
        </w:rPr>
        <w:t>.</w:t>
      </w:r>
    </w:p>
    <w:p w14:paraId="1E2ACF83" w14:textId="77777777" w:rsidR="00000000" w:rsidRDefault="003C49E9">
      <w:pPr>
        <w:pStyle w:val="a3"/>
        <w:spacing w:before="200" w:beforeAutospacing="0" w:after="0" w:afterAutospacing="0"/>
        <w:ind w:firstLine="555"/>
        <w:rPr>
          <w:sz w:val="20"/>
          <w:szCs w:val="20"/>
        </w:rPr>
      </w:pPr>
      <w:r>
        <w:rPr>
          <w:sz w:val="20"/>
          <w:szCs w:val="20"/>
        </w:rPr>
        <w:t>To increase Customers and achieve broader market acceptance of our CRM Platform, we will need to continue to expand our marketing, sales, customer service, operations, and content management capabilities, including our sales force and third-p</w:t>
      </w:r>
      <w:r>
        <w:rPr>
          <w:sz w:val="20"/>
          <w:szCs w:val="20"/>
        </w:rPr>
        <w:t>arty channel partners. We will continue to dedicate significant resources to inbound sales and marketing programs. The effectiveness of our inbound sales and marketing and third-party channel partners has varied over time and may vary in the future and dep</w:t>
      </w:r>
      <w:r>
        <w:rPr>
          <w:sz w:val="20"/>
          <w:szCs w:val="20"/>
        </w:rPr>
        <w:t>ends on our ability to maintain and improve our CRM Platform. All of these efforts will require us to invest significant financial and other resources. Our business will be seriously harmed if our efforts do not generate a correspondingly significant incre</w:t>
      </w:r>
      <w:r>
        <w:rPr>
          <w:sz w:val="20"/>
          <w:szCs w:val="20"/>
        </w:rPr>
        <w:t>ase in revenue. We may not achieve anticipated revenue growth from expanding our sales force if we are unable to hire, develop and retain talented sales personnel, if our new sales personnel are unable to achieve desired productivity levels in a reasonable</w:t>
      </w:r>
      <w:r>
        <w:rPr>
          <w:sz w:val="20"/>
          <w:szCs w:val="20"/>
        </w:rPr>
        <w:t xml:space="preserve"> period of time or if our sales and marketing programs are not effective</w:t>
      </w:r>
      <w:r>
        <w:rPr>
          <w:sz w:val="20"/>
          <w:szCs w:val="20"/>
        </w:rPr>
        <w:t>.</w:t>
      </w:r>
    </w:p>
    <w:p w14:paraId="6B67946D" w14:textId="77777777" w:rsidR="00000000" w:rsidRDefault="003C49E9">
      <w:pPr>
        <w:pStyle w:val="a3"/>
        <w:spacing w:before="200" w:beforeAutospacing="0" w:after="0" w:afterAutospacing="0"/>
        <w:rPr>
          <w:sz w:val="20"/>
          <w:szCs w:val="20"/>
        </w:rPr>
      </w:pPr>
      <w:r>
        <w:rPr>
          <w:b/>
          <w:bCs/>
          <w:i/>
          <w:iCs/>
          <w:sz w:val="20"/>
          <w:szCs w:val="20"/>
        </w:rPr>
        <w:t>The rate of growth of our business depends on the continued participation and level of service of our Solutions Partners</w:t>
      </w:r>
      <w:r>
        <w:rPr>
          <w:b/>
          <w:bCs/>
          <w:i/>
          <w:iCs/>
          <w:sz w:val="20"/>
          <w:szCs w:val="20"/>
        </w:rPr>
        <w:t>.</w:t>
      </w:r>
    </w:p>
    <w:p w14:paraId="7FB61081" w14:textId="77777777" w:rsidR="00000000" w:rsidRDefault="003C49E9">
      <w:pPr>
        <w:pStyle w:val="a3"/>
        <w:spacing w:before="200" w:beforeAutospacing="0" w:after="0" w:afterAutospacing="0"/>
        <w:ind w:firstLine="555"/>
        <w:rPr>
          <w:sz w:val="20"/>
          <w:szCs w:val="20"/>
        </w:rPr>
      </w:pPr>
      <w:r>
        <w:rPr>
          <w:sz w:val="20"/>
          <w:szCs w:val="20"/>
        </w:rPr>
        <w:t>We rely on our Solutions Partners to provide certain service</w:t>
      </w:r>
      <w:r>
        <w:rPr>
          <w:sz w:val="20"/>
          <w:szCs w:val="20"/>
        </w:rPr>
        <w:t xml:space="preserve">s to our customers, as well as pursue sales of our CRM Platform to customers. To the extent we do not attract new Solutions Partners, or existing or new Solutions Partners do not refer a growing number of customers to us, our revenue and operating results </w:t>
      </w:r>
      <w:r>
        <w:rPr>
          <w:sz w:val="20"/>
          <w:szCs w:val="20"/>
        </w:rPr>
        <w:t>would be harmed. In addition, if our Solutions Partners do not continue to provide services to our customers, we would be required to provide such services ourselves either by expanding our internal team or engaging other third-party providers, which would</w:t>
      </w:r>
      <w:r>
        <w:rPr>
          <w:sz w:val="20"/>
          <w:szCs w:val="20"/>
        </w:rPr>
        <w:t xml:space="preserve"> increase our operating costs</w:t>
      </w:r>
      <w:r>
        <w:rPr>
          <w:sz w:val="20"/>
          <w:szCs w:val="20"/>
        </w:rPr>
        <w:t>.</w:t>
      </w:r>
    </w:p>
    <w:p w14:paraId="06A42F42" w14:textId="77777777" w:rsidR="00000000" w:rsidRDefault="003C49E9">
      <w:pPr>
        <w:pStyle w:val="a3"/>
        <w:spacing w:before="20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14:paraId="63B5BD55" w14:textId="77777777" w:rsidR="00000000" w:rsidRDefault="003C49E9">
      <w:pPr>
        <w:pStyle w:val="a3"/>
        <w:spacing w:before="200" w:beforeAutospacing="0" w:after="0" w:afterAutospacing="0"/>
        <w:ind w:firstLine="555"/>
        <w:rPr>
          <w:sz w:val="20"/>
          <w:szCs w:val="20"/>
        </w:rPr>
      </w:pPr>
      <w:r>
        <w:rPr>
          <w:sz w:val="20"/>
          <w:szCs w:val="20"/>
        </w:rPr>
        <w:t xml:space="preserve">We believe that maintaining our thought leadership position in inbound marketing, sales, services, operations and content management is </w:t>
      </w:r>
      <w:r>
        <w:rPr>
          <w:sz w:val="20"/>
          <w:szCs w:val="20"/>
        </w:rPr>
        <w:t xml:space="preserve">an important element in attracting new customers. We devote significant resources to develop and maintain our thought leadership position, with a focus on identifying and interpreting emerging trends in the inbound experience, shaping and guiding industry </w:t>
      </w:r>
      <w:r>
        <w:rPr>
          <w:sz w:val="20"/>
          <w:szCs w:val="20"/>
        </w:rPr>
        <w:t>dialog and creating and sharing the best inbound practices. Our activities related to developing and maintaining our thought leadership may not yield increased revenue, and even if they do, any increased revenue may not offset the expenses we incurred in s</w:t>
      </w:r>
      <w:r>
        <w:rPr>
          <w:sz w:val="20"/>
          <w:szCs w:val="20"/>
        </w:rPr>
        <w:t>uch effort. We rely upon the continued services of our management and employees with domain expertise with inbound marketing, sales, services, operations, and content management, and the loss of any key employees in this area could harm our competitive pos</w:t>
      </w:r>
      <w:r>
        <w:rPr>
          <w:sz w:val="20"/>
          <w:szCs w:val="20"/>
        </w:rPr>
        <w:t>ition and reputation. If we fail to successfully grow and maintain our thought leadership position, we may not attract enough new customers or retain our existing customers, and our business could suffer</w:t>
      </w:r>
      <w:r>
        <w:rPr>
          <w:sz w:val="20"/>
          <w:szCs w:val="20"/>
        </w:rPr>
        <w:t>.</w:t>
      </w:r>
    </w:p>
    <w:p w14:paraId="4E2D5539"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7</w:t>
      </w:r>
    </w:p>
    <w:p w14:paraId="3C2B4266" w14:textId="77777777" w:rsidR="00000000" w:rsidRDefault="003C49E9">
      <w:pPr>
        <w:rPr>
          <w:rFonts w:eastAsia="Times New Roman"/>
        </w:rPr>
      </w:pPr>
      <w:r>
        <w:rPr>
          <w:rFonts w:eastAsia="Times New Roman"/>
        </w:rPr>
        <w:pict w14:anchorId="38DF5CA7">
          <v:rect id="_x0000_i1061" style="width:0;height:1.5pt" o:hralign="center" o:hrstd="t" o:hr="t" fillcolor="#a0a0a0" stroked="f"/>
        </w:pict>
      </w:r>
    </w:p>
    <w:p w14:paraId="629F22F6" w14:textId="77777777" w:rsidR="00000000" w:rsidRDefault="003C49E9">
      <w:pPr>
        <w:pStyle w:val="a3"/>
        <w:spacing w:before="0" w:beforeAutospacing="0" w:after="0" w:afterAutospacing="0"/>
        <w:rPr>
          <w:sz w:val="20"/>
          <w:szCs w:val="20"/>
        </w:rPr>
      </w:pPr>
      <w:r>
        <w:rPr>
          <w:sz w:val="20"/>
          <w:szCs w:val="20"/>
        </w:rPr>
        <w:t> </w:t>
      </w:r>
    </w:p>
    <w:p w14:paraId="0E0D2464" w14:textId="77777777" w:rsidR="00000000" w:rsidRDefault="003C49E9">
      <w:pPr>
        <w:pStyle w:val="a3"/>
        <w:spacing w:before="200" w:beforeAutospacing="0" w:after="0" w:afterAutospacing="0"/>
        <w:rPr>
          <w:sz w:val="20"/>
          <w:szCs w:val="20"/>
        </w:rPr>
      </w:pPr>
      <w:r>
        <w:rPr>
          <w:b/>
          <w:bCs/>
          <w:i/>
          <w:iCs/>
          <w:sz w:val="20"/>
          <w:szCs w:val="20"/>
        </w:rPr>
        <w:t>If we fail</w:t>
      </w:r>
      <w:r>
        <w:rPr>
          <w:b/>
          <w:bCs/>
          <w:i/>
          <w:iCs/>
          <w:sz w:val="20"/>
          <w:szCs w:val="20"/>
        </w:rPr>
        <w:t xml:space="preserve"> to further enhance our brand and maintain our existing strong brand awareness, our ability to expand our customer base will be impaired and our financial condition may suffer</w:t>
      </w:r>
      <w:r>
        <w:rPr>
          <w:b/>
          <w:bCs/>
          <w:i/>
          <w:iCs/>
          <w:sz w:val="20"/>
          <w:szCs w:val="20"/>
        </w:rPr>
        <w:t>.</w:t>
      </w:r>
    </w:p>
    <w:p w14:paraId="2939CED2" w14:textId="77777777" w:rsidR="00000000" w:rsidRDefault="003C49E9">
      <w:pPr>
        <w:pStyle w:val="a3"/>
        <w:spacing w:before="200" w:beforeAutospacing="0" w:after="0" w:afterAutospacing="0"/>
        <w:ind w:firstLine="555"/>
        <w:rPr>
          <w:sz w:val="20"/>
          <w:szCs w:val="20"/>
        </w:rPr>
      </w:pPr>
      <w:r>
        <w:rPr>
          <w:sz w:val="20"/>
          <w:szCs w:val="20"/>
        </w:rPr>
        <w:t>We believe that our development of the HubSpot brand is critical to achieving widespread awareness of our existing and future inbound experience solutions, and, as a result, is important to attracting new customers and maintaining existing customers. In th</w:t>
      </w:r>
      <w:r>
        <w:rPr>
          <w:sz w:val="20"/>
          <w:szCs w:val="20"/>
        </w:rPr>
        <w:t>e past, our efforts to build our brand have involved significant expenses, and we believe that this investment has resulted in strong brand recognition in the B2B market. Successful promotion and maintenance of our brands will depend largely on the effecti</w:t>
      </w:r>
      <w:r>
        <w:rPr>
          <w:sz w:val="20"/>
          <w:szCs w:val="20"/>
        </w:rPr>
        <w:t>veness of our marketing efforts and on our ability to provide a reliable and useful CRM Platform at competitive prices. Brand promotion activities may not yield increased revenue, and even if they do, any increased revenue may not offset the expenses we in</w:t>
      </w:r>
      <w:r>
        <w:rPr>
          <w:sz w:val="20"/>
          <w:szCs w:val="20"/>
        </w:rPr>
        <w:t>curred in building our brand. If we fail to successfully promote and maintain our brand, our business could suffer</w:t>
      </w:r>
      <w:r>
        <w:rPr>
          <w:sz w:val="20"/>
          <w:szCs w:val="20"/>
        </w:rPr>
        <w:t>.</w:t>
      </w:r>
    </w:p>
    <w:p w14:paraId="29C01480" w14:textId="77777777" w:rsidR="00000000" w:rsidRDefault="003C49E9">
      <w:pPr>
        <w:pStyle w:val="a3"/>
        <w:spacing w:before="200" w:beforeAutospacing="0" w:after="0" w:afterAutospacing="0"/>
        <w:rPr>
          <w:sz w:val="20"/>
          <w:szCs w:val="20"/>
        </w:rPr>
      </w:pPr>
      <w:r>
        <w:rPr>
          <w:b/>
          <w:bCs/>
          <w:i/>
          <w:iCs/>
          <w:sz w:val="20"/>
          <w:szCs w:val="20"/>
        </w:rPr>
        <w:t>If we fail to adapt and respond effectively to rapidly changing technology, evolving industry standards and changing customer needs or requi</w:t>
      </w:r>
      <w:r>
        <w:rPr>
          <w:b/>
          <w:bCs/>
          <w:i/>
          <w:iCs/>
          <w:sz w:val="20"/>
          <w:szCs w:val="20"/>
        </w:rPr>
        <w:t>rements, our CRM Platform may become less competitive</w:t>
      </w:r>
      <w:r>
        <w:rPr>
          <w:b/>
          <w:bCs/>
          <w:i/>
          <w:iCs/>
          <w:sz w:val="20"/>
          <w:szCs w:val="20"/>
        </w:rPr>
        <w:t>.</w:t>
      </w:r>
    </w:p>
    <w:p w14:paraId="48DF2D8B" w14:textId="77777777" w:rsidR="00000000" w:rsidRDefault="003C49E9">
      <w:pPr>
        <w:pStyle w:val="a3"/>
        <w:spacing w:before="200" w:beforeAutospacing="0" w:after="0" w:afterAutospacing="0"/>
        <w:ind w:firstLine="555"/>
        <w:rPr>
          <w:sz w:val="20"/>
          <w:szCs w:val="20"/>
        </w:rPr>
      </w:pPr>
      <w:r>
        <w:rPr>
          <w:sz w:val="20"/>
          <w:szCs w:val="20"/>
        </w:rPr>
        <w:t>Our future success depends on our ability to adapt and innovate our CRM Platform. To attract new customers and increase revenue from existing customers, we need to continue to enhance and improve our o</w:t>
      </w:r>
      <w:r>
        <w:rPr>
          <w:sz w:val="20"/>
          <w:szCs w:val="20"/>
        </w:rPr>
        <w:t>fferings to meet customer needs at prices that our customers are willing to pay. Such efforts will require adding new functionality and responding to technological advancements, which will increase our research and development costs. If we are unable to de</w:t>
      </w:r>
      <w:r>
        <w:rPr>
          <w:sz w:val="20"/>
          <w:szCs w:val="20"/>
        </w:rPr>
        <w:t>velop new applications that address our customers’ needs, or to enhance and improve our platform in a timely manner, we may not be able to maintain or increase market acceptance of our platform. Our ability to grow is also subject to the risk of future dis</w:t>
      </w:r>
      <w:r>
        <w:rPr>
          <w:sz w:val="20"/>
          <w:szCs w:val="20"/>
        </w:rPr>
        <w:t>ruptive technologies. Access and use of our CRM Platform is provided via the cloud, which, itself, was disruptive to the previous enterprise software model. If new technologies emerge that are able to deliver inbound marketing software and related applicat</w:t>
      </w:r>
      <w:r>
        <w:rPr>
          <w:sz w:val="20"/>
          <w:szCs w:val="20"/>
        </w:rPr>
        <w:t>ions at lower prices, more efficiently, more conveniently or more securely, such technologies could adversely affect our ability to compete</w:t>
      </w:r>
      <w:r>
        <w:rPr>
          <w:sz w:val="20"/>
          <w:szCs w:val="20"/>
        </w:rPr>
        <w:t>.</w:t>
      </w:r>
    </w:p>
    <w:p w14:paraId="34E30C6E" w14:textId="77777777" w:rsidR="00000000" w:rsidRDefault="003C49E9">
      <w:pPr>
        <w:pStyle w:val="a3"/>
        <w:spacing w:before="200" w:beforeAutospacing="0" w:after="0" w:afterAutospacing="0"/>
        <w:rPr>
          <w:sz w:val="20"/>
          <w:szCs w:val="20"/>
        </w:rPr>
      </w:pPr>
      <w:r>
        <w:rPr>
          <w:b/>
          <w:bCs/>
          <w:i/>
          <w:iCs/>
          <w:sz w:val="20"/>
          <w:szCs w:val="20"/>
        </w:rPr>
        <w:t>If we fail to offer high-quality customer support, our business and reputation may suffer</w:t>
      </w:r>
      <w:r>
        <w:rPr>
          <w:b/>
          <w:bCs/>
          <w:i/>
          <w:iCs/>
          <w:sz w:val="20"/>
          <w:szCs w:val="20"/>
        </w:rPr>
        <w:t>.</w:t>
      </w:r>
    </w:p>
    <w:p w14:paraId="0560B720" w14:textId="77777777" w:rsidR="00000000" w:rsidRDefault="003C49E9">
      <w:pPr>
        <w:pStyle w:val="a3"/>
        <w:spacing w:before="200" w:beforeAutospacing="0" w:after="0" w:afterAutospacing="0"/>
        <w:ind w:firstLine="555"/>
        <w:rPr>
          <w:sz w:val="20"/>
          <w:szCs w:val="20"/>
        </w:rPr>
      </w:pPr>
      <w:r>
        <w:rPr>
          <w:sz w:val="20"/>
          <w:szCs w:val="20"/>
        </w:rPr>
        <w:t xml:space="preserve">High-quality education, </w:t>
      </w:r>
      <w:r>
        <w:rPr>
          <w:sz w:val="20"/>
          <w:szCs w:val="20"/>
        </w:rPr>
        <w:t xml:space="preserve">training and customer support are important for the successful marketing, sale and use of our CRM Platform and for the renewal of existing customers. Providing this education, training and support requires that our personnel who manage our online training </w:t>
      </w:r>
      <w:r>
        <w:rPr>
          <w:sz w:val="20"/>
          <w:szCs w:val="20"/>
        </w:rPr>
        <w:t>resource, HubSpot Academy, or provide customer support have specific inbound experience domain knowledge and expertise, making it more difficult for us to hire qualified personnel and to scale up our support operations. The importance of high-quality custo</w:t>
      </w:r>
      <w:r>
        <w:rPr>
          <w:sz w:val="20"/>
          <w:szCs w:val="20"/>
        </w:rPr>
        <w:t>mer support will increase as we expand our business and pursue new customers. If we do not help our customers use multiple applications within our CRM Platform and provide effective ongoing support, our ability to sell additional functionality and services</w:t>
      </w:r>
      <w:r>
        <w:rPr>
          <w:sz w:val="20"/>
          <w:szCs w:val="20"/>
        </w:rPr>
        <w:t xml:space="preserve"> to, or to retain, existing customers may suffer and our reputation with existing or potential customers may be harmed</w:t>
      </w:r>
      <w:r>
        <w:rPr>
          <w:sz w:val="20"/>
          <w:szCs w:val="20"/>
        </w:rPr>
        <w:t>.</w:t>
      </w:r>
    </w:p>
    <w:p w14:paraId="6A5DEDF6" w14:textId="77777777" w:rsidR="00000000" w:rsidRDefault="003C49E9">
      <w:pPr>
        <w:pStyle w:val="a3"/>
        <w:spacing w:before="200" w:beforeAutospacing="0" w:after="0" w:afterAutospacing="0"/>
        <w:rPr>
          <w:sz w:val="20"/>
          <w:szCs w:val="20"/>
        </w:rPr>
      </w:pPr>
      <w:r>
        <w:rPr>
          <w:b/>
          <w:bCs/>
          <w:i/>
          <w:iCs/>
          <w:sz w:val="20"/>
          <w:szCs w:val="20"/>
        </w:rPr>
        <w:t>We may not be able to scale our business quickly enough to meet our customers’ growing needs and if we are not able to grow efficiently,</w:t>
      </w:r>
      <w:r>
        <w:rPr>
          <w:b/>
          <w:bCs/>
          <w:i/>
          <w:iCs/>
          <w:sz w:val="20"/>
          <w:szCs w:val="20"/>
        </w:rPr>
        <w:t xml:space="preserve"> our operating results could be harmed</w:t>
      </w:r>
      <w:r>
        <w:rPr>
          <w:b/>
          <w:bCs/>
          <w:i/>
          <w:iCs/>
          <w:sz w:val="20"/>
          <w:szCs w:val="20"/>
        </w:rPr>
        <w:t>.</w:t>
      </w:r>
    </w:p>
    <w:p w14:paraId="307EDE12" w14:textId="77777777" w:rsidR="00000000" w:rsidRDefault="003C49E9">
      <w:pPr>
        <w:pStyle w:val="a3"/>
        <w:spacing w:before="200" w:beforeAutospacing="0" w:after="0" w:afterAutospacing="0"/>
        <w:ind w:firstLine="555"/>
        <w:rPr>
          <w:sz w:val="20"/>
          <w:szCs w:val="20"/>
        </w:rPr>
      </w:pPr>
      <w:r>
        <w:rPr>
          <w:sz w:val="20"/>
          <w:szCs w:val="20"/>
        </w:rPr>
        <w:t>As usage of our CRM Platform grows and as customers use our platform for additional inbound applications, such as sales and services, we will need to devote additional resources to improving our application architect</w:t>
      </w:r>
      <w:r>
        <w:rPr>
          <w:sz w:val="20"/>
          <w:szCs w:val="20"/>
        </w:rPr>
        <w:t>ure, integrating with third-party systems and maintaining infrastructure performance. In addition, we will need to appropriately scale our internal business systems and our services organization, including customer support and professional services, to ser</w:t>
      </w:r>
      <w:r>
        <w:rPr>
          <w:sz w:val="20"/>
          <w:szCs w:val="20"/>
        </w:rPr>
        <w:t>ve our growing customer base, particularly as our customer demographics change over time. Any failure of or delay in these efforts could cause impaired system performance and reduced customer satisfaction. These issues could reduce the attractiveness of ou</w:t>
      </w:r>
      <w:r>
        <w:rPr>
          <w:sz w:val="20"/>
          <w:szCs w:val="20"/>
        </w:rPr>
        <w:t>r CRM Platform to customers, resulting in decreased sales to new customers, lower renewal rates by existing customers, the issuance of service credits, or requested refunds, which could impede our revenue growth and harm our reputation. Even if we are able</w:t>
      </w:r>
      <w:r>
        <w:rPr>
          <w:sz w:val="20"/>
          <w:szCs w:val="20"/>
        </w:rPr>
        <w:t xml:space="preserve"> to upgrade our systems and expand our staff, any such expansion will be expensive and complex, requiring management’s time and attention. We could also face inefficiencies or operational failures as a result of our efforts to scale our infrastructure. Mor</w:t>
      </w:r>
      <w:r>
        <w:rPr>
          <w:sz w:val="20"/>
          <w:szCs w:val="20"/>
        </w:rPr>
        <w:t>eover, there are inherent risks associated with upgrading, improving and expanding our information technology systems. We cannot be sure that the expansion and improvements to our infrastructure and systems will be fully or effectively implemented on a tim</w:t>
      </w:r>
      <w:r>
        <w:rPr>
          <w:sz w:val="20"/>
          <w:szCs w:val="20"/>
        </w:rPr>
        <w:t>ely basis, if at all. These efforts may reduce revenue and our margins and adversely affect our financial results.</w:t>
      </w:r>
      <w:r>
        <w:rPr>
          <w:sz w:val="20"/>
          <w:szCs w:val="20"/>
        </w:rPr>
        <w:br/>
      </w:r>
      <w:r>
        <w:rPr>
          <w:sz w:val="20"/>
          <w:szCs w:val="20"/>
        </w:rPr>
        <w:br/>
      </w:r>
      <w:r>
        <w:rPr>
          <w:b/>
          <w:bCs/>
          <w:i/>
          <w:iCs/>
          <w:sz w:val="20"/>
          <w:szCs w:val="20"/>
        </w:rPr>
        <w:t>Our ability to introduce new products and features is dependent on adequate research and development resources. If we do not adequately fund</w:t>
      </w:r>
      <w:r>
        <w:rPr>
          <w:b/>
          <w:bCs/>
          <w:i/>
          <w:iCs/>
          <w:sz w:val="20"/>
          <w:szCs w:val="20"/>
        </w:rPr>
        <w:t xml:space="preserve"> our research and development efforts, we may not be able to compete effectively and our business and operating results may be harmed</w:t>
      </w:r>
      <w:r>
        <w:rPr>
          <w:b/>
          <w:bCs/>
          <w:i/>
          <w:iCs/>
          <w:sz w:val="20"/>
          <w:szCs w:val="20"/>
        </w:rPr>
        <w:t>.</w:t>
      </w:r>
    </w:p>
    <w:p w14:paraId="0E1A1B01" w14:textId="77777777" w:rsidR="00000000" w:rsidRDefault="003C49E9">
      <w:pPr>
        <w:pStyle w:val="a3"/>
        <w:spacing w:before="200" w:beforeAutospacing="0" w:after="0" w:afterAutospacing="0"/>
        <w:ind w:firstLine="555"/>
        <w:rPr>
          <w:sz w:val="20"/>
          <w:szCs w:val="20"/>
        </w:rPr>
      </w:pPr>
      <w:r>
        <w:rPr>
          <w:sz w:val="20"/>
          <w:szCs w:val="20"/>
        </w:rPr>
        <w:t xml:space="preserve">To remain competitive, we must continue to develop new product offerings, applications, features and enhancements to our </w:t>
      </w:r>
      <w:r>
        <w:rPr>
          <w:sz w:val="20"/>
          <w:szCs w:val="20"/>
        </w:rPr>
        <w:t>existing CRM Platform. Maintaining adequate research and development personnel and resources to meet the demands of the market is essential. If we are unable to develop our platform internally due to certain constraints, such as high employee turnover, lac</w:t>
      </w:r>
      <w:r>
        <w:rPr>
          <w:sz w:val="20"/>
          <w:szCs w:val="20"/>
        </w:rPr>
        <w:t>k of management ability or a lack of other research and development resources, we may miss market opportunities. Further, many of our competitors expend a considerably greater amount of funds on their research and development programs, and those that do no</w:t>
      </w:r>
      <w:r>
        <w:rPr>
          <w:sz w:val="20"/>
          <w:szCs w:val="20"/>
        </w:rPr>
        <w:t>t may be acquired by larger companies that would allocate greater resources to our competitors’ research and development programs. Ou</w:t>
      </w:r>
      <w:r>
        <w:rPr>
          <w:sz w:val="20"/>
          <w:szCs w:val="20"/>
        </w:rPr>
        <w:t>r</w:t>
      </w:r>
      <w:r>
        <w:rPr>
          <w:sz w:val="20"/>
          <w:szCs w:val="20"/>
        </w:rPr>
        <w:t xml:space="preserve"> </w:t>
      </w:r>
    </w:p>
    <w:p w14:paraId="1A8AAD43"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8</w:t>
      </w:r>
    </w:p>
    <w:p w14:paraId="5525AA25" w14:textId="77777777" w:rsidR="00000000" w:rsidRDefault="003C49E9">
      <w:pPr>
        <w:rPr>
          <w:rFonts w:eastAsia="Times New Roman"/>
        </w:rPr>
      </w:pPr>
      <w:r>
        <w:rPr>
          <w:rFonts w:eastAsia="Times New Roman"/>
        </w:rPr>
        <w:pict w14:anchorId="6BF24A2F">
          <v:rect id="_x0000_i1062" style="width:0;height:1.5pt" o:hralign="center" o:hrstd="t" o:hr="t" fillcolor="#a0a0a0" stroked="f"/>
        </w:pict>
      </w:r>
    </w:p>
    <w:p w14:paraId="20FD403C" w14:textId="77777777" w:rsidR="00000000" w:rsidRDefault="003C49E9">
      <w:pPr>
        <w:pStyle w:val="a3"/>
        <w:spacing w:before="0" w:beforeAutospacing="0" w:after="0" w:afterAutospacing="0"/>
        <w:rPr>
          <w:sz w:val="20"/>
          <w:szCs w:val="20"/>
        </w:rPr>
      </w:pPr>
      <w:r>
        <w:rPr>
          <w:sz w:val="20"/>
          <w:szCs w:val="20"/>
        </w:rPr>
        <w:t> </w:t>
      </w:r>
    </w:p>
    <w:p w14:paraId="2E95FBC4" w14:textId="77777777" w:rsidR="00000000" w:rsidRDefault="003C49E9">
      <w:pPr>
        <w:pStyle w:val="a3"/>
        <w:spacing w:before="200" w:beforeAutospacing="0" w:after="0" w:afterAutospacing="0"/>
        <w:rPr>
          <w:sz w:val="20"/>
          <w:szCs w:val="20"/>
        </w:rPr>
      </w:pPr>
      <w:r>
        <w:rPr>
          <w:sz w:val="20"/>
          <w:szCs w:val="20"/>
        </w:rPr>
        <w:t>failure to maintain adequate research and development resources or to compete effectively with the research and development programs of our competitors could materially adversely affect our business</w:t>
      </w:r>
      <w:r>
        <w:rPr>
          <w:sz w:val="20"/>
          <w:szCs w:val="20"/>
        </w:rPr>
        <w:t>.</w:t>
      </w:r>
    </w:p>
    <w:p w14:paraId="4AE849FF" w14:textId="77777777" w:rsidR="00000000" w:rsidRDefault="003C49E9">
      <w:pPr>
        <w:pStyle w:val="a3"/>
        <w:spacing w:before="200" w:beforeAutospacing="0" w:after="0" w:afterAutospacing="0"/>
        <w:rPr>
          <w:sz w:val="20"/>
          <w:szCs w:val="20"/>
        </w:rPr>
      </w:pPr>
      <w:r>
        <w:rPr>
          <w:b/>
          <w:bCs/>
          <w:i/>
          <w:iCs/>
          <w:sz w:val="20"/>
          <w:szCs w:val="20"/>
        </w:rPr>
        <w:t>Changes in the siz</w:t>
      </w:r>
      <w:r>
        <w:rPr>
          <w:b/>
          <w:bCs/>
          <w:i/>
          <w:iCs/>
          <w:sz w:val="20"/>
          <w:szCs w:val="20"/>
        </w:rPr>
        <w:t>es or types of businesses that purchase our platform or in the applications within our CRM Platform purchased or used by our customers could negatively affect our operating results</w:t>
      </w:r>
      <w:r>
        <w:rPr>
          <w:b/>
          <w:bCs/>
          <w:i/>
          <w:iCs/>
          <w:sz w:val="20"/>
          <w:szCs w:val="20"/>
        </w:rPr>
        <w:t>.</w:t>
      </w:r>
    </w:p>
    <w:p w14:paraId="4C6B9387" w14:textId="77777777" w:rsidR="00000000" w:rsidRDefault="003C49E9">
      <w:pPr>
        <w:pStyle w:val="a3"/>
        <w:spacing w:before="200" w:beforeAutospacing="0" w:after="0" w:afterAutospacing="0"/>
        <w:ind w:firstLine="555"/>
        <w:rPr>
          <w:sz w:val="20"/>
          <w:szCs w:val="20"/>
        </w:rPr>
      </w:pPr>
      <w:r>
        <w:rPr>
          <w:sz w:val="20"/>
          <w:szCs w:val="20"/>
        </w:rPr>
        <w:t>Our strategy is to sell subscriptions to our CRM Platform to mid-sized bus</w:t>
      </w:r>
      <w:r>
        <w:rPr>
          <w:sz w:val="20"/>
          <w:szCs w:val="20"/>
        </w:rPr>
        <w:t>inesses, but we have sold and will continue to sell to organizations ranging from small businesses to enterprises. Our gross margins can vary depending on numerous factors related to the implementation and use of our CRM Platform, including the sophisticat</w:t>
      </w:r>
      <w:r>
        <w:rPr>
          <w:sz w:val="20"/>
          <w:szCs w:val="20"/>
        </w:rPr>
        <w:t>ion and intensity of our customers’ use of our platform and the level of professional services and support required by a customer. Sales to enterprise customers may entail longer sales cycles and more significant selling efforts. Selling to small businesse</w:t>
      </w:r>
      <w:r>
        <w:rPr>
          <w:sz w:val="20"/>
          <w:szCs w:val="20"/>
        </w:rPr>
        <w:t>s may involve greater credit risk and uncertainty. If there are changes in the mix of businesses that purchase our platform or the mix of the product plans purchased by our customers, our gross margins could decrease and our operating results could be adve</w:t>
      </w:r>
      <w:r>
        <w:rPr>
          <w:sz w:val="20"/>
          <w:szCs w:val="20"/>
        </w:rPr>
        <w:t>rsely affected</w:t>
      </w:r>
      <w:r>
        <w:rPr>
          <w:sz w:val="20"/>
          <w:szCs w:val="20"/>
        </w:rPr>
        <w:t>.</w:t>
      </w:r>
    </w:p>
    <w:p w14:paraId="56077E5B" w14:textId="77777777" w:rsidR="00000000" w:rsidRDefault="003C49E9">
      <w:pPr>
        <w:pStyle w:val="a3"/>
        <w:spacing w:before="200" w:beforeAutospacing="0" w:after="0" w:afterAutospacing="0"/>
        <w:rPr>
          <w:sz w:val="20"/>
          <w:szCs w:val="20"/>
        </w:rPr>
      </w:pPr>
      <w:r>
        <w:rPr>
          <w:b/>
          <w:bCs/>
          <w:i/>
          <w:iCs/>
          <w:sz w:val="20"/>
          <w:szCs w:val="20"/>
        </w:rPr>
        <w:t>We have in the past completed acquisitions and may acquire or invest in other companies or technologies in the future, which could divert management’s attention, fail to meet our expectations, result in additional dilution to our stockholde</w:t>
      </w:r>
      <w:r>
        <w:rPr>
          <w:b/>
          <w:bCs/>
          <w:i/>
          <w:iCs/>
          <w:sz w:val="20"/>
          <w:szCs w:val="20"/>
        </w:rPr>
        <w:t>rs, increase expenses, disrupt our operations or harm our operating results</w:t>
      </w:r>
      <w:r>
        <w:rPr>
          <w:b/>
          <w:bCs/>
          <w:i/>
          <w:iCs/>
          <w:sz w:val="20"/>
          <w:szCs w:val="20"/>
        </w:rPr>
        <w:t>.</w:t>
      </w:r>
    </w:p>
    <w:p w14:paraId="78873A81" w14:textId="77777777" w:rsidR="00000000" w:rsidRDefault="003C49E9">
      <w:pPr>
        <w:pStyle w:val="a3"/>
        <w:spacing w:before="200" w:beforeAutospacing="0" w:after="0" w:afterAutospacing="0"/>
        <w:ind w:firstLine="555"/>
        <w:rPr>
          <w:sz w:val="20"/>
          <w:szCs w:val="20"/>
        </w:rPr>
      </w:pPr>
      <w:r>
        <w:rPr>
          <w:sz w:val="20"/>
          <w:szCs w:val="20"/>
        </w:rPr>
        <w:t xml:space="preserve">We have in the past acquired, and we may in the future acquire or invest in, businesses, products or technologies that we believe could complement or expand our platform, enhance </w:t>
      </w:r>
      <w:r>
        <w:rPr>
          <w:sz w:val="20"/>
          <w:szCs w:val="20"/>
        </w:rPr>
        <w:t>our technical capabilities or otherwise offer growth opportunities. We may not be able to fully realize the anticipated benefits of historical or any future acquisitions. The pursuit of potential acquisitions may divert the attention of management and caus</w:t>
      </w:r>
      <w:r>
        <w:rPr>
          <w:sz w:val="20"/>
          <w:szCs w:val="20"/>
        </w:rPr>
        <w:t>e us to incur various expenses related to identifying, investigating and pursuing suitable acquisitions, whether or not they are consummated</w:t>
      </w:r>
      <w:r>
        <w:rPr>
          <w:sz w:val="20"/>
          <w:szCs w:val="20"/>
        </w:rPr>
        <w:t>.</w:t>
      </w:r>
    </w:p>
    <w:p w14:paraId="76DC51B5" w14:textId="77777777" w:rsidR="00000000" w:rsidRDefault="003C49E9">
      <w:pPr>
        <w:pStyle w:val="a3"/>
        <w:spacing w:before="200" w:beforeAutospacing="0" w:after="0" w:afterAutospacing="0"/>
        <w:ind w:firstLine="555"/>
        <w:rPr>
          <w:sz w:val="20"/>
          <w:szCs w:val="20"/>
        </w:rPr>
      </w:pPr>
      <w:r>
        <w:rPr>
          <w:sz w:val="20"/>
          <w:szCs w:val="20"/>
        </w:rPr>
        <w:t>There are inherent risks in integrating and managing acquisitions. If we acquire additional businesses, we may not</w:t>
      </w:r>
      <w:r>
        <w:rPr>
          <w:sz w:val="20"/>
          <w:szCs w:val="20"/>
        </w:rPr>
        <w:t xml:space="preserve"> be able to assimilate or integrate the acquired personnel, operations and technologies successfully or effectively manage the combined business following the acquisition and our management may be distracted from operating our business. We also may not ach</w:t>
      </w:r>
      <w:r>
        <w:rPr>
          <w:sz w:val="20"/>
          <w:szCs w:val="20"/>
        </w:rPr>
        <w:t>ieve the anticipated benefits from the acquired business due to a number of factors, including: unanticipated costs or liabilities associated with the acquisition; incurrence of acquisition-related costs, which would be recognized as a current period expen</w:t>
      </w:r>
      <w:r>
        <w:rPr>
          <w:sz w:val="20"/>
          <w:szCs w:val="20"/>
        </w:rPr>
        <w:t>se; inability to generate sufficient revenue to offset acquisition or investment costs; the inability to maintain relationships with customers and partners of the acquired business; the difficulty of incorporating acquired technology and rights into our pl</w:t>
      </w:r>
      <w:r>
        <w:rPr>
          <w:sz w:val="20"/>
          <w:szCs w:val="20"/>
        </w:rPr>
        <w:t>atform and of maintaining quality and security standards consistent with our brand; delays in customer purchases due to uncertainty related to any acquisition; the need to integrate or implement additional controls, procedures and policies; challenges caus</w:t>
      </w:r>
      <w:r>
        <w:rPr>
          <w:sz w:val="20"/>
          <w:szCs w:val="20"/>
        </w:rPr>
        <w:t xml:space="preserve">ed by distance, language and cultural differences; harm to our existing business relationships with business partners and customers as a result of the acquisition; the potential loss of key employees; use of resources that are needed in other parts of our </w:t>
      </w:r>
      <w:r>
        <w:rPr>
          <w:sz w:val="20"/>
          <w:szCs w:val="20"/>
        </w:rPr>
        <w:t>business and diversion of management and employee resources; the inability to recognize acquired deferred revenue in accordance with our revenue recognition policies; and use of substantial portions of our available cash or the incurrence of debt to consum</w:t>
      </w:r>
      <w:r>
        <w:rPr>
          <w:sz w:val="20"/>
          <w:szCs w:val="20"/>
        </w:rPr>
        <w:t>mate the acquisition. Acquisitions also increase the risk of unforeseen legal liability, including for potential violations of applicable law or industry rules and regulations, arising from prior or ongoing acts or omissions by the acquired businesses whic</w:t>
      </w:r>
      <w:r>
        <w:rPr>
          <w:sz w:val="20"/>
          <w:szCs w:val="20"/>
        </w:rPr>
        <w:t>h are not discovered by due diligence during the acquisition process. Generally, if an acquired business fails to meet our expectations, our operating results, business and financial condition may suffer. Acquisitions could also result in dilutive issuance</w:t>
      </w:r>
      <w:r>
        <w:rPr>
          <w:sz w:val="20"/>
          <w:szCs w:val="20"/>
        </w:rPr>
        <w:t>s of equity securities or the incurrence of debt, which could adversely affect our business, results of operations or financial condition</w:t>
      </w:r>
      <w:r>
        <w:rPr>
          <w:sz w:val="20"/>
          <w:szCs w:val="20"/>
        </w:rPr>
        <w:t>.</w:t>
      </w:r>
      <w:r>
        <w:rPr>
          <w:sz w:val="20"/>
          <w:szCs w:val="20"/>
        </w:rPr>
        <w:t xml:space="preserve"> </w:t>
      </w:r>
    </w:p>
    <w:p w14:paraId="7D378DDA" w14:textId="77777777" w:rsidR="00000000" w:rsidRDefault="003C49E9">
      <w:pPr>
        <w:pStyle w:val="a3"/>
        <w:spacing w:before="200" w:beforeAutospacing="0" w:after="0" w:afterAutospacing="0"/>
        <w:ind w:firstLine="555"/>
        <w:rPr>
          <w:sz w:val="20"/>
          <w:szCs w:val="20"/>
        </w:rPr>
      </w:pPr>
      <w:r>
        <w:rPr>
          <w:sz w:val="20"/>
          <w:szCs w:val="20"/>
        </w:rPr>
        <w:t>In addition, a significant portion of the purchase price of companies we acquire may be allocated to goodwill and ot</w:t>
      </w:r>
      <w:r>
        <w:rPr>
          <w:sz w:val="20"/>
          <w:szCs w:val="20"/>
        </w:rPr>
        <w:t>her intangible assets, which must be assessed for impairment at least annually. If our acquisitions do not ultimately yield expected returns, we may be required to make charges to our operating results based on our impairment assessment process, which coul</w:t>
      </w:r>
      <w:r>
        <w:rPr>
          <w:sz w:val="20"/>
          <w:szCs w:val="20"/>
        </w:rPr>
        <w:t>d harm our results of operations</w:t>
      </w:r>
      <w:r>
        <w:rPr>
          <w:sz w:val="20"/>
          <w:szCs w:val="20"/>
        </w:rPr>
        <w:t>.</w:t>
      </w:r>
    </w:p>
    <w:p w14:paraId="5749E333" w14:textId="77777777" w:rsidR="00000000" w:rsidRDefault="003C49E9">
      <w:pPr>
        <w:pStyle w:val="a3"/>
        <w:spacing w:before="200" w:beforeAutospacing="0" w:after="0" w:afterAutospacing="0"/>
        <w:rPr>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r>
        <w:rPr>
          <w:b/>
          <w:bCs/>
          <w:i/>
          <w:iCs/>
          <w:sz w:val="20"/>
          <w:szCs w:val="20"/>
        </w:rPr>
        <w:t>.</w:t>
      </w:r>
    </w:p>
    <w:p w14:paraId="489DF0DF" w14:textId="77777777" w:rsidR="00000000" w:rsidRDefault="003C49E9">
      <w:pPr>
        <w:pStyle w:val="a3"/>
        <w:spacing w:before="200" w:beforeAutospacing="0" w:after="0" w:afterAutospacing="0"/>
        <w:ind w:firstLine="555"/>
        <w:rPr>
          <w:sz w:val="20"/>
          <w:szCs w:val="20"/>
        </w:rPr>
      </w:pPr>
      <w:r>
        <w:rPr>
          <w:sz w:val="20"/>
          <w:szCs w:val="20"/>
        </w:rPr>
        <w:t>A component of our g</w:t>
      </w:r>
      <w:r>
        <w:rPr>
          <w:sz w:val="20"/>
          <w:szCs w:val="20"/>
        </w:rPr>
        <w:t>rowth strategy involves the further expansion of our operations and customer base internationally. We have formed several international entities and plan to form additional entities in the future. These international operations focus primarily on sales, pr</w:t>
      </w:r>
      <w:r>
        <w:rPr>
          <w:sz w:val="20"/>
          <w:szCs w:val="20"/>
        </w:rPr>
        <w:t>ofessional services and support, and select international locations also have development teams. Our current international operations and future initiatives will involve a variety of risks, including</w:t>
      </w:r>
      <w:r>
        <w:rPr>
          <w:sz w:val="20"/>
          <w:szCs w:val="20"/>
        </w:rPr>
        <w:t>:</w:t>
      </w:r>
    </w:p>
    <w:p w14:paraId="6E2E7094" w14:textId="77777777" w:rsidR="00000000" w:rsidRDefault="003C49E9">
      <w:pPr>
        <w:divId w:val="1166017072"/>
        <w:rPr>
          <w:rFonts w:eastAsia="Times New Roman"/>
        </w:rPr>
      </w:pPr>
      <w:r>
        <w:rPr>
          <w:rFonts w:eastAsia="Times New Roman"/>
          <w:sz w:val="20"/>
          <w:szCs w:val="20"/>
        </w:rPr>
        <w:t>•</w:t>
      </w:r>
    </w:p>
    <w:p w14:paraId="06A1C83E" w14:textId="77777777" w:rsidR="00000000" w:rsidRDefault="003C49E9">
      <w:pPr>
        <w:divId w:val="757100654"/>
        <w:rPr>
          <w:rFonts w:eastAsia="Times New Roman"/>
        </w:rPr>
      </w:pPr>
      <w:r>
        <w:rPr>
          <w:rFonts w:eastAsia="Times New Roman"/>
          <w:sz w:val="20"/>
          <w:szCs w:val="20"/>
        </w:rPr>
        <w:t xml:space="preserve">difficulties in maintaining our company culture with </w:t>
      </w:r>
      <w:r>
        <w:rPr>
          <w:rFonts w:eastAsia="Times New Roman"/>
          <w:sz w:val="20"/>
          <w:szCs w:val="20"/>
        </w:rPr>
        <w:t>a dispersed and distant workforce</w:t>
      </w:r>
      <w:r>
        <w:rPr>
          <w:rFonts w:eastAsia="Times New Roman"/>
          <w:sz w:val="20"/>
          <w:szCs w:val="20"/>
        </w:rPr>
        <w:t>;</w:t>
      </w:r>
    </w:p>
    <w:p w14:paraId="078BAA59" w14:textId="77777777" w:rsidR="00000000" w:rsidRDefault="003C49E9">
      <w:pPr>
        <w:divId w:val="2025521850"/>
        <w:rPr>
          <w:rFonts w:eastAsia="Times New Roman"/>
        </w:rPr>
      </w:pPr>
      <w:r>
        <w:rPr>
          <w:rFonts w:eastAsia="Times New Roman"/>
          <w:sz w:val="20"/>
          <w:szCs w:val="20"/>
        </w:rPr>
        <w:t>•</w:t>
      </w:r>
    </w:p>
    <w:p w14:paraId="1412D82D" w14:textId="77777777" w:rsidR="00000000" w:rsidRDefault="003C49E9">
      <w:pPr>
        <w:divId w:val="54427600"/>
        <w:rPr>
          <w:rFonts w:eastAsia="Times New Roman"/>
        </w:rPr>
      </w:pPr>
      <w:r>
        <w:rPr>
          <w:rFonts w:eastAsia="Times New Roman"/>
          <w:sz w:val="20"/>
          <w:szCs w:val="20"/>
        </w:rPr>
        <w:t>more stringent regulations relating to data security and the unauthorized use of, or access to, commercial and personal data, particularly in the European Union</w:t>
      </w:r>
      <w:r>
        <w:rPr>
          <w:rFonts w:eastAsia="Times New Roman"/>
          <w:sz w:val="20"/>
          <w:szCs w:val="20"/>
        </w:rPr>
        <w:t>;</w:t>
      </w:r>
    </w:p>
    <w:p w14:paraId="31FBE089" w14:textId="77777777" w:rsidR="00000000" w:rsidRDefault="003C49E9">
      <w:pPr>
        <w:divId w:val="1947153775"/>
        <w:rPr>
          <w:rFonts w:eastAsia="Times New Roman"/>
        </w:rPr>
      </w:pPr>
      <w:r>
        <w:rPr>
          <w:rFonts w:eastAsia="Times New Roman"/>
          <w:sz w:val="20"/>
          <w:szCs w:val="20"/>
        </w:rPr>
        <w:t>•</w:t>
      </w:r>
    </w:p>
    <w:p w14:paraId="26E1A55D" w14:textId="77777777" w:rsidR="00000000" w:rsidRDefault="003C49E9">
      <w:pPr>
        <w:divId w:val="569996906"/>
        <w:rPr>
          <w:rFonts w:eastAsia="Times New Roman"/>
        </w:rPr>
      </w:pPr>
      <w:r>
        <w:rPr>
          <w:rFonts w:eastAsia="Times New Roman"/>
          <w:sz w:val="20"/>
          <w:szCs w:val="20"/>
        </w:rPr>
        <w:t>unexpected changes in regulatory requirements, taxes or</w:t>
      </w:r>
      <w:r>
        <w:rPr>
          <w:rFonts w:eastAsia="Times New Roman"/>
          <w:sz w:val="20"/>
          <w:szCs w:val="20"/>
        </w:rPr>
        <w:t xml:space="preserve"> trade laws</w:t>
      </w:r>
      <w:r>
        <w:rPr>
          <w:rFonts w:eastAsia="Times New Roman"/>
          <w:sz w:val="20"/>
          <w:szCs w:val="20"/>
        </w:rPr>
        <w:t>;</w:t>
      </w:r>
    </w:p>
    <w:p w14:paraId="3991A01A" w14:textId="77777777" w:rsidR="00000000" w:rsidRDefault="003C49E9">
      <w:pPr>
        <w:pStyle w:val="a3"/>
        <w:spacing w:before="240" w:beforeAutospacing="0" w:after="0" w:afterAutospacing="0"/>
        <w:jc w:val="center"/>
        <w:rPr>
          <w:sz w:val="20"/>
          <w:szCs w:val="20"/>
        </w:rPr>
      </w:pPr>
      <w:r>
        <w:rPr>
          <w:sz w:val="20"/>
          <w:szCs w:val="20"/>
        </w:rPr>
        <w:t>3</w:t>
      </w:r>
      <w:r>
        <w:rPr>
          <w:sz w:val="20"/>
          <w:szCs w:val="20"/>
        </w:rPr>
        <w:t>9</w:t>
      </w:r>
    </w:p>
    <w:p w14:paraId="22B7CB95" w14:textId="77777777" w:rsidR="00000000" w:rsidRDefault="003C49E9">
      <w:pPr>
        <w:rPr>
          <w:rFonts w:eastAsia="Times New Roman"/>
        </w:rPr>
      </w:pPr>
      <w:r>
        <w:rPr>
          <w:rFonts w:eastAsia="Times New Roman"/>
        </w:rPr>
        <w:pict w14:anchorId="4914CCE8">
          <v:rect id="_x0000_i1063" style="width:0;height:1.5pt" o:hralign="center" o:hrstd="t" o:hr="t" fillcolor="#a0a0a0" stroked="f"/>
        </w:pict>
      </w:r>
    </w:p>
    <w:p w14:paraId="0009C735" w14:textId="77777777" w:rsidR="00000000" w:rsidRDefault="003C49E9">
      <w:pPr>
        <w:pStyle w:val="a3"/>
        <w:spacing w:before="0" w:beforeAutospacing="0" w:after="0" w:afterAutospacing="0"/>
        <w:rPr>
          <w:sz w:val="20"/>
          <w:szCs w:val="20"/>
        </w:rPr>
      </w:pPr>
      <w:r>
        <w:rPr>
          <w:sz w:val="20"/>
          <w:szCs w:val="20"/>
        </w:rPr>
        <w:t> </w:t>
      </w:r>
    </w:p>
    <w:p w14:paraId="122BF8F3" w14:textId="77777777" w:rsidR="00000000" w:rsidRDefault="003C49E9">
      <w:pPr>
        <w:divId w:val="2133671759"/>
        <w:rPr>
          <w:rFonts w:eastAsia="Times New Roman"/>
        </w:rPr>
      </w:pPr>
      <w:r>
        <w:rPr>
          <w:rFonts w:eastAsia="Times New Roman"/>
          <w:sz w:val="20"/>
          <w:szCs w:val="20"/>
        </w:rPr>
        <w:t>•</w:t>
      </w:r>
    </w:p>
    <w:p w14:paraId="3BFA3AB3" w14:textId="77777777" w:rsidR="00000000" w:rsidRDefault="003C49E9">
      <w:pPr>
        <w:divId w:val="2007125154"/>
        <w:rPr>
          <w:rFonts w:eastAsia="Times New Roman"/>
        </w:rPr>
      </w:pPr>
      <w:r>
        <w:rPr>
          <w:rFonts w:eastAsia="Times New Roman"/>
          <w:sz w:val="20"/>
          <w:szCs w:val="20"/>
        </w:rPr>
        <w:t>differing labor regulations, especially in the European Union, where labor laws are generally more advantageous to employees as compared to the United States, including deemed hourly wage and overtime</w:t>
      </w:r>
      <w:r>
        <w:rPr>
          <w:rFonts w:eastAsia="Times New Roman"/>
          <w:sz w:val="20"/>
          <w:szCs w:val="20"/>
        </w:rPr>
        <w:t xml:space="preserve"> regulations in these locations</w:t>
      </w:r>
      <w:r>
        <w:rPr>
          <w:rFonts w:eastAsia="Times New Roman"/>
          <w:sz w:val="20"/>
          <w:szCs w:val="20"/>
        </w:rPr>
        <w:t>;</w:t>
      </w:r>
    </w:p>
    <w:p w14:paraId="09AAC3E9" w14:textId="77777777" w:rsidR="00000000" w:rsidRDefault="003C49E9">
      <w:pPr>
        <w:divId w:val="1994945293"/>
        <w:rPr>
          <w:rFonts w:eastAsia="Times New Roman"/>
        </w:rPr>
      </w:pPr>
      <w:r>
        <w:rPr>
          <w:rFonts w:eastAsia="Times New Roman"/>
          <w:sz w:val="20"/>
          <w:szCs w:val="20"/>
        </w:rPr>
        <w:t>•</w:t>
      </w:r>
    </w:p>
    <w:p w14:paraId="772A6B9A" w14:textId="77777777" w:rsidR="00000000" w:rsidRDefault="003C49E9">
      <w:pPr>
        <w:divId w:val="1375539257"/>
        <w:rPr>
          <w:rFonts w:eastAsia="Times New Roman"/>
        </w:rPr>
      </w:pPr>
      <w:r>
        <w:rPr>
          <w:rFonts w:eastAsia="Times New Roman"/>
          <w:sz w:val="20"/>
          <w:szCs w:val="20"/>
        </w:rPr>
        <w:t>challenges inherent in efficiently managing an increased number of employees over large geographic distances, including the need to implement appropriate systems, policies, benefits and compliance programs</w:t>
      </w:r>
      <w:r>
        <w:rPr>
          <w:rFonts w:eastAsia="Times New Roman"/>
          <w:sz w:val="20"/>
          <w:szCs w:val="20"/>
        </w:rPr>
        <w:t>;</w:t>
      </w:r>
    </w:p>
    <w:p w14:paraId="316EE85C" w14:textId="77777777" w:rsidR="00000000" w:rsidRDefault="003C49E9">
      <w:pPr>
        <w:divId w:val="1606575596"/>
        <w:rPr>
          <w:rFonts w:eastAsia="Times New Roman"/>
        </w:rPr>
      </w:pPr>
      <w:r>
        <w:rPr>
          <w:rFonts w:eastAsia="Times New Roman"/>
          <w:sz w:val="20"/>
          <w:szCs w:val="20"/>
        </w:rPr>
        <w:t>•</w:t>
      </w:r>
    </w:p>
    <w:p w14:paraId="06D4DD2E" w14:textId="77777777" w:rsidR="00000000" w:rsidRDefault="003C49E9">
      <w:pPr>
        <w:divId w:val="1424380869"/>
        <w:rPr>
          <w:rFonts w:eastAsia="Times New Roman"/>
        </w:rPr>
      </w:pPr>
      <w:r>
        <w:rPr>
          <w:rFonts w:eastAsia="Times New Roman"/>
          <w:sz w:val="20"/>
          <w:szCs w:val="20"/>
        </w:rPr>
        <w:t>difficulties in managing a business in new markets with diverse cultures, languages, customs, legal systems, alternative dispute systems and regulatory systems</w:t>
      </w:r>
      <w:r>
        <w:rPr>
          <w:rFonts w:eastAsia="Times New Roman"/>
          <w:sz w:val="20"/>
          <w:szCs w:val="20"/>
        </w:rPr>
        <w:t>;</w:t>
      </w:r>
    </w:p>
    <w:p w14:paraId="2F35D354" w14:textId="77777777" w:rsidR="00000000" w:rsidRDefault="003C49E9">
      <w:pPr>
        <w:divId w:val="1176767828"/>
        <w:rPr>
          <w:rFonts w:eastAsia="Times New Roman"/>
        </w:rPr>
      </w:pPr>
      <w:r>
        <w:rPr>
          <w:rFonts w:eastAsia="Times New Roman"/>
          <w:sz w:val="20"/>
          <w:szCs w:val="20"/>
        </w:rPr>
        <w:t>•</w:t>
      </w:r>
    </w:p>
    <w:p w14:paraId="3EF8F809" w14:textId="77777777" w:rsidR="00000000" w:rsidRDefault="003C49E9">
      <w:pPr>
        <w:divId w:val="1141536518"/>
        <w:rPr>
          <w:rFonts w:eastAsia="Times New Roman"/>
        </w:rPr>
      </w:pPr>
      <w:r>
        <w:rPr>
          <w:rFonts w:eastAsia="Times New Roman"/>
          <w:sz w:val="20"/>
          <w:szCs w:val="20"/>
        </w:rPr>
        <w:t>currency exchange rate fluctuations and the resulting effect on our revenue and expenses, and</w:t>
      </w:r>
      <w:r>
        <w:rPr>
          <w:rFonts w:eastAsia="Times New Roman"/>
          <w:sz w:val="20"/>
          <w:szCs w:val="20"/>
        </w:rPr>
        <w:t xml:space="preserve"> the cost and risk of entering into hedging transactions if we chose to do so in the future</w:t>
      </w:r>
      <w:r>
        <w:rPr>
          <w:rFonts w:eastAsia="Times New Roman"/>
          <w:sz w:val="20"/>
          <w:szCs w:val="20"/>
        </w:rPr>
        <w:t>;</w:t>
      </w:r>
    </w:p>
    <w:p w14:paraId="705045C9" w14:textId="77777777" w:rsidR="00000000" w:rsidRDefault="003C49E9">
      <w:pPr>
        <w:divId w:val="1590119726"/>
        <w:rPr>
          <w:rFonts w:eastAsia="Times New Roman"/>
        </w:rPr>
      </w:pPr>
      <w:r>
        <w:rPr>
          <w:rFonts w:eastAsia="Times New Roman"/>
          <w:sz w:val="20"/>
          <w:szCs w:val="20"/>
        </w:rPr>
        <w:t>•</w:t>
      </w:r>
    </w:p>
    <w:p w14:paraId="52922C06" w14:textId="77777777" w:rsidR="00000000" w:rsidRDefault="003C49E9">
      <w:pPr>
        <w:divId w:val="1777946228"/>
        <w:rPr>
          <w:rFonts w:eastAsia="Times New Roman"/>
        </w:rPr>
      </w:pPr>
      <w:r>
        <w:rPr>
          <w:rFonts w:eastAsia="Times New Roman"/>
          <w:sz w:val="20"/>
          <w:szCs w:val="20"/>
        </w:rPr>
        <w:t>global economic uncertainty caused by global political events and similar geopolitical developments</w:t>
      </w:r>
      <w:r>
        <w:rPr>
          <w:rFonts w:eastAsia="Times New Roman"/>
          <w:sz w:val="20"/>
          <w:szCs w:val="20"/>
        </w:rPr>
        <w:t>;</w:t>
      </w:r>
    </w:p>
    <w:p w14:paraId="4CAFD3B2" w14:textId="77777777" w:rsidR="00000000" w:rsidRDefault="003C49E9">
      <w:pPr>
        <w:divId w:val="341009450"/>
        <w:rPr>
          <w:rFonts w:eastAsia="Times New Roman"/>
        </w:rPr>
      </w:pPr>
      <w:r>
        <w:rPr>
          <w:rFonts w:eastAsia="Times New Roman"/>
          <w:sz w:val="20"/>
          <w:szCs w:val="20"/>
        </w:rPr>
        <w:t>•</w:t>
      </w:r>
    </w:p>
    <w:p w14:paraId="105934A0" w14:textId="77777777" w:rsidR="00000000" w:rsidRDefault="003C49E9">
      <w:pPr>
        <w:divId w:val="254170052"/>
        <w:rPr>
          <w:rFonts w:eastAsia="Times New Roman"/>
        </w:rPr>
      </w:pPr>
      <w:r>
        <w:rPr>
          <w:rFonts w:eastAsia="Times New Roman"/>
          <w:sz w:val="20"/>
          <w:szCs w:val="20"/>
        </w:rPr>
        <w:t>limitations on our ability to reinvest earnings from opera</w:t>
      </w:r>
      <w:r>
        <w:rPr>
          <w:rFonts w:eastAsia="Times New Roman"/>
          <w:sz w:val="20"/>
          <w:szCs w:val="20"/>
        </w:rPr>
        <w:t>tions in one country to fund the capital needs of our operations in other countries</w:t>
      </w:r>
      <w:r>
        <w:rPr>
          <w:rFonts w:eastAsia="Times New Roman"/>
          <w:sz w:val="20"/>
          <w:szCs w:val="20"/>
        </w:rPr>
        <w:t>;</w:t>
      </w:r>
    </w:p>
    <w:p w14:paraId="49449340" w14:textId="77777777" w:rsidR="00000000" w:rsidRDefault="003C49E9">
      <w:pPr>
        <w:divId w:val="1459109022"/>
        <w:rPr>
          <w:rFonts w:eastAsia="Times New Roman"/>
        </w:rPr>
      </w:pPr>
      <w:r>
        <w:rPr>
          <w:rFonts w:eastAsia="Times New Roman"/>
          <w:sz w:val="20"/>
          <w:szCs w:val="20"/>
        </w:rPr>
        <w:t>•</w:t>
      </w:r>
    </w:p>
    <w:p w14:paraId="66D1CFC5" w14:textId="77777777" w:rsidR="00000000" w:rsidRDefault="003C49E9">
      <w:pPr>
        <w:divId w:val="1035696799"/>
        <w:rPr>
          <w:rFonts w:eastAsia="Times New Roman"/>
        </w:rPr>
      </w:pPr>
      <w:r>
        <w:rPr>
          <w:rFonts w:eastAsia="Times New Roman"/>
          <w:sz w:val="20"/>
          <w:szCs w:val="20"/>
        </w:rPr>
        <w:t>limited or insufficient intellectual property protection</w:t>
      </w:r>
      <w:r>
        <w:rPr>
          <w:rFonts w:eastAsia="Times New Roman"/>
          <w:sz w:val="20"/>
          <w:szCs w:val="20"/>
        </w:rPr>
        <w:t>;</w:t>
      </w:r>
    </w:p>
    <w:p w14:paraId="1A1CAA63" w14:textId="77777777" w:rsidR="00000000" w:rsidRDefault="003C49E9">
      <w:pPr>
        <w:divId w:val="732239980"/>
        <w:rPr>
          <w:rFonts w:eastAsia="Times New Roman"/>
        </w:rPr>
      </w:pPr>
      <w:r>
        <w:rPr>
          <w:rFonts w:eastAsia="Times New Roman"/>
          <w:sz w:val="20"/>
          <w:szCs w:val="20"/>
        </w:rPr>
        <w:t>•</w:t>
      </w:r>
    </w:p>
    <w:p w14:paraId="58C14811" w14:textId="77777777" w:rsidR="00000000" w:rsidRDefault="003C49E9">
      <w:pPr>
        <w:divId w:val="379523354"/>
        <w:rPr>
          <w:rFonts w:eastAsia="Times New Roman"/>
        </w:rPr>
      </w:pPr>
      <w:r>
        <w:rPr>
          <w:rFonts w:eastAsia="Times New Roman"/>
          <w:sz w:val="20"/>
          <w:szCs w:val="20"/>
        </w:rPr>
        <w:t>international disputes, wars (such as the conflict between Russia and Ukraine), political instability or terr</w:t>
      </w:r>
      <w:r>
        <w:rPr>
          <w:rFonts w:eastAsia="Times New Roman"/>
          <w:sz w:val="20"/>
          <w:szCs w:val="20"/>
        </w:rPr>
        <w:t>orist activities and resulting economic instability;</w:t>
      </w:r>
      <w:r>
        <w:rPr>
          <w:rFonts w:eastAsia="Times New Roman"/>
          <w:sz w:val="20"/>
          <w:szCs w:val="20"/>
        </w:rPr>
        <w:t xml:space="preserve"> </w:t>
      </w:r>
    </w:p>
    <w:p w14:paraId="09F6A58C" w14:textId="77777777" w:rsidR="00000000" w:rsidRDefault="003C49E9">
      <w:pPr>
        <w:divId w:val="1868255224"/>
        <w:rPr>
          <w:rFonts w:eastAsia="Times New Roman"/>
        </w:rPr>
      </w:pPr>
      <w:r>
        <w:rPr>
          <w:rFonts w:eastAsia="Times New Roman"/>
          <w:sz w:val="20"/>
          <w:szCs w:val="20"/>
        </w:rPr>
        <w:t>•</w:t>
      </w:r>
    </w:p>
    <w:p w14:paraId="56399884" w14:textId="77777777" w:rsidR="00000000" w:rsidRDefault="003C49E9">
      <w:pPr>
        <w:divId w:val="1845125210"/>
        <w:rPr>
          <w:rFonts w:eastAsia="Times New Roman"/>
        </w:rPr>
      </w:pPr>
      <w:r>
        <w:rPr>
          <w:rFonts w:eastAsia="Times New Roman"/>
          <w:sz w:val="20"/>
          <w:szCs w:val="20"/>
        </w:rPr>
        <w:t>likelihood of potential or actual violations of domestic and international anticorruption laws, such as the U.S. Foreign Corrupt Practices Act and the U.K. Bribery Act, or of U.S. and international ex</w:t>
      </w:r>
      <w:r>
        <w:rPr>
          <w:rFonts w:eastAsia="Times New Roman"/>
          <w:sz w:val="20"/>
          <w:szCs w:val="20"/>
        </w:rPr>
        <w:t>port control and sanctions regulations, which likelihood may increase with an increase of sales or operations in foreign jurisdictions and operations in certain industries; an</w:t>
      </w:r>
      <w:r>
        <w:rPr>
          <w:rFonts w:eastAsia="Times New Roman"/>
          <w:sz w:val="20"/>
          <w:szCs w:val="20"/>
        </w:rPr>
        <w:t>d</w:t>
      </w:r>
    </w:p>
    <w:p w14:paraId="7A9CE3AE" w14:textId="77777777" w:rsidR="00000000" w:rsidRDefault="003C49E9">
      <w:pPr>
        <w:divId w:val="1292054403"/>
        <w:rPr>
          <w:rFonts w:eastAsia="Times New Roman"/>
        </w:rPr>
      </w:pPr>
      <w:r>
        <w:rPr>
          <w:rFonts w:eastAsia="Times New Roman"/>
          <w:sz w:val="20"/>
          <w:szCs w:val="20"/>
        </w:rPr>
        <w:t>•</w:t>
      </w:r>
    </w:p>
    <w:p w14:paraId="6FD78158" w14:textId="77777777" w:rsidR="00000000" w:rsidRDefault="003C49E9">
      <w:pPr>
        <w:divId w:val="1998070104"/>
        <w:rPr>
          <w:rFonts w:eastAsia="Times New Roman"/>
        </w:rPr>
      </w:pPr>
      <w:r>
        <w:rPr>
          <w:rFonts w:eastAsia="Times New Roman"/>
          <w:sz w:val="20"/>
          <w:szCs w:val="20"/>
        </w:rPr>
        <w:t>adverse tax burdens and foreign exchange controls that could make it difficul</w:t>
      </w:r>
      <w:r>
        <w:rPr>
          <w:rFonts w:eastAsia="Times New Roman"/>
          <w:sz w:val="20"/>
          <w:szCs w:val="20"/>
        </w:rPr>
        <w:t>t to repatriate earnings and cash</w:t>
      </w:r>
      <w:r>
        <w:rPr>
          <w:rFonts w:eastAsia="Times New Roman"/>
          <w:sz w:val="20"/>
          <w:szCs w:val="20"/>
        </w:rPr>
        <w:t>.</w:t>
      </w:r>
    </w:p>
    <w:p w14:paraId="398A05FB" w14:textId="77777777" w:rsidR="00000000" w:rsidRDefault="003C49E9">
      <w:pPr>
        <w:pStyle w:val="a3"/>
        <w:spacing w:before="200" w:beforeAutospacing="0" w:after="0" w:afterAutospacing="0"/>
        <w:ind w:firstLine="555"/>
        <w:rPr>
          <w:sz w:val="20"/>
          <w:szCs w:val="20"/>
        </w:rPr>
      </w:pPr>
      <w:r>
        <w:rPr>
          <w:sz w:val="20"/>
          <w:szCs w:val="20"/>
        </w:rPr>
        <w:t xml:space="preserve">Our limited experience in operating our business internationally increases the risk that any potential future expansion efforts that we may undertake will not be successful. If we invest substantial time and resources to </w:t>
      </w:r>
      <w:r>
        <w:rPr>
          <w:sz w:val="20"/>
          <w:szCs w:val="20"/>
        </w:rPr>
        <w:t>expand our international operations and are unable to do so successfully and in a timely manner, our business and operating results will suffer. We continue to implement policies and procedures to facilitate our compliance with U.S. laws and regulations ap</w:t>
      </w:r>
      <w:r>
        <w:rPr>
          <w:sz w:val="20"/>
          <w:szCs w:val="20"/>
        </w:rPr>
        <w:t>plicable to or arising from our international business. Inadequacies in our past or current compliance practices may increase the risk of inadvertent violations of such laws and regulations, which could lead to financial and other penalties that could dama</w:t>
      </w:r>
      <w:r>
        <w:rPr>
          <w:sz w:val="20"/>
          <w:szCs w:val="20"/>
        </w:rPr>
        <w:t>ge our reputation and impose costs on us</w:t>
      </w:r>
      <w:r>
        <w:rPr>
          <w:sz w:val="20"/>
          <w:szCs w:val="20"/>
        </w:rPr>
        <w:t>.</w:t>
      </w:r>
    </w:p>
    <w:p w14:paraId="7F142F25" w14:textId="77777777" w:rsidR="00000000" w:rsidRDefault="003C49E9">
      <w:pPr>
        <w:pStyle w:val="a3"/>
        <w:spacing w:before="200" w:beforeAutospacing="0" w:after="0" w:afterAutospacing="0"/>
        <w:rPr>
          <w:sz w:val="20"/>
          <w:szCs w:val="20"/>
        </w:rPr>
      </w:pPr>
      <w:r>
        <w:rPr>
          <w:sz w:val="20"/>
          <w:szCs w:val="20"/>
        </w:rPr>
        <w:t> </w:t>
      </w:r>
    </w:p>
    <w:p w14:paraId="44618ACA" w14:textId="77777777" w:rsidR="00000000" w:rsidRDefault="003C49E9">
      <w:pPr>
        <w:pStyle w:val="a3"/>
        <w:spacing w:before="200" w:beforeAutospacing="0" w:after="0" w:afterAutospacing="0"/>
        <w:rPr>
          <w:sz w:val="20"/>
          <w:szCs w:val="20"/>
        </w:rPr>
      </w:pPr>
      <w:r>
        <w:rPr>
          <w:b/>
          <w:bCs/>
          <w:sz w:val="20"/>
          <w:szCs w:val="20"/>
        </w:rPr>
        <w:t>Risks Related to Employee Matter</w:t>
      </w:r>
      <w:r>
        <w:rPr>
          <w:b/>
          <w:bCs/>
          <w:sz w:val="20"/>
          <w:szCs w:val="20"/>
        </w:rPr>
        <w:t>s</w:t>
      </w:r>
    </w:p>
    <w:p w14:paraId="6D163408" w14:textId="77777777" w:rsidR="00000000" w:rsidRDefault="003C49E9">
      <w:pPr>
        <w:pStyle w:val="a3"/>
        <w:spacing w:before="200" w:beforeAutospacing="0" w:after="0" w:afterAutospacing="0"/>
        <w:rPr>
          <w:sz w:val="20"/>
          <w:szCs w:val="20"/>
        </w:rPr>
      </w:pPr>
      <w:r>
        <w:rPr>
          <w:b/>
          <w:bCs/>
          <w:i/>
          <w:iCs/>
          <w:sz w:val="20"/>
          <w:szCs w:val="20"/>
        </w:rPr>
        <w:t>If we cannot maintain our company culture as we grow, we could lose the innovation, teamwork, passion and focus on execution that we believe contribute to our success and our bus</w:t>
      </w:r>
      <w:r>
        <w:rPr>
          <w:b/>
          <w:bCs/>
          <w:i/>
          <w:iCs/>
          <w:sz w:val="20"/>
          <w:szCs w:val="20"/>
        </w:rPr>
        <w:t>iness may be harmed</w:t>
      </w:r>
      <w:r>
        <w:rPr>
          <w:b/>
          <w:bCs/>
          <w:i/>
          <w:iCs/>
          <w:sz w:val="20"/>
          <w:szCs w:val="20"/>
        </w:rPr>
        <w:t>.</w:t>
      </w:r>
    </w:p>
    <w:p w14:paraId="07D71025" w14:textId="77777777" w:rsidR="00000000" w:rsidRDefault="003C49E9">
      <w:pPr>
        <w:pStyle w:val="a3"/>
        <w:spacing w:before="200" w:beforeAutospacing="0" w:after="0" w:afterAutospacing="0"/>
        <w:ind w:firstLine="555"/>
        <w:rPr>
          <w:sz w:val="20"/>
          <w:szCs w:val="20"/>
        </w:rPr>
      </w:pPr>
      <w:r>
        <w:rPr>
          <w:sz w:val="20"/>
          <w:szCs w:val="20"/>
        </w:rPr>
        <w:t>We believe that a critical component to our success has been our company culture, which is based on transparency and personal autonomy. We have invested substantial time and resources in building our team within this company culture. I</w:t>
      </w:r>
      <w:r>
        <w:rPr>
          <w:sz w:val="20"/>
          <w:szCs w:val="20"/>
        </w:rPr>
        <w:t>n 2020, we made the decision to permanently move to a hybrid workplace model, which means our employees have the option to be fully remote, work full-time from one of our offices, or work both in the office and remotely. Preservation of our corporate cultu</w:t>
      </w:r>
      <w:r>
        <w:rPr>
          <w:sz w:val="20"/>
          <w:szCs w:val="20"/>
        </w:rPr>
        <w:t>re has been made more difficult as a majority of our work force has been working from home in connection with our hybrid workplace model. Any failure to preserve our culture could negatively affect our ability to retain and recruit personnel and to effecti</w:t>
      </w:r>
      <w:r>
        <w:rPr>
          <w:sz w:val="20"/>
          <w:szCs w:val="20"/>
        </w:rPr>
        <w:t>vely focus on and pursue our corporate objectives. As we grow and continue to develop our company infrastructure, we may find it difficult to maintain these important aspects of our company culture and our business may be adversely impacted.</w:t>
      </w:r>
      <w:r>
        <w:rPr>
          <w:sz w:val="20"/>
          <w:szCs w:val="20"/>
        </w:rPr>
        <w:br/>
      </w:r>
      <w:r>
        <w:rPr>
          <w:sz w:val="20"/>
          <w:szCs w:val="20"/>
        </w:rPr>
        <w:br/>
      </w:r>
      <w:r>
        <w:rPr>
          <w:b/>
          <w:bCs/>
          <w:i/>
          <w:iCs/>
          <w:sz w:val="20"/>
          <w:szCs w:val="20"/>
        </w:rPr>
        <w:t>We rely on ou</w:t>
      </w:r>
      <w:r>
        <w:rPr>
          <w:b/>
          <w:bCs/>
          <w:i/>
          <w:iCs/>
          <w:sz w:val="20"/>
          <w:szCs w:val="20"/>
        </w:rPr>
        <w:t>r management team and other key employees, and the loss of one or more key employees could harm our business</w:t>
      </w:r>
      <w:r>
        <w:rPr>
          <w:b/>
          <w:bCs/>
          <w:i/>
          <w:iCs/>
          <w:sz w:val="20"/>
          <w:szCs w:val="20"/>
        </w:rPr>
        <w:t>.</w:t>
      </w:r>
    </w:p>
    <w:p w14:paraId="60930B05" w14:textId="77777777" w:rsidR="00000000" w:rsidRDefault="003C49E9">
      <w:pPr>
        <w:pStyle w:val="a3"/>
        <w:spacing w:before="200" w:beforeAutospacing="0" w:after="0" w:afterAutospacing="0"/>
        <w:ind w:firstLine="555"/>
        <w:rPr>
          <w:sz w:val="20"/>
          <w:szCs w:val="20"/>
        </w:rPr>
      </w:pPr>
      <w:r>
        <w:rPr>
          <w:sz w:val="20"/>
          <w:szCs w:val="20"/>
        </w:rPr>
        <w:t>Our success and future growth depend upon the continued services of our management team, including our co-founders, Brian Halligan and Dharmesh Sh</w:t>
      </w:r>
      <w:r>
        <w:rPr>
          <w:sz w:val="20"/>
          <w:szCs w:val="20"/>
        </w:rPr>
        <w:t xml:space="preserve">ah, our chief executive officer, Yamini Rangan, and other key employees in the areas of research and development, marketing, sales, services, operations, content management, and general and administrative functions. From time to time, there may be changes </w:t>
      </w:r>
      <w:r>
        <w:rPr>
          <w:sz w:val="20"/>
          <w:szCs w:val="20"/>
        </w:rPr>
        <w:t xml:space="preserve">in our management team resulting from the hiring or departure of executives, which could disrupt our business. We also are dependent on the continued service of our existing software engineers and information technology personnel because of the complexity </w:t>
      </w:r>
      <w:r>
        <w:rPr>
          <w:sz w:val="20"/>
          <w:szCs w:val="20"/>
        </w:rPr>
        <w:t>of our platform, technologies and infrastructure. We may terminate any employee’s employment at any time, with or without cause, and any employee may resign at any time, with or without cause. We do not have employment agreements with any of our key person</w:t>
      </w:r>
      <w:r>
        <w:rPr>
          <w:sz w:val="20"/>
          <w:szCs w:val="20"/>
        </w:rPr>
        <w:t>nel. The loss of one or more of our key employees could harm ou</w:t>
      </w:r>
      <w:r>
        <w:rPr>
          <w:sz w:val="20"/>
          <w:szCs w:val="20"/>
        </w:rPr>
        <w:t>r</w:t>
      </w:r>
      <w:r>
        <w:rPr>
          <w:sz w:val="20"/>
          <w:szCs w:val="20"/>
        </w:rPr>
        <w:t xml:space="preserve"> </w:t>
      </w:r>
    </w:p>
    <w:p w14:paraId="041AA5C6"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0</w:t>
      </w:r>
    </w:p>
    <w:p w14:paraId="0D564013" w14:textId="77777777" w:rsidR="00000000" w:rsidRDefault="003C49E9">
      <w:pPr>
        <w:rPr>
          <w:rFonts w:eastAsia="Times New Roman"/>
        </w:rPr>
      </w:pPr>
      <w:r>
        <w:rPr>
          <w:rFonts w:eastAsia="Times New Roman"/>
        </w:rPr>
        <w:pict w14:anchorId="3E05C669">
          <v:rect id="_x0000_i1064" style="width:0;height:1.5pt" o:hralign="center" o:hrstd="t" o:hr="t" fillcolor="#a0a0a0" stroked="f"/>
        </w:pict>
      </w:r>
    </w:p>
    <w:p w14:paraId="40E4D3A5" w14:textId="77777777" w:rsidR="00000000" w:rsidRDefault="003C49E9">
      <w:pPr>
        <w:pStyle w:val="a3"/>
        <w:spacing w:before="0" w:beforeAutospacing="0" w:after="0" w:afterAutospacing="0"/>
        <w:rPr>
          <w:sz w:val="20"/>
          <w:szCs w:val="20"/>
        </w:rPr>
      </w:pPr>
      <w:r>
        <w:rPr>
          <w:sz w:val="20"/>
          <w:szCs w:val="20"/>
        </w:rPr>
        <w:t> </w:t>
      </w:r>
    </w:p>
    <w:p w14:paraId="25984A5E" w14:textId="77777777" w:rsidR="00000000" w:rsidRDefault="003C49E9">
      <w:pPr>
        <w:pStyle w:val="a3"/>
        <w:spacing w:before="200" w:beforeAutospacing="0" w:after="0" w:afterAutospacing="0"/>
        <w:rPr>
          <w:sz w:val="20"/>
          <w:szCs w:val="20"/>
        </w:rPr>
      </w:pPr>
      <w:r>
        <w:rPr>
          <w:sz w:val="20"/>
          <w:szCs w:val="20"/>
        </w:rPr>
        <w:t>business.</w:t>
      </w:r>
      <w:r>
        <w:rPr>
          <w:sz w:val="20"/>
          <w:szCs w:val="20"/>
        </w:rPr>
        <w:br/>
      </w:r>
      <w:r>
        <w:rPr>
          <w:sz w:val="20"/>
          <w:szCs w:val="20"/>
        </w:rPr>
        <w:br/>
      </w:r>
      <w:r>
        <w:rPr>
          <w:b/>
          <w:bCs/>
          <w:i/>
          <w:iCs/>
          <w:sz w:val="20"/>
          <w:szCs w:val="20"/>
        </w:rPr>
        <w:t>The failure to attract and retain additional qualified personnel could prevent us from executing our business strategy</w:t>
      </w:r>
      <w:r>
        <w:rPr>
          <w:b/>
          <w:bCs/>
          <w:i/>
          <w:iCs/>
          <w:sz w:val="20"/>
          <w:szCs w:val="20"/>
        </w:rPr>
        <w:t>.</w:t>
      </w:r>
    </w:p>
    <w:p w14:paraId="5E69C16D" w14:textId="77777777" w:rsidR="00000000" w:rsidRDefault="003C49E9">
      <w:pPr>
        <w:pStyle w:val="a3"/>
        <w:spacing w:before="200" w:beforeAutospacing="0" w:after="0" w:afterAutospacing="0"/>
        <w:ind w:firstLine="555"/>
        <w:rPr>
          <w:sz w:val="20"/>
          <w:szCs w:val="20"/>
        </w:rPr>
      </w:pPr>
      <w:r>
        <w:rPr>
          <w:sz w:val="20"/>
          <w:szCs w:val="20"/>
        </w:rPr>
        <w:t>To execute our business strategy, we must attract and retain highly qualified personnel. In particular, we compete with many other compa</w:t>
      </w:r>
      <w:r>
        <w:rPr>
          <w:sz w:val="20"/>
          <w:szCs w:val="20"/>
        </w:rPr>
        <w:t>nies for software developers with high levels of experience in designing, developing and managing cloud-based software, as well as for skilled information technology, marketing, sales and operations professionals, and we may not be successful in attracting</w:t>
      </w:r>
      <w:r>
        <w:rPr>
          <w:sz w:val="20"/>
          <w:szCs w:val="20"/>
        </w:rPr>
        <w:t xml:space="preserve"> and retaining the professionals we need. Also, inbound sales, marketing, services, operations, and content management domain experts are very important to our success and are difficult to replace. We have from time to time in the past experienced, and we </w:t>
      </w:r>
      <w:r>
        <w:rPr>
          <w:sz w:val="20"/>
          <w:szCs w:val="20"/>
        </w:rPr>
        <w:t>expect to continue to experience in the future, difficulty in hiring and difficulty in retaining highly skilled employees with appropriate qualifications. In particular, we have experienced a competitive hiring environment in the Greater Boston area, where</w:t>
      </w:r>
      <w:r>
        <w:rPr>
          <w:sz w:val="20"/>
          <w:szCs w:val="20"/>
        </w:rPr>
        <w:t xml:space="preserve"> we are headquartered and will continue to experience a competitive hiring environment as we recruit for remote talent worldwide. Many of the companies with which we compete for experienced personnel have greater resources than we do. The change by compani</w:t>
      </w:r>
      <w:r>
        <w:rPr>
          <w:sz w:val="20"/>
          <w:szCs w:val="20"/>
        </w:rPr>
        <w:t>es to offer a remote or hybrid work environment may increase the competition for such employees from employers outside of our traditional office locations. In addition, if we choose to no longer offer a remote or hybrid work environment, we may face more d</w:t>
      </w:r>
      <w:r>
        <w:rPr>
          <w:sz w:val="20"/>
          <w:szCs w:val="20"/>
        </w:rPr>
        <w:t>ifficulty in retaining our workforce. Further, labor is subject to external factors that are beyond our control, including our industry’s highly competitive market for skilled workers and leaders, cost inflation, and workforce participation rates. In addit</w:t>
      </w:r>
      <w:r>
        <w:rPr>
          <w:sz w:val="20"/>
          <w:szCs w:val="20"/>
        </w:rPr>
        <w:t>ion, if our reputation were to be harmed, whether as a result of media, legislative, or regulatory scrutiny or otherwise, it could make it more difficult to attract and retain personnel that are critical to the success of our business</w:t>
      </w:r>
      <w:r>
        <w:rPr>
          <w:sz w:val="20"/>
          <w:szCs w:val="20"/>
        </w:rPr>
        <w:t>.</w:t>
      </w:r>
      <w:r>
        <w:rPr>
          <w:sz w:val="20"/>
          <w:szCs w:val="20"/>
        </w:rPr>
        <w:t xml:space="preserve"> </w:t>
      </w:r>
    </w:p>
    <w:p w14:paraId="1A2E652A" w14:textId="77777777" w:rsidR="00000000" w:rsidRDefault="003C49E9">
      <w:pPr>
        <w:pStyle w:val="a3"/>
        <w:spacing w:before="200" w:beforeAutospacing="0" w:after="0" w:afterAutospacing="0"/>
        <w:ind w:firstLine="555"/>
        <w:rPr>
          <w:sz w:val="20"/>
          <w:szCs w:val="20"/>
        </w:rPr>
      </w:pPr>
      <w:r>
        <w:rPr>
          <w:sz w:val="20"/>
          <w:szCs w:val="20"/>
        </w:rPr>
        <w:t>In addition, in mak</w:t>
      </w:r>
      <w:r>
        <w:rPr>
          <w:sz w:val="20"/>
          <w:szCs w:val="20"/>
        </w:rPr>
        <w:t>ing employment decisions, particularly in the software industry, job candidates often consider the value of the stock options or other equity incentives they are to receive in connection with their employment. If the price of our stock declines, or experie</w:t>
      </w:r>
      <w:r>
        <w:rPr>
          <w:sz w:val="20"/>
          <w:szCs w:val="20"/>
        </w:rPr>
        <w:t>nces significant volatility, our ability to attract or retain key employees will be adversely affected. If we fail to attract new personnel or fail to retain and motivate our current personnel, our growth prospects could be severely harmed</w:t>
      </w:r>
      <w:r>
        <w:rPr>
          <w:sz w:val="20"/>
          <w:szCs w:val="20"/>
        </w:rPr>
        <w:t>.</w:t>
      </w:r>
    </w:p>
    <w:p w14:paraId="00EBCBB0" w14:textId="77777777" w:rsidR="00000000" w:rsidRDefault="003C49E9">
      <w:pPr>
        <w:pStyle w:val="a3"/>
        <w:spacing w:before="200" w:beforeAutospacing="0" w:after="0" w:afterAutospacing="0"/>
        <w:rPr>
          <w:sz w:val="20"/>
          <w:szCs w:val="20"/>
        </w:rPr>
      </w:pPr>
      <w:r>
        <w:rPr>
          <w:sz w:val="20"/>
          <w:szCs w:val="20"/>
        </w:rPr>
        <w:t> </w:t>
      </w:r>
    </w:p>
    <w:p w14:paraId="70F1C0BA" w14:textId="77777777" w:rsidR="00000000" w:rsidRDefault="003C49E9">
      <w:pPr>
        <w:pStyle w:val="a3"/>
        <w:spacing w:before="200" w:beforeAutospacing="0" w:after="0" w:afterAutospacing="0"/>
        <w:rPr>
          <w:sz w:val="20"/>
          <w:szCs w:val="20"/>
        </w:rPr>
      </w:pPr>
      <w:r>
        <w:rPr>
          <w:b/>
          <w:bCs/>
          <w:sz w:val="20"/>
          <w:szCs w:val="20"/>
        </w:rPr>
        <w:t>Risks Related</w:t>
      </w:r>
      <w:r>
        <w:rPr>
          <w:b/>
          <w:bCs/>
          <w:sz w:val="20"/>
          <w:szCs w:val="20"/>
        </w:rPr>
        <w:t xml:space="preserve"> to Global Economic Condition</w:t>
      </w:r>
      <w:r>
        <w:rPr>
          <w:b/>
          <w:bCs/>
          <w:sz w:val="20"/>
          <w:szCs w:val="20"/>
        </w:rPr>
        <w:t>s</w:t>
      </w:r>
    </w:p>
    <w:p w14:paraId="057B9CB5" w14:textId="77777777" w:rsidR="00000000" w:rsidRDefault="003C49E9">
      <w:pPr>
        <w:pStyle w:val="a3"/>
        <w:spacing w:before="200" w:beforeAutospacing="0" w:after="0" w:afterAutospacing="0"/>
        <w:rPr>
          <w:sz w:val="20"/>
          <w:szCs w:val="20"/>
        </w:rPr>
      </w:pPr>
      <w:r>
        <w:rPr>
          <w:b/>
          <w:bCs/>
          <w:i/>
          <w:iCs/>
          <w:sz w:val="20"/>
          <w:szCs w:val="20"/>
        </w:rPr>
        <w:t>We are exposed to fluctuations in currency exchange rates that could adversely affect our financial results</w:t>
      </w:r>
      <w:r>
        <w:rPr>
          <w:b/>
          <w:bCs/>
          <w:i/>
          <w:iCs/>
          <w:sz w:val="20"/>
          <w:szCs w:val="20"/>
        </w:rPr>
        <w:t>.</w:t>
      </w:r>
    </w:p>
    <w:p w14:paraId="72377171" w14:textId="77777777" w:rsidR="00000000" w:rsidRDefault="003C49E9">
      <w:pPr>
        <w:pStyle w:val="a3"/>
        <w:spacing w:before="200" w:beforeAutospacing="0" w:after="0" w:afterAutospacing="0"/>
        <w:ind w:firstLine="555"/>
        <w:rPr>
          <w:sz w:val="20"/>
          <w:szCs w:val="20"/>
        </w:rPr>
      </w:pPr>
      <w:r>
        <w:rPr>
          <w:sz w:val="20"/>
          <w:szCs w:val="20"/>
        </w:rPr>
        <w:t>We face exposure to movements in currency exchange rates, which may cause our revenue and operating results to diffe</w:t>
      </w:r>
      <w:r>
        <w:rPr>
          <w:sz w:val="20"/>
          <w:szCs w:val="20"/>
        </w:rPr>
        <w:t>r materially from expectations. As we have expanded our international operations, our exposure to exchange rate fluctuations has increased, in particular with respect to the Euro, British Pound Sterling, Australian Dollar, Singapore Dollar, Japanese Yen, C</w:t>
      </w:r>
      <w:r>
        <w:rPr>
          <w:sz w:val="20"/>
          <w:szCs w:val="20"/>
        </w:rPr>
        <w:t>olombian Peso, and Canadian Dollar. Fluctuations in the value of the U.S. dollar versus foreign currencies may impact our operating results when translated into U.S. dollars. Thus, our results of operations and cash flows are subject to fluctuations due to</w:t>
      </w:r>
      <w:r>
        <w:rPr>
          <w:sz w:val="20"/>
          <w:szCs w:val="20"/>
        </w:rPr>
        <w:t xml:space="preserve"> changes in foreign currency exchange rates and may be adversely affected in the future due to changes in foreign currency exchange rates. As exchange rates vary, revenue, cost of revenue, operating expenses and other operating results, when re-measured, m</w:t>
      </w:r>
      <w:r>
        <w:rPr>
          <w:sz w:val="20"/>
          <w:szCs w:val="20"/>
        </w:rPr>
        <w:t>ay differ materially from expectations. In addition, our operating results are subject to fluctuation if our mix of U.S. and foreign currency denominated transactions and expenses changes in the future. While we have limited currency exchange exposure to t</w:t>
      </w:r>
      <w:r>
        <w:rPr>
          <w:sz w:val="20"/>
          <w:szCs w:val="20"/>
        </w:rPr>
        <w:t>he Russian, Belarusian and Ukrainian currencies, we expect exchange rates with respect to these currencies to be volatile and other exchange rates may also be more volatile than normal as a result of the ongoing conflict between Russia and Ukraine. Such vo</w:t>
      </w:r>
      <w:r>
        <w:rPr>
          <w:sz w:val="20"/>
          <w:szCs w:val="20"/>
        </w:rPr>
        <w:t>latility, even when it increases our revenues or decreases our expenses, impacts our ability to predict our future results and earnings accurately. Although we may apply certain strategies to mitigate foreign currency risk, these strategies might not elimi</w:t>
      </w:r>
      <w:r>
        <w:rPr>
          <w:sz w:val="20"/>
          <w:szCs w:val="20"/>
        </w:rPr>
        <w:t>nate our exposure to foreign exchange rate fluctuations and would involve costs and risks of their own, such as ongoing management time and expertise, external costs to implement the strategies and potential accounting implications. Additionally, as we ant</w:t>
      </w:r>
      <w:r>
        <w:rPr>
          <w:sz w:val="20"/>
          <w:szCs w:val="20"/>
        </w:rPr>
        <w:t>icipate growing our business further outside of the United States, the effects of movements in currency exchange rates will increase as our transaction volume outside of the United States increases</w:t>
      </w:r>
      <w:r>
        <w:rPr>
          <w:sz w:val="20"/>
          <w:szCs w:val="20"/>
        </w:rPr>
        <w:t>.</w:t>
      </w:r>
    </w:p>
    <w:p w14:paraId="5407E3E7" w14:textId="77777777" w:rsidR="00000000" w:rsidRDefault="003C49E9">
      <w:pPr>
        <w:pStyle w:val="a3"/>
        <w:spacing w:before="200" w:beforeAutospacing="0" w:after="0" w:afterAutospacing="0"/>
        <w:rPr>
          <w:sz w:val="20"/>
          <w:szCs w:val="20"/>
        </w:rPr>
      </w:pPr>
      <w:r>
        <w:rPr>
          <w:b/>
          <w:bCs/>
          <w:i/>
          <w:iCs/>
          <w:sz w:val="20"/>
          <w:szCs w:val="20"/>
        </w:rPr>
        <w:t>Weakened global economic conditions may harm our industry</w:t>
      </w:r>
      <w:r>
        <w:rPr>
          <w:b/>
          <w:bCs/>
          <w:i/>
          <w:iCs/>
          <w:sz w:val="20"/>
          <w:szCs w:val="20"/>
        </w:rPr>
        <w:t>, business and results of operations</w:t>
      </w:r>
      <w:r>
        <w:rPr>
          <w:b/>
          <w:bCs/>
          <w:i/>
          <w:iCs/>
          <w:sz w:val="20"/>
          <w:szCs w:val="20"/>
        </w:rPr>
        <w:t>.</w:t>
      </w:r>
    </w:p>
    <w:p w14:paraId="4DBEE577" w14:textId="77777777" w:rsidR="00000000" w:rsidRDefault="003C49E9">
      <w:pPr>
        <w:pStyle w:val="a3"/>
        <w:spacing w:before="200" w:beforeAutospacing="0" w:after="0" w:afterAutospacing="0"/>
        <w:ind w:firstLine="555"/>
        <w:rPr>
          <w:sz w:val="20"/>
          <w:szCs w:val="20"/>
        </w:rPr>
      </w:pPr>
      <w:r>
        <w:rPr>
          <w:sz w:val="20"/>
          <w:szCs w:val="20"/>
        </w:rPr>
        <w:t>Our overall performance depends in part on worldwide economic conditions. Global financial developments and downturns seemingly unrelated to us or the software industry may harm us. The United States and other key inte</w:t>
      </w:r>
      <w:r>
        <w:rPr>
          <w:sz w:val="20"/>
          <w:szCs w:val="20"/>
        </w:rPr>
        <w:t>rnational economies have been affected from time to time by falling demand for a variety of goods and services, restricted credit, poor liquidity, reduced corporate profitability, volatility in credit, equity and foreign exchange markets, bankruptcies, inf</w:t>
      </w:r>
      <w:r>
        <w:rPr>
          <w:sz w:val="20"/>
          <w:szCs w:val="20"/>
        </w:rPr>
        <w:t>lation and overall uncertainty with respect to the economy, including with respect to tariff and trade issues. Weak economic conditions or significant uncertainty regarding the stability of financial markets related to stock market volatility, inflation, r</w:t>
      </w:r>
      <w:r>
        <w:rPr>
          <w:sz w:val="20"/>
          <w:szCs w:val="20"/>
        </w:rPr>
        <w:t>ecession, changes in tariffs, trade agreements or governmental fiscal, monetary and tax policies, among others, could adversely impact our business, financial condition and operating results</w:t>
      </w:r>
      <w:r>
        <w:rPr>
          <w:sz w:val="20"/>
          <w:szCs w:val="20"/>
        </w:rPr>
        <w:t>.</w:t>
      </w:r>
    </w:p>
    <w:p w14:paraId="2F75EA30" w14:textId="77777777" w:rsidR="00000000" w:rsidRDefault="003C49E9">
      <w:pPr>
        <w:pStyle w:val="a3"/>
        <w:spacing w:before="200" w:beforeAutospacing="0" w:after="0" w:afterAutospacing="0"/>
        <w:ind w:firstLine="555"/>
        <w:rPr>
          <w:sz w:val="20"/>
          <w:szCs w:val="20"/>
        </w:rPr>
      </w:pPr>
      <w:r>
        <w:rPr>
          <w:sz w:val="20"/>
          <w:szCs w:val="20"/>
        </w:rPr>
        <w:t>Further, the economies of countries in Europe have been experien</w:t>
      </w:r>
      <w:r>
        <w:rPr>
          <w:sz w:val="20"/>
          <w:szCs w:val="20"/>
        </w:rPr>
        <w:t>cing weakness associated with high sovereign debt levels, weakness in the banking sector, uncertainty over the future of the Euro zone and volatility in the value of the pound sterling and th</w:t>
      </w:r>
      <w:r>
        <w:rPr>
          <w:sz w:val="20"/>
          <w:szCs w:val="20"/>
        </w:rPr>
        <w:t>e</w:t>
      </w:r>
      <w:r>
        <w:rPr>
          <w:sz w:val="20"/>
          <w:szCs w:val="20"/>
        </w:rPr>
        <w:t xml:space="preserve"> </w:t>
      </w:r>
    </w:p>
    <w:p w14:paraId="59A5F2C0"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1</w:t>
      </w:r>
    </w:p>
    <w:p w14:paraId="4E5E9C3F" w14:textId="77777777" w:rsidR="00000000" w:rsidRDefault="003C49E9">
      <w:pPr>
        <w:rPr>
          <w:rFonts w:eastAsia="Times New Roman"/>
        </w:rPr>
      </w:pPr>
      <w:r>
        <w:rPr>
          <w:rFonts w:eastAsia="Times New Roman"/>
        </w:rPr>
        <w:pict w14:anchorId="7E9973B8">
          <v:rect id="_x0000_i1065" style="width:0;height:1.5pt" o:hralign="center" o:hrstd="t" o:hr="t" fillcolor="#a0a0a0" stroked="f"/>
        </w:pict>
      </w:r>
    </w:p>
    <w:p w14:paraId="1E9CF754" w14:textId="77777777" w:rsidR="00000000" w:rsidRDefault="003C49E9">
      <w:pPr>
        <w:pStyle w:val="a3"/>
        <w:spacing w:before="0" w:beforeAutospacing="0" w:after="0" w:afterAutospacing="0"/>
        <w:rPr>
          <w:sz w:val="20"/>
          <w:szCs w:val="20"/>
        </w:rPr>
      </w:pPr>
      <w:r>
        <w:rPr>
          <w:sz w:val="20"/>
          <w:szCs w:val="20"/>
        </w:rPr>
        <w:t> </w:t>
      </w:r>
    </w:p>
    <w:p w14:paraId="06C90E36" w14:textId="77777777" w:rsidR="00000000" w:rsidRDefault="003C49E9">
      <w:pPr>
        <w:pStyle w:val="a3"/>
        <w:spacing w:before="200" w:beforeAutospacing="0" w:after="0" w:afterAutospacing="0"/>
        <w:rPr>
          <w:sz w:val="20"/>
          <w:szCs w:val="20"/>
        </w:rPr>
      </w:pPr>
      <w:r>
        <w:rPr>
          <w:sz w:val="20"/>
          <w:szCs w:val="20"/>
        </w:rPr>
        <w:t>Euro and instability</w:t>
      </w:r>
      <w:r>
        <w:rPr>
          <w:sz w:val="20"/>
          <w:szCs w:val="20"/>
        </w:rPr>
        <w:t xml:space="preserve"> resulting from the ongoing conflict between Russia and Ukraine. The effect of the conflict between Russia and Ukraine, including any resulting sanctions, export controls or other restrictive actions that may be imposed against governmental or other entiti</w:t>
      </w:r>
      <w:r>
        <w:rPr>
          <w:sz w:val="20"/>
          <w:szCs w:val="20"/>
        </w:rPr>
        <w:t>es in, for example, Russia, have in the past contributed and may in the future contribute to disruption, instability and volatility in the global markets. We have operations, as well as current and potential new customers, throughout most of Europe. If eco</w:t>
      </w:r>
      <w:r>
        <w:rPr>
          <w:sz w:val="20"/>
          <w:szCs w:val="20"/>
        </w:rPr>
        <w:t>nomic conditions in Europe and other key markets for our platform continue to remain uncertain or deteriorate further, it could adversely affect our customers’ ability or willingness to subscribe to our platform, delay prospective customers’ purchasing dec</w:t>
      </w:r>
      <w:r>
        <w:rPr>
          <w:sz w:val="20"/>
          <w:szCs w:val="20"/>
        </w:rPr>
        <w:t>isions, reduce the value or duration of their subscriptions or affect renewal rates, all of which could harm our operating results</w:t>
      </w:r>
      <w:r>
        <w:rPr>
          <w:sz w:val="20"/>
          <w:szCs w:val="20"/>
        </w:rPr>
        <w:t>.</w:t>
      </w:r>
    </w:p>
    <w:p w14:paraId="6A32E609" w14:textId="77777777" w:rsidR="00000000" w:rsidRDefault="003C49E9">
      <w:pPr>
        <w:pStyle w:val="a3"/>
        <w:spacing w:before="200" w:beforeAutospacing="0" w:after="0" w:afterAutospacing="0"/>
        <w:ind w:firstLine="555"/>
        <w:rPr>
          <w:sz w:val="20"/>
          <w:szCs w:val="20"/>
        </w:rPr>
      </w:pPr>
      <w:r>
        <w:rPr>
          <w:sz w:val="20"/>
          <w:szCs w:val="20"/>
        </w:rPr>
        <w:t>More recently, inflation rates in the U.S. have increased to levels not seen in several decades, which may result in decreas</w:t>
      </w:r>
      <w:r>
        <w:rPr>
          <w:sz w:val="20"/>
          <w:szCs w:val="20"/>
        </w:rPr>
        <w:t>ed demand for our products and services, increases in our operating costs including our labor costs, constrained credit and liquidity, reduced government spending and volatility in financial markets. The Federal Reserve has raised, and may again raise, int</w:t>
      </w:r>
      <w:r>
        <w:rPr>
          <w:sz w:val="20"/>
          <w:szCs w:val="20"/>
        </w:rPr>
        <w:t>erest rates in response to concerns over inflation risk. Increases in interest rates on credit and debt that would increase the cost of any borrowing that we may make from time to time and could impact our ability to access the capital markets. Increases i</w:t>
      </w:r>
      <w:r>
        <w:rPr>
          <w:sz w:val="20"/>
          <w:szCs w:val="20"/>
        </w:rPr>
        <w:t>n interest rates, especially if coupled with reduced government spending and volatility in financial markets, may have the effect of further increasing economic uncertainty and heightening these risks. In an inflationary environment, we may be unable to ra</w:t>
      </w:r>
      <w:r>
        <w:rPr>
          <w:sz w:val="20"/>
          <w:szCs w:val="20"/>
        </w:rPr>
        <w:t>ise the sales prices of our products and services at or above the rate at which our costs increase, which could/would reduce our profit margins and have a material adverse effect on our financial results and net income. We also may experience lower than ex</w:t>
      </w:r>
      <w:r>
        <w:rPr>
          <w:sz w:val="20"/>
          <w:szCs w:val="20"/>
        </w:rPr>
        <w:t>pected sales and potential adverse impacts on our competitive position if there is a decrease in consumer spending or a negative reaction to our pricing. A reduction in our revenue would be detrimental to our profitability and financial condition and could</w:t>
      </w:r>
      <w:r>
        <w:rPr>
          <w:sz w:val="20"/>
          <w:szCs w:val="20"/>
        </w:rPr>
        <w:t xml:space="preserve"> also have an adverse impact on our future growth</w:t>
      </w:r>
      <w:r>
        <w:rPr>
          <w:sz w:val="20"/>
          <w:szCs w:val="20"/>
        </w:rPr>
        <w:t>.</w:t>
      </w:r>
    </w:p>
    <w:p w14:paraId="3DAFDEDB" w14:textId="77777777" w:rsidR="00000000" w:rsidRDefault="003C49E9">
      <w:pPr>
        <w:pStyle w:val="a3"/>
        <w:spacing w:before="200" w:beforeAutospacing="0" w:after="0" w:afterAutospacing="0"/>
        <w:ind w:firstLine="555"/>
        <w:rPr>
          <w:sz w:val="20"/>
          <w:szCs w:val="20"/>
        </w:rPr>
      </w:pPr>
      <w:r>
        <w:rPr>
          <w:sz w:val="20"/>
          <w:szCs w:val="20"/>
        </w:rPr>
        <w:t xml:space="preserve">There continues to be uncertainty in the changing market and economic conditions, including the possibility of additional measures that could be taken by the Federal Reserve and other government agencies, </w:t>
      </w:r>
      <w:r>
        <w:rPr>
          <w:sz w:val="20"/>
          <w:szCs w:val="20"/>
        </w:rPr>
        <w:t>related to concerns over inflation risk. A sharp rise in interest rates could have an adverse impact on the fair market value of certain securities in our portfolio, which could adversely affect our financial results</w:t>
      </w:r>
      <w:r>
        <w:rPr>
          <w:sz w:val="20"/>
          <w:szCs w:val="20"/>
        </w:rPr>
        <w:t>.</w:t>
      </w:r>
    </w:p>
    <w:p w14:paraId="1F054D81" w14:textId="77777777" w:rsidR="00000000" w:rsidRDefault="003C49E9">
      <w:pPr>
        <w:pStyle w:val="a3"/>
        <w:spacing w:before="200" w:beforeAutospacing="0" w:after="0" w:afterAutospacing="0"/>
        <w:rPr>
          <w:sz w:val="20"/>
          <w:szCs w:val="20"/>
        </w:rPr>
      </w:pPr>
      <w:r>
        <w:rPr>
          <w:b/>
          <w:bCs/>
          <w:i/>
          <w:iCs/>
          <w:sz w:val="20"/>
          <w:szCs w:val="20"/>
        </w:rPr>
        <w:t>The current economic downturn may lead</w:t>
      </w:r>
      <w:r>
        <w:rPr>
          <w:b/>
          <w:bCs/>
          <w:i/>
          <w:iCs/>
          <w:sz w:val="20"/>
          <w:szCs w:val="20"/>
        </w:rPr>
        <w:t xml:space="preserve"> to decreased demand for our products and services and otherwise harm our business and results of operations</w:t>
      </w:r>
      <w:r>
        <w:rPr>
          <w:b/>
          <w:bCs/>
          <w:i/>
          <w:iCs/>
          <w:sz w:val="20"/>
          <w:szCs w:val="20"/>
        </w:rPr>
        <w:t>.</w:t>
      </w:r>
    </w:p>
    <w:p w14:paraId="297B0E74" w14:textId="77777777" w:rsidR="00000000" w:rsidRDefault="003C49E9">
      <w:pPr>
        <w:pStyle w:val="a3"/>
        <w:spacing w:before="200" w:beforeAutospacing="0" w:after="0" w:afterAutospacing="0"/>
        <w:ind w:firstLine="555"/>
        <w:rPr>
          <w:sz w:val="20"/>
          <w:szCs w:val="20"/>
        </w:rPr>
      </w:pPr>
      <w:r>
        <w:rPr>
          <w:sz w:val="20"/>
          <w:szCs w:val="20"/>
        </w:rPr>
        <w:t>Our overall performance depends, in part, on worldwide economic conditions. In recent months, we have observed increased economic uncertainty in t</w:t>
      </w:r>
      <w:r>
        <w:rPr>
          <w:sz w:val="20"/>
          <w:szCs w:val="20"/>
        </w:rPr>
        <w:t>he United States and abroad. Impacts of such economic weakness include</w:t>
      </w:r>
      <w:r>
        <w:rPr>
          <w:sz w:val="20"/>
          <w:szCs w:val="20"/>
        </w:rPr>
        <w:t>:</w:t>
      </w:r>
    </w:p>
    <w:p w14:paraId="70E641A5" w14:textId="77777777" w:rsidR="00000000" w:rsidRDefault="003C49E9">
      <w:pPr>
        <w:divId w:val="268775919"/>
        <w:rPr>
          <w:rFonts w:eastAsia="Times New Roman"/>
        </w:rPr>
      </w:pPr>
      <w:r>
        <w:rPr>
          <w:rFonts w:eastAsia="Times New Roman"/>
          <w:sz w:val="20"/>
          <w:szCs w:val="20"/>
        </w:rPr>
        <w:t>•</w:t>
      </w:r>
    </w:p>
    <w:p w14:paraId="4C71380C" w14:textId="77777777" w:rsidR="00000000" w:rsidRDefault="003C49E9">
      <w:pPr>
        <w:divId w:val="1319726955"/>
        <w:rPr>
          <w:rFonts w:eastAsia="Times New Roman"/>
        </w:rPr>
      </w:pPr>
      <w:r>
        <w:rPr>
          <w:rFonts w:eastAsia="Times New Roman"/>
          <w:sz w:val="20"/>
          <w:szCs w:val="20"/>
        </w:rPr>
        <w:t>falling overall demand for goods and services, leading to reduced profitability</w:t>
      </w:r>
      <w:r>
        <w:rPr>
          <w:rFonts w:eastAsia="Times New Roman"/>
          <w:sz w:val="20"/>
          <w:szCs w:val="20"/>
        </w:rPr>
        <w:t>;</w:t>
      </w:r>
    </w:p>
    <w:p w14:paraId="2E800DC9" w14:textId="77777777" w:rsidR="00000000" w:rsidRDefault="003C49E9">
      <w:pPr>
        <w:divId w:val="360907893"/>
        <w:rPr>
          <w:rFonts w:eastAsia="Times New Roman"/>
        </w:rPr>
      </w:pPr>
      <w:r>
        <w:rPr>
          <w:rFonts w:eastAsia="Times New Roman"/>
          <w:sz w:val="20"/>
          <w:szCs w:val="20"/>
        </w:rPr>
        <w:t>•</w:t>
      </w:r>
    </w:p>
    <w:p w14:paraId="019DA14E" w14:textId="77777777" w:rsidR="00000000" w:rsidRDefault="003C49E9">
      <w:pPr>
        <w:divId w:val="1131361161"/>
        <w:rPr>
          <w:rFonts w:eastAsia="Times New Roman"/>
        </w:rPr>
      </w:pPr>
      <w:r>
        <w:rPr>
          <w:rFonts w:eastAsia="Times New Roman"/>
          <w:sz w:val="20"/>
          <w:szCs w:val="20"/>
        </w:rPr>
        <w:t>reduced credit availability</w:t>
      </w:r>
      <w:r>
        <w:rPr>
          <w:rFonts w:eastAsia="Times New Roman"/>
          <w:sz w:val="20"/>
          <w:szCs w:val="20"/>
        </w:rPr>
        <w:t>;</w:t>
      </w:r>
    </w:p>
    <w:p w14:paraId="1741D32D" w14:textId="77777777" w:rsidR="00000000" w:rsidRDefault="003C49E9">
      <w:pPr>
        <w:divId w:val="505444911"/>
        <w:rPr>
          <w:rFonts w:eastAsia="Times New Roman"/>
        </w:rPr>
      </w:pPr>
      <w:r>
        <w:rPr>
          <w:rFonts w:eastAsia="Times New Roman"/>
          <w:sz w:val="20"/>
          <w:szCs w:val="20"/>
        </w:rPr>
        <w:t>•</w:t>
      </w:r>
    </w:p>
    <w:p w14:paraId="534F34C6" w14:textId="77777777" w:rsidR="00000000" w:rsidRDefault="003C49E9">
      <w:pPr>
        <w:divId w:val="196430417"/>
        <w:rPr>
          <w:rFonts w:eastAsia="Times New Roman"/>
        </w:rPr>
      </w:pPr>
      <w:r>
        <w:rPr>
          <w:rFonts w:eastAsia="Times New Roman"/>
          <w:sz w:val="20"/>
          <w:szCs w:val="20"/>
        </w:rPr>
        <w:t>higher borrowing costs;</w:t>
      </w:r>
      <w:r>
        <w:rPr>
          <w:rFonts w:eastAsia="Times New Roman"/>
          <w:sz w:val="20"/>
          <w:szCs w:val="20"/>
        </w:rPr>
        <w:t xml:space="preserve"> </w:t>
      </w:r>
    </w:p>
    <w:p w14:paraId="20A86397" w14:textId="77777777" w:rsidR="00000000" w:rsidRDefault="003C49E9">
      <w:pPr>
        <w:divId w:val="575287524"/>
        <w:rPr>
          <w:rFonts w:eastAsia="Times New Roman"/>
        </w:rPr>
      </w:pPr>
      <w:r>
        <w:rPr>
          <w:rFonts w:eastAsia="Times New Roman"/>
          <w:sz w:val="20"/>
          <w:szCs w:val="20"/>
        </w:rPr>
        <w:t>•</w:t>
      </w:r>
    </w:p>
    <w:p w14:paraId="770156F1" w14:textId="77777777" w:rsidR="00000000" w:rsidRDefault="003C49E9">
      <w:pPr>
        <w:divId w:val="182943323"/>
        <w:rPr>
          <w:rFonts w:eastAsia="Times New Roman"/>
        </w:rPr>
      </w:pPr>
      <w:r>
        <w:rPr>
          <w:rFonts w:eastAsia="Times New Roman"/>
          <w:sz w:val="20"/>
          <w:szCs w:val="20"/>
        </w:rPr>
        <w:t>reduced liquidity;</w:t>
      </w:r>
      <w:r>
        <w:rPr>
          <w:rFonts w:eastAsia="Times New Roman"/>
          <w:sz w:val="20"/>
          <w:szCs w:val="20"/>
        </w:rPr>
        <w:t xml:space="preserve"> </w:t>
      </w:r>
    </w:p>
    <w:p w14:paraId="09715982" w14:textId="77777777" w:rsidR="00000000" w:rsidRDefault="003C49E9">
      <w:pPr>
        <w:divId w:val="1377118034"/>
        <w:rPr>
          <w:rFonts w:eastAsia="Times New Roman"/>
        </w:rPr>
      </w:pPr>
      <w:r>
        <w:rPr>
          <w:rFonts w:eastAsia="Times New Roman"/>
          <w:sz w:val="20"/>
          <w:szCs w:val="20"/>
        </w:rPr>
        <w:t>•</w:t>
      </w:r>
    </w:p>
    <w:p w14:paraId="5C8390BD" w14:textId="77777777" w:rsidR="00000000" w:rsidRDefault="003C49E9">
      <w:pPr>
        <w:divId w:val="927037067"/>
        <w:rPr>
          <w:rFonts w:eastAsia="Times New Roman"/>
        </w:rPr>
      </w:pPr>
      <w:r>
        <w:rPr>
          <w:rFonts w:eastAsia="Times New Roman"/>
          <w:sz w:val="20"/>
          <w:szCs w:val="20"/>
        </w:rPr>
        <w:t>volatility in credit, equity and foreign exchange markets; and</w:t>
      </w:r>
      <w:r>
        <w:rPr>
          <w:rFonts w:eastAsia="Times New Roman"/>
          <w:sz w:val="20"/>
          <w:szCs w:val="20"/>
        </w:rPr>
        <w:t xml:space="preserve"> </w:t>
      </w:r>
    </w:p>
    <w:p w14:paraId="3E548B8F" w14:textId="77777777" w:rsidR="00000000" w:rsidRDefault="003C49E9">
      <w:pPr>
        <w:divId w:val="1363360301"/>
        <w:rPr>
          <w:rFonts w:eastAsia="Times New Roman"/>
        </w:rPr>
      </w:pPr>
      <w:r>
        <w:rPr>
          <w:rFonts w:eastAsia="Times New Roman"/>
          <w:sz w:val="20"/>
          <w:szCs w:val="20"/>
        </w:rPr>
        <w:t>•</w:t>
      </w:r>
    </w:p>
    <w:p w14:paraId="4C7AD22D" w14:textId="77777777" w:rsidR="00000000" w:rsidRDefault="003C49E9">
      <w:pPr>
        <w:divId w:val="149100528"/>
        <w:rPr>
          <w:rFonts w:eastAsia="Times New Roman"/>
        </w:rPr>
      </w:pPr>
      <w:r>
        <w:rPr>
          <w:rFonts w:eastAsia="Times New Roman"/>
          <w:sz w:val="20"/>
          <w:szCs w:val="20"/>
        </w:rPr>
        <w:t>bankruptcies</w:t>
      </w:r>
      <w:r>
        <w:rPr>
          <w:rFonts w:eastAsia="Times New Roman"/>
          <w:sz w:val="20"/>
          <w:szCs w:val="20"/>
        </w:rPr>
        <w:t>.</w:t>
      </w:r>
    </w:p>
    <w:p w14:paraId="1EDDF166" w14:textId="77777777" w:rsidR="00000000" w:rsidRDefault="003C49E9">
      <w:pPr>
        <w:pStyle w:val="a3"/>
        <w:spacing w:before="0" w:beforeAutospacing="0" w:after="0" w:afterAutospacing="0"/>
        <w:rPr>
          <w:sz w:val="20"/>
          <w:szCs w:val="20"/>
        </w:rPr>
      </w:pPr>
      <w:r>
        <w:rPr>
          <w:sz w:val="20"/>
          <w:szCs w:val="20"/>
        </w:rPr>
        <w:t> </w:t>
      </w:r>
    </w:p>
    <w:p w14:paraId="4382A2DB" w14:textId="77777777" w:rsidR="00000000" w:rsidRDefault="003C49E9">
      <w:pPr>
        <w:pStyle w:val="a3"/>
        <w:spacing w:before="0" w:beforeAutospacing="0" w:after="0" w:afterAutospacing="0"/>
        <w:ind w:firstLine="555"/>
        <w:rPr>
          <w:sz w:val="20"/>
          <w:szCs w:val="20"/>
        </w:rPr>
      </w:pPr>
      <w:r>
        <w:rPr>
          <w:sz w:val="20"/>
          <w:szCs w:val="20"/>
        </w:rPr>
        <w:t>These developments could lead to inflation, higher interest rates, and uncertainty about business continuity, which may adversely affect our business and our results of opera</w:t>
      </w:r>
      <w:r>
        <w:rPr>
          <w:sz w:val="20"/>
          <w:szCs w:val="20"/>
        </w:rPr>
        <w:t>tions. As our customers react to global economic conditions and the potential for a global recession, we may see them reduce spending on our products and take additional precautionary measures to limit or delay expenditures and preserve capital and liquidi</w:t>
      </w:r>
      <w:r>
        <w:rPr>
          <w:sz w:val="20"/>
          <w:szCs w:val="20"/>
        </w:rPr>
        <w:t>ty. Reductions in spending on our solutions, delays in purchasing decisions, lack of renewals, inability to attract new customers, as well as pressure for extended billing terms or pricing discounts, would limit our ability to grow our business and could n</w:t>
      </w:r>
      <w:r>
        <w:rPr>
          <w:sz w:val="20"/>
          <w:szCs w:val="20"/>
        </w:rPr>
        <w:t>egatively affect our operating results and financial condition</w:t>
      </w:r>
      <w:r>
        <w:rPr>
          <w:sz w:val="20"/>
          <w:szCs w:val="20"/>
        </w:rPr>
        <w:t>.</w:t>
      </w:r>
      <w:r>
        <w:rPr>
          <w:sz w:val="20"/>
          <w:szCs w:val="20"/>
        </w:rPr>
        <w:t xml:space="preserve"> </w:t>
      </w:r>
    </w:p>
    <w:p w14:paraId="05AE8C5F" w14:textId="77777777" w:rsidR="00000000" w:rsidRDefault="003C49E9">
      <w:pPr>
        <w:pStyle w:val="a3"/>
        <w:spacing w:before="0" w:beforeAutospacing="0" w:after="0" w:afterAutospacing="0"/>
        <w:rPr>
          <w:sz w:val="20"/>
          <w:szCs w:val="20"/>
        </w:rPr>
      </w:pPr>
      <w:r>
        <w:rPr>
          <w:sz w:val="20"/>
          <w:szCs w:val="20"/>
        </w:rPr>
        <w:t> </w:t>
      </w:r>
    </w:p>
    <w:p w14:paraId="144BBFB4" w14:textId="77777777" w:rsidR="00000000" w:rsidRDefault="003C49E9">
      <w:pPr>
        <w:pStyle w:val="a3"/>
        <w:spacing w:before="200" w:beforeAutospacing="0" w:after="0" w:afterAutospacing="0"/>
        <w:rPr>
          <w:sz w:val="20"/>
          <w:szCs w:val="20"/>
        </w:rPr>
      </w:pPr>
      <w:r>
        <w:rPr>
          <w:b/>
          <w:bCs/>
          <w:sz w:val="20"/>
          <w:szCs w:val="20"/>
        </w:rPr>
        <w:t>Risks Related to Our Technical Operations Infrastructure and Dependence on Third Partie</w:t>
      </w:r>
      <w:r>
        <w:rPr>
          <w:b/>
          <w:bCs/>
          <w:sz w:val="20"/>
          <w:szCs w:val="20"/>
        </w:rPr>
        <w:t>s</w:t>
      </w:r>
    </w:p>
    <w:p w14:paraId="39060FCB" w14:textId="77777777" w:rsidR="00000000" w:rsidRDefault="003C49E9">
      <w:pPr>
        <w:pStyle w:val="a3"/>
        <w:spacing w:before="200" w:beforeAutospacing="0" w:after="0" w:afterAutospacing="0"/>
        <w:rPr>
          <w:sz w:val="20"/>
          <w:szCs w:val="20"/>
        </w:rPr>
      </w:pPr>
      <w:r>
        <w:rPr>
          <w:b/>
          <w:bCs/>
          <w:i/>
          <w:iCs/>
          <w:sz w:val="20"/>
          <w:szCs w:val="20"/>
        </w:rPr>
        <w:t>Interruptions or delays in service from our third-party data center providers could impair our abili</w:t>
      </w:r>
      <w:r>
        <w:rPr>
          <w:b/>
          <w:bCs/>
          <w:i/>
          <w:iCs/>
          <w:sz w:val="20"/>
          <w:szCs w:val="20"/>
        </w:rPr>
        <w:t>ty to deliver our platform to our customers, resulting in customer dissatisfaction, damage to our reputation, loss of customers, limited growth and reduction in revenue</w:t>
      </w:r>
      <w:r>
        <w:rPr>
          <w:b/>
          <w:bCs/>
          <w:i/>
          <w:iCs/>
          <w:sz w:val="20"/>
          <w:szCs w:val="20"/>
        </w:rPr>
        <w:t>.</w:t>
      </w:r>
    </w:p>
    <w:p w14:paraId="3898A973" w14:textId="77777777" w:rsidR="00000000" w:rsidRDefault="003C49E9">
      <w:pPr>
        <w:pStyle w:val="a3"/>
        <w:spacing w:before="200" w:beforeAutospacing="0" w:after="0" w:afterAutospacing="0"/>
        <w:ind w:firstLine="555"/>
        <w:rPr>
          <w:sz w:val="20"/>
          <w:szCs w:val="20"/>
        </w:rPr>
      </w:pPr>
      <w:r>
        <w:rPr>
          <w:sz w:val="20"/>
          <w:szCs w:val="20"/>
        </w:rPr>
        <w:t>We currently serve the majority of our platform functions from third-party data center</w:t>
      </w:r>
      <w:r>
        <w:rPr>
          <w:sz w:val="20"/>
          <w:szCs w:val="20"/>
        </w:rPr>
        <w:t xml:space="preserve"> hosting facilities operated by Amazon Web Services located in northern Virginia and Frankfurt, Germany and Google Cloud Platform located in Frankfurt, Germany. In addition, we serve ancillary functions for our customers from third-party data center hostin</w:t>
      </w:r>
      <w:r>
        <w:rPr>
          <w:sz w:val="20"/>
          <w:szCs w:val="20"/>
        </w:rPr>
        <w:t>g facilities operated by Rackspace located in Dallas, Texas, with a backup facility in Chicago, Illinois. Our operations depend, in part, on our third-party facility providers’ abilities to protect these facilities against damage or interruption from natur</w:t>
      </w:r>
      <w:r>
        <w:rPr>
          <w:sz w:val="20"/>
          <w:szCs w:val="20"/>
        </w:rPr>
        <w:t>al disasters, such as earthquakes and hurricanes, actual or threatened public health emergencies (e.g., COVID-19), power or telecommunications failures, criminal acts and similar events. In th</w:t>
      </w:r>
      <w:r>
        <w:rPr>
          <w:sz w:val="20"/>
          <w:szCs w:val="20"/>
        </w:rPr>
        <w:t>e</w:t>
      </w:r>
      <w:r>
        <w:rPr>
          <w:sz w:val="20"/>
          <w:szCs w:val="20"/>
        </w:rPr>
        <w:t xml:space="preserve"> </w:t>
      </w:r>
    </w:p>
    <w:p w14:paraId="53A97E49"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2</w:t>
      </w:r>
    </w:p>
    <w:p w14:paraId="285EAABC" w14:textId="77777777" w:rsidR="00000000" w:rsidRDefault="003C49E9">
      <w:pPr>
        <w:rPr>
          <w:rFonts w:eastAsia="Times New Roman"/>
        </w:rPr>
      </w:pPr>
      <w:r>
        <w:rPr>
          <w:rFonts w:eastAsia="Times New Roman"/>
        </w:rPr>
        <w:pict w14:anchorId="5FF96848">
          <v:rect id="_x0000_i1066" style="width:0;height:1.5pt" o:hralign="center" o:hrstd="t" o:hr="t" fillcolor="#a0a0a0" stroked="f"/>
        </w:pict>
      </w:r>
    </w:p>
    <w:p w14:paraId="52C8BD92" w14:textId="77777777" w:rsidR="00000000" w:rsidRDefault="003C49E9">
      <w:pPr>
        <w:pStyle w:val="a3"/>
        <w:spacing w:before="0" w:beforeAutospacing="0" w:after="0" w:afterAutospacing="0"/>
        <w:rPr>
          <w:sz w:val="20"/>
          <w:szCs w:val="20"/>
        </w:rPr>
      </w:pPr>
      <w:r>
        <w:rPr>
          <w:sz w:val="20"/>
          <w:szCs w:val="20"/>
        </w:rPr>
        <w:t> </w:t>
      </w:r>
    </w:p>
    <w:p w14:paraId="7A1D6A9E" w14:textId="77777777" w:rsidR="00000000" w:rsidRDefault="003C49E9">
      <w:pPr>
        <w:pStyle w:val="a3"/>
        <w:spacing w:before="200" w:beforeAutospacing="0" w:after="0" w:afterAutospacing="0"/>
        <w:rPr>
          <w:sz w:val="20"/>
          <w:szCs w:val="20"/>
        </w:rPr>
      </w:pPr>
      <w:r>
        <w:rPr>
          <w:sz w:val="20"/>
          <w:szCs w:val="20"/>
        </w:rPr>
        <w:t>event that any of ou</w:t>
      </w:r>
      <w:r>
        <w:rPr>
          <w:sz w:val="20"/>
          <w:szCs w:val="20"/>
        </w:rPr>
        <w:t>r third-party facilities arrangements is terminated, or if there is a lapse of service or damage to a facility, we could experience interruptions in our platform as well as delays and additional expenses in arranging new facilities and services. Additional</w:t>
      </w:r>
      <w:r>
        <w:rPr>
          <w:sz w:val="20"/>
          <w:szCs w:val="20"/>
        </w:rPr>
        <w:t>ly, we may be at risk due to the increased frequency of sophisticated cyber-attacks coordinated by foreign nation states. For example, the ongoing conflict between Russia and Ukraine may result in a heightened threat environment and create unknown cyber ri</w:t>
      </w:r>
      <w:r>
        <w:rPr>
          <w:sz w:val="20"/>
          <w:szCs w:val="20"/>
        </w:rPr>
        <w:t>sks, including increased risk of retaliatory cyber-attacks from Russian actors against U.S.-based companies</w:t>
      </w:r>
      <w:r>
        <w:rPr>
          <w:sz w:val="20"/>
          <w:szCs w:val="20"/>
        </w:rPr>
        <w:t>.</w:t>
      </w:r>
      <w:r>
        <w:rPr>
          <w:sz w:val="20"/>
          <w:szCs w:val="20"/>
        </w:rPr>
        <w:t xml:space="preserve"> </w:t>
      </w:r>
    </w:p>
    <w:p w14:paraId="559034C5" w14:textId="77777777" w:rsidR="00000000" w:rsidRDefault="003C49E9">
      <w:pPr>
        <w:pStyle w:val="a3"/>
        <w:spacing w:before="200" w:beforeAutospacing="0" w:after="0" w:afterAutospacing="0"/>
        <w:ind w:firstLine="555"/>
        <w:rPr>
          <w:sz w:val="20"/>
          <w:szCs w:val="20"/>
        </w:rPr>
      </w:pPr>
      <w:r>
        <w:rPr>
          <w:sz w:val="20"/>
          <w:szCs w:val="20"/>
        </w:rPr>
        <w:t>Any damage to, or failure of, the systems of our third-party providers could result in interruptions to our platform. Despite precautions taken at</w:t>
      </w:r>
      <w:r>
        <w:rPr>
          <w:sz w:val="20"/>
          <w:szCs w:val="20"/>
        </w:rPr>
        <w:t xml:space="preserve"> our data centers, the occurrence of spikes in usage volume, a natural disaster, such as earthquakes or hurricane, an act of terrorism, vandalism or sabotage, a decision to close a facility without adequate notice, or other unanticipated problems at a faci</w:t>
      </w:r>
      <w:r>
        <w:rPr>
          <w:sz w:val="20"/>
          <w:szCs w:val="20"/>
        </w:rPr>
        <w:t>lity could result in lengthy interruptions in the availability of our on-demand software. Even with current and planned disaster recovery arrangements, our business could be harmed. Also, in the event of damage or interruption, our insurance policies may n</w:t>
      </w:r>
      <w:r>
        <w:rPr>
          <w:sz w:val="20"/>
          <w:szCs w:val="20"/>
        </w:rPr>
        <w:t>ot adequately compensate us for any losses that we may incur. These factors in turn could further reduce our revenue, subject us to liability and cause us to issue credits or cause customers to fail to renew their subscriptions, any of which could material</w:t>
      </w:r>
      <w:r>
        <w:rPr>
          <w:sz w:val="20"/>
          <w:szCs w:val="20"/>
        </w:rPr>
        <w:t>ly adversely affect our business</w:t>
      </w:r>
      <w:r>
        <w:rPr>
          <w:sz w:val="20"/>
          <w:szCs w:val="20"/>
        </w:rPr>
        <w:t>.</w:t>
      </w:r>
    </w:p>
    <w:p w14:paraId="18454FB2" w14:textId="77777777" w:rsidR="00000000" w:rsidRDefault="003C49E9">
      <w:pPr>
        <w:pStyle w:val="a3"/>
        <w:spacing w:before="200" w:beforeAutospacing="0" w:after="0" w:afterAutospacing="0"/>
        <w:rPr>
          <w:sz w:val="20"/>
          <w:szCs w:val="20"/>
        </w:rPr>
      </w:pPr>
      <w:r>
        <w:rPr>
          <w:b/>
          <w:bCs/>
          <w:i/>
          <w:iCs/>
          <w:sz w:val="20"/>
          <w:szCs w:val="20"/>
        </w:rPr>
        <w:t>If our CRM Platform has outages or fails due to defects or similar problems, and if we fail to correct any defect or other software problems, we could lose customers, become subject to service performance or warranty claim</w:t>
      </w:r>
      <w:r>
        <w:rPr>
          <w:b/>
          <w:bCs/>
          <w:i/>
          <w:iCs/>
          <w:sz w:val="20"/>
          <w:szCs w:val="20"/>
        </w:rPr>
        <w:t>s or incur significant costs</w:t>
      </w:r>
      <w:r>
        <w:rPr>
          <w:b/>
          <w:bCs/>
          <w:i/>
          <w:iCs/>
          <w:sz w:val="20"/>
          <w:szCs w:val="20"/>
        </w:rPr>
        <w:t>.</w:t>
      </w:r>
    </w:p>
    <w:p w14:paraId="360F293F" w14:textId="77777777" w:rsidR="00000000" w:rsidRDefault="003C49E9">
      <w:pPr>
        <w:pStyle w:val="a3"/>
        <w:spacing w:before="200" w:beforeAutospacing="0" w:after="0" w:afterAutospacing="0"/>
        <w:ind w:firstLine="555"/>
        <w:rPr>
          <w:sz w:val="20"/>
          <w:szCs w:val="20"/>
        </w:rPr>
      </w:pPr>
      <w:r>
        <w:rPr>
          <w:sz w:val="20"/>
          <w:szCs w:val="20"/>
        </w:rPr>
        <w:t>Our CRM Platform and its underlying infrastructure are inherently complex and may contain material defects or errors. We release modifications, updates, bug fixes and other changes to our software several times per day, withou</w:t>
      </w:r>
      <w:r>
        <w:rPr>
          <w:sz w:val="20"/>
          <w:szCs w:val="20"/>
        </w:rPr>
        <w:t>t traditional human-performed quality control reviews for each release. We have from time to time found defects in our software and may discover additional defects in the future. We may not be able to detect and correct defects or errors before customers b</w:t>
      </w:r>
      <w:r>
        <w:rPr>
          <w:sz w:val="20"/>
          <w:szCs w:val="20"/>
        </w:rPr>
        <w:t>egin to use our platform or its applications. Consequently, we or our customers may discover defects or errors after our platform has been implemented. Defects or errors could result in product outages and could also cause inaccuracies in the data we colle</w:t>
      </w:r>
      <w:r>
        <w:rPr>
          <w:sz w:val="20"/>
          <w:szCs w:val="20"/>
        </w:rPr>
        <w:t xml:space="preserve">ct and process for our customers, or even the loss, damage or inadvertent release of such confidential data. We implement bug fixes and upgrades as part of our regular system maintenance, which may lead to system downtime. Even if we are able to implement </w:t>
      </w:r>
      <w:r>
        <w:rPr>
          <w:sz w:val="20"/>
          <w:szCs w:val="20"/>
        </w:rPr>
        <w:t>the bug fixes and upgrades in a timely manner, any history of product outages, defects or inaccuracies in the data we collect for our customers, or the loss, damage or inadvertent release of confidential data could cause our reputation to be harmed, and cu</w:t>
      </w:r>
      <w:r>
        <w:rPr>
          <w:sz w:val="20"/>
          <w:szCs w:val="20"/>
        </w:rPr>
        <w:t>stomers may elect not to purchase or renew their agreements with us. Furthermore, these issues could subject us to service performance credits (whether offered by us or required by contract), warranty claims or increased insurance costs. The costs associat</w:t>
      </w:r>
      <w:r>
        <w:rPr>
          <w:sz w:val="20"/>
          <w:szCs w:val="20"/>
        </w:rPr>
        <w:t>ed with product outages, any material defects or errors in our platform or other performance problems may be substantial and could materially adversely affect our operating results</w:t>
      </w:r>
      <w:r>
        <w:rPr>
          <w:sz w:val="20"/>
          <w:szCs w:val="20"/>
        </w:rPr>
        <w:t>.</w:t>
      </w:r>
    </w:p>
    <w:p w14:paraId="7EAE1798" w14:textId="77777777" w:rsidR="00000000" w:rsidRDefault="003C49E9">
      <w:pPr>
        <w:pStyle w:val="a3"/>
        <w:spacing w:before="200" w:beforeAutospacing="0" w:after="0" w:afterAutospacing="0"/>
        <w:ind w:firstLine="555"/>
        <w:rPr>
          <w:sz w:val="20"/>
          <w:szCs w:val="20"/>
        </w:rPr>
      </w:pPr>
      <w:r>
        <w:rPr>
          <w:sz w:val="20"/>
          <w:szCs w:val="20"/>
        </w:rPr>
        <w:t>In addition, third-party applications and features on our CRM Platform may</w:t>
      </w:r>
      <w:r>
        <w:rPr>
          <w:sz w:val="20"/>
          <w:szCs w:val="20"/>
        </w:rPr>
        <w:t xml:space="preserve"> not meet the same quality standards that we apply to our own development efforts and, to the extent they contain bugs, vulnerabilities or defects, they may create disruptions in our customers’ use of our products, lead to data loss, unauthorized access to</w:t>
      </w:r>
      <w:r>
        <w:rPr>
          <w:sz w:val="20"/>
          <w:szCs w:val="20"/>
        </w:rPr>
        <w:t xml:space="preserve"> customer data, damage our brand and reputation and affect the continued use of our products, any of which could harm our business, results of operations and financial condition</w:t>
      </w:r>
      <w:r>
        <w:rPr>
          <w:sz w:val="20"/>
          <w:szCs w:val="20"/>
        </w:rPr>
        <w:t>.</w:t>
      </w:r>
    </w:p>
    <w:p w14:paraId="77CC2DE2" w14:textId="77777777" w:rsidR="00000000" w:rsidRDefault="003C49E9">
      <w:pPr>
        <w:pStyle w:val="a3"/>
        <w:spacing w:before="200" w:beforeAutospacing="0" w:after="0" w:afterAutospacing="0"/>
        <w:rPr>
          <w:sz w:val="20"/>
          <w:szCs w:val="20"/>
        </w:rPr>
      </w:pPr>
      <w:r>
        <w:rPr>
          <w:b/>
          <w:bCs/>
          <w:i/>
          <w:iCs/>
          <w:sz w:val="20"/>
          <w:szCs w:val="20"/>
        </w:rPr>
        <w:t>If our information technology systems, including our CRM Platform, have outag</w:t>
      </w:r>
      <w:r>
        <w:rPr>
          <w:b/>
          <w:bCs/>
          <w:i/>
          <w:iCs/>
          <w:sz w:val="20"/>
          <w:szCs w:val="20"/>
        </w:rPr>
        <w:t>es or fail due to defects or similar problems, and if we fail to correct any defect or other software problems, it could disrupt our internal operations or services provided to customers, and could reduce our revenue, increase our expenses, damage our repu</w:t>
      </w:r>
      <w:r>
        <w:rPr>
          <w:b/>
          <w:bCs/>
          <w:i/>
          <w:iCs/>
          <w:sz w:val="20"/>
          <w:szCs w:val="20"/>
        </w:rPr>
        <w:t>tation and adversely affect our cash flows and stock price</w:t>
      </w:r>
      <w:r>
        <w:rPr>
          <w:b/>
          <w:bCs/>
          <w:i/>
          <w:iCs/>
          <w:sz w:val="20"/>
          <w:szCs w:val="20"/>
        </w:rPr>
        <w:t>.</w:t>
      </w:r>
      <w:r>
        <w:rPr>
          <w:b/>
          <w:bCs/>
          <w:i/>
          <w:iCs/>
          <w:sz w:val="20"/>
          <w:szCs w:val="20"/>
        </w:rPr>
        <w:t xml:space="preserve"> </w:t>
      </w:r>
    </w:p>
    <w:p w14:paraId="6F09271E" w14:textId="77777777" w:rsidR="00000000" w:rsidRDefault="003C49E9">
      <w:pPr>
        <w:pStyle w:val="a3"/>
        <w:spacing w:before="200" w:beforeAutospacing="0" w:after="0" w:afterAutospacing="0"/>
        <w:ind w:firstLine="555"/>
        <w:rPr>
          <w:sz w:val="20"/>
          <w:szCs w:val="20"/>
        </w:rPr>
      </w:pPr>
      <w:r>
        <w:rPr>
          <w:sz w:val="20"/>
          <w:szCs w:val="20"/>
        </w:rPr>
        <w:t>We rely on our information technology systems, including the sustained and uninterrupted performance of our CRM Platform, to manage numerous aspects of our business, including marketing, sales, c</w:t>
      </w:r>
      <w:r>
        <w:rPr>
          <w:sz w:val="20"/>
          <w:szCs w:val="20"/>
        </w:rPr>
        <w:t>ontent management, customer service and other internal operations. Our information technology systems are an essential component of our business and any disruption could significantly limit our ability to manage and operate our business efficiently</w:t>
      </w:r>
      <w:r>
        <w:rPr>
          <w:sz w:val="20"/>
          <w:szCs w:val="20"/>
        </w:rPr>
        <w:t>.</w:t>
      </w:r>
      <w:r>
        <w:rPr>
          <w:sz w:val="20"/>
          <w:szCs w:val="20"/>
        </w:rPr>
        <w:t xml:space="preserve"> </w:t>
      </w:r>
    </w:p>
    <w:p w14:paraId="4D2E9904" w14:textId="77777777" w:rsidR="00000000" w:rsidRDefault="003C49E9">
      <w:pPr>
        <w:pStyle w:val="a3"/>
        <w:spacing w:before="200" w:beforeAutospacing="0" w:after="0" w:afterAutospacing="0"/>
        <w:ind w:firstLine="555"/>
        <w:rPr>
          <w:sz w:val="20"/>
          <w:szCs w:val="20"/>
        </w:rPr>
      </w:pPr>
      <w:r>
        <w:rPr>
          <w:sz w:val="20"/>
          <w:szCs w:val="20"/>
        </w:rPr>
        <w:t xml:space="preserve">Our CRM Platform and its underlying infrastructure are inherently complex and may contain material defects or errors. We release modifications, updates, bug fixes and other changes to our software several times per day, without traditional human-performed </w:t>
      </w:r>
      <w:r>
        <w:rPr>
          <w:sz w:val="20"/>
          <w:szCs w:val="20"/>
        </w:rPr>
        <w:t>quality control reviews for each release. We have from time to time found defects in our software and may discover in the future additional defects, outages, delays or cessations of service, performance and quality problems or may produce errors in connect</w:t>
      </w:r>
      <w:r>
        <w:rPr>
          <w:sz w:val="20"/>
          <w:szCs w:val="20"/>
        </w:rPr>
        <w:t>ion with systems integrations, migration work or other causes, which could result in business disruptions and the process of remediating them could be more expensive, time-consuming, disruptive and resource intensive than planned. Such disruptions could ad</w:t>
      </w:r>
      <w:r>
        <w:rPr>
          <w:sz w:val="20"/>
          <w:szCs w:val="20"/>
        </w:rPr>
        <w:t>versely impact our internal operations and interrupt other processes. Delayed sales, lower margins or lost customers resulting from these disruptions could reduce our revenue, increase our expenses, damage our reputation and adversely affect our cash flows</w:t>
      </w:r>
      <w:r>
        <w:rPr>
          <w:sz w:val="20"/>
          <w:szCs w:val="20"/>
        </w:rPr>
        <w:t xml:space="preserve"> and stock price</w:t>
      </w:r>
      <w:r>
        <w:rPr>
          <w:sz w:val="20"/>
          <w:szCs w:val="20"/>
        </w:rPr>
        <w:t>.</w:t>
      </w:r>
    </w:p>
    <w:p w14:paraId="0FB116AF" w14:textId="77777777" w:rsidR="00000000" w:rsidRDefault="003C49E9">
      <w:pPr>
        <w:pStyle w:val="a3"/>
        <w:spacing w:before="200" w:beforeAutospacing="0" w:after="0" w:afterAutospacing="0"/>
        <w:rPr>
          <w:sz w:val="20"/>
          <w:szCs w:val="20"/>
        </w:rPr>
      </w:pPr>
      <w:r>
        <w:rPr>
          <w:b/>
          <w:bCs/>
          <w:i/>
          <w:iCs/>
          <w:sz w:val="20"/>
          <w:szCs w:val="20"/>
        </w:rPr>
        <w:t>We are dependent on the continued availability of third-party data hosting and transmission services</w:t>
      </w:r>
      <w:r>
        <w:rPr>
          <w:b/>
          <w:bCs/>
          <w:i/>
          <w:iCs/>
          <w:sz w:val="20"/>
          <w:szCs w:val="20"/>
        </w:rPr>
        <w:t>.</w:t>
      </w:r>
    </w:p>
    <w:p w14:paraId="17BFDE17" w14:textId="77777777" w:rsidR="00000000" w:rsidRDefault="003C49E9">
      <w:pPr>
        <w:pStyle w:val="a3"/>
        <w:spacing w:before="200" w:beforeAutospacing="0" w:after="0" w:afterAutospacing="0"/>
        <w:ind w:firstLine="555"/>
        <w:rPr>
          <w:sz w:val="20"/>
          <w:szCs w:val="20"/>
        </w:rPr>
      </w:pPr>
      <w:r>
        <w:rPr>
          <w:sz w:val="20"/>
          <w:szCs w:val="20"/>
        </w:rPr>
        <w:t>A significant portion of our operating cost is from our third-party data hosting and transmission services, including Amazon Web Service</w:t>
      </w:r>
      <w:r>
        <w:rPr>
          <w:sz w:val="20"/>
          <w:szCs w:val="20"/>
        </w:rPr>
        <w:t>s (“AWS”), which hosts the substantial majority of our products and platform. If the costs for such services increase due to vendor consolidation, regulation, contract renegotiation, or otherwise, we may not be able to increase the fees for our CRM Platfor</w:t>
      </w:r>
      <w:r>
        <w:rPr>
          <w:sz w:val="20"/>
          <w:szCs w:val="20"/>
        </w:rPr>
        <w:t>m or services to cover the changes, which could have a negative impact on our operating results</w:t>
      </w:r>
      <w:r>
        <w:rPr>
          <w:sz w:val="20"/>
          <w:szCs w:val="20"/>
        </w:rPr>
        <w:t>.</w:t>
      </w:r>
      <w:r>
        <w:rPr>
          <w:sz w:val="20"/>
          <w:szCs w:val="20"/>
        </w:rPr>
        <w:t xml:space="preserve"> </w:t>
      </w:r>
    </w:p>
    <w:p w14:paraId="36B7D9C5"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3</w:t>
      </w:r>
    </w:p>
    <w:p w14:paraId="462A23FF" w14:textId="77777777" w:rsidR="00000000" w:rsidRDefault="003C49E9">
      <w:pPr>
        <w:rPr>
          <w:rFonts w:eastAsia="Times New Roman"/>
        </w:rPr>
      </w:pPr>
      <w:r>
        <w:rPr>
          <w:rFonts w:eastAsia="Times New Roman"/>
        </w:rPr>
        <w:pict w14:anchorId="7E227788">
          <v:rect id="_x0000_i1067" style="width:0;height:1.5pt" o:hralign="center" o:hrstd="t" o:hr="t" fillcolor="#a0a0a0" stroked="f"/>
        </w:pict>
      </w:r>
    </w:p>
    <w:p w14:paraId="59B3C7C6" w14:textId="77777777" w:rsidR="00000000" w:rsidRDefault="003C49E9">
      <w:pPr>
        <w:pStyle w:val="a3"/>
        <w:spacing w:before="0" w:beforeAutospacing="0" w:after="0" w:afterAutospacing="0"/>
        <w:rPr>
          <w:sz w:val="20"/>
          <w:szCs w:val="20"/>
        </w:rPr>
      </w:pPr>
      <w:r>
        <w:rPr>
          <w:sz w:val="20"/>
          <w:szCs w:val="20"/>
        </w:rPr>
        <w:t> </w:t>
      </w:r>
    </w:p>
    <w:p w14:paraId="6103E479" w14:textId="77777777" w:rsidR="00000000" w:rsidRDefault="003C49E9">
      <w:pPr>
        <w:pStyle w:val="a3"/>
        <w:spacing w:before="200" w:beforeAutospacing="0" w:after="0" w:afterAutospacing="0"/>
        <w:ind w:firstLine="555"/>
        <w:rPr>
          <w:sz w:val="20"/>
          <w:szCs w:val="20"/>
        </w:rPr>
      </w:pPr>
      <w:r>
        <w:rPr>
          <w:sz w:val="20"/>
          <w:szCs w:val="20"/>
        </w:rPr>
        <w:t xml:space="preserve">Additionally, our customers need to be able to access our platform at any time, without interruption or degradation </w:t>
      </w:r>
      <w:r>
        <w:rPr>
          <w:sz w:val="20"/>
          <w:szCs w:val="20"/>
        </w:rPr>
        <w:t xml:space="preserve">of performance. AWS runs its own platform that we access, and we are, therefore, vulnerable to service interruptions at AWS. We have experienced, and expect that in the future we may experience interruptions, delays and outages in service and availability </w:t>
      </w:r>
      <w:r>
        <w:rPr>
          <w:sz w:val="20"/>
          <w:szCs w:val="20"/>
        </w:rPr>
        <w:t xml:space="preserve">due to a variety of factors, including infrastructure changes, human or software errors, website hosting disruptions and capacity constraints. In some instances, including because we do not control our service providers, we may not be able to identify the </w:t>
      </w:r>
      <w:r>
        <w:rPr>
          <w:sz w:val="20"/>
          <w:szCs w:val="20"/>
        </w:rPr>
        <w:t>cause or causes of these problems within a period of time acceptable to our customers. Additionally, as our business continues to grow, to the extent that we do not effectively address capacity constraints, through our providers of cloud infrastructure, ou</w:t>
      </w:r>
      <w:r>
        <w:rPr>
          <w:sz w:val="20"/>
          <w:szCs w:val="20"/>
        </w:rPr>
        <w:t xml:space="preserve">r results of operations may be adversely affected. In addition, any changes in service levels from our service providers may adversely affect our ability to meet our customers’ requirements, result in negative publicity which could harm our reputation and </w:t>
      </w:r>
      <w:r>
        <w:rPr>
          <w:sz w:val="20"/>
          <w:szCs w:val="20"/>
        </w:rPr>
        <w:t>brand and may adversely affect the usage of our platform</w:t>
      </w:r>
      <w:r>
        <w:rPr>
          <w:sz w:val="20"/>
          <w:szCs w:val="20"/>
        </w:rPr>
        <w:t>.</w:t>
      </w:r>
    </w:p>
    <w:p w14:paraId="6D60E539" w14:textId="77777777" w:rsidR="00000000" w:rsidRDefault="003C49E9">
      <w:pPr>
        <w:pStyle w:val="a3"/>
        <w:spacing w:before="200" w:beforeAutospacing="0" w:after="0" w:afterAutospacing="0"/>
        <w:rPr>
          <w:sz w:val="20"/>
          <w:szCs w:val="20"/>
        </w:rPr>
      </w:pPr>
      <w:r>
        <w:rPr>
          <w:b/>
          <w:bCs/>
          <w:i/>
          <w:iCs/>
          <w:sz w:val="20"/>
          <w:szCs w:val="20"/>
        </w:rPr>
        <w:t>If we do not or cannot maintain the compatibility of our CRM Platform with third-party applications that our customers use in their businesses, our revenue will decline</w:t>
      </w:r>
      <w:r>
        <w:rPr>
          <w:b/>
          <w:bCs/>
          <w:i/>
          <w:iCs/>
          <w:sz w:val="20"/>
          <w:szCs w:val="20"/>
        </w:rPr>
        <w:t>.</w:t>
      </w:r>
    </w:p>
    <w:p w14:paraId="3946B1CB" w14:textId="77777777" w:rsidR="00000000" w:rsidRDefault="003C49E9">
      <w:pPr>
        <w:pStyle w:val="a3"/>
        <w:spacing w:before="200" w:beforeAutospacing="0" w:after="0" w:afterAutospacing="0"/>
        <w:ind w:firstLine="555"/>
        <w:rPr>
          <w:sz w:val="20"/>
          <w:szCs w:val="20"/>
        </w:rPr>
      </w:pPr>
      <w:r>
        <w:rPr>
          <w:sz w:val="20"/>
          <w:szCs w:val="20"/>
        </w:rPr>
        <w:t xml:space="preserve">A significant percentage of </w:t>
      </w:r>
      <w:r>
        <w:rPr>
          <w:sz w:val="20"/>
          <w:szCs w:val="20"/>
        </w:rPr>
        <w:t>our customers choose to integrate our platform with certain capabilities provided by third-party application providers using application programming interfaces (“APIs”) published by these providers. The functionality and popularity of our CRM Platform depe</w:t>
      </w:r>
      <w:r>
        <w:rPr>
          <w:sz w:val="20"/>
          <w:szCs w:val="20"/>
        </w:rPr>
        <w:t xml:space="preserve">nds, in part, on our ability to integrate our platform with third-party applications and platforms, including CRM, CMS, e-commerce, call center, analytics and social media sites that our customers use and from which they obtain data. Third-party providers </w:t>
      </w:r>
      <w:r>
        <w:rPr>
          <w:sz w:val="20"/>
          <w:szCs w:val="20"/>
        </w:rPr>
        <w:t>of applications and APIs may change the features of their applications and platforms, restrict our access to their applications and platforms, or alter the terms governing use of their applications and APIs and access to those applications and platforms in</w:t>
      </w:r>
      <w:r>
        <w:rPr>
          <w:sz w:val="20"/>
          <w:szCs w:val="20"/>
        </w:rPr>
        <w:t xml:space="preserve"> an adverse manner. Such changes could functionally limit or terminate our ability to use these third-party applications and platforms in conjunction with our platform, which could negatively impact our offerings and harm our business. If we fail to integr</w:t>
      </w:r>
      <w:r>
        <w:rPr>
          <w:sz w:val="20"/>
          <w:szCs w:val="20"/>
        </w:rPr>
        <w:t>ate our platform with new third-party applications and platforms that our customers use for marketing, sales, services, operations or content management purposes, or fail to renew existing relationships pursuant to which we currently provide such integrati</w:t>
      </w:r>
      <w:r>
        <w:rPr>
          <w:sz w:val="20"/>
          <w:szCs w:val="20"/>
        </w:rPr>
        <w:t>on, we may not be able to offer the functionality that our customers need, which would negatively impact our ability to generate new revenue or maintain existing revenue and adversely impact our business</w:t>
      </w:r>
      <w:r>
        <w:rPr>
          <w:sz w:val="20"/>
          <w:szCs w:val="20"/>
        </w:rPr>
        <w:t>.</w:t>
      </w:r>
    </w:p>
    <w:p w14:paraId="681F9CC6" w14:textId="77777777" w:rsidR="00000000" w:rsidRDefault="003C49E9">
      <w:pPr>
        <w:pStyle w:val="a3"/>
        <w:spacing w:before="200" w:beforeAutospacing="0" w:after="0" w:afterAutospacing="0"/>
        <w:rPr>
          <w:sz w:val="20"/>
          <w:szCs w:val="20"/>
        </w:rPr>
      </w:pPr>
      <w:r>
        <w:rPr>
          <w:b/>
          <w:bCs/>
          <w:i/>
          <w:iCs/>
          <w:sz w:val="20"/>
          <w:szCs w:val="20"/>
        </w:rPr>
        <w:t>We rely on data provided by third parties, the loss</w:t>
      </w:r>
      <w:r>
        <w:rPr>
          <w:b/>
          <w:bCs/>
          <w:i/>
          <w:iCs/>
          <w:sz w:val="20"/>
          <w:szCs w:val="20"/>
        </w:rPr>
        <w:t xml:space="preserve"> of which could limit the functionality of our platform and disrupt our business</w:t>
      </w:r>
      <w:r>
        <w:rPr>
          <w:b/>
          <w:bCs/>
          <w:i/>
          <w:iCs/>
          <w:sz w:val="20"/>
          <w:szCs w:val="20"/>
        </w:rPr>
        <w:t>.</w:t>
      </w:r>
    </w:p>
    <w:p w14:paraId="1FCE4494" w14:textId="77777777" w:rsidR="00000000" w:rsidRDefault="003C49E9">
      <w:pPr>
        <w:pStyle w:val="a3"/>
        <w:spacing w:before="200" w:beforeAutospacing="0" w:after="0" w:afterAutospacing="0"/>
        <w:ind w:firstLine="555"/>
        <w:rPr>
          <w:sz w:val="20"/>
          <w:szCs w:val="20"/>
        </w:rPr>
      </w:pPr>
      <w:r>
        <w:rPr>
          <w:sz w:val="20"/>
          <w:szCs w:val="20"/>
        </w:rPr>
        <w:t>Select functionality of our CRM Platform depends on our ability to deliver data, including search engine results and social media updates, provided by unaffiliated third part</w:t>
      </w:r>
      <w:r>
        <w:rPr>
          <w:sz w:val="20"/>
          <w:szCs w:val="20"/>
        </w:rPr>
        <w:t>ies, such as Facebook, Google, LinkedIn and Twitter. Some of this data is provided to us pursuant to third-party data sharing policies and terms of use, under data sharing agreements by third-party providers or by customer consent. In the future, any of th</w:t>
      </w:r>
      <w:r>
        <w:rPr>
          <w:sz w:val="20"/>
          <w:szCs w:val="20"/>
        </w:rPr>
        <w:t xml:space="preserve">ese third parties could change its data sharing policies, including making them more restrictive, or alter its algorithms that determine the placement, display, and accessibility of search results and social media updates, any of which could result in the </w:t>
      </w:r>
      <w:r>
        <w:rPr>
          <w:sz w:val="20"/>
          <w:szCs w:val="20"/>
        </w:rPr>
        <w:t>loss of, or significant impairment to, our ability to collect and provide useful data to our customers. These third parties could also interpret our, or our service providers’ data collection policies or practices as being inconsistent with their policies,</w:t>
      </w:r>
      <w:r>
        <w:rPr>
          <w:sz w:val="20"/>
          <w:szCs w:val="20"/>
        </w:rPr>
        <w:t xml:space="preserve"> which could result in the loss of our ability to collect this data for our customers. Any such changes could impair our ability to deliver data to our customers and could adversely impact select functionality of our platform, impairing the return on inves</w:t>
      </w:r>
      <w:r>
        <w:rPr>
          <w:sz w:val="20"/>
          <w:szCs w:val="20"/>
        </w:rPr>
        <w:t>tment that our customers derive from using our solution, as well as adversely affecting our business and our ability to generate revenue</w:t>
      </w:r>
      <w:r>
        <w:rPr>
          <w:sz w:val="20"/>
          <w:szCs w:val="20"/>
        </w:rPr>
        <w:t>.</w:t>
      </w:r>
    </w:p>
    <w:p w14:paraId="4729A3C7" w14:textId="77777777" w:rsidR="00000000" w:rsidRDefault="003C49E9">
      <w:pPr>
        <w:pStyle w:val="a3"/>
        <w:spacing w:before="200" w:beforeAutospacing="0" w:after="0" w:afterAutospacing="0"/>
        <w:rPr>
          <w:sz w:val="20"/>
          <w:szCs w:val="20"/>
        </w:rPr>
      </w:pPr>
      <w:r>
        <w:rPr>
          <w:b/>
          <w:bCs/>
          <w:i/>
          <w:iCs/>
          <w:sz w:val="20"/>
          <w:szCs w:val="20"/>
        </w:rPr>
        <w:t>Privacy concerns and end users’ acceptance of Internet behavior tracking may limit the applicability, use and adoption</w:t>
      </w:r>
      <w:r>
        <w:rPr>
          <w:b/>
          <w:bCs/>
          <w:i/>
          <w:iCs/>
          <w:sz w:val="20"/>
          <w:szCs w:val="20"/>
        </w:rPr>
        <w:t xml:space="preserve"> of our CRM Platform</w:t>
      </w:r>
      <w:r>
        <w:rPr>
          <w:b/>
          <w:bCs/>
          <w:i/>
          <w:iCs/>
          <w:sz w:val="20"/>
          <w:szCs w:val="20"/>
        </w:rPr>
        <w:t>.</w:t>
      </w:r>
    </w:p>
    <w:p w14:paraId="237CE41C" w14:textId="77777777" w:rsidR="00000000" w:rsidRDefault="003C49E9">
      <w:pPr>
        <w:pStyle w:val="a3"/>
        <w:spacing w:before="20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various features intended to enable our customers to better protect end u</w:t>
      </w:r>
      <w:r>
        <w:rPr>
          <w:sz w:val="20"/>
          <w:szCs w:val="20"/>
        </w:rPr>
        <w:t>ser privacy, but these measures may not alleviate all potential privacy concerns and threats. Even the perception of privacy concerns, whether or not valid, may inhibit market adoption of our platform, especially in certain industries that rely on sensitiv</w:t>
      </w:r>
      <w:r>
        <w:rPr>
          <w:sz w:val="20"/>
          <w:szCs w:val="20"/>
        </w:rPr>
        <w:t>e personal data. Privacy advocacy groups and the technology and other industries are considering various new, additional or different self-regulatory standards that may place additional burdens on us. The costs of compliance with, and other burdens imposed</w:t>
      </w:r>
      <w:r>
        <w:rPr>
          <w:sz w:val="20"/>
          <w:szCs w:val="20"/>
        </w:rPr>
        <w:t xml:space="preserve"> by these groups’ policies and actions may limit the use and adoption of our CRM Platform and reduce overall demand for it, or lead to significant fines, penalties or liabilities for any noncompliance or loss of any such action</w:t>
      </w:r>
      <w:r>
        <w:rPr>
          <w:sz w:val="20"/>
          <w:szCs w:val="20"/>
        </w:rPr>
        <w:t>.</w:t>
      </w:r>
    </w:p>
    <w:p w14:paraId="0947BF59" w14:textId="77777777" w:rsidR="00000000" w:rsidRDefault="003C49E9">
      <w:pPr>
        <w:pStyle w:val="a3"/>
        <w:spacing w:before="200" w:beforeAutospacing="0" w:after="0" w:afterAutospacing="0"/>
        <w:rPr>
          <w:sz w:val="20"/>
          <w:szCs w:val="20"/>
        </w:rPr>
      </w:pPr>
      <w:r>
        <w:rPr>
          <w:b/>
          <w:bCs/>
          <w:i/>
          <w:iCs/>
          <w:sz w:val="20"/>
          <w:szCs w:val="20"/>
        </w:rPr>
        <w:t>If our or our customers’ se</w:t>
      </w:r>
      <w:r>
        <w:rPr>
          <w:b/>
          <w:bCs/>
          <w:i/>
          <w:iCs/>
          <w:sz w:val="20"/>
          <w:szCs w:val="20"/>
        </w:rPr>
        <w:t>curity measures are compromised or unauthorized access to data of our customers or their customers is otherwise obtained, our CRM Platform may be perceived as not being secure, our customers may be harmed and may curtail or cease their use of our platform,</w:t>
      </w:r>
      <w:r>
        <w:rPr>
          <w:b/>
          <w:bCs/>
          <w:i/>
          <w:iCs/>
          <w:sz w:val="20"/>
          <w:szCs w:val="20"/>
        </w:rPr>
        <w:t xml:space="preserve"> our reputation may be damaged and we may incur significant liabilities</w:t>
      </w:r>
      <w:r>
        <w:rPr>
          <w:b/>
          <w:bCs/>
          <w:i/>
          <w:iCs/>
          <w:sz w:val="20"/>
          <w:szCs w:val="20"/>
        </w:rPr>
        <w:t>.</w:t>
      </w:r>
    </w:p>
    <w:p w14:paraId="20845D26" w14:textId="77777777" w:rsidR="00000000" w:rsidRDefault="003C49E9">
      <w:pPr>
        <w:pStyle w:val="a3"/>
        <w:spacing w:before="200" w:beforeAutospacing="0" w:after="0" w:afterAutospacing="0"/>
        <w:ind w:firstLine="555"/>
        <w:rPr>
          <w:sz w:val="20"/>
          <w:szCs w:val="20"/>
        </w:rPr>
      </w:pPr>
      <w:r>
        <w:rPr>
          <w:sz w:val="20"/>
          <w:szCs w:val="20"/>
        </w:rPr>
        <w:t>Our operations involve the storage and transmission of data of our customers and their customers, including personal data. Our storage is typically the sole source of record for porti</w:t>
      </w:r>
      <w:r>
        <w:rPr>
          <w:sz w:val="20"/>
          <w:szCs w:val="20"/>
        </w:rPr>
        <w:t>ons of our customers’ businesses and end user data, such as initial contact information and online interactions. Security incidents could result in unauthorized access to, loss of or unauthorized disclosure of this information, litigation, indemnity obliga</w:t>
      </w:r>
      <w:r>
        <w:rPr>
          <w:sz w:val="20"/>
          <w:szCs w:val="20"/>
        </w:rPr>
        <w:t>tions and other possible liabilities, as well as negative publicity, which could damage our reputation, impair our sales and harm our customers and our business. Cyber-attacks and other malicious Internet-based activit</w:t>
      </w:r>
      <w:r>
        <w:rPr>
          <w:sz w:val="20"/>
          <w:szCs w:val="20"/>
        </w:rPr>
        <w:t>y</w:t>
      </w:r>
      <w:r>
        <w:rPr>
          <w:sz w:val="20"/>
          <w:szCs w:val="20"/>
        </w:rPr>
        <w:t xml:space="preserve"> </w:t>
      </w:r>
    </w:p>
    <w:p w14:paraId="10F64DE7"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4</w:t>
      </w:r>
    </w:p>
    <w:p w14:paraId="54175B40" w14:textId="77777777" w:rsidR="00000000" w:rsidRDefault="003C49E9">
      <w:pPr>
        <w:rPr>
          <w:rFonts w:eastAsia="Times New Roman"/>
        </w:rPr>
      </w:pPr>
      <w:r>
        <w:rPr>
          <w:rFonts w:eastAsia="Times New Roman"/>
        </w:rPr>
        <w:pict w14:anchorId="0B509365">
          <v:rect id="_x0000_i1068" style="width:0;height:1.5pt" o:hralign="center" o:hrstd="t" o:hr="t" fillcolor="#a0a0a0" stroked="f"/>
        </w:pict>
      </w:r>
    </w:p>
    <w:p w14:paraId="1F149944" w14:textId="77777777" w:rsidR="00000000" w:rsidRDefault="003C49E9">
      <w:pPr>
        <w:pStyle w:val="a3"/>
        <w:spacing w:before="0" w:beforeAutospacing="0" w:after="0" w:afterAutospacing="0"/>
        <w:rPr>
          <w:sz w:val="20"/>
          <w:szCs w:val="20"/>
        </w:rPr>
      </w:pPr>
      <w:r>
        <w:rPr>
          <w:sz w:val="20"/>
          <w:szCs w:val="20"/>
        </w:rPr>
        <w:t> </w:t>
      </w:r>
    </w:p>
    <w:p w14:paraId="74489892" w14:textId="77777777" w:rsidR="00000000" w:rsidRDefault="003C49E9">
      <w:pPr>
        <w:pStyle w:val="a3"/>
        <w:spacing w:before="200" w:beforeAutospacing="0" w:after="0" w:afterAutospacing="0"/>
        <w:rPr>
          <w:sz w:val="20"/>
          <w:szCs w:val="20"/>
        </w:rPr>
      </w:pPr>
      <w:r>
        <w:rPr>
          <w:sz w:val="20"/>
          <w:szCs w:val="20"/>
        </w:rPr>
        <w:t>continue to increase generally, and cloud-based platform providers of marketing services have been targeted. If our security measures, or those of our service providers, are compromised as a result of third-party action, employee or customer error, m</w:t>
      </w:r>
      <w:r>
        <w:rPr>
          <w:sz w:val="20"/>
          <w:szCs w:val="20"/>
        </w:rPr>
        <w:t>alfeasance, stolen or fraudulently obtained log-in credentials or otherwise, our reputation could be damaged, our business may be harmed and we could incur significant liability. Additionally, if third parties with whom we work, such as vendors or develope</w:t>
      </w:r>
      <w:r>
        <w:rPr>
          <w:sz w:val="20"/>
          <w:szCs w:val="20"/>
        </w:rPr>
        <w:t>rs, violate applicable laws, our security policies or our acceptable use policy, such violations may also put our customers’ information at risk and could in turn have an adverse effect on our business. In addition, if the security measures of our customer</w:t>
      </w:r>
      <w:r>
        <w:rPr>
          <w:sz w:val="20"/>
          <w:szCs w:val="20"/>
        </w:rPr>
        <w:t xml:space="preserve">s or our service providers are compromised, even without any actual compromise of our own systems, we may face negative publicity or reputational harm if our customers or anyone else incorrectly attributes the blame for such security breaches to us or our </w:t>
      </w:r>
      <w:r>
        <w:rPr>
          <w:sz w:val="20"/>
          <w:szCs w:val="20"/>
        </w:rPr>
        <w:t>systems. We may be unable to anticipate or prevent techniques used to obtain unauthorized access or to sabotage systems because they change frequently and generally are not detected until after an incident has occurred. As we increase our customer base and</w:t>
      </w:r>
      <w:r>
        <w:rPr>
          <w:sz w:val="20"/>
          <w:szCs w:val="20"/>
        </w:rPr>
        <w:t xml:space="preserve"> our brand becomes more widely known and recognized, we may become more of a target for third parties seeking to compromise our security systems or gain unauthorized access to our customers’ data. Additionally, we provide extensive access to our database, </w:t>
      </w:r>
      <w:r>
        <w:rPr>
          <w:sz w:val="20"/>
          <w:szCs w:val="20"/>
        </w:rPr>
        <w:t>which stores our customer data, to our development team to facilitate our rapid pace of product development. If such access or our own operations cause the loss, damage or destruction of our customers’ business data, their sales, lead generation, support a</w:t>
      </w:r>
      <w:r>
        <w:rPr>
          <w:sz w:val="20"/>
          <w:szCs w:val="20"/>
        </w:rPr>
        <w:t>nd other business operations may be permanently harmed. As a result, our customers may bring claims against us for lost profits and other damages, or such concerns may cause us to limit access by our development team</w:t>
      </w:r>
      <w:r>
        <w:rPr>
          <w:sz w:val="20"/>
          <w:szCs w:val="20"/>
        </w:rPr>
        <w:t>.</w:t>
      </w:r>
      <w:r>
        <w:rPr>
          <w:sz w:val="20"/>
          <w:szCs w:val="20"/>
        </w:rPr>
        <w:t xml:space="preserve"> </w:t>
      </w:r>
    </w:p>
    <w:p w14:paraId="20121533" w14:textId="77777777" w:rsidR="00000000" w:rsidRDefault="003C49E9">
      <w:pPr>
        <w:pStyle w:val="a3"/>
        <w:spacing w:before="200" w:beforeAutospacing="0" w:after="0" w:afterAutospacing="0"/>
        <w:ind w:firstLine="555"/>
        <w:rPr>
          <w:sz w:val="20"/>
          <w:szCs w:val="20"/>
        </w:rPr>
      </w:pPr>
      <w:r>
        <w:rPr>
          <w:sz w:val="20"/>
          <w:szCs w:val="20"/>
        </w:rPr>
        <w:t>Cyber-attacks, denial-of-service atta</w:t>
      </w:r>
      <w:r>
        <w:rPr>
          <w:sz w:val="20"/>
          <w:szCs w:val="20"/>
        </w:rPr>
        <w:t>cks, ransomware attacks, business email compromises, computer malware, viruses, and social engineering (including phishing) are prevalent in our industry, the industries of certain of our service providers and our customers' industries. Our internal comput</w:t>
      </w:r>
      <w:r>
        <w:rPr>
          <w:sz w:val="20"/>
          <w:szCs w:val="20"/>
        </w:rPr>
        <w:t>er systems and those of our current and any future strategic collaborators, vendors, and other contractors or consultants are vulnerable to damage from cyber-attacks, computer viruses, unauthorized access, natural disasters, cybersecurity threats, terroris</w:t>
      </w:r>
      <w:r>
        <w:rPr>
          <w:sz w:val="20"/>
          <w:szCs w:val="20"/>
        </w:rPr>
        <w:t>m, war and telecommunication and electrical failures. Accordingly, if our cybersecurity measures or those of our service providers fail to protect against unauthorized access, attacks (which may include sophisticated cyberattacks), compromise or the mishan</w:t>
      </w:r>
      <w:r>
        <w:rPr>
          <w:sz w:val="20"/>
          <w:szCs w:val="20"/>
        </w:rPr>
        <w:t>dling of data by our employees and contractors, then our reputation, customer trust, business, results of operations and financial condition could be adversely affected. Cyber incidents have been increasing in sophistication and frequency and can include t</w:t>
      </w:r>
      <w:r>
        <w:rPr>
          <w:sz w:val="20"/>
          <w:szCs w:val="20"/>
        </w:rPr>
        <w:t>hird parties gaining access to employee or customer data using stolen or inferred credentials, computer malware, viruses, spamming, phishing attacks, ransomware, card skimming code, and other deliberate attacks and attempts to gain unauthorized access. The</w:t>
      </w:r>
      <w:r>
        <w:rPr>
          <w:sz w:val="20"/>
          <w:szCs w:val="20"/>
        </w:rPr>
        <w:t xml:space="preserve"> techniques used to sabotage or to obtain unauthorized access to our platform, systems, networks, or physical facilities in which data is stored or through which data is transmitted change frequently, and we may be unable to implement adequate preventative</w:t>
      </w:r>
      <w:r>
        <w:rPr>
          <w:sz w:val="20"/>
          <w:szCs w:val="20"/>
        </w:rPr>
        <w:t xml:space="preserve"> measures or stop security breaches while they are occurring. Because the techniques used by threat actors who may attempt to penetrate and sabotage our computer systems change frequently and may not be recognized until launched against a target, we may be</w:t>
      </w:r>
      <w:r>
        <w:rPr>
          <w:sz w:val="20"/>
          <w:szCs w:val="20"/>
        </w:rPr>
        <w:t xml:space="preserve"> unable to anticipate these techniques. Additionally, during the ongoing pandemic, and potentially beyond as remote work and resource access expand, there is an increased risk that we may experience cybersecurity-related events such as COVID-19 themed phis</w:t>
      </w:r>
      <w:r>
        <w:rPr>
          <w:sz w:val="20"/>
          <w:szCs w:val="20"/>
        </w:rPr>
        <w:t>hing attacks, exploitation of any cybersecurity flaws that may exist, an increase in the number of cybersecurity threats or attacks, and other security challenges as a result of most of our employees and our service providers continuing to work remotely fr</w:t>
      </w:r>
      <w:r>
        <w:rPr>
          <w:sz w:val="20"/>
          <w:szCs w:val="20"/>
        </w:rPr>
        <w:t>om non-corporate managed networks. There is also a risk of potential increase in such attacks due to cyberwarfare in connection with the ongoing conflict between Russia and Ukraine, and this could adversely affect our and our suppliers' ability to maintain</w:t>
      </w:r>
      <w:r>
        <w:rPr>
          <w:sz w:val="20"/>
          <w:szCs w:val="20"/>
        </w:rPr>
        <w:t xml:space="preserve"> or enhance key cybersecurity and data protection measures. We have previously been, and may in the future become, the target of cyber-attacks by third parties seeking unauthorized access to our or our customers' data or to disrupt our operations or abilit</w:t>
      </w:r>
      <w:r>
        <w:rPr>
          <w:sz w:val="20"/>
          <w:szCs w:val="20"/>
        </w:rPr>
        <w:t>y to provide our services</w:t>
      </w:r>
      <w:r>
        <w:rPr>
          <w:sz w:val="20"/>
          <w:szCs w:val="20"/>
        </w:rPr>
        <w:t>.</w:t>
      </w:r>
    </w:p>
    <w:p w14:paraId="70C3F840" w14:textId="77777777" w:rsidR="00000000" w:rsidRDefault="003C49E9">
      <w:pPr>
        <w:pStyle w:val="a3"/>
        <w:spacing w:before="200" w:beforeAutospacing="0" w:after="0" w:afterAutospacing="0"/>
        <w:ind w:firstLine="555"/>
        <w:rPr>
          <w:sz w:val="20"/>
          <w:szCs w:val="20"/>
        </w:rPr>
      </w:pPr>
      <w:r>
        <w:rPr>
          <w:sz w:val="20"/>
          <w:szCs w:val="20"/>
        </w:rPr>
        <w:t>Additionally, it is also possible that unauthorized access to sensitive customer and business data may be obtained through inadequate use of security controls by our customers, suppliers or other vendors. While we are not current</w:t>
      </w:r>
      <w:r>
        <w:rPr>
          <w:sz w:val="20"/>
          <w:szCs w:val="20"/>
        </w:rPr>
        <w:t>ly aware of any material impact that the SolarWinds, Log4j, Kaseya, or other recent supply chain attacks had on our business, new information on the scope of such attacks is continuing to emerge and there is a residual risk that we may experience a securit</w:t>
      </w:r>
      <w:r>
        <w:rPr>
          <w:sz w:val="20"/>
          <w:szCs w:val="20"/>
        </w:rPr>
        <w:t>y breach arising from one of these, or a similar, supply chain attack in the future. Supply chain attacks are becoming increasingly common, and we may not be able to anticipate and prevent negative impacts from such an attack. If we are impacted by a suppl</w:t>
      </w:r>
      <w:r>
        <w:rPr>
          <w:sz w:val="20"/>
          <w:szCs w:val="20"/>
        </w:rPr>
        <w:t>y chain attack, we could incur liability, our competitive position could be harmed and the further development and commercialization of our product and services could be hindered or delayed</w:t>
      </w:r>
      <w:r>
        <w:rPr>
          <w:sz w:val="20"/>
          <w:szCs w:val="20"/>
        </w:rPr>
        <w:t>.</w:t>
      </w:r>
    </w:p>
    <w:p w14:paraId="2917AE55" w14:textId="77777777" w:rsidR="00000000" w:rsidRDefault="003C49E9">
      <w:pPr>
        <w:pStyle w:val="a3"/>
        <w:spacing w:before="200" w:beforeAutospacing="0" w:after="0" w:afterAutospacing="0"/>
        <w:ind w:firstLine="555"/>
        <w:rPr>
          <w:sz w:val="20"/>
          <w:szCs w:val="20"/>
        </w:rPr>
      </w:pPr>
      <w:r>
        <w:rPr>
          <w:sz w:val="20"/>
          <w:szCs w:val="20"/>
        </w:rPr>
        <w:t xml:space="preserve">Recent high-profile security breaches and related disclosures of </w:t>
      </w:r>
      <w:r>
        <w:rPr>
          <w:sz w:val="20"/>
          <w:szCs w:val="20"/>
        </w:rPr>
        <w:t xml:space="preserve">sensitive data by large institutions suggest that the risk of such events is significant, even if privacy protection and security measures are implemented and enforced. If we were to experience a cyber-attack and suffer interruptions in our operations, it </w:t>
      </w:r>
      <w:r>
        <w:rPr>
          <w:sz w:val="20"/>
          <w:szCs w:val="20"/>
        </w:rPr>
        <w:t>could result in a material disruption of our development programs and our business operations, whether due to a loss of our trade secrets or other proprietary information or other disruptions. These cyber-attacks could be carried out by threat actors of al</w:t>
      </w:r>
      <w:r>
        <w:rPr>
          <w:sz w:val="20"/>
          <w:szCs w:val="20"/>
        </w:rPr>
        <w:t>l types (including but not limited to nation states, organized crime, other criminal enterprises, individual actors and/or advanced persistent threat groups). In addition, we may experience intrusions on our physical premises by any of these threat actors.</w:t>
      </w:r>
      <w:r>
        <w:rPr>
          <w:sz w:val="20"/>
          <w:szCs w:val="20"/>
        </w:rPr>
        <w:t xml:space="preserve"> To the extent that any disruption or security breach were to result in a loss of, or damage to, our data or applications, or inappropriate disclosure of confidential or proprietary information, we could incur liability, incur significant costs associated </w:t>
      </w:r>
      <w:r>
        <w:rPr>
          <w:sz w:val="20"/>
          <w:szCs w:val="20"/>
        </w:rPr>
        <w:t>with remediation and the implementation of additional security measures, including costs to deploy additional personnel and protection technologies, train employees, and engage third-party experts and consultants, and our competitive position could be harm</w:t>
      </w:r>
      <w:r>
        <w:rPr>
          <w:sz w:val="20"/>
          <w:szCs w:val="20"/>
        </w:rPr>
        <w:t>ed. Any breach, loss, or compromise of personal data may also subject us to civil fines and penalties, or claims for damages either under the General Data Protection Regulation (the “GDPR”) and relevant member state law in the European Union, other foreign</w:t>
      </w:r>
      <w:r>
        <w:rPr>
          <w:sz w:val="20"/>
          <w:szCs w:val="20"/>
        </w:rPr>
        <w:t xml:space="preserve"> laws, and other relevant state and federal privacy laws in the United States</w:t>
      </w:r>
      <w:r>
        <w:rPr>
          <w:sz w:val="20"/>
          <w:szCs w:val="20"/>
        </w:rPr>
        <w:t>.</w:t>
      </w:r>
    </w:p>
    <w:p w14:paraId="0C87A8C1"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5</w:t>
      </w:r>
    </w:p>
    <w:p w14:paraId="4B61BE97" w14:textId="77777777" w:rsidR="00000000" w:rsidRDefault="003C49E9">
      <w:pPr>
        <w:rPr>
          <w:rFonts w:eastAsia="Times New Roman"/>
        </w:rPr>
      </w:pPr>
      <w:r>
        <w:rPr>
          <w:rFonts w:eastAsia="Times New Roman"/>
        </w:rPr>
        <w:pict w14:anchorId="2D334E41">
          <v:rect id="_x0000_i1069" style="width:0;height:1.5pt" o:hralign="center" o:hrstd="t" o:hr="t" fillcolor="#a0a0a0" stroked="f"/>
        </w:pict>
      </w:r>
    </w:p>
    <w:p w14:paraId="7FD995D2" w14:textId="77777777" w:rsidR="00000000" w:rsidRDefault="003C49E9">
      <w:pPr>
        <w:pStyle w:val="a3"/>
        <w:spacing w:before="0" w:beforeAutospacing="0" w:after="0" w:afterAutospacing="0"/>
        <w:rPr>
          <w:sz w:val="20"/>
          <w:szCs w:val="20"/>
        </w:rPr>
      </w:pPr>
      <w:r>
        <w:rPr>
          <w:sz w:val="20"/>
          <w:szCs w:val="20"/>
        </w:rPr>
        <w:t> </w:t>
      </w:r>
    </w:p>
    <w:p w14:paraId="595599DD" w14:textId="77777777" w:rsidR="00000000" w:rsidRDefault="003C49E9">
      <w:pPr>
        <w:pStyle w:val="a3"/>
        <w:spacing w:before="200" w:beforeAutospacing="0" w:after="0" w:afterAutospacing="0"/>
        <w:ind w:firstLine="555"/>
        <w:rPr>
          <w:sz w:val="20"/>
          <w:szCs w:val="20"/>
        </w:rPr>
      </w:pPr>
      <w:r>
        <w:rPr>
          <w:sz w:val="20"/>
          <w:szCs w:val="20"/>
        </w:rPr>
        <w:t>Many governments have enacted laws requiring companies to notify individuals of data security incidents or unauthorized transfers involving certain types of personal data. In addition, the data processing agreements we execute with our customers contractua</w:t>
      </w:r>
      <w:r>
        <w:rPr>
          <w:sz w:val="20"/>
          <w:szCs w:val="20"/>
        </w:rPr>
        <w:t>lly requires us to notify them of any personal data breach. Under payment card network rules and our contracts with our payment processors, if there is a breach of payment card information that we store, or that is stored by our direct payment card process</w:t>
      </w:r>
      <w:r>
        <w:rPr>
          <w:sz w:val="20"/>
          <w:szCs w:val="20"/>
        </w:rPr>
        <w:t>ing vendors, we could be liable to the payment card issuing banks for their cost of issuing new cards and related expenses. Data breaches and other data security compromises experienced by our competitors, by our customers or by us may lead to public discl</w:t>
      </w:r>
      <w:r>
        <w:rPr>
          <w:sz w:val="20"/>
          <w:szCs w:val="20"/>
        </w:rPr>
        <w:t>osures, which may lead to widespread negative publicity. Any security compromise in our industry, whether actual or perceived, could harm our reputation, erode customer confidence in the effectiveness of our security measures, negatively impact our ability</w:t>
      </w:r>
      <w:r>
        <w:rPr>
          <w:sz w:val="20"/>
          <w:szCs w:val="20"/>
        </w:rPr>
        <w:t xml:space="preserve"> to attract new customers, cause existing customers to elect not to renew their subscriptions or subject us to third-party lawsuits, regulatory fines or other action or liability, which could materially and adversely affect our business and operating resul</w:t>
      </w:r>
      <w:r>
        <w:rPr>
          <w:sz w:val="20"/>
          <w:szCs w:val="20"/>
        </w:rPr>
        <w:t>ts</w:t>
      </w:r>
      <w:r>
        <w:rPr>
          <w:sz w:val="20"/>
          <w:szCs w:val="20"/>
        </w:rPr>
        <w:t>.</w:t>
      </w:r>
    </w:p>
    <w:p w14:paraId="43FCA7CC" w14:textId="77777777" w:rsidR="00000000" w:rsidRDefault="003C49E9">
      <w:pPr>
        <w:pStyle w:val="a3"/>
        <w:spacing w:before="200" w:beforeAutospacing="0" w:after="0" w:afterAutospacing="0"/>
        <w:ind w:firstLine="555"/>
        <w:rPr>
          <w:sz w:val="20"/>
          <w:szCs w:val="20"/>
        </w:rPr>
      </w:pPr>
      <w:r>
        <w:rPr>
          <w:sz w:val="20"/>
          <w:szCs w:val="20"/>
        </w:rPr>
        <w:t>There can be no assurance that any limitations of liability provisions in our contracts for a security breach would be enforceable or adequate or would otherwise protect us from any such liabilities or damages with respect to any particular claim. We a</w:t>
      </w:r>
      <w:r>
        <w:rPr>
          <w:sz w:val="20"/>
          <w:szCs w:val="20"/>
        </w:rPr>
        <w:t>lso cannot be sure that our existing general liability insurance coverage and coverage for errors or omissions will continue to be available on acceptable terms or will be available in sufficient amounts to cover one or more large claims, or that the insur</w:t>
      </w:r>
      <w:r>
        <w:rPr>
          <w:sz w:val="20"/>
          <w:szCs w:val="20"/>
        </w:rPr>
        <w:t>er will not deny coverage as to any future claim. The successful assertion of one or more large claims against us that exceed available insurance coverage, or the occurrence of changes in our insurance policies, including premium increases or the impositio</w:t>
      </w:r>
      <w:r>
        <w:rPr>
          <w:sz w:val="20"/>
          <w:szCs w:val="20"/>
        </w:rPr>
        <w:t>n of large deductible or co-insurance requirements, could have a material adverse effect on our business, financial condition and operating results</w:t>
      </w:r>
      <w:r>
        <w:rPr>
          <w:sz w:val="20"/>
          <w:szCs w:val="20"/>
        </w:rPr>
        <w:t>.</w:t>
      </w:r>
    </w:p>
    <w:p w14:paraId="4EBE2842" w14:textId="77777777" w:rsidR="00000000" w:rsidRDefault="003C49E9">
      <w:pPr>
        <w:pStyle w:val="a3"/>
        <w:spacing w:before="200" w:beforeAutospacing="0" w:after="0" w:afterAutospacing="0"/>
        <w:rPr>
          <w:sz w:val="20"/>
          <w:szCs w:val="20"/>
        </w:rPr>
      </w:pPr>
      <w:r>
        <w:rPr>
          <w:sz w:val="20"/>
          <w:szCs w:val="20"/>
        </w:rPr>
        <w:t> </w:t>
      </w:r>
    </w:p>
    <w:p w14:paraId="701B3C13" w14:textId="77777777" w:rsidR="00000000" w:rsidRDefault="003C49E9">
      <w:pPr>
        <w:pStyle w:val="a3"/>
        <w:spacing w:before="200" w:beforeAutospacing="0" w:after="0" w:afterAutospacing="0"/>
        <w:rPr>
          <w:sz w:val="20"/>
          <w:szCs w:val="20"/>
        </w:rPr>
      </w:pPr>
      <w:r>
        <w:rPr>
          <w:b/>
          <w:bCs/>
          <w:sz w:val="20"/>
          <w:szCs w:val="20"/>
        </w:rPr>
        <w:t>Risks Related to Intellectual Propert</w:t>
      </w:r>
      <w:r>
        <w:rPr>
          <w:b/>
          <w:bCs/>
          <w:sz w:val="20"/>
          <w:szCs w:val="20"/>
        </w:rPr>
        <w:t>y</w:t>
      </w:r>
    </w:p>
    <w:p w14:paraId="5FDC8569" w14:textId="77777777" w:rsidR="00000000" w:rsidRDefault="003C49E9">
      <w:pPr>
        <w:pStyle w:val="a3"/>
        <w:spacing w:before="200" w:beforeAutospacing="0" w:after="0" w:afterAutospacing="0"/>
        <w:rPr>
          <w:sz w:val="20"/>
          <w:szCs w:val="20"/>
        </w:rPr>
      </w:pPr>
      <w:r>
        <w:rPr>
          <w:b/>
          <w:bCs/>
          <w:i/>
          <w:iCs/>
          <w:sz w:val="20"/>
          <w:szCs w:val="20"/>
        </w:rPr>
        <w:t>Our business may suffer if it is alleged or determined that our technology infringes the intellectual property rights of others</w:t>
      </w:r>
      <w:r>
        <w:rPr>
          <w:b/>
          <w:bCs/>
          <w:i/>
          <w:iCs/>
          <w:sz w:val="20"/>
          <w:szCs w:val="20"/>
        </w:rPr>
        <w:t>.</w:t>
      </w:r>
    </w:p>
    <w:p w14:paraId="29F6E530" w14:textId="77777777" w:rsidR="00000000" w:rsidRDefault="003C49E9">
      <w:pPr>
        <w:pStyle w:val="a3"/>
        <w:spacing w:before="200" w:beforeAutospacing="0" w:after="0" w:afterAutospacing="0"/>
        <w:ind w:firstLine="555"/>
        <w:rPr>
          <w:sz w:val="20"/>
          <w:szCs w:val="20"/>
        </w:rPr>
      </w:pPr>
      <w:r>
        <w:rPr>
          <w:sz w:val="20"/>
          <w:szCs w:val="20"/>
        </w:rPr>
        <w:t>The software industry is characterized by the existence of a large number of patents, copyrights, trademarks, trade secrets and</w:t>
      </w:r>
      <w:r>
        <w:rPr>
          <w:sz w:val="20"/>
          <w:szCs w:val="20"/>
        </w:rPr>
        <w:t xml:space="preserve"> other intellectual and proprietary rights. Companies in the software industry, including those in marketing software, are often required to defend against litigation claims based on allegations of infringement or other violations of intellectual property </w:t>
      </w:r>
      <w:r>
        <w:rPr>
          <w:sz w:val="20"/>
          <w:szCs w:val="20"/>
        </w:rPr>
        <w:t>rights. Many of our competitors and other industry participants have been issued patents and/or have filed patent applications and may assert patent or other intellectual property rights within the industry. Moreover, in recent years, individuals and group</w:t>
      </w:r>
      <w:r>
        <w:rPr>
          <w:sz w:val="20"/>
          <w:szCs w:val="20"/>
        </w:rPr>
        <w:t>s that are non-practicing entities, commonly referred to as “patent trolls,” have purchased patents and other intellectual property assets for the purpose of making claims of infringement in order to extract settlements. From time to time, we may receive t</w:t>
      </w:r>
      <w:r>
        <w:rPr>
          <w:sz w:val="20"/>
          <w:szCs w:val="20"/>
        </w:rPr>
        <w:t>hreatening letters or notices or may be the subject of claims that our services and/or platform and underlying technology infringe or violate the intellectual property rights of others. Responding to such claims, regardless of their merit, can be time cons</w:t>
      </w:r>
      <w:r>
        <w:rPr>
          <w:sz w:val="20"/>
          <w:szCs w:val="20"/>
        </w:rPr>
        <w:t>uming, costly to defend in litigation, divert management’s attention and resources, damage our reputation and brand and cause us to incur significant expenses. Our technologies may not be able to withstand any third-party claims or rights against their use</w:t>
      </w:r>
      <w:r>
        <w:rPr>
          <w:sz w:val="20"/>
          <w:szCs w:val="20"/>
        </w:rPr>
        <w:t>. Claims of intellectual property infringement might require us to redesign our application, delay releases, enter into costly settlement or license agreements or pay costly damage awards, or face a temporary or permanent injunction prohibiting us from mar</w:t>
      </w:r>
      <w:r>
        <w:rPr>
          <w:sz w:val="20"/>
          <w:szCs w:val="20"/>
        </w:rPr>
        <w:t>keting or selling our platform. If we cannot or do not license the infringed technology on reasonable terms or at all, or substitute similar technology from another source, our revenue and operating results could be adversely impacted. Additionally, our cu</w:t>
      </w:r>
      <w:r>
        <w:rPr>
          <w:sz w:val="20"/>
          <w:szCs w:val="20"/>
        </w:rPr>
        <w:t>stomers may not purchase our CRM Platform if they are concerned that they may infringe third-party intellectual property rights. The occurrence of any of these events may have a material adverse effect on our business</w:t>
      </w:r>
      <w:r>
        <w:rPr>
          <w:sz w:val="20"/>
          <w:szCs w:val="20"/>
        </w:rPr>
        <w:t>.</w:t>
      </w:r>
      <w:r>
        <w:rPr>
          <w:sz w:val="20"/>
          <w:szCs w:val="20"/>
        </w:rPr>
        <w:t xml:space="preserve"> </w:t>
      </w:r>
    </w:p>
    <w:p w14:paraId="7FC32652" w14:textId="77777777" w:rsidR="00000000" w:rsidRDefault="003C49E9">
      <w:pPr>
        <w:pStyle w:val="a3"/>
        <w:spacing w:before="200" w:beforeAutospacing="0" w:after="0" w:afterAutospacing="0"/>
        <w:ind w:firstLine="555"/>
        <w:rPr>
          <w:sz w:val="20"/>
          <w:szCs w:val="20"/>
        </w:rPr>
      </w:pPr>
      <w:r>
        <w:rPr>
          <w:sz w:val="20"/>
          <w:szCs w:val="20"/>
        </w:rPr>
        <w:t xml:space="preserve">In our subscription agreements with </w:t>
      </w:r>
      <w:r>
        <w:rPr>
          <w:sz w:val="20"/>
          <w:szCs w:val="20"/>
        </w:rPr>
        <w:t>our customers, we generally do not agree to indemnify our customers against any losses or costs incurred in connection with claims by a third party alleging that a customer’s use of our services or platform infringes the intellectual property rights of the</w:t>
      </w:r>
      <w:r>
        <w:rPr>
          <w:sz w:val="20"/>
          <w:szCs w:val="20"/>
        </w:rPr>
        <w:t xml:space="preserve"> third party. There can be no assurance, however, that customers will not assert a common law indemnity claim or that any existing limitations of liability provisions in our contracts would be enforceable or adequate, or would otherwise protect us from any</w:t>
      </w:r>
      <w:r>
        <w:rPr>
          <w:sz w:val="20"/>
          <w:szCs w:val="20"/>
        </w:rPr>
        <w:t xml:space="preserve"> such liabilities or damages with respect to any particular claim. Our customers who are accused of intellectual property infringement may in the future seek indemnification from us under common law or other legal theories. If such claims are successful, o</w:t>
      </w:r>
      <w:r>
        <w:rPr>
          <w:sz w:val="20"/>
          <w:szCs w:val="20"/>
        </w:rPr>
        <w:t>r if we are required to indemnify or defend our customers from these or other claims, these matters could be disruptive to our business and management and have a material adverse effect on our business, operating results and financial condition</w:t>
      </w:r>
      <w:r>
        <w:rPr>
          <w:sz w:val="20"/>
          <w:szCs w:val="20"/>
        </w:rPr>
        <w:t>.</w:t>
      </w:r>
    </w:p>
    <w:p w14:paraId="7CA2075B" w14:textId="77777777" w:rsidR="00000000" w:rsidRDefault="003C49E9">
      <w:pPr>
        <w:pStyle w:val="a3"/>
        <w:spacing w:before="200" w:beforeAutospacing="0" w:after="0" w:afterAutospacing="0"/>
        <w:rPr>
          <w:sz w:val="20"/>
          <w:szCs w:val="20"/>
        </w:rPr>
      </w:pPr>
      <w:r>
        <w:rPr>
          <w:b/>
          <w:bCs/>
          <w:i/>
          <w:iCs/>
          <w:sz w:val="20"/>
          <w:szCs w:val="20"/>
        </w:rPr>
        <w:t>If we fail</w:t>
      </w:r>
      <w:r>
        <w:rPr>
          <w:b/>
          <w:bCs/>
          <w:i/>
          <w:iCs/>
          <w:sz w:val="20"/>
          <w:szCs w:val="20"/>
        </w:rPr>
        <w:t xml:space="preserve"> to adequately protect our proprietary rights, in the United States and abroad, our competitive position could be impaired and we may lose valuable assets, experience reduced revenue and incur costly litigation to protect our rights</w:t>
      </w:r>
      <w:r>
        <w:rPr>
          <w:b/>
          <w:bCs/>
          <w:i/>
          <w:iCs/>
          <w:sz w:val="20"/>
          <w:szCs w:val="20"/>
        </w:rPr>
        <w:t>.</w:t>
      </w:r>
    </w:p>
    <w:p w14:paraId="6F0119BA" w14:textId="77777777" w:rsidR="00000000" w:rsidRDefault="003C49E9">
      <w:pPr>
        <w:pStyle w:val="a3"/>
        <w:spacing w:before="200" w:beforeAutospacing="0" w:after="0" w:afterAutospacing="0"/>
        <w:ind w:firstLine="555"/>
        <w:rPr>
          <w:sz w:val="20"/>
          <w:szCs w:val="20"/>
        </w:rPr>
      </w:pPr>
      <w:r>
        <w:rPr>
          <w:sz w:val="20"/>
          <w:szCs w:val="20"/>
        </w:rPr>
        <w:t>Our success is depende</w:t>
      </w:r>
      <w:r>
        <w:rPr>
          <w:sz w:val="20"/>
          <w:szCs w:val="20"/>
        </w:rPr>
        <w:t>nt, in part, upon protecting our proprietary technology. We rely on a combination of copyrights, trademarks, service marks, trade secret laws and contractual restrictions to establish and protect our proprietary rights in our products and services. However</w:t>
      </w:r>
      <w:r>
        <w:rPr>
          <w:sz w:val="20"/>
          <w:szCs w:val="20"/>
        </w:rPr>
        <w:t>, the steps we take to protect our intellectual property may be inadequate. We will not be able to protect our intellectual property if we are unable to enforce our rights or if we do not detect unauthorized use of our intellectual property. Any of our tra</w:t>
      </w:r>
      <w:r>
        <w:rPr>
          <w:sz w:val="20"/>
          <w:szCs w:val="20"/>
        </w:rPr>
        <w:t>demarks or other intellectual property rights may be challenged by others or invalidated through administrative process or litigation. Furthermore, legal standards relating to the validity, enforceability and scope of protection of intellectual property ri</w:t>
      </w:r>
      <w:r>
        <w:rPr>
          <w:sz w:val="20"/>
          <w:szCs w:val="20"/>
        </w:rPr>
        <w:t>ghts are uncertain. Despite our precautions, it may be possible for unauthorized third parties to copy our technology and use information tha</w:t>
      </w:r>
      <w:r>
        <w:rPr>
          <w:sz w:val="20"/>
          <w:szCs w:val="20"/>
        </w:rPr>
        <w:t>t</w:t>
      </w:r>
      <w:r>
        <w:rPr>
          <w:sz w:val="20"/>
          <w:szCs w:val="20"/>
        </w:rPr>
        <w:t xml:space="preserve"> </w:t>
      </w:r>
    </w:p>
    <w:p w14:paraId="1844F586"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6</w:t>
      </w:r>
    </w:p>
    <w:p w14:paraId="288BE063" w14:textId="77777777" w:rsidR="00000000" w:rsidRDefault="003C49E9">
      <w:pPr>
        <w:rPr>
          <w:rFonts w:eastAsia="Times New Roman"/>
        </w:rPr>
      </w:pPr>
      <w:r>
        <w:rPr>
          <w:rFonts w:eastAsia="Times New Roman"/>
        </w:rPr>
        <w:pict w14:anchorId="244DCECF">
          <v:rect id="_x0000_i1070" style="width:0;height:1.5pt" o:hralign="center" o:hrstd="t" o:hr="t" fillcolor="#a0a0a0" stroked="f"/>
        </w:pict>
      </w:r>
    </w:p>
    <w:p w14:paraId="192BED1D" w14:textId="77777777" w:rsidR="00000000" w:rsidRDefault="003C49E9">
      <w:pPr>
        <w:pStyle w:val="a3"/>
        <w:spacing w:before="0" w:beforeAutospacing="0" w:after="0" w:afterAutospacing="0"/>
        <w:rPr>
          <w:sz w:val="20"/>
          <w:szCs w:val="20"/>
        </w:rPr>
      </w:pPr>
      <w:r>
        <w:rPr>
          <w:sz w:val="20"/>
          <w:szCs w:val="20"/>
        </w:rPr>
        <w:t> </w:t>
      </w:r>
    </w:p>
    <w:p w14:paraId="45343F63" w14:textId="77777777" w:rsidR="00000000" w:rsidRDefault="003C49E9">
      <w:pPr>
        <w:pStyle w:val="a3"/>
        <w:spacing w:before="200" w:beforeAutospacing="0" w:after="0" w:afterAutospacing="0"/>
        <w:rPr>
          <w:sz w:val="20"/>
          <w:szCs w:val="20"/>
        </w:rPr>
      </w:pPr>
      <w:r>
        <w:rPr>
          <w:sz w:val="20"/>
          <w:szCs w:val="20"/>
        </w:rPr>
        <w:t xml:space="preserve">we regard as proprietary to create products and services that compete </w:t>
      </w:r>
      <w:r>
        <w:rPr>
          <w:sz w:val="20"/>
          <w:szCs w:val="20"/>
        </w:rPr>
        <w:t>with ours. Some license provisions protecting against unauthorized use, copying, transfer and disclosure of our offerings may be unenforceable under the laws of certain jurisdictions and foreign countries. In addition, the laws of some countries do not pro</w:t>
      </w:r>
      <w:r>
        <w:rPr>
          <w:sz w:val="20"/>
          <w:szCs w:val="20"/>
        </w:rPr>
        <w:t>tect proprietary rights to the same extent as the laws of the United States. To the extent we expand our international activities, our exposure to unauthorized copying and use of our technology and proprietary information may increase</w:t>
      </w:r>
      <w:r>
        <w:rPr>
          <w:sz w:val="20"/>
          <w:szCs w:val="20"/>
        </w:rPr>
        <w:t>.</w:t>
      </w:r>
      <w:r>
        <w:rPr>
          <w:sz w:val="20"/>
          <w:szCs w:val="20"/>
        </w:rPr>
        <w:t xml:space="preserve"> </w:t>
      </w:r>
    </w:p>
    <w:p w14:paraId="0070883E" w14:textId="77777777" w:rsidR="00000000" w:rsidRDefault="003C49E9">
      <w:pPr>
        <w:pStyle w:val="a3"/>
        <w:spacing w:before="200" w:beforeAutospacing="0" w:after="0" w:afterAutospacing="0"/>
        <w:ind w:firstLine="555"/>
        <w:rPr>
          <w:sz w:val="20"/>
          <w:szCs w:val="20"/>
        </w:rPr>
      </w:pPr>
      <w:r>
        <w:rPr>
          <w:sz w:val="20"/>
          <w:szCs w:val="20"/>
        </w:rPr>
        <w:t>We enter into confi</w:t>
      </w:r>
      <w:r>
        <w:rPr>
          <w:sz w:val="20"/>
          <w:szCs w:val="20"/>
        </w:rPr>
        <w:t>dentiality and invention assignment agreements with our employees and consultants and enter into confidentiality agreements with the parties with whom we have strategic relationships and business alliances. No assurance can be given that these agreements w</w:t>
      </w:r>
      <w:r>
        <w:rPr>
          <w:sz w:val="20"/>
          <w:szCs w:val="20"/>
        </w:rPr>
        <w:t>ill be effective in controlling access to and distribution of our products and proprietary information. Further, these agreements may not prevent our competitors from independently developing technologies that are substantially equivalent or superior to ou</w:t>
      </w:r>
      <w:r>
        <w:rPr>
          <w:sz w:val="20"/>
          <w:szCs w:val="20"/>
        </w:rPr>
        <w:t>r platform and offerings</w:t>
      </w:r>
      <w:r>
        <w:rPr>
          <w:sz w:val="20"/>
          <w:szCs w:val="20"/>
        </w:rPr>
        <w:t>.</w:t>
      </w:r>
    </w:p>
    <w:p w14:paraId="78276CBD" w14:textId="77777777" w:rsidR="00000000" w:rsidRDefault="003C49E9">
      <w:pPr>
        <w:pStyle w:val="a3"/>
        <w:spacing w:before="200" w:beforeAutospacing="0" w:after="0" w:afterAutospacing="0"/>
        <w:ind w:firstLine="555"/>
        <w:rPr>
          <w:sz w:val="20"/>
          <w:szCs w:val="20"/>
        </w:rPr>
      </w:pPr>
      <w:r>
        <w:rPr>
          <w:sz w:val="20"/>
          <w:szCs w:val="20"/>
        </w:rPr>
        <w:t>We may be required to spend significant resources to monitor and protect our intellectual property rights. Litigation may be necessary in the future to enforce our intellectual property rights and to protect our trade secrets. Suc</w:t>
      </w:r>
      <w:r>
        <w:rPr>
          <w:sz w:val="20"/>
          <w:szCs w:val="20"/>
        </w:rPr>
        <w:t>h litigation could be costly, time consuming and distracting to management and could result in the impairment or loss of portions of our intellectual property. Furthermore, our efforts to enforce our intellectual property rights may be met with defenses, c</w:t>
      </w:r>
      <w:r>
        <w:rPr>
          <w:sz w:val="20"/>
          <w:szCs w:val="20"/>
        </w:rPr>
        <w:t>ounterclaims and countersuits attacking the validity and enforceability of our intellectual property rights. Our inability to protect our proprietary technology against unauthorized copying or use, as well as any costly litigation, could delay further sale</w:t>
      </w:r>
      <w:r>
        <w:rPr>
          <w:sz w:val="20"/>
          <w:szCs w:val="20"/>
        </w:rPr>
        <w:t>s or the implementation of our platform and offerings, impair the functionality of our platform and offerings, delay introductions of new features or enhancements, result in our substituting inferior or more costly technologies into our platform and offeri</w:t>
      </w:r>
      <w:r>
        <w:rPr>
          <w:sz w:val="20"/>
          <w:szCs w:val="20"/>
        </w:rPr>
        <w:t>ngs, or injure our reputation</w:t>
      </w:r>
      <w:r>
        <w:rPr>
          <w:sz w:val="20"/>
          <w:szCs w:val="20"/>
        </w:rPr>
        <w:t>.</w:t>
      </w:r>
    </w:p>
    <w:p w14:paraId="1B839409" w14:textId="77777777" w:rsidR="00000000" w:rsidRDefault="003C49E9">
      <w:pPr>
        <w:pStyle w:val="a3"/>
        <w:spacing w:before="200" w:beforeAutospacing="0" w:after="0" w:afterAutospacing="0"/>
        <w:rPr>
          <w:sz w:val="20"/>
          <w:szCs w:val="20"/>
        </w:rPr>
      </w:pPr>
      <w:r>
        <w:rPr>
          <w:b/>
          <w:bCs/>
          <w:i/>
          <w:iCs/>
          <w:sz w:val="20"/>
          <w:szCs w:val="20"/>
        </w:rPr>
        <w:t>Our use of “open source” software could negatively affect our ability to offer our platform and subject us to possible litigation</w:t>
      </w:r>
      <w:r>
        <w:rPr>
          <w:b/>
          <w:bCs/>
          <w:i/>
          <w:iCs/>
          <w:sz w:val="20"/>
          <w:szCs w:val="20"/>
        </w:rPr>
        <w:t>.</w:t>
      </w:r>
    </w:p>
    <w:p w14:paraId="21D2E893" w14:textId="77777777" w:rsidR="00000000" w:rsidRDefault="003C49E9">
      <w:pPr>
        <w:pStyle w:val="a3"/>
        <w:spacing w:before="200" w:beforeAutospacing="0" w:after="0" w:afterAutospacing="0"/>
        <w:ind w:firstLine="555"/>
        <w:rPr>
          <w:sz w:val="20"/>
          <w:szCs w:val="20"/>
        </w:rPr>
      </w:pPr>
      <w:r>
        <w:rPr>
          <w:sz w:val="20"/>
          <w:szCs w:val="20"/>
        </w:rPr>
        <w:t>A substantial portion of our cloud-based platform incorporates so-called “open source” softwar</w:t>
      </w:r>
      <w:r>
        <w:rPr>
          <w:sz w:val="20"/>
          <w:szCs w:val="20"/>
        </w:rPr>
        <w:t>e, and we may incorporate additional open source software in the future. Open source software is generally freely accessible, usable and modifiable. Certain open source licenses may, in certain circumstances, require us to offer the components of our platf</w:t>
      </w:r>
      <w:r>
        <w:rPr>
          <w:sz w:val="20"/>
          <w:szCs w:val="20"/>
        </w:rPr>
        <w:t>orm that incorporate the open source software for no cost, that we make available source code for modifications or derivative works we create based upon, incorporating or using the open source software and that we license such modifications or derivative w</w:t>
      </w:r>
      <w:r>
        <w:rPr>
          <w:sz w:val="20"/>
          <w:szCs w:val="20"/>
        </w:rPr>
        <w:t>orks under the terms of the particular open source license. If an author or other third party that distributes open source software we use were to allege that we had not complied with the conditions of one or more of these licenses, we could be required to</w:t>
      </w:r>
      <w:r>
        <w:rPr>
          <w:sz w:val="20"/>
          <w:szCs w:val="20"/>
        </w:rPr>
        <w:t xml:space="preserve"> incur significant legal expenses defending against such allegations and could be subject to significant damages, including being enjoined from the offering of the components of our platform that contained the open source software and being required to com</w:t>
      </w:r>
      <w:r>
        <w:rPr>
          <w:sz w:val="20"/>
          <w:szCs w:val="20"/>
        </w:rPr>
        <w:t>ply with the foregoing conditions, which could disrupt our ability to offer the affected software. We could also be subject to suits by parties claiming ownership of what we believe to be open source software. Litigation could be costly for us to defend, h</w:t>
      </w:r>
      <w:r>
        <w:rPr>
          <w:sz w:val="20"/>
          <w:szCs w:val="20"/>
        </w:rPr>
        <w:t>ave a negative effect on our operating results and financial condition and require us to devote additional research and development resources to change our products</w:t>
      </w:r>
      <w:r>
        <w:rPr>
          <w:sz w:val="20"/>
          <w:szCs w:val="20"/>
        </w:rPr>
        <w:t>.</w:t>
      </w:r>
    </w:p>
    <w:p w14:paraId="333117EF" w14:textId="77777777" w:rsidR="00000000" w:rsidRDefault="003C49E9">
      <w:pPr>
        <w:pStyle w:val="a3"/>
        <w:spacing w:before="200" w:beforeAutospacing="0" w:after="0" w:afterAutospacing="0"/>
        <w:rPr>
          <w:sz w:val="20"/>
          <w:szCs w:val="20"/>
        </w:rPr>
      </w:pPr>
      <w:r>
        <w:rPr>
          <w:sz w:val="20"/>
          <w:szCs w:val="20"/>
        </w:rPr>
        <w:t> </w:t>
      </w:r>
    </w:p>
    <w:p w14:paraId="7D6FFF11" w14:textId="77777777" w:rsidR="00000000" w:rsidRDefault="003C49E9">
      <w:pPr>
        <w:pStyle w:val="a3"/>
        <w:spacing w:before="20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14:paraId="4C9927CF" w14:textId="77777777" w:rsidR="00000000" w:rsidRDefault="003C49E9">
      <w:pPr>
        <w:pStyle w:val="a3"/>
        <w:spacing w:before="200" w:beforeAutospacing="0" w:after="0" w:afterAutospacing="0"/>
        <w:rPr>
          <w:sz w:val="20"/>
          <w:szCs w:val="20"/>
        </w:rPr>
      </w:pPr>
      <w:r>
        <w:rPr>
          <w:b/>
          <w:bCs/>
          <w:i/>
          <w:iCs/>
          <w:sz w:val="20"/>
          <w:szCs w:val="20"/>
        </w:rPr>
        <w:t>We are subject to governmental regulation and ot</w:t>
      </w:r>
      <w:r>
        <w:rPr>
          <w:b/>
          <w:bCs/>
          <w:i/>
          <w:iCs/>
          <w:sz w:val="20"/>
          <w:szCs w:val="20"/>
        </w:rPr>
        <w:t>her legal obligations, particularly related to privacy, data protection and information security, and our actual or perceived failure to comply with such obligations could harm our business. Compliance with such laws could also impair our efforts to mainta</w:t>
      </w:r>
      <w:r>
        <w:rPr>
          <w:b/>
          <w:bCs/>
          <w:i/>
          <w:iCs/>
          <w:sz w:val="20"/>
          <w:szCs w:val="20"/>
        </w:rPr>
        <w:t>in and expand our customer base, and thereby decrease our revenue</w:t>
      </w:r>
      <w:r>
        <w:rPr>
          <w:b/>
          <w:bCs/>
          <w:i/>
          <w:iCs/>
          <w:sz w:val="20"/>
          <w:szCs w:val="20"/>
        </w:rPr>
        <w:t>.</w:t>
      </w:r>
    </w:p>
    <w:p w14:paraId="2A991B20" w14:textId="77777777" w:rsidR="00000000" w:rsidRDefault="003C49E9">
      <w:pPr>
        <w:pStyle w:val="a3"/>
        <w:spacing w:before="200" w:beforeAutospacing="0" w:after="0" w:afterAutospacing="0"/>
        <w:ind w:firstLine="555"/>
        <w:rPr>
          <w:sz w:val="20"/>
          <w:szCs w:val="20"/>
        </w:rPr>
      </w:pPr>
      <w:r>
        <w:rPr>
          <w:sz w:val="20"/>
          <w:szCs w:val="20"/>
        </w:rPr>
        <w:t>Our handling of data is subject to a variety of laws and regulations, including regulation by various government agencies, including the U.S. Federal Trade Commission ("FTC"), and various s</w:t>
      </w:r>
      <w:r>
        <w:rPr>
          <w:sz w:val="20"/>
          <w:szCs w:val="20"/>
        </w:rPr>
        <w:t>tate, local and foreign agencies. We collect personal data and other data from our customers, prospects, and partners. We also handle personal data about our customers’ customers. We use this information to provide services to our customers, to support, ex</w:t>
      </w:r>
      <w:r>
        <w:rPr>
          <w:sz w:val="20"/>
          <w:szCs w:val="20"/>
        </w:rPr>
        <w:t>pand and improve our business. We may also share customers’ personal data with third parties as authorized by the customer or as described in our privacy policy</w:t>
      </w:r>
      <w:r>
        <w:rPr>
          <w:sz w:val="20"/>
          <w:szCs w:val="20"/>
        </w:rPr>
        <w:t>.</w:t>
      </w:r>
    </w:p>
    <w:p w14:paraId="4EB255D1" w14:textId="77777777" w:rsidR="00000000" w:rsidRDefault="003C49E9">
      <w:pPr>
        <w:pStyle w:val="a3"/>
        <w:spacing w:before="200" w:beforeAutospacing="0" w:after="0" w:afterAutospacing="0"/>
        <w:ind w:firstLine="555"/>
        <w:rPr>
          <w:sz w:val="20"/>
          <w:szCs w:val="20"/>
        </w:rPr>
      </w:pPr>
      <w:r>
        <w:rPr>
          <w:sz w:val="20"/>
          <w:szCs w:val="20"/>
        </w:rPr>
        <w:t>The U.S. federal and various state and foreign governments have adopted or proposed limitation</w:t>
      </w:r>
      <w:r>
        <w:rPr>
          <w:sz w:val="20"/>
          <w:szCs w:val="20"/>
        </w:rPr>
        <w:t>s on the collection, distribution, use and storage of personal data of individuals. In the United States, the FTC and many state attorneys general are applying federal and state consumer protection laws to impose standards for the online collection, use an</w:t>
      </w:r>
      <w:r>
        <w:rPr>
          <w:sz w:val="20"/>
          <w:szCs w:val="20"/>
        </w:rPr>
        <w:t>d dissemination of personal data and other. However, these obligations may be interpreted and applied in a manner that is inconsistent from one jurisdiction to another and may conflict with other requirements or our practices. Any failure or perceived fail</w:t>
      </w:r>
      <w:r>
        <w:rPr>
          <w:sz w:val="20"/>
          <w:szCs w:val="20"/>
        </w:rPr>
        <w:t>ure by us to comply with privacy or security laws, policies, legal obligations or industry standards or any security incident that results in the unauthorized, disclosure, release or transfer of personal data or other customer data may result in government</w:t>
      </w:r>
      <w:r>
        <w:rPr>
          <w:sz w:val="20"/>
          <w:szCs w:val="20"/>
        </w:rPr>
        <w:t>al enforcement actions, litigation, fines and penalties and/or adverse publicity, and could cause our customers to lose trust in us, which could have an adverse effect on our reputation and business</w:t>
      </w:r>
      <w:r>
        <w:rPr>
          <w:sz w:val="20"/>
          <w:szCs w:val="20"/>
        </w:rPr>
        <w:t>.</w:t>
      </w:r>
    </w:p>
    <w:p w14:paraId="2A931FCC" w14:textId="77777777" w:rsidR="00000000" w:rsidRDefault="003C49E9">
      <w:pPr>
        <w:pStyle w:val="a3"/>
        <w:spacing w:before="200" w:beforeAutospacing="0" w:after="0" w:afterAutospacing="0"/>
        <w:ind w:firstLine="555"/>
        <w:rPr>
          <w:sz w:val="20"/>
          <w:szCs w:val="20"/>
        </w:rPr>
      </w:pPr>
      <w:r>
        <w:rPr>
          <w:sz w:val="20"/>
          <w:szCs w:val="20"/>
        </w:rPr>
        <w:t>Laws and regulations concerning privacy, data protection</w:t>
      </w:r>
      <w:r>
        <w:rPr>
          <w:sz w:val="20"/>
          <w:szCs w:val="20"/>
        </w:rPr>
        <w:t xml:space="preserve"> and information security are evolving, and changes to such laws and regulations could require us to change features of our platform or restrict our customers’ ability to collect and use email addresses, page viewing data and other personal data, which may</w:t>
      </w:r>
      <w:r>
        <w:rPr>
          <w:sz w:val="20"/>
          <w:szCs w:val="20"/>
        </w:rPr>
        <w:t xml:space="preserve"> reduce demand for our platform. Our failure to comply with federal, state an</w:t>
      </w:r>
      <w:r>
        <w:rPr>
          <w:sz w:val="20"/>
          <w:szCs w:val="20"/>
        </w:rPr>
        <w:t>d</w:t>
      </w:r>
      <w:r>
        <w:rPr>
          <w:sz w:val="20"/>
          <w:szCs w:val="20"/>
        </w:rPr>
        <w:t xml:space="preserve"> </w:t>
      </w:r>
    </w:p>
    <w:p w14:paraId="6937AC06"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7</w:t>
      </w:r>
    </w:p>
    <w:p w14:paraId="17CF56FF" w14:textId="77777777" w:rsidR="00000000" w:rsidRDefault="003C49E9">
      <w:pPr>
        <w:rPr>
          <w:rFonts w:eastAsia="Times New Roman"/>
        </w:rPr>
      </w:pPr>
      <w:r>
        <w:rPr>
          <w:rFonts w:eastAsia="Times New Roman"/>
        </w:rPr>
        <w:pict w14:anchorId="5803A1B5">
          <v:rect id="_x0000_i1071" style="width:0;height:1.5pt" o:hralign="center" o:hrstd="t" o:hr="t" fillcolor="#a0a0a0" stroked="f"/>
        </w:pict>
      </w:r>
    </w:p>
    <w:p w14:paraId="08492EEF" w14:textId="77777777" w:rsidR="00000000" w:rsidRDefault="003C49E9">
      <w:pPr>
        <w:pStyle w:val="a3"/>
        <w:spacing w:before="0" w:beforeAutospacing="0" w:after="0" w:afterAutospacing="0"/>
        <w:rPr>
          <w:sz w:val="20"/>
          <w:szCs w:val="20"/>
        </w:rPr>
      </w:pPr>
      <w:r>
        <w:rPr>
          <w:sz w:val="20"/>
          <w:szCs w:val="20"/>
        </w:rPr>
        <w:t> </w:t>
      </w:r>
    </w:p>
    <w:p w14:paraId="7A9A466F" w14:textId="77777777" w:rsidR="00000000" w:rsidRDefault="003C49E9">
      <w:pPr>
        <w:pStyle w:val="a3"/>
        <w:spacing w:before="200" w:beforeAutospacing="0" w:after="0" w:afterAutospacing="0"/>
        <w:rPr>
          <w:sz w:val="20"/>
          <w:szCs w:val="20"/>
        </w:rPr>
      </w:pPr>
      <w:r>
        <w:rPr>
          <w:sz w:val="20"/>
          <w:szCs w:val="20"/>
        </w:rPr>
        <w:t>international data privacy laws and regulations could harm our ability to successfully operate our business and pursue our business goals. For example, the California Consumer Privacy Act (the “CCPA”), among other thin</w:t>
      </w:r>
      <w:r>
        <w:rPr>
          <w:sz w:val="20"/>
          <w:szCs w:val="20"/>
        </w:rPr>
        <w:t>gs, require covered companies to provide disclosures to California consumers and afford such consumers the ability to opt-out of sales of personal data</w:t>
      </w:r>
      <w:r>
        <w:rPr>
          <w:sz w:val="20"/>
          <w:szCs w:val="20"/>
        </w:rPr>
        <w:t>.</w:t>
      </w:r>
      <w:r>
        <w:rPr>
          <w:sz w:val="20"/>
          <w:szCs w:val="20"/>
        </w:rPr>
        <w:t xml:space="preserve"> </w:t>
      </w:r>
    </w:p>
    <w:p w14:paraId="0B8D18B2" w14:textId="77777777" w:rsidR="00000000" w:rsidRDefault="003C49E9">
      <w:pPr>
        <w:pStyle w:val="a3"/>
        <w:spacing w:before="200" w:beforeAutospacing="0" w:after="0" w:afterAutospacing="0"/>
        <w:ind w:firstLine="555"/>
        <w:rPr>
          <w:sz w:val="20"/>
          <w:szCs w:val="20"/>
        </w:rPr>
      </w:pPr>
      <w:r>
        <w:rPr>
          <w:sz w:val="20"/>
          <w:szCs w:val="20"/>
        </w:rPr>
        <w:t>Additionally, a new California ballot initiative, the California Privacy Rights Act ("CPRA"), was pass</w:t>
      </w:r>
      <w:r>
        <w:rPr>
          <w:sz w:val="20"/>
          <w:szCs w:val="20"/>
        </w:rPr>
        <w:t>ed in November 2020. Effective on January 1, 2023, the CPRA imposes additional obligations on companies covered by the legislation and will significantly modify the CCPA, including by expanding consumers’ rights with respect to certain sensitive personal d</w:t>
      </w:r>
      <w:r>
        <w:rPr>
          <w:sz w:val="20"/>
          <w:szCs w:val="20"/>
        </w:rPr>
        <w:t>ata. The CPRA also creates a new state agency that will be vested with authority to implement regulations and enforce the CCPA and the CPRA. It is not yet fully clear how the CCPA and CPRA will be enforced and how certain of its requirements will be interp</w:t>
      </w:r>
      <w:r>
        <w:rPr>
          <w:sz w:val="20"/>
          <w:szCs w:val="20"/>
        </w:rPr>
        <w:t>reted. The effects of the CCPA and CPRA are potentially significant and may require us to modify our data collection or processing practices and policies and to incur substantial costs and expenses in an effort to comply and increase our potential exposure</w:t>
      </w:r>
      <w:r>
        <w:rPr>
          <w:sz w:val="20"/>
          <w:szCs w:val="20"/>
        </w:rPr>
        <w:t xml:space="preserve"> to regulatory enforcement and/or litigation</w:t>
      </w:r>
      <w:r>
        <w:rPr>
          <w:sz w:val="20"/>
          <w:szCs w:val="20"/>
        </w:rPr>
        <w:t>.</w:t>
      </w:r>
      <w:r>
        <w:rPr>
          <w:sz w:val="20"/>
          <w:szCs w:val="20"/>
        </w:rPr>
        <w:t xml:space="preserve"> </w:t>
      </w:r>
    </w:p>
    <w:p w14:paraId="3EF92E9E" w14:textId="77777777" w:rsidR="00000000" w:rsidRDefault="003C49E9">
      <w:pPr>
        <w:pStyle w:val="a3"/>
        <w:spacing w:before="200" w:beforeAutospacing="0" w:after="0" w:afterAutospacing="0"/>
        <w:ind w:firstLine="555"/>
        <w:rPr>
          <w:sz w:val="20"/>
          <w:szCs w:val="20"/>
        </w:rPr>
      </w:pPr>
      <w:r>
        <w:rPr>
          <w:sz w:val="20"/>
          <w:szCs w:val="20"/>
        </w:rPr>
        <w:t>Certain other state laws impose similar privacy obligations and we also expect that more states may enact legislation similar to the CCPA, which provides consumers with new privacy rights and increases the pri</w:t>
      </w:r>
      <w:r>
        <w:rPr>
          <w:sz w:val="20"/>
          <w:szCs w:val="20"/>
        </w:rPr>
        <w:t>vacy and security obligations of entities handling certain personal data of such consumers. The CCPA has prompted a number of proposals for new federal and state-level privacy legislation. Such proposed legislation, if enacted, may add additional complexit</w:t>
      </w:r>
      <w:r>
        <w:rPr>
          <w:sz w:val="20"/>
          <w:szCs w:val="20"/>
        </w:rPr>
        <w:t>y, variation in requirements, restrictions and potential legal risk, require additional investment of resources in compliance programs, impact strategies and the availability of previously useful data and could result in increased compliance costs and/or c</w:t>
      </w:r>
      <w:r>
        <w:rPr>
          <w:sz w:val="20"/>
          <w:szCs w:val="20"/>
        </w:rPr>
        <w:t>hanges in business practices and policies</w:t>
      </w:r>
      <w:r>
        <w:rPr>
          <w:sz w:val="20"/>
          <w:szCs w:val="20"/>
        </w:rPr>
        <w:t>.</w:t>
      </w:r>
      <w:r>
        <w:rPr>
          <w:sz w:val="20"/>
          <w:szCs w:val="20"/>
        </w:rPr>
        <w:t xml:space="preserve"> </w:t>
      </w:r>
    </w:p>
    <w:p w14:paraId="787E47F3" w14:textId="77777777" w:rsidR="00000000" w:rsidRDefault="003C49E9">
      <w:pPr>
        <w:pStyle w:val="a3"/>
        <w:spacing w:before="200" w:beforeAutospacing="0" w:after="0" w:afterAutospacing="0"/>
        <w:ind w:firstLine="555"/>
        <w:rPr>
          <w:sz w:val="20"/>
          <w:szCs w:val="20"/>
        </w:rPr>
      </w:pPr>
      <w:r>
        <w:rPr>
          <w:sz w:val="20"/>
          <w:szCs w:val="20"/>
        </w:rPr>
        <w:t>For example, on March 2, 2021, Virginia enacted the Consumer Data Protection Act (the “CDPA”). The CDPA will become effective January 1, 2023. The CDPA will regulate how businesses (which the CDPA refers to as “c</w:t>
      </w:r>
      <w:r>
        <w:rPr>
          <w:sz w:val="20"/>
          <w:szCs w:val="20"/>
        </w:rPr>
        <w:t>ontrollers”) collect and share personal data. While the CDPA incorporates many similar concepts of the CCPA and CPRA, there are also several key differences in the scope, application, and enforcement of the law that will change the operational practices of</w:t>
      </w:r>
      <w:r>
        <w:rPr>
          <w:sz w:val="20"/>
          <w:szCs w:val="20"/>
        </w:rPr>
        <w:t xml:space="preserve"> controllers. The new law will impact how controllers collect and process personal sensitive data, conduct data protection assessments, transfer personal data to affiliates, and respond to consumer rights requests</w:t>
      </w:r>
      <w:r>
        <w:rPr>
          <w:sz w:val="20"/>
          <w:szCs w:val="20"/>
        </w:rPr>
        <w:t>.</w:t>
      </w:r>
      <w:r>
        <w:rPr>
          <w:sz w:val="20"/>
          <w:szCs w:val="20"/>
        </w:rPr>
        <w:t xml:space="preserve"> </w:t>
      </w:r>
    </w:p>
    <w:p w14:paraId="1F9B2C57" w14:textId="77777777" w:rsidR="00000000" w:rsidRDefault="003C49E9">
      <w:pPr>
        <w:pStyle w:val="a3"/>
        <w:spacing w:before="200" w:beforeAutospacing="0" w:after="0" w:afterAutospacing="0"/>
        <w:ind w:firstLine="555"/>
        <w:rPr>
          <w:sz w:val="20"/>
          <w:szCs w:val="20"/>
        </w:rPr>
      </w:pPr>
      <w:r>
        <w:rPr>
          <w:sz w:val="20"/>
          <w:szCs w:val="20"/>
        </w:rPr>
        <w:t>Also, on July 8, 2021, Colorado’s govern</w:t>
      </w:r>
      <w:r>
        <w:rPr>
          <w:sz w:val="20"/>
          <w:szCs w:val="20"/>
        </w:rPr>
        <w:t>or signed the Colorado Privacy Act (“CPA”) into law. The CPA will become effective July 1, 2023. The CPA is similar to Virginia’s CPDA but also contains additional requirements. The new measure applies to companies conducting business in Colorado or who pr</w:t>
      </w:r>
      <w:r>
        <w:rPr>
          <w:sz w:val="20"/>
          <w:szCs w:val="20"/>
        </w:rPr>
        <w:t>oduce or deliver commercial products or services intentionally targeted to its residents of the state that either: (1) control or process the personal data of at least 100,000 consumers during a calendar year; or (2) derive revenue or receive a discount on</w:t>
      </w:r>
      <w:r>
        <w:rPr>
          <w:sz w:val="20"/>
          <w:szCs w:val="20"/>
        </w:rPr>
        <w:t xml:space="preserve"> the price of goods or services from the sale of personal data and process or control the personal data of at least 25,000 consumers. In addition, on March 24, 2022, Utah enacted the Utah Consumer Privacy Act (“UCPA”), which will become effective on Decemb</w:t>
      </w:r>
      <w:r>
        <w:rPr>
          <w:sz w:val="20"/>
          <w:szCs w:val="20"/>
        </w:rPr>
        <w:t>er 31, 2023. Also, in May 2022, Connecticut Governor Lamont signed the Connecticut Data Privacy Act (CTDPA) into law. The UCPA and CTDPA draw heavily upon their predecessors in Virginia and Colorado</w:t>
      </w:r>
      <w:r>
        <w:rPr>
          <w:sz w:val="20"/>
          <w:szCs w:val="20"/>
        </w:rPr>
        <w:t>.</w:t>
      </w:r>
    </w:p>
    <w:p w14:paraId="1F00D136" w14:textId="77777777" w:rsidR="00000000" w:rsidRDefault="003C49E9">
      <w:pPr>
        <w:pStyle w:val="a3"/>
        <w:spacing w:before="200" w:beforeAutospacing="0" w:after="0" w:afterAutospacing="0"/>
        <w:ind w:firstLine="555"/>
        <w:rPr>
          <w:sz w:val="20"/>
          <w:szCs w:val="20"/>
        </w:rPr>
      </w:pPr>
      <w:r>
        <w:rPr>
          <w:sz w:val="20"/>
          <w:szCs w:val="20"/>
        </w:rPr>
        <w:t>With the CTDPA, Connecticut became the fifth state to en</w:t>
      </w:r>
      <w:r>
        <w:rPr>
          <w:sz w:val="20"/>
          <w:szCs w:val="20"/>
        </w:rPr>
        <w:t>act a comprehensive privacy law. A number of additional other states have proposed bills for comprehensive consumer privacy laws and it is quite possible that certain of these bills will pass. The existence of comprehensive privacy laws in different states</w:t>
      </w:r>
      <w:r>
        <w:rPr>
          <w:sz w:val="20"/>
          <w:szCs w:val="20"/>
        </w:rPr>
        <w:t xml:space="preserve"> in the country, if enacted, will add additional complexity, variation in requirements, restrictions and potential legal risk, require additional investment of resources in compliance programs, impact strategies and the availability of previously useful da</w:t>
      </w:r>
      <w:r>
        <w:rPr>
          <w:sz w:val="20"/>
          <w:szCs w:val="20"/>
        </w:rPr>
        <w:t>ta, and has resulted in and will result in increased compliance costs and/or changes in business practices and policies</w:t>
      </w:r>
      <w:r>
        <w:rPr>
          <w:sz w:val="20"/>
          <w:szCs w:val="20"/>
        </w:rPr>
        <w:t>.</w:t>
      </w:r>
    </w:p>
    <w:p w14:paraId="7D66C2A8" w14:textId="77777777" w:rsidR="00000000" w:rsidRDefault="003C49E9">
      <w:pPr>
        <w:pStyle w:val="a3"/>
        <w:spacing w:before="200" w:beforeAutospacing="0" w:after="0" w:afterAutospacing="0"/>
        <w:ind w:firstLine="555"/>
        <w:rPr>
          <w:sz w:val="20"/>
          <w:szCs w:val="20"/>
        </w:rPr>
      </w:pPr>
      <w:r>
        <w:rPr>
          <w:sz w:val="20"/>
          <w:szCs w:val="20"/>
        </w:rPr>
        <w:t>In addition, many foreign jurisdictions, including the European Union, United Kingdom, Canada, Australia, and others have regulations d</w:t>
      </w:r>
      <w:r>
        <w:rPr>
          <w:sz w:val="20"/>
          <w:szCs w:val="20"/>
        </w:rPr>
        <w:t>ealing with the collection and use of personal data obtained from their residents, which are more restrictive in certain respects than those in the U.S. Laws and regulations in these jurisdictions apply broadly to the collection, use, storage, disclosure a</w:t>
      </w:r>
      <w:r>
        <w:rPr>
          <w:sz w:val="20"/>
          <w:szCs w:val="20"/>
        </w:rPr>
        <w:t>nd security of personal data that identifies or may be used to identify an individual. In relevant part, these laws and regulations may affect our ability to engage in lead generation activities by imposing heightened requirements, such as affirmative opt-</w:t>
      </w:r>
      <w:r>
        <w:rPr>
          <w:sz w:val="20"/>
          <w:szCs w:val="20"/>
        </w:rPr>
        <w:t>ins or consent prior to sending commercial correspondence or engaging in electronic tracking activities that aid our marketing and business intelligence</w:t>
      </w:r>
      <w:r>
        <w:rPr>
          <w:sz w:val="20"/>
          <w:szCs w:val="20"/>
        </w:rPr>
        <w:t>.</w:t>
      </w:r>
      <w:r>
        <w:rPr>
          <w:sz w:val="20"/>
          <w:szCs w:val="20"/>
        </w:rPr>
        <w:t xml:space="preserve"> </w:t>
      </w:r>
    </w:p>
    <w:p w14:paraId="6A469027" w14:textId="77777777" w:rsidR="00000000" w:rsidRDefault="003C49E9">
      <w:pPr>
        <w:pStyle w:val="a3"/>
        <w:spacing w:before="200" w:beforeAutospacing="0" w:after="0" w:afterAutospacing="0"/>
        <w:ind w:firstLine="555"/>
        <w:rPr>
          <w:sz w:val="20"/>
          <w:szCs w:val="20"/>
        </w:rPr>
      </w:pPr>
      <w:r>
        <w:rPr>
          <w:sz w:val="20"/>
          <w:szCs w:val="20"/>
        </w:rPr>
        <w:t>Within the European Union, legislators adopted the GDPR, which became effective in May 2018, and whic</w:t>
      </w:r>
      <w:r>
        <w:rPr>
          <w:sz w:val="20"/>
          <w:szCs w:val="20"/>
        </w:rPr>
        <w:t>h imposes heightened obligations and risk upon our business and which may substantially increase the penalties to which we could be subject in the event of any non-compliance. In addition, further to the United Kingdom's exit from the European Union on Jan</w:t>
      </w:r>
      <w:r>
        <w:rPr>
          <w:sz w:val="20"/>
          <w:szCs w:val="20"/>
        </w:rPr>
        <w:t>uary 31, 2020, the GDPR ceased to apply in the United Kingdom at the end of the transition period on December 31, 2020. However, as of January 1, 2021, the United Kingdom’s European Union (Withdrawal) Act 2018 incorporated the GDPR (as it existed on Decemb</w:t>
      </w:r>
      <w:r>
        <w:rPr>
          <w:sz w:val="20"/>
          <w:szCs w:val="20"/>
        </w:rPr>
        <w:t>er 31, 2020 but subject to certain United Kingdom specific amendments) into United Kingdom law (the “UK GDPR”). The UK GDPR and the UK Data Protection Act 2018 set out the United Kingdom’s data protection regime, which is independent from but aligned to th</w:t>
      </w:r>
      <w:r>
        <w:rPr>
          <w:sz w:val="20"/>
          <w:szCs w:val="20"/>
        </w:rPr>
        <w:t xml:space="preserve">e European Union’s data protection regime. Non-compliance with the UK GDPR may result in monetary penalties of up to £17.5 million or 4% of worldwide revenue, whichever is higher. Like the European Union GDPR, the UK GDPR restricts personal data transfers </w:t>
      </w:r>
      <w:r>
        <w:rPr>
          <w:sz w:val="20"/>
          <w:szCs w:val="20"/>
        </w:rPr>
        <w:t>outside the United Kingdom to countries not regarded by the United Kingdom as providing adequate protection (this means that personal data transfers from the United Kingdom to the European Economic Area remain free flowing)</w:t>
      </w:r>
      <w:r>
        <w:rPr>
          <w:sz w:val="20"/>
          <w:szCs w:val="20"/>
        </w:rPr>
        <w:t>.</w:t>
      </w:r>
      <w:r>
        <w:rPr>
          <w:sz w:val="20"/>
          <w:szCs w:val="20"/>
        </w:rPr>
        <w:t xml:space="preserve"> </w:t>
      </w:r>
    </w:p>
    <w:p w14:paraId="30152261" w14:textId="77777777" w:rsidR="00000000" w:rsidRDefault="003C49E9">
      <w:pPr>
        <w:pStyle w:val="a3"/>
        <w:spacing w:before="200" w:beforeAutospacing="0" w:after="0" w:afterAutospacing="0"/>
        <w:ind w:firstLine="555"/>
        <w:rPr>
          <w:sz w:val="20"/>
          <w:szCs w:val="20"/>
        </w:rPr>
      </w:pPr>
      <w:r>
        <w:rPr>
          <w:sz w:val="20"/>
          <w:szCs w:val="20"/>
        </w:rPr>
        <w:t>The proliferation of privacy a</w:t>
      </w:r>
      <w:r>
        <w:rPr>
          <w:sz w:val="20"/>
          <w:szCs w:val="20"/>
        </w:rPr>
        <w:t>nd data protection laws has heightened risks and uncertainties concerning cross-border transfers of personal data and other data, which could impose significant compliance costs and expenses on our business, increase our potentia</w:t>
      </w:r>
      <w:r>
        <w:rPr>
          <w:sz w:val="20"/>
          <w:szCs w:val="20"/>
        </w:rPr>
        <w:t>l</w:t>
      </w:r>
      <w:r>
        <w:rPr>
          <w:sz w:val="20"/>
          <w:szCs w:val="20"/>
        </w:rPr>
        <w:t xml:space="preserve"> </w:t>
      </w:r>
    </w:p>
    <w:p w14:paraId="35D4A088"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8</w:t>
      </w:r>
    </w:p>
    <w:p w14:paraId="391F4B36" w14:textId="77777777" w:rsidR="00000000" w:rsidRDefault="003C49E9">
      <w:pPr>
        <w:rPr>
          <w:rFonts w:eastAsia="Times New Roman"/>
        </w:rPr>
      </w:pPr>
      <w:r>
        <w:rPr>
          <w:rFonts w:eastAsia="Times New Roman"/>
        </w:rPr>
        <w:pict w14:anchorId="1E5F73AC">
          <v:rect id="_x0000_i1072" style="width:0;height:1.5pt" o:hralign="center" o:hrstd="t" o:hr="t" fillcolor="#a0a0a0" stroked="f"/>
        </w:pict>
      </w:r>
    </w:p>
    <w:p w14:paraId="00952D3D" w14:textId="77777777" w:rsidR="00000000" w:rsidRDefault="003C49E9">
      <w:pPr>
        <w:pStyle w:val="a3"/>
        <w:spacing w:before="0" w:beforeAutospacing="0" w:after="0" w:afterAutospacing="0"/>
        <w:rPr>
          <w:sz w:val="20"/>
          <w:szCs w:val="20"/>
        </w:rPr>
      </w:pPr>
      <w:r>
        <w:rPr>
          <w:sz w:val="20"/>
          <w:szCs w:val="20"/>
        </w:rPr>
        <w:t> </w:t>
      </w:r>
    </w:p>
    <w:p w14:paraId="75F52FBC" w14:textId="77777777" w:rsidR="00000000" w:rsidRDefault="003C49E9">
      <w:pPr>
        <w:pStyle w:val="a3"/>
        <w:spacing w:before="200" w:beforeAutospacing="0" w:after="0" w:afterAutospacing="0"/>
        <w:rPr>
          <w:sz w:val="20"/>
          <w:szCs w:val="20"/>
        </w:rPr>
      </w:pPr>
      <w:r>
        <w:rPr>
          <w:sz w:val="20"/>
          <w:szCs w:val="20"/>
        </w:rPr>
        <w:t>exposure to regulatory enforcement and/or litigation, and have a negative effect on our existing business and on our ability to attract and retain new customers. On July 16, 2020, the European Court of Justice invalidated the EU–US Privac</w:t>
      </w:r>
      <w:r>
        <w:rPr>
          <w:sz w:val="20"/>
          <w:szCs w:val="20"/>
        </w:rPr>
        <w:t>y Shield ruling that facilitated transfers of personal data from the European Economic Area to the U.S. because it failed to offer adequate protections for personal data. The European Court of Justice, in the same decision, deemed that the Standard Contrac</w:t>
      </w:r>
      <w:r>
        <w:rPr>
          <w:sz w:val="20"/>
          <w:szCs w:val="20"/>
        </w:rPr>
        <w:t>tual Clauses ("SCCs"), approved by the European Commission for transfers of personal data between European Economic Area controllers and non-European Economic Area processors are valid, however the European Court of Justice deemed that transfers made pursu</w:t>
      </w:r>
      <w:r>
        <w:rPr>
          <w:sz w:val="20"/>
          <w:szCs w:val="20"/>
        </w:rPr>
        <w:t>ant to the SCCs need to be analyzed on a case-by-case basis to ensure the European Economic Area's standards of data protection are met. Our customer agreements include SCCs. However, as a result of this decision, companies may be required to adopt additio</w:t>
      </w:r>
      <w:r>
        <w:rPr>
          <w:sz w:val="20"/>
          <w:szCs w:val="20"/>
        </w:rPr>
        <w:t>nal measures to accomplish transfers of personal data to the United States and other third countries in compliance with the GDPR, and there continue to be concerns about whether the SCCs will face additional challenges. Until the remaining legal uncertaint</w:t>
      </w:r>
      <w:r>
        <w:rPr>
          <w:sz w:val="20"/>
          <w:szCs w:val="20"/>
        </w:rPr>
        <w:t xml:space="preserve">ies regarding how to legally continue these transfers are settled, we will continue to face uncertainty as to whether our customers will be permitted to transfer personal data to the United States for processing by us as part of our platform services. Our </w:t>
      </w:r>
      <w:r>
        <w:rPr>
          <w:sz w:val="20"/>
          <w:szCs w:val="20"/>
        </w:rPr>
        <w:t xml:space="preserve">customers may view alternative data transfer mechanisms as being too costly, too burdensome, too legally uncertain or otherwise objectionable and therefore decide not to do business with us. For example, some of our customers or potential customers who do </w:t>
      </w:r>
      <w:r>
        <w:rPr>
          <w:sz w:val="20"/>
          <w:szCs w:val="20"/>
        </w:rPr>
        <w:t>business in the European Economic Area may require their vendors to host all personal data within the European Economic Area and may decide to do business with one of our competitors who hosts personal data within the European Economic Area instead of doin</w:t>
      </w:r>
      <w:r>
        <w:rPr>
          <w:sz w:val="20"/>
          <w:szCs w:val="20"/>
        </w:rPr>
        <w:t>g business with us. In addition, some companies based in Europe may be reluctant to transfer personal data to us for processing outside the European Economic Area because of the burden on some requirements to conduct transfer impact assessments in order to</w:t>
      </w:r>
      <w:r>
        <w:rPr>
          <w:sz w:val="20"/>
          <w:szCs w:val="20"/>
        </w:rPr>
        <w:t xml:space="preserve"> rely on the SCCs as well as the substantial obligations that the recently updated SCCs impose upon data exporters. On March 21, 2022, the United Kingdom adopted new international data transfer agreement templates ("IGTAs") to facilitate transfers of perso</w:t>
      </w:r>
      <w:r>
        <w:rPr>
          <w:sz w:val="20"/>
          <w:szCs w:val="20"/>
        </w:rPr>
        <w:t>nal data from the United Kingdom. The IGTAs allow for a transition period in which controllers and processors may move to the new forms. We are in the process of transitioning to the IGTAs and doing so will require significant effort and cost. The European</w:t>
      </w:r>
      <w:r>
        <w:rPr>
          <w:sz w:val="20"/>
          <w:szCs w:val="20"/>
        </w:rPr>
        <w:t xml:space="preserve"> Commission and the U.S. White House announced that they had reached an agreement in principle on a data transfer framework to replace the Privacy Shield 2.0. However, it is too soon to tell how this future framework will evolve and what impact it will hav</w:t>
      </w:r>
      <w:r>
        <w:rPr>
          <w:sz w:val="20"/>
          <w:szCs w:val="20"/>
        </w:rPr>
        <w:t>e on our cross-border activities. We continue to monitor developments with respect to cross-border transfers and any prospective impacts on our activities</w:t>
      </w:r>
      <w:r>
        <w:rPr>
          <w:sz w:val="20"/>
          <w:szCs w:val="20"/>
        </w:rPr>
        <w:t>.</w:t>
      </w:r>
    </w:p>
    <w:p w14:paraId="5A353070" w14:textId="77777777" w:rsidR="00000000" w:rsidRDefault="003C49E9">
      <w:pPr>
        <w:pStyle w:val="a3"/>
        <w:spacing w:before="200" w:beforeAutospacing="0" w:after="0" w:afterAutospacing="0"/>
        <w:ind w:firstLine="555"/>
        <w:rPr>
          <w:sz w:val="20"/>
          <w:szCs w:val="20"/>
        </w:rPr>
      </w:pPr>
      <w:r>
        <w:rPr>
          <w:sz w:val="20"/>
          <w:szCs w:val="20"/>
        </w:rPr>
        <w:t>The regulatory framework governing the collection, processing, storage, use and sharing of certain i</w:t>
      </w:r>
      <w:r>
        <w:rPr>
          <w:sz w:val="20"/>
          <w:szCs w:val="20"/>
        </w:rPr>
        <w:t>nformation, particularly financial and other personal data, is rapidly evolving and is likely to continue to be subject to uncertainty and varying interpretations. In addition to new and strengthened laws and regulations in the U.S., European Union, and Un</w:t>
      </w:r>
      <w:r>
        <w:rPr>
          <w:sz w:val="20"/>
          <w:szCs w:val="20"/>
        </w:rPr>
        <w:t>ited Kingdom, many foreign jurisdictions have passed new laws, strengthened existing laws, or are contemplating new laws regulating personal data. For example, South Africa’s Protection of Personal Information Act came into force on July 1, 2021, and impos</w:t>
      </w:r>
      <w:r>
        <w:rPr>
          <w:sz w:val="20"/>
          <w:szCs w:val="20"/>
        </w:rPr>
        <w:t>es significant new requirements, with potentially significant penalties for non-compliance, on businesses that operate in South Africa. India is contemplating a new Personal Data Protection Bill that would, among other things, make it challenging to transf</w:t>
      </w:r>
      <w:r>
        <w:rPr>
          <w:sz w:val="20"/>
          <w:szCs w:val="20"/>
        </w:rPr>
        <w:t>er personal data from India to countries outside of India. It is possible that these laws may impose, or may be interpreted and applied to impose, requirements that are inconsistent with our existing data management practices or the features of our service</w:t>
      </w:r>
      <w:r>
        <w:rPr>
          <w:sz w:val="20"/>
          <w:szCs w:val="20"/>
        </w:rPr>
        <w:t>s and platform capabilities. Any failure or perceived failure by us, or any third parties with which we do business, to comply with our posted privacy policies, changing consumer expectations, evolving laws, rules and regulations, industry standards, or co</w:t>
      </w:r>
      <w:r>
        <w:rPr>
          <w:sz w:val="20"/>
          <w:szCs w:val="20"/>
        </w:rPr>
        <w:t>ntractual obligations to which we or such third parties are or may become subject, may result in actions or other claims against us by governmental entities or private actors, the expenditure of substantial costs, time and other resources or the incurrence</w:t>
      </w:r>
      <w:r>
        <w:rPr>
          <w:sz w:val="20"/>
          <w:szCs w:val="20"/>
        </w:rPr>
        <w:t xml:space="preserve"> of significant fines, penalties or other liabilities. In addition, any such action, particularly to the extent we were found to be guilty of violations or otherwise liable for damages, would damage our reputation and adversely affect our business, financi</w:t>
      </w:r>
      <w:r>
        <w:rPr>
          <w:sz w:val="20"/>
          <w:szCs w:val="20"/>
        </w:rPr>
        <w:t>al condition and results of operations</w:t>
      </w:r>
      <w:r>
        <w:rPr>
          <w:sz w:val="20"/>
          <w:szCs w:val="20"/>
        </w:rPr>
        <w:t>.</w:t>
      </w:r>
      <w:r>
        <w:rPr>
          <w:sz w:val="20"/>
          <w:szCs w:val="20"/>
        </w:rPr>
        <w:t xml:space="preserve"> </w:t>
      </w:r>
    </w:p>
    <w:p w14:paraId="459028B5" w14:textId="77777777" w:rsidR="00000000" w:rsidRDefault="003C49E9">
      <w:pPr>
        <w:pStyle w:val="a3"/>
        <w:spacing w:before="200" w:beforeAutospacing="0" w:after="0" w:afterAutospacing="0"/>
        <w:ind w:firstLine="555"/>
        <w:rPr>
          <w:sz w:val="20"/>
          <w:szCs w:val="20"/>
        </w:rPr>
      </w:pPr>
      <w:r>
        <w:rPr>
          <w:sz w:val="20"/>
          <w:szCs w:val="20"/>
        </w:rPr>
        <w:t>We publicly post documentation regarding our practices concerning the collection, processing, use and disclosure of data. Although we endeavor to comply with our published policies and documentation, we may at times</w:t>
      </w:r>
      <w:r>
        <w:rPr>
          <w:sz w:val="20"/>
          <w:szCs w:val="20"/>
        </w:rPr>
        <w:t xml:space="preserve"> fail to do so or be alleged to have failed to do so. Any failure or perceived failure by us to comply with our privacy policies or any applicable privacy, security or data protection, information security or consumer-protection related laws, regulations, </w:t>
      </w:r>
      <w:r>
        <w:rPr>
          <w:sz w:val="20"/>
          <w:szCs w:val="20"/>
        </w:rPr>
        <w:t>orders or industry standards could expose us to costly litigation, significant awards, fines or judgments, civil and/or criminal penalties or negative publicity, and could materially and adversely affect our business, financial condition and results of ope</w:t>
      </w:r>
      <w:r>
        <w:rPr>
          <w:sz w:val="20"/>
          <w:szCs w:val="20"/>
        </w:rPr>
        <w:t>rations. The publication of our privacy policy and other documentation that provide promises and assurances about privacy and security can subject us to potential state and federal action if they are found to be deceptive, unfair, or misrepresentative of o</w:t>
      </w:r>
      <w:r>
        <w:rPr>
          <w:sz w:val="20"/>
          <w:szCs w:val="20"/>
        </w:rPr>
        <w:t>ur actual practices, which could, individually or in the aggregate, materially and adversely affect our business, financial condition and results of operations</w:t>
      </w:r>
      <w:r>
        <w:rPr>
          <w:sz w:val="20"/>
          <w:szCs w:val="20"/>
        </w:rPr>
        <w:t>.</w:t>
      </w:r>
      <w:r>
        <w:rPr>
          <w:sz w:val="20"/>
          <w:szCs w:val="20"/>
        </w:rPr>
        <w:t xml:space="preserve"> </w:t>
      </w:r>
    </w:p>
    <w:p w14:paraId="4676706F" w14:textId="77777777" w:rsidR="00000000" w:rsidRDefault="003C49E9">
      <w:pPr>
        <w:pStyle w:val="a3"/>
        <w:spacing w:before="200" w:beforeAutospacing="0" w:after="0" w:afterAutospacing="0"/>
        <w:ind w:firstLine="555"/>
        <w:rPr>
          <w:sz w:val="20"/>
          <w:szCs w:val="20"/>
        </w:rPr>
      </w:pPr>
      <w:r>
        <w:rPr>
          <w:sz w:val="20"/>
          <w:szCs w:val="20"/>
        </w:rPr>
        <w:t>If our privacy or data security measures fail to comply with current or future laws and regula</w:t>
      </w:r>
      <w:r>
        <w:rPr>
          <w:sz w:val="20"/>
          <w:szCs w:val="20"/>
        </w:rPr>
        <w:t>tions, we may be subject to claims, legal proceedings or other actions by individuals or governmental authorities based on privacy or data protection regulations and our commitments to customers or others, as well as negative publicity and a potential loss</w:t>
      </w:r>
      <w:r>
        <w:rPr>
          <w:sz w:val="20"/>
          <w:szCs w:val="20"/>
        </w:rPr>
        <w:t xml:space="preserve"> of business. Moreover, if future laws and regulations limit our subscribers’ ability to use and share personal data or our ability to store, process and share personal data, demand for our solutions could decrease, our costs could increase, and our busine</w:t>
      </w:r>
      <w:r>
        <w:rPr>
          <w:sz w:val="20"/>
          <w:szCs w:val="20"/>
        </w:rPr>
        <w:t>ss, results of operations and financial condition could be harmed</w:t>
      </w:r>
      <w:r>
        <w:rPr>
          <w:sz w:val="20"/>
          <w:szCs w:val="20"/>
        </w:rPr>
        <w:t>.</w:t>
      </w:r>
    </w:p>
    <w:p w14:paraId="48C43382" w14:textId="77777777" w:rsidR="00000000" w:rsidRDefault="003C49E9">
      <w:pPr>
        <w:pStyle w:val="a3"/>
        <w:spacing w:before="200" w:beforeAutospacing="0" w:after="0" w:afterAutospacing="0"/>
        <w:rPr>
          <w:sz w:val="20"/>
          <w:szCs w:val="20"/>
        </w:rPr>
      </w:pPr>
      <w:r>
        <w:rPr>
          <w:b/>
          <w:bCs/>
          <w:i/>
          <w:iCs/>
          <w:sz w:val="20"/>
          <w:szCs w:val="20"/>
        </w:rPr>
        <w:t>We could face liability, or our reputation might be harmed, as a result of the activities of our customers, the content of their websites or the data they store on our servers</w:t>
      </w:r>
      <w:r>
        <w:rPr>
          <w:b/>
          <w:bCs/>
          <w:i/>
          <w:iCs/>
          <w:sz w:val="20"/>
          <w:szCs w:val="20"/>
        </w:rPr>
        <w:t>.</w:t>
      </w:r>
    </w:p>
    <w:p w14:paraId="29F8CC42" w14:textId="77777777" w:rsidR="00000000" w:rsidRDefault="003C49E9">
      <w:pPr>
        <w:pStyle w:val="a3"/>
        <w:spacing w:before="240" w:beforeAutospacing="0" w:after="0" w:afterAutospacing="0"/>
        <w:jc w:val="center"/>
        <w:rPr>
          <w:sz w:val="20"/>
          <w:szCs w:val="20"/>
        </w:rPr>
      </w:pPr>
      <w:r>
        <w:rPr>
          <w:sz w:val="20"/>
          <w:szCs w:val="20"/>
        </w:rPr>
        <w:t>4</w:t>
      </w:r>
      <w:r>
        <w:rPr>
          <w:sz w:val="20"/>
          <w:szCs w:val="20"/>
        </w:rPr>
        <w:t>9</w:t>
      </w:r>
    </w:p>
    <w:p w14:paraId="48C0C523" w14:textId="77777777" w:rsidR="00000000" w:rsidRDefault="003C49E9">
      <w:pPr>
        <w:rPr>
          <w:rFonts w:eastAsia="Times New Roman"/>
        </w:rPr>
      </w:pPr>
      <w:r>
        <w:rPr>
          <w:rFonts w:eastAsia="Times New Roman"/>
        </w:rPr>
        <w:pict w14:anchorId="4EE55BEF">
          <v:rect id="_x0000_i1073" style="width:0;height:1.5pt" o:hralign="center" o:hrstd="t" o:hr="t" fillcolor="#a0a0a0" stroked="f"/>
        </w:pict>
      </w:r>
    </w:p>
    <w:p w14:paraId="26579C4B" w14:textId="77777777" w:rsidR="00000000" w:rsidRDefault="003C49E9">
      <w:pPr>
        <w:pStyle w:val="a3"/>
        <w:spacing w:before="0" w:beforeAutospacing="0" w:after="0" w:afterAutospacing="0"/>
        <w:rPr>
          <w:sz w:val="20"/>
          <w:szCs w:val="20"/>
        </w:rPr>
      </w:pPr>
      <w:r>
        <w:rPr>
          <w:sz w:val="20"/>
          <w:szCs w:val="20"/>
        </w:rPr>
        <w:t> </w:t>
      </w:r>
    </w:p>
    <w:p w14:paraId="0A13B527" w14:textId="77777777" w:rsidR="00000000" w:rsidRDefault="003C49E9">
      <w:pPr>
        <w:pStyle w:val="a3"/>
        <w:spacing w:before="200" w:beforeAutospacing="0" w:after="0" w:afterAutospacing="0"/>
        <w:ind w:firstLine="555"/>
        <w:rPr>
          <w:sz w:val="20"/>
          <w:szCs w:val="20"/>
        </w:rPr>
      </w:pPr>
      <w:r>
        <w:rPr>
          <w:sz w:val="20"/>
          <w:szCs w:val="20"/>
        </w:rPr>
        <w:t>As a provider of a cloud-based inbound marketing, sales and customer service software platform, we may be subject to potential liability for the activities of our customers on or in connection with the data they store on our s</w:t>
      </w:r>
      <w:r>
        <w:rPr>
          <w:sz w:val="20"/>
          <w:szCs w:val="20"/>
        </w:rPr>
        <w:t>ervers. Although our customer terms of use prohibit illegal use of our services by our customers and permit us to take down websites or take other appropriate actions for illegal use, customers may nonetheless engage in prohibited activities or upload or s</w:t>
      </w:r>
      <w:r>
        <w:rPr>
          <w:sz w:val="20"/>
          <w:szCs w:val="20"/>
        </w:rPr>
        <w:t>tore content with us in violation of applicable law or the customer’s own policies, which could subject us to liability or harm our reputation. Furthermore, customers may upload, store, or use content on our CRM Platform that may violate our policy on acce</w:t>
      </w:r>
      <w:r>
        <w:rPr>
          <w:sz w:val="20"/>
          <w:szCs w:val="20"/>
        </w:rPr>
        <w:t>ptable use which prohibits content that is threatening, abusive, harassing, deceptive, false, misleading, vulgar, obscene, or indecent. While such content may not be illegal, use of our CRM Platform for such content could harm our reputation resulting in a</w:t>
      </w:r>
      <w:r>
        <w:rPr>
          <w:sz w:val="20"/>
          <w:szCs w:val="20"/>
        </w:rPr>
        <w:t xml:space="preserve"> loss of business</w:t>
      </w:r>
      <w:r>
        <w:rPr>
          <w:sz w:val="20"/>
          <w:szCs w:val="20"/>
        </w:rPr>
        <w:t>.</w:t>
      </w:r>
      <w:r>
        <w:rPr>
          <w:sz w:val="20"/>
          <w:szCs w:val="20"/>
        </w:rPr>
        <w:t xml:space="preserve"> </w:t>
      </w:r>
    </w:p>
    <w:p w14:paraId="31194CB8" w14:textId="77777777" w:rsidR="00000000" w:rsidRDefault="003C49E9">
      <w:pPr>
        <w:pStyle w:val="a3"/>
        <w:spacing w:before="20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14:paraId="32A1077C" w14:textId="77777777" w:rsidR="00000000" w:rsidRDefault="003C49E9">
      <w:pPr>
        <w:divId w:val="234164360"/>
        <w:rPr>
          <w:rFonts w:eastAsia="Times New Roman"/>
        </w:rPr>
      </w:pPr>
      <w:r>
        <w:rPr>
          <w:rFonts w:eastAsia="Times New Roman"/>
          <w:sz w:val="20"/>
          <w:szCs w:val="20"/>
        </w:rPr>
        <w:t>•</w:t>
      </w:r>
    </w:p>
    <w:p w14:paraId="66A8F550" w14:textId="77777777" w:rsidR="00000000" w:rsidRDefault="003C49E9">
      <w:pPr>
        <w:divId w:val="1979610164"/>
        <w:rPr>
          <w:rFonts w:eastAsia="Times New Roman"/>
        </w:rPr>
      </w:pPr>
      <w:r>
        <w:rPr>
          <w:rFonts w:eastAsia="Times New Roman"/>
          <w:sz w:val="20"/>
          <w:szCs w:val="20"/>
        </w:rPr>
        <w:t>The Digital Millennium Copyright Act of 1998 ("DMCA"</w:t>
      </w:r>
      <w:r>
        <w:rPr>
          <w:rFonts w:eastAsia="Times New Roman"/>
          <w:sz w:val="20"/>
          <w:szCs w:val="20"/>
        </w:rPr>
        <w:t xml:space="preserve">), provides recourse for owners of copyrighted material who believe that their rights under U.S. copyright law have been infringed on the Internet. Under the DMCA, based on our current business activity as an Internet service provider that does not own or </w:t>
      </w:r>
      <w:r>
        <w:rPr>
          <w:rFonts w:eastAsia="Times New Roman"/>
          <w:sz w:val="20"/>
          <w:szCs w:val="20"/>
        </w:rPr>
        <w:t>control website content posted by our customers, we generally are not liable for infringing content posted by our customers or other third parties, provided that we follow the procedures for handling copyright infringement claims set forth in the DMCA. Gen</w:t>
      </w:r>
      <w:r>
        <w:rPr>
          <w:rFonts w:eastAsia="Times New Roman"/>
          <w:sz w:val="20"/>
          <w:szCs w:val="20"/>
        </w:rPr>
        <w:t>erally, if we receive a proper notice from, or on behalf, of a copyright owner alleging infringement of copyrighted material located on websites we host, and we fail to expeditiously remove or disable access to the allegedly infringing material or otherwis</w:t>
      </w:r>
      <w:r>
        <w:rPr>
          <w:rFonts w:eastAsia="Times New Roman"/>
          <w:sz w:val="20"/>
          <w:szCs w:val="20"/>
        </w:rPr>
        <w:t>e fail to meet the requirements of the safe harbor provided by the DMCA, the copyright owner may seek to impose liability on us. Technical mistakes in complying with the detailed DMCA take-down procedures could subject us to liability for copyright infring</w:t>
      </w:r>
      <w:r>
        <w:rPr>
          <w:rFonts w:eastAsia="Times New Roman"/>
          <w:sz w:val="20"/>
          <w:szCs w:val="20"/>
        </w:rPr>
        <w:t>ement</w:t>
      </w:r>
      <w:r>
        <w:rPr>
          <w:rFonts w:eastAsia="Times New Roman"/>
          <w:sz w:val="20"/>
          <w:szCs w:val="20"/>
        </w:rPr>
        <w:t>.</w:t>
      </w:r>
    </w:p>
    <w:p w14:paraId="7AD7F306" w14:textId="77777777" w:rsidR="00000000" w:rsidRDefault="003C49E9">
      <w:pPr>
        <w:divId w:val="1905137953"/>
        <w:rPr>
          <w:rFonts w:eastAsia="Times New Roman"/>
        </w:rPr>
      </w:pPr>
      <w:r>
        <w:rPr>
          <w:rFonts w:eastAsia="Times New Roman"/>
          <w:sz w:val="20"/>
          <w:szCs w:val="20"/>
        </w:rPr>
        <w:t>•</w:t>
      </w:r>
    </w:p>
    <w:p w14:paraId="49931BC6" w14:textId="77777777" w:rsidR="00000000" w:rsidRDefault="003C49E9">
      <w:pPr>
        <w:divId w:val="828132794"/>
        <w:rPr>
          <w:rFonts w:eastAsia="Times New Roman"/>
        </w:rPr>
      </w:pPr>
      <w:r>
        <w:rPr>
          <w:rFonts w:eastAsia="Times New Roman"/>
          <w:sz w:val="20"/>
          <w:szCs w:val="20"/>
        </w:rPr>
        <w:t>The Communications Decency Act of 1996 ("CDA"), generally protects online service providers, such as us, from liability for certain activities of their customers, such as the posting of defamatory or obscene content, unless the online service prov</w:t>
      </w:r>
      <w:r>
        <w:rPr>
          <w:rFonts w:eastAsia="Times New Roman"/>
          <w:sz w:val="20"/>
          <w:szCs w:val="20"/>
        </w:rPr>
        <w:t>ider is participating in the unlawful conduct. Under the CDA, we are generally not responsible for the customer-created content hosted on our servers. Consequently, we do not monitor hosted websites or prescreen the content placed by our customers on their</w:t>
      </w:r>
      <w:r>
        <w:rPr>
          <w:rFonts w:eastAsia="Times New Roman"/>
          <w:sz w:val="20"/>
          <w:szCs w:val="20"/>
        </w:rPr>
        <w:t xml:space="preserve"> sites. However, the CDA does not apply in foreign jurisdictions and we may nonetheless be brought into disputes between our customers and third parties which would require us to devote management time and resources to resolve such matters and any publicit</w:t>
      </w:r>
      <w:r>
        <w:rPr>
          <w:rFonts w:eastAsia="Times New Roman"/>
          <w:sz w:val="20"/>
          <w:szCs w:val="20"/>
        </w:rPr>
        <w:t>y from such matters could also have an adverse effect on our reputation and therefore our business.</w:t>
      </w:r>
      <w:r>
        <w:rPr>
          <w:rFonts w:eastAsia="Times New Roman"/>
          <w:sz w:val="20"/>
          <w:szCs w:val="20"/>
        </w:rPr>
        <w:t xml:space="preserve"> </w:t>
      </w:r>
    </w:p>
    <w:p w14:paraId="2B9D58AB" w14:textId="77777777" w:rsidR="00000000" w:rsidRDefault="003C49E9">
      <w:pPr>
        <w:divId w:val="1173687196"/>
        <w:rPr>
          <w:rFonts w:eastAsia="Times New Roman"/>
        </w:rPr>
      </w:pPr>
      <w:r>
        <w:rPr>
          <w:rFonts w:eastAsia="Times New Roman"/>
          <w:sz w:val="20"/>
          <w:szCs w:val="20"/>
        </w:rPr>
        <w:t>•</w:t>
      </w:r>
    </w:p>
    <w:p w14:paraId="4E5F5483" w14:textId="77777777" w:rsidR="00000000" w:rsidRDefault="003C49E9">
      <w:pPr>
        <w:divId w:val="521282251"/>
        <w:rPr>
          <w:rFonts w:eastAsia="Times New Roman"/>
        </w:rPr>
      </w:pPr>
      <w:r>
        <w:rPr>
          <w:rFonts w:eastAsia="Times New Roman"/>
          <w:sz w:val="20"/>
          <w:szCs w:val="20"/>
        </w:rPr>
        <w:t xml:space="preserve">In addition to the CDA, the Securing the Protection of our Enduring and Established Constitutional Heritage Act (the "SPEECH Act"), provides a statutory </w:t>
      </w:r>
      <w:r>
        <w:rPr>
          <w:rFonts w:eastAsia="Times New Roman"/>
          <w:sz w:val="20"/>
          <w:szCs w:val="20"/>
        </w:rPr>
        <w:t>exception to the enforcement by a U.S. court of a foreign judgment for defamation under certain circumstances. Generally, the exception applies if the defamation law applied in the foreign court did not provide at least as much protection for freedom of sp</w:t>
      </w:r>
      <w:r>
        <w:rPr>
          <w:rFonts w:eastAsia="Times New Roman"/>
          <w:sz w:val="20"/>
          <w:szCs w:val="20"/>
        </w:rPr>
        <w:t>eech and press as would be provided by the First Amendment of the U.S. Constitution or by the constitution and law of the state in which the U.S. court is located, or if no finding of defamation would be supported under the First Amendment of the U.S. Cons</w:t>
      </w:r>
      <w:r>
        <w:rPr>
          <w:rFonts w:eastAsia="Times New Roman"/>
          <w:sz w:val="20"/>
          <w:szCs w:val="20"/>
        </w:rPr>
        <w:t xml:space="preserve">titution or under the constitution and law of the state in which the U.S. court is located. Although the SPEECH Act may protect us from the enforcement of foreign judgments in the United States, it does not affect the enforceability of the judgment in the </w:t>
      </w:r>
      <w:r>
        <w:rPr>
          <w:rFonts w:eastAsia="Times New Roman"/>
          <w:sz w:val="20"/>
          <w:szCs w:val="20"/>
        </w:rPr>
        <w:t>foreign country that issued the judgment. Given our international presence, we may therefore, nonetheless, have to defend against or comply with any foreign judgments made against us, which could take up substantial management time and resources and damage</w:t>
      </w:r>
      <w:r>
        <w:rPr>
          <w:rFonts w:eastAsia="Times New Roman"/>
          <w:sz w:val="20"/>
          <w:szCs w:val="20"/>
        </w:rPr>
        <w:t xml:space="preserve"> our reputation</w:t>
      </w:r>
      <w:r>
        <w:rPr>
          <w:rFonts w:eastAsia="Times New Roman"/>
          <w:sz w:val="20"/>
          <w:szCs w:val="20"/>
        </w:rPr>
        <w:t>.</w:t>
      </w:r>
    </w:p>
    <w:p w14:paraId="3A3A0EDD" w14:textId="77777777" w:rsidR="00000000" w:rsidRDefault="003C49E9">
      <w:pPr>
        <w:pStyle w:val="a3"/>
        <w:spacing w:before="200" w:beforeAutospacing="0" w:after="0" w:afterAutospacing="0"/>
        <w:ind w:firstLine="555"/>
        <w:rPr>
          <w:sz w:val="20"/>
          <w:szCs w:val="20"/>
        </w:rPr>
      </w:pPr>
      <w:r>
        <w:rPr>
          <w:sz w:val="20"/>
          <w:szCs w:val="20"/>
        </w:rPr>
        <w:t>Although these statutes and case law in the United States have generally shielded us from liability for customer activities to date, court rulings in pending or future litigation may narrow the scope of protection afforded us under these l</w:t>
      </w:r>
      <w:r>
        <w:rPr>
          <w:sz w:val="20"/>
          <w:szCs w:val="20"/>
        </w:rPr>
        <w:t>aws. In addition, laws governing these activities are unsettled in many international jurisdictions, or may prove difficult or impossible for us to comply with in some international jurisdictions. Also, notwithstanding the exculpatory language of these bod</w:t>
      </w:r>
      <w:r>
        <w:rPr>
          <w:sz w:val="20"/>
          <w:szCs w:val="20"/>
        </w:rPr>
        <w:t>ies of law, we may become involved in complaints and lawsuits which, even if ultimately resolved in our favor, add cost to our doing business and may divert management’s time and attention. Finally, other existing bodies of law, including the criminal laws</w:t>
      </w:r>
      <w:r>
        <w:rPr>
          <w:sz w:val="20"/>
          <w:szCs w:val="20"/>
        </w:rPr>
        <w:t xml:space="preserve"> of various states, may be deemed to apply or new statutes or regulations may be adopted in the future, any of which could expose us to further liability and increase our costs of doing business</w:t>
      </w:r>
      <w:r>
        <w:rPr>
          <w:sz w:val="20"/>
          <w:szCs w:val="20"/>
        </w:rPr>
        <w:t>.</w:t>
      </w:r>
      <w:r>
        <w:rPr>
          <w:sz w:val="20"/>
          <w:szCs w:val="20"/>
        </w:rPr>
        <w:t xml:space="preserve"> </w:t>
      </w:r>
    </w:p>
    <w:p w14:paraId="605915FD" w14:textId="77777777" w:rsidR="00000000" w:rsidRDefault="003C49E9">
      <w:pPr>
        <w:pStyle w:val="a3"/>
        <w:spacing w:before="200" w:beforeAutospacing="0" w:after="0" w:afterAutospacing="0"/>
        <w:ind w:firstLine="555"/>
        <w:rPr>
          <w:sz w:val="20"/>
          <w:szCs w:val="20"/>
        </w:rPr>
      </w:pPr>
      <w:r>
        <w:rPr>
          <w:sz w:val="20"/>
          <w:szCs w:val="20"/>
        </w:rPr>
        <w:t>Additionally, Payments, our end-to-end payment solution bui</w:t>
      </w:r>
      <w:r>
        <w:rPr>
          <w:sz w:val="20"/>
          <w:szCs w:val="20"/>
        </w:rPr>
        <w:t xml:space="preserve">lt natively as part of our CRM Platform, is susceptible to potentially illegal or improper uses, including money laundering, terrorist financing, fraudulent or illegal sales of goods or services, piracy of software, movies, music, and other copyrighted or </w:t>
      </w:r>
      <w:r>
        <w:rPr>
          <w:sz w:val="20"/>
          <w:szCs w:val="20"/>
        </w:rPr>
        <w:t>trademarked information, bank fraud, securities fraud, pyramid or ponzi schemes, or the facilitation of other illegal or improper activity. While we engage a third party as our registered payment facilitator, the use of Payments for illegal or improper use</w:t>
      </w:r>
      <w:r>
        <w:rPr>
          <w:sz w:val="20"/>
          <w:szCs w:val="20"/>
        </w:rPr>
        <w:t>s may subject us to claims (including claims brought by our third-party payment processor), government and regulatory requests, inquiries, or investigations that could result in liability, and harm our reputation. Moreover, certain activity that may be leg</w:t>
      </w:r>
      <w:r>
        <w:rPr>
          <w:sz w:val="20"/>
          <w:szCs w:val="20"/>
        </w:rPr>
        <w:t>al in one jurisdiction may be illegal in another jurisdiction, and a merchant may be found responsible for intentionally or inadvertently importing or exporting illegal goods, resulting in liability for us. Owners of intellectual property rights or governm</w:t>
      </w:r>
      <w:r>
        <w:rPr>
          <w:sz w:val="20"/>
          <w:szCs w:val="20"/>
        </w:rPr>
        <w:t>ent authorities may seek to bring legal action against providers of payments solutions, including Payments</w:t>
      </w:r>
      <w:r>
        <w:rPr>
          <w:sz w:val="20"/>
          <w:szCs w:val="20"/>
        </w:rPr>
        <w:t>,</w:t>
      </w:r>
      <w:r>
        <w:rPr>
          <w:sz w:val="20"/>
          <w:szCs w:val="20"/>
        </w:rPr>
        <w:t xml:space="preserve"> </w:t>
      </w:r>
    </w:p>
    <w:p w14:paraId="54AD85B7"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0</w:t>
      </w:r>
    </w:p>
    <w:p w14:paraId="1FEFB285" w14:textId="77777777" w:rsidR="00000000" w:rsidRDefault="003C49E9">
      <w:pPr>
        <w:rPr>
          <w:rFonts w:eastAsia="Times New Roman"/>
        </w:rPr>
      </w:pPr>
      <w:r>
        <w:rPr>
          <w:rFonts w:eastAsia="Times New Roman"/>
        </w:rPr>
        <w:pict w14:anchorId="5004C07B">
          <v:rect id="_x0000_i1074" style="width:0;height:1.5pt" o:hralign="center" o:hrstd="t" o:hr="t" fillcolor="#a0a0a0" stroked="f"/>
        </w:pict>
      </w:r>
    </w:p>
    <w:p w14:paraId="49A06784" w14:textId="77777777" w:rsidR="00000000" w:rsidRDefault="003C49E9">
      <w:pPr>
        <w:pStyle w:val="a3"/>
        <w:spacing w:before="0" w:beforeAutospacing="0" w:after="0" w:afterAutospacing="0"/>
        <w:rPr>
          <w:sz w:val="20"/>
          <w:szCs w:val="20"/>
        </w:rPr>
      </w:pPr>
      <w:r>
        <w:rPr>
          <w:sz w:val="20"/>
          <w:szCs w:val="20"/>
        </w:rPr>
        <w:t> </w:t>
      </w:r>
    </w:p>
    <w:p w14:paraId="29B00C92" w14:textId="77777777" w:rsidR="00000000" w:rsidRDefault="003C49E9">
      <w:pPr>
        <w:pStyle w:val="a3"/>
        <w:spacing w:before="200" w:beforeAutospacing="0" w:after="0" w:afterAutospacing="0"/>
        <w:rPr>
          <w:sz w:val="20"/>
          <w:szCs w:val="20"/>
        </w:rPr>
      </w:pPr>
      <w:r>
        <w:rPr>
          <w:sz w:val="20"/>
          <w:szCs w:val="20"/>
        </w:rPr>
        <w:t xml:space="preserve">that are peripherally involved in the sale of infringing or allegedly infringing items. Any threatened or </w:t>
      </w:r>
      <w:r>
        <w:rPr>
          <w:sz w:val="20"/>
          <w:szCs w:val="20"/>
        </w:rPr>
        <w:t>resulting claims could result in reputational harm, and any resulting liabilities, loss of transaction volume, or increased costs could harm our business</w:t>
      </w:r>
      <w:r>
        <w:rPr>
          <w:sz w:val="20"/>
          <w:szCs w:val="20"/>
        </w:rPr>
        <w:t>.</w:t>
      </w:r>
    </w:p>
    <w:p w14:paraId="61DEF9CE" w14:textId="77777777" w:rsidR="00000000" w:rsidRDefault="003C49E9">
      <w:pPr>
        <w:pStyle w:val="a3"/>
        <w:spacing w:before="200" w:beforeAutospacing="0" w:after="0" w:afterAutospacing="0"/>
        <w:ind w:firstLine="555"/>
        <w:rPr>
          <w:sz w:val="20"/>
          <w:szCs w:val="20"/>
        </w:rPr>
      </w:pPr>
      <w:r>
        <w:rPr>
          <w:sz w:val="20"/>
          <w:szCs w:val="20"/>
        </w:rPr>
        <w:t>If Payments is used for illegal or improper uses, we may incur substantial losses as a result of clai</w:t>
      </w:r>
      <w:r>
        <w:rPr>
          <w:sz w:val="20"/>
          <w:szCs w:val="20"/>
        </w:rPr>
        <w:t>ms from merchants and consumers. Allowances for transaction losses that we have established may be insufficient to cover incurred losses. Moreover, if measures to detect and reduce the risk of fraud are not effective and our loss rate is higher than antici</w:t>
      </w:r>
      <w:r>
        <w:rPr>
          <w:sz w:val="20"/>
          <w:szCs w:val="20"/>
        </w:rPr>
        <w:t>pated, Payments and our business could be negatively impacted</w:t>
      </w:r>
      <w:r>
        <w:rPr>
          <w:sz w:val="20"/>
          <w:szCs w:val="20"/>
        </w:rPr>
        <w:t>.</w:t>
      </w:r>
      <w:r>
        <w:rPr>
          <w:sz w:val="20"/>
          <w:szCs w:val="20"/>
        </w:rPr>
        <w:t xml:space="preserve"> </w:t>
      </w:r>
    </w:p>
    <w:p w14:paraId="42223997" w14:textId="77777777" w:rsidR="00000000" w:rsidRDefault="003C49E9">
      <w:pPr>
        <w:pStyle w:val="a3"/>
        <w:spacing w:before="200" w:beforeAutospacing="0" w:after="0" w:afterAutospacing="0"/>
        <w:rPr>
          <w:sz w:val="20"/>
          <w:szCs w:val="20"/>
        </w:rPr>
      </w:pPr>
      <w:r>
        <w:rPr>
          <w:b/>
          <w:bCs/>
          <w:i/>
          <w:iCs/>
          <w:sz w:val="20"/>
          <w:szCs w:val="20"/>
        </w:rPr>
        <w:t>The standards that private entities use to regulate the use of email have in the past interfered with, and may in the future interfere with, the effectiveness of our CRM Platform and our abili</w:t>
      </w:r>
      <w:r>
        <w:rPr>
          <w:b/>
          <w:bCs/>
          <w:i/>
          <w:iCs/>
          <w:sz w:val="20"/>
          <w:szCs w:val="20"/>
        </w:rPr>
        <w:t>ty to conduct business</w:t>
      </w:r>
      <w:r>
        <w:rPr>
          <w:b/>
          <w:bCs/>
          <w:i/>
          <w:iCs/>
          <w:sz w:val="20"/>
          <w:szCs w:val="20"/>
        </w:rPr>
        <w:t>.</w:t>
      </w:r>
    </w:p>
    <w:p w14:paraId="360822F5" w14:textId="77777777" w:rsidR="00000000" w:rsidRDefault="003C49E9">
      <w:pPr>
        <w:pStyle w:val="a3"/>
        <w:spacing w:before="200" w:beforeAutospacing="0" w:after="0" w:afterAutospacing="0"/>
        <w:ind w:firstLine="555"/>
        <w:rPr>
          <w:sz w:val="20"/>
          <w:szCs w:val="20"/>
        </w:rPr>
      </w:pPr>
      <w:r>
        <w:rPr>
          <w:sz w:val="20"/>
          <w:szCs w:val="20"/>
        </w:rPr>
        <w:t>Our customers rely on email to communicate with their existing or prospective customers. Various private entities attempt to regulate the use of email for commercial solicitation. These entities often advocate standards of conduct o</w:t>
      </w:r>
      <w:r>
        <w:rPr>
          <w:sz w:val="20"/>
          <w:szCs w:val="20"/>
        </w:rPr>
        <w:t>r practice that significantly exceed current legal requirements and classify certain email solicitations that comply with current legal requirements as spam. Some of these entities maintain “blacklists” of companies and individuals, and the websites, inter</w:t>
      </w:r>
      <w:r>
        <w:rPr>
          <w:sz w:val="20"/>
          <w:szCs w:val="20"/>
        </w:rPr>
        <w:t>net service providers and internet protocol addresses associated with those entities or individuals that do not adhere to those standards of conduct or practices for commercial email solicitations that the blacklisting entity believes are appropriate. If a</w:t>
      </w:r>
      <w:r>
        <w:rPr>
          <w:sz w:val="20"/>
          <w:szCs w:val="20"/>
        </w:rPr>
        <w:t xml:space="preserve"> company’s internet protocol addresses are listed by a blacklisting entity, emails sent from those addresses may be blocked if they are sent to any internet domain or internet address that subscribes to the blacklisting entity’s service or purchases its bl</w:t>
      </w:r>
      <w:r>
        <w:rPr>
          <w:sz w:val="20"/>
          <w:szCs w:val="20"/>
        </w:rPr>
        <w:t>acklist</w:t>
      </w:r>
      <w:r>
        <w:rPr>
          <w:sz w:val="20"/>
          <w:szCs w:val="20"/>
        </w:rPr>
        <w:t>.</w:t>
      </w:r>
      <w:r>
        <w:rPr>
          <w:sz w:val="20"/>
          <w:szCs w:val="20"/>
        </w:rPr>
        <w:t xml:space="preserve"> </w:t>
      </w:r>
    </w:p>
    <w:p w14:paraId="7131E752" w14:textId="77777777" w:rsidR="00000000" w:rsidRDefault="003C49E9">
      <w:pPr>
        <w:pStyle w:val="a3"/>
        <w:spacing w:before="200" w:beforeAutospacing="0" w:after="0" w:afterAutospacing="0"/>
        <w:ind w:firstLine="555"/>
        <w:rPr>
          <w:sz w:val="20"/>
          <w:szCs w:val="20"/>
        </w:rPr>
      </w:pPr>
      <w:r>
        <w:rPr>
          <w:sz w:val="20"/>
          <w:szCs w:val="20"/>
        </w:rPr>
        <w:t>From time to time, some of our internet protocol addresses may become listed with one or more blacklisting entities due to the messaging practices of our customers. There can be no guarantee that we will be able to successfully remove ourselves f</w:t>
      </w:r>
      <w:r>
        <w:rPr>
          <w:sz w:val="20"/>
          <w:szCs w:val="20"/>
        </w:rPr>
        <w:t>rom those lists. Blacklisting of this type could interfere with our ability to market our CRM Platform and services and communicate with our customers and, because we fulfill email delivery on behalf of our customers, could undermine the effectiveness of o</w:t>
      </w:r>
      <w:r>
        <w:rPr>
          <w:sz w:val="20"/>
          <w:szCs w:val="20"/>
        </w:rPr>
        <w:t>ur customers’ email marketing campaigns, all of which could have a material negative impact on our business and results of operations</w:t>
      </w:r>
      <w:r>
        <w:rPr>
          <w:sz w:val="20"/>
          <w:szCs w:val="20"/>
        </w:rPr>
        <w:t>.</w:t>
      </w:r>
    </w:p>
    <w:p w14:paraId="22841839" w14:textId="77777777" w:rsidR="00000000" w:rsidRDefault="003C49E9">
      <w:pPr>
        <w:pStyle w:val="a3"/>
        <w:spacing w:before="200" w:beforeAutospacing="0" w:after="0" w:afterAutospacing="0"/>
        <w:rPr>
          <w:sz w:val="20"/>
          <w:szCs w:val="20"/>
        </w:rPr>
      </w:pPr>
      <w:r>
        <w:rPr>
          <w:b/>
          <w:bCs/>
          <w:i/>
          <w:iCs/>
          <w:sz w:val="20"/>
          <w:szCs w:val="20"/>
        </w:rPr>
        <w:t>Existing federal, state and foreign laws regulate Internet tracking software, the senders of commercial emails and text m</w:t>
      </w:r>
      <w:r>
        <w:rPr>
          <w:b/>
          <w:bCs/>
          <w:i/>
          <w:iCs/>
          <w:sz w:val="20"/>
          <w:szCs w:val="20"/>
        </w:rPr>
        <w:t>essages, website owners and other activities, and could impact the use of our CRM Platform and potentially subject us to regulatory enforcement or private litigation</w:t>
      </w:r>
      <w:r>
        <w:rPr>
          <w:b/>
          <w:bCs/>
          <w:i/>
          <w:iCs/>
          <w:sz w:val="20"/>
          <w:szCs w:val="20"/>
        </w:rPr>
        <w:t>.</w:t>
      </w:r>
    </w:p>
    <w:p w14:paraId="40A1F7AE" w14:textId="77777777" w:rsidR="00000000" w:rsidRDefault="003C49E9">
      <w:pPr>
        <w:pStyle w:val="a3"/>
        <w:spacing w:before="200" w:beforeAutospacing="0" w:after="0" w:afterAutospacing="0"/>
        <w:ind w:firstLine="555"/>
        <w:rPr>
          <w:sz w:val="20"/>
          <w:szCs w:val="20"/>
        </w:rPr>
      </w:pPr>
      <w:r>
        <w:rPr>
          <w:sz w:val="20"/>
          <w:szCs w:val="20"/>
        </w:rPr>
        <w:t>Certain aspects of how our customers utilize our platform are subject to regulations in t</w:t>
      </w:r>
      <w:r>
        <w:rPr>
          <w:sz w:val="20"/>
          <w:szCs w:val="20"/>
        </w:rPr>
        <w:t>he United States, European Union and elsewhere. In recent years, U.S. and European lawmakers and regulators have expressed concern over the use of third-party cookies or web beacons for online behavioral advertising, and legislation adopted recently in the</w:t>
      </w:r>
      <w:r>
        <w:rPr>
          <w:sz w:val="20"/>
          <w:szCs w:val="20"/>
        </w:rPr>
        <w:t xml:space="preserve"> European Union requires informed consent for the placement of a cookie on a user’s device. Regulation of cookies and web beacons may lead to restrictions on our activities, such as efforts to understand users’ Internet usage. New and expanding “Do Not Tra</w:t>
      </w:r>
      <w:r>
        <w:rPr>
          <w:sz w:val="20"/>
          <w:szCs w:val="20"/>
        </w:rPr>
        <w:t>ck” regulations have recently been enacted or proposed that protect users’ right to choose whether or not to be tracked online. These regulations seek, among other things, to allow end users to have greater control over the use of private information colle</w:t>
      </w:r>
      <w:r>
        <w:rPr>
          <w:sz w:val="20"/>
          <w:szCs w:val="20"/>
        </w:rPr>
        <w:t xml:space="preserve">cted online, to forbid the collection or use of online information, to demand a business to comply with their choice to opt out of such collection or use, and to place limits upon the disclosure of information to third-party websites. These policies could </w:t>
      </w:r>
      <w:r>
        <w:rPr>
          <w:sz w:val="20"/>
          <w:szCs w:val="20"/>
        </w:rPr>
        <w:t>have a significant impact on the operation of our CRM Platform and could impair our attractiveness to customers, which would harm our business</w:t>
      </w:r>
      <w:r>
        <w:rPr>
          <w:sz w:val="20"/>
          <w:szCs w:val="20"/>
        </w:rPr>
        <w:t>.</w:t>
      </w:r>
      <w:r>
        <w:rPr>
          <w:sz w:val="20"/>
          <w:szCs w:val="20"/>
        </w:rPr>
        <w:t xml:space="preserve"> </w:t>
      </w:r>
    </w:p>
    <w:p w14:paraId="20A7B829" w14:textId="77777777" w:rsidR="00000000" w:rsidRDefault="003C49E9">
      <w:pPr>
        <w:pStyle w:val="a3"/>
        <w:spacing w:before="200" w:beforeAutospacing="0" w:after="0" w:afterAutospacing="0"/>
        <w:ind w:firstLine="555"/>
        <w:rPr>
          <w:sz w:val="20"/>
          <w:szCs w:val="20"/>
        </w:rPr>
      </w:pPr>
      <w:r>
        <w:rPr>
          <w:sz w:val="20"/>
          <w:szCs w:val="20"/>
        </w:rPr>
        <w:t>Many of our customers and potential customers in the healthcare, financial services and other industries are su</w:t>
      </w:r>
      <w:r>
        <w:rPr>
          <w:sz w:val="20"/>
          <w:szCs w:val="20"/>
        </w:rPr>
        <w:t>bject to substantial regulation regarding their collection, use and protection of data and may be the subject of further regulation in the future. Accordingly, these laws or significant new laws or regulations or changes in, or repeals of, existing laws, r</w:t>
      </w:r>
      <w:r>
        <w:rPr>
          <w:sz w:val="20"/>
          <w:szCs w:val="20"/>
        </w:rPr>
        <w:t>egulations or governmental policy may change the way these customers do business and may require us to implement additional features or offer additional contractual terms to satisfy customer and regulatory requirements, or could cause the demand for and sa</w:t>
      </w:r>
      <w:r>
        <w:rPr>
          <w:sz w:val="20"/>
          <w:szCs w:val="20"/>
        </w:rPr>
        <w:t>les of our CRM Platform to decrease and adversely impact our financial results</w:t>
      </w:r>
      <w:r>
        <w:rPr>
          <w:sz w:val="20"/>
          <w:szCs w:val="20"/>
        </w:rPr>
        <w:t>.</w:t>
      </w:r>
      <w:r>
        <w:rPr>
          <w:sz w:val="20"/>
          <w:szCs w:val="20"/>
        </w:rPr>
        <w:t xml:space="preserve"> </w:t>
      </w:r>
    </w:p>
    <w:p w14:paraId="5D50D097" w14:textId="77777777" w:rsidR="00000000" w:rsidRDefault="003C49E9">
      <w:pPr>
        <w:pStyle w:val="a3"/>
        <w:spacing w:before="200" w:beforeAutospacing="0" w:after="0" w:afterAutospacing="0"/>
        <w:ind w:firstLine="555"/>
        <w:rPr>
          <w:sz w:val="20"/>
          <w:szCs w:val="20"/>
        </w:rPr>
      </w:pPr>
      <w:r>
        <w:rPr>
          <w:sz w:val="20"/>
          <w:szCs w:val="20"/>
        </w:rPr>
        <w:t>In addition, the Controlling the Assault of Non-Solicited Pornography and Marketing Act of 2003 ("CAN-SPAM Act"), establishes certain requirements for commercial email message</w:t>
      </w:r>
      <w:r>
        <w:rPr>
          <w:sz w:val="20"/>
          <w:szCs w:val="20"/>
        </w:rPr>
        <w:t>s and specifies penalties for the transmission of commercial email messages that are intended to deceive the recipient as to source or content. The CAN-SPAM Act, among other things, obligates the sender of commercial emails to provide recipients with the a</w:t>
      </w:r>
      <w:r>
        <w:rPr>
          <w:sz w:val="20"/>
          <w:szCs w:val="20"/>
        </w:rPr>
        <w:t>bility to opt out of receiving future commercial emails from the sender. The ability of our customers’ message recipients to opt out of receiving commercial emails may minimize the effectiveness of the email components of our CRM Platform. In addition, cer</w:t>
      </w:r>
      <w:r>
        <w:rPr>
          <w:sz w:val="20"/>
          <w:szCs w:val="20"/>
        </w:rPr>
        <w:t xml:space="preserve">tain states and foreign jurisdictions, such as Australia, Canada and the European Union, have enacted laws that regulate sending email, and some of these laws are more restrictive than U.S. laws. For example, some foreign laws prohibit sending unsolicited </w:t>
      </w:r>
      <w:r>
        <w:rPr>
          <w:sz w:val="20"/>
          <w:szCs w:val="20"/>
        </w:rPr>
        <w:t>email unless the recipient has provided the sender advance consent to receipt of such email, or in other words has “opted-in” to receiving it. A requirement that recipients opt into, or the ability of recipients to opt out of, receiving commercial emails m</w:t>
      </w:r>
      <w:r>
        <w:rPr>
          <w:sz w:val="20"/>
          <w:szCs w:val="20"/>
        </w:rPr>
        <w:t>ay minimize the effectiveness of our platform</w:t>
      </w:r>
      <w:r>
        <w:rPr>
          <w:sz w:val="20"/>
          <w:szCs w:val="20"/>
        </w:rPr>
        <w:t>.</w:t>
      </w:r>
      <w:r>
        <w:rPr>
          <w:sz w:val="20"/>
          <w:szCs w:val="20"/>
        </w:rPr>
        <w:t xml:space="preserve"> </w:t>
      </w:r>
    </w:p>
    <w:p w14:paraId="005F0694" w14:textId="77777777" w:rsidR="00000000" w:rsidRDefault="003C49E9">
      <w:pPr>
        <w:pStyle w:val="a3"/>
        <w:spacing w:before="200" w:beforeAutospacing="0" w:after="0" w:afterAutospacing="0"/>
        <w:ind w:firstLine="555"/>
        <w:rPr>
          <w:sz w:val="20"/>
          <w:szCs w:val="20"/>
        </w:rPr>
      </w:pPr>
      <w:r>
        <w:rPr>
          <w:sz w:val="20"/>
          <w:szCs w:val="20"/>
        </w:rPr>
        <w:t xml:space="preserve">While these laws and regulations generally govern our customers’ use of our CRM Platform, we may be subject to certain laws as a data processor on behalf of, or as a business associate of, our customers. For </w:t>
      </w:r>
      <w:r>
        <w:rPr>
          <w:sz w:val="20"/>
          <w:szCs w:val="20"/>
        </w:rPr>
        <w:t>example, laws and regulations governing the collection, use and disclosure of personal data include, in the United States, rules and regulations promulgated under the authority o</w:t>
      </w:r>
      <w:r>
        <w:rPr>
          <w:sz w:val="20"/>
          <w:szCs w:val="20"/>
        </w:rPr>
        <w:t>f</w:t>
      </w:r>
      <w:r>
        <w:rPr>
          <w:sz w:val="20"/>
          <w:szCs w:val="20"/>
        </w:rPr>
        <w:t xml:space="preserve"> </w:t>
      </w:r>
    </w:p>
    <w:p w14:paraId="588C0773"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1</w:t>
      </w:r>
    </w:p>
    <w:p w14:paraId="0F069CA6" w14:textId="77777777" w:rsidR="00000000" w:rsidRDefault="003C49E9">
      <w:pPr>
        <w:rPr>
          <w:rFonts w:eastAsia="Times New Roman"/>
        </w:rPr>
      </w:pPr>
      <w:r>
        <w:rPr>
          <w:rFonts w:eastAsia="Times New Roman"/>
        </w:rPr>
        <w:pict w14:anchorId="615914A9">
          <v:rect id="_x0000_i1075" style="width:0;height:1.5pt" o:hralign="center" o:hrstd="t" o:hr="t" fillcolor="#a0a0a0" stroked="f"/>
        </w:pict>
      </w:r>
    </w:p>
    <w:p w14:paraId="0BB45450" w14:textId="77777777" w:rsidR="00000000" w:rsidRDefault="003C49E9">
      <w:pPr>
        <w:pStyle w:val="a3"/>
        <w:spacing w:before="0" w:beforeAutospacing="0" w:after="0" w:afterAutospacing="0"/>
        <w:rPr>
          <w:sz w:val="20"/>
          <w:szCs w:val="20"/>
        </w:rPr>
      </w:pPr>
      <w:r>
        <w:rPr>
          <w:sz w:val="20"/>
          <w:szCs w:val="20"/>
        </w:rPr>
        <w:t> </w:t>
      </w:r>
    </w:p>
    <w:p w14:paraId="201349E5" w14:textId="77777777" w:rsidR="00000000" w:rsidRDefault="003C49E9">
      <w:pPr>
        <w:pStyle w:val="a3"/>
        <w:spacing w:before="200" w:beforeAutospacing="0" w:after="0" w:afterAutospacing="0"/>
        <w:rPr>
          <w:sz w:val="20"/>
          <w:szCs w:val="20"/>
        </w:rPr>
      </w:pPr>
      <w:r>
        <w:rPr>
          <w:sz w:val="20"/>
          <w:szCs w:val="20"/>
        </w:rPr>
        <w:t>the Federal Trade Commission, the Health Insurance Portability and Accountability Act of 1996, the Gramm-Leach-Bliley Act of 1999 and state breach notification laws, and internationally, the GDPR and other privacy and data protection laws. If we were found</w:t>
      </w:r>
      <w:r>
        <w:rPr>
          <w:sz w:val="20"/>
          <w:szCs w:val="20"/>
        </w:rPr>
        <w:t xml:space="preserve"> to be in violation of any of these laws or regulations as a result of government enforcement or private litigation, we could be subjected to civil and criminal sanctions, including both monetary fines and injunctive action that could force us to change ou</w:t>
      </w:r>
      <w:r>
        <w:rPr>
          <w:sz w:val="20"/>
          <w:szCs w:val="20"/>
        </w:rPr>
        <w:t>r business practices, all of which could adversely affect our financial performance and significantly harm our reputation and our business</w:t>
      </w:r>
      <w:r>
        <w:rPr>
          <w:sz w:val="20"/>
          <w:szCs w:val="20"/>
        </w:rPr>
        <w:t>.</w:t>
      </w:r>
    </w:p>
    <w:p w14:paraId="1F069EF3" w14:textId="77777777" w:rsidR="00000000" w:rsidRDefault="003C49E9">
      <w:pPr>
        <w:pStyle w:val="a3"/>
        <w:spacing w:before="200" w:beforeAutospacing="0" w:after="0" w:afterAutospacing="0"/>
        <w:rPr>
          <w:sz w:val="20"/>
          <w:szCs w:val="20"/>
        </w:rPr>
      </w:pPr>
      <w:r>
        <w:rPr>
          <w:b/>
          <w:bCs/>
          <w:i/>
          <w:iCs/>
          <w:sz w:val="20"/>
          <w:szCs w:val="20"/>
        </w:rPr>
        <w:t xml:space="preserve">We are subject to governmental export controls and economic sanctions laws that could impair our ability to compete </w:t>
      </w:r>
      <w:r>
        <w:rPr>
          <w:b/>
          <w:bCs/>
          <w:i/>
          <w:iCs/>
          <w:sz w:val="20"/>
          <w:szCs w:val="20"/>
        </w:rPr>
        <w:t>in international markets and subject us to liability if we are not in full compliance with applicable laws</w:t>
      </w:r>
      <w:r>
        <w:rPr>
          <w:b/>
          <w:bCs/>
          <w:i/>
          <w:iCs/>
          <w:sz w:val="20"/>
          <w:szCs w:val="20"/>
        </w:rPr>
        <w:t>.</w:t>
      </w:r>
    </w:p>
    <w:p w14:paraId="5C0C9210" w14:textId="77777777" w:rsidR="00000000" w:rsidRDefault="003C49E9">
      <w:pPr>
        <w:pStyle w:val="a3"/>
        <w:spacing w:before="200" w:beforeAutospacing="0" w:after="0" w:afterAutospacing="0"/>
        <w:ind w:firstLine="555"/>
        <w:rPr>
          <w:sz w:val="20"/>
          <w:szCs w:val="20"/>
        </w:rPr>
      </w:pPr>
      <w:r>
        <w:rPr>
          <w:sz w:val="20"/>
          <w:szCs w:val="20"/>
        </w:rPr>
        <w:t>Our business activities are subject to various restrictions under U.S. export controls and trade and economic sanctions laws, including the U.S. Com</w:t>
      </w:r>
      <w:r>
        <w:rPr>
          <w:sz w:val="20"/>
          <w:szCs w:val="20"/>
        </w:rPr>
        <w:t>merce Department’s Export Administration Regulations and economic and trade sanctions regulations maintained by the U.S. Treasury Department’s Office of Foreign Assets Control. If we fail to comply with these laws and regulations, we and certain of our emp</w:t>
      </w:r>
      <w:r>
        <w:rPr>
          <w:sz w:val="20"/>
          <w:szCs w:val="20"/>
        </w:rPr>
        <w:t>loyees could be subject to civil or criminal penalties and reputational harm. Obtaining the necessary authorizations, including any required license, for a particular transaction may be time-consuming, is not guaranteed, and may result in the delay or loss</w:t>
      </w:r>
      <w:r>
        <w:rPr>
          <w:sz w:val="20"/>
          <w:szCs w:val="20"/>
        </w:rPr>
        <w:t xml:space="preserve"> of sales opportunities. Furthermore, U.S. export control laws and economic sanctions laws prohibit certain transactions with U.S. embargoed or sanctioned countries, governments, persons and entities. These sanctions laws with which we must comply may also</w:t>
      </w:r>
      <w:r>
        <w:rPr>
          <w:sz w:val="20"/>
          <w:szCs w:val="20"/>
        </w:rPr>
        <w:t xml:space="preserve"> change rapidly from time to time as a result of geopolitical events, such as the recent imposition of sanctions on Russia as a result of the conflict between Russia and Ukraine. Although we take precautions to prevent transactions with U.S. sanction targe</w:t>
      </w:r>
      <w:r>
        <w:rPr>
          <w:sz w:val="20"/>
          <w:szCs w:val="20"/>
        </w:rPr>
        <w:t>ts, the possibility exists that we could inadvertently provide our solutions to persons prohibited by U.S. sanctions. This could result in negative consequences to us, including government investigations, penalties and reputational harm</w:t>
      </w:r>
      <w:r>
        <w:rPr>
          <w:sz w:val="20"/>
          <w:szCs w:val="20"/>
        </w:rPr>
        <w:t>.</w:t>
      </w:r>
    </w:p>
    <w:p w14:paraId="694C5C15" w14:textId="77777777" w:rsidR="00000000" w:rsidRDefault="003C49E9">
      <w:pPr>
        <w:pStyle w:val="a3"/>
        <w:spacing w:before="200" w:beforeAutospacing="0" w:after="0" w:afterAutospacing="0"/>
        <w:rPr>
          <w:sz w:val="20"/>
          <w:szCs w:val="20"/>
        </w:rPr>
      </w:pPr>
      <w:r>
        <w:rPr>
          <w:sz w:val="20"/>
          <w:szCs w:val="20"/>
        </w:rPr>
        <w:t> </w:t>
      </w:r>
    </w:p>
    <w:p w14:paraId="31757D87" w14:textId="77777777" w:rsidR="00000000" w:rsidRDefault="003C49E9">
      <w:pPr>
        <w:pStyle w:val="a3"/>
        <w:spacing w:before="200" w:beforeAutospacing="0" w:after="0" w:afterAutospacing="0"/>
        <w:rPr>
          <w:sz w:val="20"/>
          <w:szCs w:val="20"/>
        </w:rPr>
      </w:pPr>
      <w:r>
        <w:rPr>
          <w:b/>
          <w:bCs/>
          <w:sz w:val="20"/>
          <w:szCs w:val="20"/>
        </w:rPr>
        <w:t>Risks Related to</w:t>
      </w:r>
      <w:r>
        <w:rPr>
          <w:b/>
          <w:bCs/>
          <w:sz w:val="20"/>
          <w:szCs w:val="20"/>
        </w:rPr>
        <w:t xml:space="preserve"> Taxatio</w:t>
      </w:r>
      <w:r>
        <w:rPr>
          <w:b/>
          <w:bCs/>
          <w:sz w:val="20"/>
          <w:szCs w:val="20"/>
        </w:rPr>
        <w:t>n</w:t>
      </w:r>
    </w:p>
    <w:p w14:paraId="035D6D1A" w14:textId="77777777" w:rsidR="00000000" w:rsidRDefault="003C49E9">
      <w:pPr>
        <w:pStyle w:val="a3"/>
        <w:spacing w:before="200" w:beforeAutospacing="0" w:after="0" w:afterAutospacing="0"/>
        <w:rPr>
          <w:sz w:val="20"/>
          <w:szCs w:val="20"/>
        </w:rPr>
      </w:pPr>
      <w:r>
        <w:rPr>
          <w:b/>
          <w:bCs/>
          <w:i/>
          <w:iCs/>
          <w:sz w:val="20"/>
          <w:szCs w:val="20"/>
        </w:rPr>
        <w:t>We may be subject to additional obligations to collect and remit sales tax and other taxes, and we may be subject to tax liability for past sales, which could harm our business</w:t>
      </w:r>
      <w:r>
        <w:rPr>
          <w:b/>
          <w:bCs/>
          <w:i/>
          <w:iCs/>
          <w:sz w:val="20"/>
          <w:szCs w:val="20"/>
        </w:rPr>
        <w:t>.</w:t>
      </w:r>
    </w:p>
    <w:p w14:paraId="322F35BE" w14:textId="77777777" w:rsidR="00000000" w:rsidRDefault="003C49E9">
      <w:pPr>
        <w:pStyle w:val="a3"/>
        <w:spacing w:before="200" w:beforeAutospacing="0" w:after="0" w:afterAutospacing="0"/>
        <w:ind w:firstLine="555"/>
        <w:rPr>
          <w:sz w:val="20"/>
          <w:szCs w:val="20"/>
        </w:rPr>
      </w:pPr>
      <w:r>
        <w:rPr>
          <w:sz w:val="20"/>
          <w:szCs w:val="20"/>
        </w:rPr>
        <w:t>State, local, and non-U.S. jurisdictions have differing rules and re</w:t>
      </w:r>
      <w:r>
        <w:rPr>
          <w:sz w:val="20"/>
          <w:szCs w:val="20"/>
        </w:rPr>
        <w:t>gulations governing sales, use, value added, Digital Services Tax, and other taxes, and these rules and regulations are subject to varying interpretations that may change over time. In particular, the applicability of such taxes to our CRM Platform in vari</w:t>
      </w:r>
      <w:r>
        <w:rPr>
          <w:sz w:val="20"/>
          <w:szCs w:val="20"/>
        </w:rPr>
        <w:t>ous jurisdictions is unclear. Further, these jurisdictions’ rules regarding tax nexus are complex and vary significantly. As a result, we could face the possibility of tax assessments and audits, and our liability for these taxes and associated penalties c</w:t>
      </w:r>
      <w:r>
        <w:rPr>
          <w:sz w:val="20"/>
          <w:szCs w:val="20"/>
        </w:rPr>
        <w:t>ould exceed our original estimates. A successful assertion that we should be collecting additional sales, use, value added or other taxes in those jurisdictions where we have not historically done so and do not accrue for such taxes could result in substan</w:t>
      </w:r>
      <w:r>
        <w:rPr>
          <w:sz w:val="20"/>
          <w:szCs w:val="20"/>
        </w:rPr>
        <w:t>tial tax liabilities and related penalties for past sales, discourage customers from purchasing our application or otherwise harm our business and operating results</w:t>
      </w:r>
      <w:r>
        <w:rPr>
          <w:sz w:val="20"/>
          <w:szCs w:val="20"/>
        </w:rPr>
        <w:t>.</w:t>
      </w:r>
    </w:p>
    <w:p w14:paraId="582D95CF" w14:textId="77777777" w:rsidR="00000000" w:rsidRDefault="003C49E9">
      <w:pPr>
        <w:pStyle w:val="a3"/>
        <w:spacing w:before="200" w:beforeAutospacing="0" w:after="0" w:afterAutospacing="0"/>
        <w:rPr>
          <w:sz w:val="20"/>
          <w:szCs w:val="20"/>
        </w:rPr>
      </w:pPr>
      <w:r>
        <w:rPr>
          <w:b/>
          <w:bCs/>
          <w:i/>
          <w:iCs/>
          <w:sz w:val="20"/>
          <w:szCs w:val="20"/>
        </w:rPr>
        <w:t>Changes in tax laws or regulations that are applied adversely to us or our customers could</w:t>
      </w:r>
      <w:r>
        <w:rPr>
          <w:b/>
          <w:bCs/>
          <w:i/>
          <w:iCs/>
          <w:sz w:val="20"/>
          <w:szCs w:val="20"/>
        </w:rPr>
        <w:t xml:space="preserve"> increase the costs of our CRM Platform and adversely impact our business</w:t>
      </w:r>
      <w:r>
        <w:rPr>
          <w:b/>
          <w:bCs/>
          <w:i/>
          <w:iCs/>
          <w:sz w:val="20"/>
          <w:szCs w:val="20"/>
        </w:rPr>
        <w:t>.</w:t>
      </w:r>
    </w:p>
    <w:p w14:paraId="67D91398" w14:textId="77777777" w:rsidR="00000000" w:rsidRDefault="003C49E9">
      <w:pPr>
        <w:pStyle w:val="a3"/>
        <w:spacing w:before="200" w:beforeAutospacing="0" w:after="0" w:afterAutospacing="0"/>
        <w:ind w:firstLine="555"/>
        <w:rPr>
          <w:sz w:val="20"/>
          <w:szCs w:val="20"/>
        </w:rPr>
      </w:pPr>
      <w:r>
        <w:rPr>
          <w:sz w:val="20"/>
          <w:szCs w:val="20"/>
        </w:rPr>
        <w:t>New income, sales, use or other tax laws, statutes, rules, regulations or ordinances could be enacted at any time. Any new taxes could adversely affect our domestic and internationa</w:t>
      </w:r>
      <w:r>
        <w:rPr>
          <w:sz w:val="20"/>
          <w:szCs w:val="20"/>
        </w:rPr>
        <w:t xml:space="preserve">l business operations, and our business and financial performance. Further, existing tax laws, statutes, rules, regulations or ordinances could be interpreted, changed, modified or applied adversely to us. These events could require us or our customers to </w:t>
      </w:r>
      <w:r>
        <w:rPr>
          <w:sz w:val="20"/>
          <w:szCs w:val="20"/>
        </w:rPr>
        <w:t>pay additional tax amounts on a prospective or retroactive basis, as well as require us or our customers to pay fines and/or penalties and interest for past amounts deemed to be due. If we raise our prices to offset the costs of these changes, existing and</w:t>
      </w:r>
      <w:r>
        <w:rPr>
          <w:sz w:val="20"/>
          <w:szCs w:val="20"/>
        </w:rPr>
        <w:t xml:space="preserve"> potential future customers may elect not to continue or purchase our CRM Platform in the future. Additionally, new, changed, modified or newly interpreted or applied tax laws could increase our customers’ and our compliance, operating and other costs, as </w:t>
      </w:r>
      <w:r>
        <w:rPr>
          <w:sz w:val="20"/>
          <w:szCs w:val="20"/>
        </w:rPr>
        <w:t>well as the costs of our platform. Any or all of these events could adversely impact our business, cash flows and financial performance. Furthermore, as our employees continue to work remotely from geographic locations across the United States and internat</w:t>
      </w:r>
      <w:r>
        <w:rPr>
          <w:sz w:val="20"/>
          <w:szCs w:val="20"/>
        </w:rPr>
        <w:t>ionally, we may become subject to additional taxes and our compliance burdens with respect to the tax laws of additional jurisdictions may be increased</w:t>
      </w:r>
      <w:r>
        <w:rPr>
          <w:sz w:val="20"/>
          <w:szCs w:val="20"/>
        </w:rPr>
        <w:t>.</w:t>
      </w:r>
    </w:p>
    <w:p w14:paraId="0DD18F8E" w14:textId="77777777" w:rsidR="00000000" w:rsidRDefault="003C49E9">
      <w:pPr>
        <w:pStyle w:val="a3"/>
        <w:spacing w:before="200" w:beforeAutospacing="0" w:after="0" w:afterAutospacing="0"/>
        <w:rPr>
          <w:sz w:val="20"/>
          <w:szCs w:val="20"/>
        </w:rPr>
      </w:pPr>
      <w:r>
        <w:rPr>
          <w:b/>
          <w:bCs/>
          <w:i/>
          <w:iCs/>
          <w:sz w:val="20"/>
          <w:szCs w:val="20"/>
        </w:rPr>
        <w:t>We are a multinational organization faced with increasingly complex tax issues in many jurisdictions, a</w:t>
      </w:r>
      <w:r>
        <w:rPr>
          <w:b/>
          <w:bCs/>
          <w:i/>
          <w:iCs/>
          <w:sz w:val="20"/>
          <w:szCs w:val="20"/>
        </w:rPr>
        <w:t>nd we could be obligated to pay additional taxes in various jurisdictions</w:t>
      </w:r>
      <w:r>
        <w:rPr>
          <w:b/>
          <w:bCs/>
          <w:i/>
          <w:iCs/>
          <w:sz w:val="20"/>
          <w:szCs w:val="20"/>
        </w:rPr>
        <w:t>.</w:t>
      </w:r>
    </w:p>
    <w:p w14:paraId="3B7CEC30" w14:textId="77777777" w:rsidR="00000000" w:rsidRDefault="003C49E9">
      <w:pPr>
        <w:pStyle w:val="a3"/>
        <w:spacing w:before="200" w:beforeAutospacing="0" w:after="0" w:afterAutospacing="0"/>
        <w:ind w:firstLine="555"/>
        <w:rPr>
          <w:sz w:val="20"/>
          <w:szCs w:val="20"/>
        </w:rPr>
      </w:pPr>
      <w:r>
        <w:rPr>
          <w:sz w:val="20"/>
          <w:szCs w:val="20"/>
        </w:rPr>
        <w:t>As a multinational organization, we may be subject to taxation in several jurisdictions around the world with increasingly complex tax laws, the application of which can be uncertai</w:t>
      </w:r>
      <w:r>
        <w:rPr>
          <w:sz w:val="20"/>
          <w:szCs w:val="20"/>
        </w:rPr>
        <w:t>n. The amount of taxes we pay in these jurisdictions could increase substantially as a result of changes in the applicable tax principles, including increased tax rates, new tax laws or revised interpretations of existing tax laws and precedents, or challe</w:t>
      </w:r>
      <w:r>
        <w:rPr>
          <w:sz w:val="20"/>
          <w:szCs w:val="20"/>
        </w:rPr>
        <w:t>nges to our tax positions by tax authorities, any of which could have a material adverse effect on our liquidity, financial condition or operating results. In addition, the authorities in these jurisdictions could review our tax returns and impose addition</w:t>
      </w:r>
      <w:r>
        <w:rPr>
          <w:sz w:val="20"/>
          <w:szCs w:val="20"/>
        </w:rPr>
        <w:t>al tax, interest and penalties, and the authorities could claim that various withholding requirements apply to us or our subsidiaries or assert that benefits of tax treaties are not available to us or our subsidiaries, or asser</w:t>
      </w:r>
      <w:r>
        <w:rPr>
          <w:sz w:val="20"/>
          <w:szCs w:val="20"/>
        </w:rPr>
        <w:t>t</w:t>
      </w:r>
      <w:r>
        <w:rPr>
          <w:sz w:val="20"/>
          <w:szCs w:val="20"/>
        </w:rPr>
        <w:t xml:space="preserve"> </w:t>
      </w:r>
    </w:p>
    <w:p w14:paraId="427DD0B8"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2</w:t>
      </w:r>
    </w:p>
    <w:p w14:paraId="6FBCF02B" w14:textId="77777777" w:rsidR="00000000" w:rsidRDefault="003C49E9">
      <w:pPr>
        <w:rPr>
          <w:rFonts w:eastAsia="Times New Roman"/>
        </w:rPr>
      </w:pPr>
      <w:r>
        <w:rPr>
          <w:rFonts w:eastAsia="Times New Roman"/>
        </w:rPr>
        <w:pict w14:anchorId="317A7967">
          <v:rect id="_x0000_i1076" style="width:0;height:1.5pt" o:hralign="center" o:hrstd="t" o:hr="t" fillcolor="#a0a0a0" stroked="f"/>
        </w:pict>
      </w:r>
    </w:p>
    <w:p w14:paraId="3E568CD8" w14:textId="77777777" w:rsidR="00000000" w:rsidRDefault="003C49E9">
      <w:pPr>
        <w:pStyle w:val="a3"/>
        <w:spacing w:before="0" w:beforeAutospacing="0" w:after="0" w:afterAutospacing="0"/>
        <w:rPr>
          <w:sz w:val="20"/>
          <w:szCs w:val="20"/>
        </w:rPr>
      </w:pPr>
      <w:r>
        <w:rPr>
          <w:sz w:val="20"/>
          <w:szCs w:val="20"/>
        </w:rPr>
        <w:t> </w:t>
      </w:r>
    </w:p>
    <w:p w14:paraId="1966119D" w14:textId="77777777" w:rsidR="00000000" w:rsidRDefault="003C49E9">
      <w:pPr>
        <w:pStyle w:val="a3"/>
        <w:spacing w:before="200" w:beforeAutospacing="0" w:after="0" w:afterAutospacing="0"/>
        <w:rPr>
          <w:sz w:val="20"/>
          <w:szCs w:val="20"/>
        </w:rPr>
      </w:pPr>
      <w:r>
        <w:rPr>
          <w:sz w:val="20"/>
          <w:szCs w:val="20"/>
        </w:rPr>
        <w:t>that we are subject to tax in a jurisdiction where we believe we have not established a taxable nexus, often referred to as a “permanent establishment” under international tax treaties, any of which could have a material impact on us, our f</w:t>
      </w:r>
      <w:r>
        <w:rPr>
          <w:sz w:val="20"/>
          <w:szCs w:val="20"/>
        </w:rPr>
        <w:t>inancial condition or our operating results</w:t>
      </w:r>
      <w:r>
        <w:rPr>
          <w:sz w:val="20"/>
          <w:szCs w:val="20"/>
        </w:rPr>
        <w:t>.</w:t>
      </w:r>
    </w:p>
    <w:p w14:paraId="7BBE7106" w14:textId="77777777" w:rsidR="00000000" w:rsidRDefault="003C49E9">
      <w:pPr>
        <w:pStyle w:val="a3"/>
        <w:spacing w:before="200" w:beforeAutospacing="0" w:after="0" w:afterAutospacing="0"/>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p>
    <w:p w14:paraId="5402EDD6" w14:textId="77777777" w:rsidR="00000000" w:rsidRDefault="003C49E9">
      <w:pPr>
        <w:pStyle w:val="a3"/>
        <w:spacing w:before="200" w:beforeAutospacing="0" w:after="0" w:afterAutospacing="0"/>
        <w:ind w:firstLine="555"/>
        <w:rPr>
          <w:sz w:val="20"/>
          <w:szCs w:val="20"/>
        </w:rPr>
      </w:pPr>
      <w:r>
        <w:rPr>
          <w:sz w:val="20"/>
          <w:szCs w:val="20"/>
        </w:rPr>
        <w:t>We have incurred losses during our history and do not expect to become</w:t>
      </w:r>
      <w:r>
        <w:rPr>
          <w:sz w:val="20"/>
          <w:szCs w:val="20"/>
        </w:rPr>
        <w:t xml:space="preserve"> profitable in the near future, and we may never achieve profitability. As of December 31, 2021, we had $1.2 billion of U.S. federal and $737.8 million of state net operating loss carryforwards due to prior period losses, which, if not utilized, some of wh</w:t>
      </w:r>
      <w:r>
        <w:rPr>
          <w:sz w:val="20"/>
          <w:szCs w:val="20"/>
        </w:rPr>
        <w:t>ich will begin to expire in 2027 for federal purposes and begin to expire in 2023 for state purposes. These net operating loss carryforwards could expire unused and be unavailable to offset future income tax liabilities, which could adversely affect our pr</w:t>
      </w:r>
      <w:r>
        <w:rPr>
          <w:sz w:val="20"/>
          <w:szCs w:val="20"/>
        </w:rPr>
        <w:t xml:space="preserve">ofitability. Under current law, U.S federal and certain state net operating loss carryforwards incurred for periods beginning on or after January 1, 2018 would not expire unused because they can be carried forward indefinitely. Our unused U.S. federal net </w:t>
      </w:r>
      <w:r>
        <w:rPr>
          <w:sz w:val="20"/>
          <w:szCs w:val="20"/>
        </w:rPr>
        <w:t>operating losses arising in taxable years beginning after December 31, 2017 and before January 1, 2021 may generally be carried back to each of the two taxable years preceding the tax year of such losses, but those losses arising in taxable years beginning</w:t>
      </w:r>
      <w:r>
        <w:rPr>
          <w:sz w:val="20"/>
          <w:szCs w:val="20"/>
        </w:rPr>
        <w:t xml:space="preserve"> after December 31, 2017 may not be carried back. Moreover, for taxable years beginning after December 31, 2017, the deductibility of our U.S. federal net operating losses is limited to 80% of our taxable income in any future taxable year. States have vary</w:t>
      </w:r>
      <w:r>
        <w:rPr>
          <w:sz w:val="20"/>
          <w:szCs w:val="20"/>
        </w:rPr>
        <w:t xml:space="preserve">ing carryback and carryforward periods. Moreover, certain states have enacted rules that limit the utilization of loss carryforwards, which also change from time-to-time. In addition, under Section 382 and Section 383 of the Internal Revenue Code of 1986, </w:t>
      </w:r>
      <w:r>
        <w:rPr>
          <w:sz w:val="20"/>
          <w:szCs w:val="20"/>
        </w:rPr>
        <w:t>as amended, which we refer to as the Code, our ability to utilize net operating loss carryforwards or other tax attributes, such as research tax credits, in any taxable year may be further limited if we experience an “ownership change.” An ownership change</w:t>
      </w:r>
      <w:r>
        <w:rPr>
          <w:sz w:val="20"/>
          <w:szCs w:val="20"/>
        </w:rPr>
        <w:t xml:space="preserve"> generally occurs if one or more stockholders or groups of stockholders who own at least 5% of our stock increase their ownership by more than 50 percentage points over their lowest ownership percentage (by value) within a rolling three-year period. Simila</w:t>
      </w:r>
      <w:r>
        <w:rPr>
          <w:sz w:val="20"/>
          <w:szCs w:val="20"/>
        </w:rPr>
        <w:t>r rules may apply under state tax laws. We may have experienced an ownership change in the past, and future issuances of our stock could cause an ownership change. It is possible that any such ownership change could have a material effect on the use of our</w:t>
      </w:r>
      <w:r>
        <w:rPr>
          <w:sz w:val="20"/>
          <w:szCs w:val="20"/>
        </w:rPr>
        <w:t xml:space="preserve"> net operating loss carryforwards or other tax attributes accrued prior to such ownership change, which could adversely affect our profitability</w:t>
      </w:r>
      <w:r>
        <w:rPr>
          <w:sz w:val="20"/>
          <w:szCs w:val="20"/>
        </w:rPr>
        <w:t>.</w:t>
      </w:r>
      <w:r>
        <w:rPr>
          <w:sz w:val="20"/>
          <w:szCs w:val="20"/>
        </w:rPr>
        <w:t xml:space="preserve"> </w:t>
      </w:r>
    </w:p>
    <w:p w14:paraId="0F6B11EC" w14:textId="77777777" w:rsidR="00000000" w:rsidRDefault="003C49E9">
      <w:pPr>
        <w:pStyle w:val="a3"/>
        <w:spacing w:before="200" w:beforeAutospacing="0" w:after="0" w:afterAutospacing="0"/>
        <w:ind w:firstLine="555"/>
        <w:rPr>
          <w:sz w:val="20"/>
          <w:szCs w:val="20"/>
        </w:rPr>
      </w:pPr>
      <w:r>
        <w:rPr>
          <w:sz w:val="20"/>
          <w:szCs w:val="20"/>
        </w:rPr>
        <w:t> </w:t>
      </w:r>
    </w:p>
    <w:p w14:paraId="199B42C9" w14:textId="77777777" w:rsidR="00000000" w:rsidRDefault="003C49E9">
      <w:pPr>
        <w:pStyle w:val="a3"/>
        <w:spacing w:before="200" w:beforeAutospacing="0" w:after="0" w:afterAutospacing="0"/>
        <w:rPr>
          <w:sz w:val="20"/>
          <w:szCs w:val="20"/>
        </w:rPr>
      </w:pPr>
      <w:r>
        <w:rPr>
          <w:b/>
          <w:bCs/>
          <w:sz w:val="20"/>
          <w:szCs w:val="20"/>
        </w:rPr>
        <w:t>Risks Related to Our Operating Results and Financial Conditio</w:t>
      </w:r>
      <w:r>
        <w:rPr>
          <w:b/>
          <w:bCs/>
          <w:sz w:val="20"/>
          <w:szCs w:val="20"/>
        </w:rPr>
        <w:t>n</w:t>
      </w:r>
    </w:p>
    <w:p w14:paraId="745DC766" w14:textId="77777777" w:rsidR="00000000" w:rsidRDefault="003C49E9">
      <w:pPr>
        <w:pStyle w:val="a3"/>
        <w:spacing w:before="200" w:beforeAutospacing="0" w:after="0" w:afterAutospacing="0"/>
        <w:rPr>
          <w:sz w:val="20"/>
          <w:szCs w:val="20"/>
        </w:rPr>
      </w:pPr>
      <w:r>
        <w:rPr>
          <w:b/>
          <w:bCs/>
          <w:i/>
          <w:iCs/>
          <w:sz w:val="20"/>
          <w:szCs w:val="20"/>
        </w:rPr>
        <w:t>We have a history of losses and may not achi</w:t>
      </w:r>
      <w:r>
        <w:rPr>
          <w:b/>
          <w:bCs/>
          <w:i/>
          <w:iCs/>
          <w:sz w:val="20"/>
          <w:szCs w:val="20"/>
        </w:rPr>
        <w:t>eve profitability in the future</w:t>
      </w:r>
      <w:r>
        <w:rPr>
          <w:b/>
          <w:bCs/>
          <w:i/>
          <w:iCs/>
          <w:sz w:val="20"/>
          <w:szCs w:val="20"/>
        </w:rPr>
        <w:t>.</w:t>
      </w:r>
    </w:p>
    <w:p w14:paraId="4CB77E9A" w14:textId="77777777" w:rsidR="00000000" w:rsidRDefault="003C49E9">
      <w:pPr>
        <w:pStyle w:val="a3"/>
        <w:spacing w:before="200" w:beforeAutospacing="0" w:after="0" w:afterAutospacing="0"/>
        <w:ind w:firstLine="555"/>
        <w:rPr>
          <w:sz w:val="20"/>
          <w:szCs w:val="20"/>
        </w:rPr>
      </w:pPr>
      <w:r>
        <w:rPr>
          <w:sz w:val="20"/>
          <w:szCs w:val="20"/>
        </w:rPr>
        <w:t>We generated net losses of $65.7 million and $47.7 million for the six months ended June 30, 2022 and 2021, respectively. As of June 30, 2022, we had an accumulated deficit of $595.3 million. We will need to generate and su</w:t>
      </w:r>
      <w:r>
        <w:rPr>
          <w:sz w:val="20"/>
          <w:szCs w:val="20"/>
        </w:rPr>
        <w:t>stain increased revenue levels in future periods to become profitable, and, even if we do, we may not be able to maintain or increase our level of profitability. We have spent and intend to continue to expend funds to grow our marketing, sales, customer se</w:t>
      </w:r>
      <w:r>
        <w:rPr>
          <w:sz w:val="20"/>
          <w:szCs w:val="20"/>
        </w:rPr>
        <w:t xml:space="preserve">rvice, operations, and content management operations, develop and enhance our CRM Platform, scale our data center infrastructure and services capabilities and expand into new markets. Our efforts to grow our business may be more costly than we expect, and </w:t>
      </w:r>
      <w:r>
        <w:rPr>
          <w:sz w:val="20"/>
          <w:szCs w:val="20"/>
        </w:rPr>
        <w:t>we may not be able to increase our revenue enough to offset our higher operating expenses. We may incur significant losses in the future for a number of reasons, including the other risks described in this Quarterly Report on Form 10-Q, and unforeseen expe</w:t>
      </w:r>
      <w:r>
        <w:rPr>
          <w:sz w:val="20"/>
          <w:szCs w:val="20"/>
        </w:rPr>
        <w:t>nses, difficulties, complications and delays and other unknown events. If we are unable to achieve and sustain profitability, the market price of our common stock may significantly decrease</w:t>
      </w:r>
      <w:r>
        <w:rPr>
          <w:sz w:val="20"/>
          <w:szCs w:val="20"/>
        </w:rPr>
        <w:t>.</w:t>
      </w:r>
      <w:r>
        <w:rPr>
          <w:sz w:val="20"/>
          <w:szCs w:val="20"/>
        </w:rPr>
        <w:t xml:space="preserve"> </w:t>
      </w:r>
    </w:p>
    <w:p w14:paraId="3680BF2D" w14:textId="77777777" w:rsidR="00000000" w:rsidRDefault="003C49E9">
      <w:pPr>
        <w:pStyle w:val="a3"/>
        <w:spacing w:before="200" w:beforeAutospacing="0" w:after="0" w:afterAutospacing="0"/>
        <w:rPr>
          <w:sz w:val="20"/>
          <w:szCs w:val="20"/>
        </w:rPr>
      </w:pPr>
      <w:r>
        <w:rPr>
          <w:b/>
          <w:bCs/>
          <w:i/>
          <w:iCs/>
          <w:sz w:val="20"/>
          <w:szCs w:val="20"/>
        </w:rPr>
        <w:t>From time to time, we may invest funds in social impact investment funds, and may receive no return on our investment or lose our entire investment</w:t>
      </w:r>
      <w:r>
        <w:rPr>
          <w:b/>
          <w:bCs/>
          <w:i/>
          <w:iCs/>
          <w:sz w:val="20"/>
          <w:szCs w:val="20"/>
        </w:rPr>
        <w:t>.</w:t>
      </w:r>
    </w:p>
    <w:p w14:paraId="0432E40A" w14:textId="77777777" w:rsidR="00000000" w:rsidRDefault="003C49E9">
      <w:pPr>
        <w:pStyle w:val="a3"/>
        <w:spacing w:before="200" w:beforeAutospacing="0" w:after="0" w:afterAutospacing="0"/>
        <w:ind w:firstLine="555"/>
        <w:rPr>
          <w:sz w:val="20"/>
          <w:szCs w:val="20"/>
        </w:rPr>
      </w:pPr>
      <w:r>
        <w:rPr>
          <w:sz w:val="20"/>
          <w:szCs w:val="20"/>
        </w:rPr>
        <w:t>From time to time, we may invest in social impact investment funds. For example, in December 2020, we commi</w:t>
      </w:r>
      <w:r>
        <w:rPr>
          <w:sz w:val="20"/>
          <w:szCs w:val="20"/>
        </w:rPr>
        <w:t>tted to invest $12.5 million in the Black Economic Development Fund (“BEDF”) by December 2023. As of June 30, 2022, we have made contributions of $3.3 million in cash for an aggregate of 5% ownership interest and income share in the BEDF. The BEDF is manag</w:t>
      </w:r>
      <w:r>
        <w:rPr>
          <w:sz w:val="20"/>
          <w:szCs w:val="20"/>
        </w:rPr>
        <w:t>ed by the Local Initiatives Support Corporation (“LISC”), which expects to make investments from the BEDF in the form of bank deposits, bridge financing, and other financing to Black-led businesses, financial institutions, and anchor institutions. In Decem</w:t>
      </w:r>
      <w:r>
        <w:rPr>
          <w:sz w:val="20"/>
          <w:szCs w:val="20"/>
        </w:rPr>
        <w:t>ber 2021, we invested the remaining commitment of $7.5 million in support of Minority Depository Institutions to help close the racial wealth, health and opportunity gap. There is no guarantee as to the performance of this investment or any similar investm</w:t>
      </w:r>
      <w:r>
        <w:rPr>
          <w:sz w:val="20"/>
          <w:szCs w:val="20"/>
        </w:rPr>
        <w:t>ents we make in the future. Depending on the performance of this investment and future investments we may make, we may not receive any return on our investment or we may lose our entire investment, which could have an adverse effect on our business</w:t>
      </w:r>
      <w:r>
        <w:rPr>
          <w:sz w:val="20"/>
          <w:szCs w:val="20"/>
        </w:rPr>
        <w:t>.</w:t>
      </w:r>
    </w:p>
    <w:p w14:paraId="2F62FA13" w14:textId="77777777" w:rsidR="00000000" w:rsidRDefault="003C49E9">
      <w:pPr>
        <w:pStyle w:val="a3"/>
        <w:spacing w:before="200" w:beforeAutospacing="0" w:after="0" w:afterAutospacing="0"/>
        <w:rPr>
          <w:sz w:val="20"/>
          <w:szCs w:val="20"/>
        </w:rPr>
      </w:pPr>
      <w:r>
        <w:rPr>
          <w:b/>
          <w:bCs/>
          <w:i/>
          <w:iCs/>
          <w:sz w:val="20"/>
          <w:szCs w:val="20"/>
        </w:rPr>
        <w:t>We may experience quarterly fluctuations in our operating results due to a number of factors, which makes our future results difficult to predict and could cause our operating results to fall below expectations or our guidance</w:t>
      </w:r>
      <w:r>
        <w:rPr>
          <w:b/>
          <w:bCs/>
          <w:i/>
          <w:iCs/>
          <w:sz w:val="20"/>
          <w:szCs w:val="20"/>
        </w:rPr>
        <w:t>.</w:t>
      </w:r>
    </w:p>
    <w:p w14:paraId="0320655A" w14:textId="77777777" w:rsidR="00000000" w:rsidRDefault="003C49E9">
      <w:pPr>
        <w:pStyle w:val="a3"/>
        <w:spacing w:before="200" w:beforeAutospacing="0" w:after="0" w:afterAutospacing="0"/>
        <w:ind w:firstLine="555"/>
        <w:rPr>
          <w:sz w:val="20"/>
          <w:szCs w:val="20"/>
        </w:rPr>
      </w:pPr>
      <w:r>
        <w:rPr>
          <w:sz w:val="20"/>
          <w:szCs w:val="20"/>
        </w:rPr>
        <w:t>Our quarterly operating resu</w:t>
      </w:r>
      <w:r>
        <w:rPr>
          <w:sz w:val="20"/>
          <w:szCs w:val="20"/>
        </w:rPr>
        <w:t>lts have fluctuated in the past and are expected to fluctuate in the future due to a variety of factors, many of which are outside of our control. As a result, our past results may not be indicative of our future performance, and comparin</w:t>
      </w:r>
      <w:r>
        <w:rPr>
          <w:sz w:val="20"/>
          <w:szCs w:val="20"/>
        </w:rPr>
        <w:t>g</w:t>
      </w:r>
      <w:r>
        <w:rPr>
          <w:sz w:val="20"/>
          <w:szCs w:val="20"/>
        </w:rPr>
        <w:t xml:space="preserve"> </w:t>
      </w:r>
    </w:p>
    <w:p w14:paraId="0CDCD4E3"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3</w:t>
      </w:r>
    </w:p>
    <w:p w14:paraId="0EDFBBDF" w14:textId="77777777" w:rsidR="00000000" w:rsidRDefault="003C49E9">
      <w:pPr>
        <w:rPr>
          <w:rFonts w:eastAsia="Times New Roman"/>
        </w:rPr>
      </w:pPr>
      <w:r>
        <w:rPr>
          <w:rFonts w:eastAsia="Times New Roman"/>
        </w:rPr>
        <w:pict w14:anchorId="42902E5F">
          <v:rect id="_x0000_i1077" style="width:0;height:1.5pt" o:hralign="center" o:hrstd="t" o:hr="t" fillcolor="#a0a0a0" stroked="f"/>
        </w:pict>
      </w:r>
    </w:p>
    <w:p w14:paraId="38371559" w14:textId="77777777" w:rsidR="00000000" w:rsidRDefault="003C49E9">
      <w:pPr>
        <w:pStyle w:val="a3"/>
        <w:spacing w:before="0" w:beforeAutospacing="0" w:after="0" w:afterAutospacing="0"/>
        <w:rPr>
          <w:sz w:val="20"/>
          <w:szCs w:val="20"/>
        </w:rPr>
      </w:pPr>
      <w:r>
        <w:rPr>
          <w:sz w:val="20"/>
          <w:szCs w:val="20"/>
        </w:rPr>
        <w:t> </w:t>
      </w:r>
    </w:p>
    <w:p w14:paraId="343ABC88" w14:textId="77777777" w:rsidR="00000000" w:rsidRDefault="003C49E9">
      <w:pPr>
        <w:pStyle w:val="a3"/>
        <w:spacing w:before="200" w:beforeAutospacing="0" w:after="0" w:afterAutospacing="0"/>
        <w:rPr>
          <w:sz w:val="20"/>
          <w:szCs w:val="20"/>
        </w:rPr>
      </w:pPr>
      <w:r>
        <w:rPr>
          <w:sz w:val="20"/>
          <w:szCs w:val="20"/>
        </w:rPr>
        <w:t>our operating results on a period-to-period basis may not be meaningful. In addition to the other risks described in this Quarterly Report on Form 10-Q, factors that may affect our quarterly operating results include the following</w:t>
      </w:r>
      <w:r>
        <w:rPr>
          <w:sz w:val="20"/>
          <w:szCs w:val="20"/>
        </w:rPr>
        <w:t>:</w:t>
      </w:r>
    </w:p>
    <w:p w14:paraId="4C5F6A3F" w14:textId="77777777" w:rsidR="00000000" w:rsidRDefault="003C49E9">
      <w:pPr>
        <w:divId w:val="287057153"/>
        <w:rPr>
          <w:rFonts w:eastAsia="Times New Roman"/>
        </w:rPr>
      </w:pPr>
      <w:r>
        <w:rPr>
          <w:rFonts w:eastAsia="Times New Roman"/>
          <w:sz w:val="20"/>
          <w:szCs w:val="20"/>
        </w:rPr>
        <w:t>•</w:t>
      </w:r>
    </w:p>
    <w:p w14:paraId="037BDF9D" w14:textId="77777777" w:rsidR="00000000" w:rsidRDefault="003C49E9">
      <w:pPr>
        <w:divId w:val="1802841685"/>
        <w:rPr>
          <w:rFonts w:eastAsia="Times New Roman"/>
        </w:rPr>
      </w:pPr>
      <w:r>
        <w:rPr>
          <w:rFonts w:eastAsia="Times New Roman"/>
          <w:sz w:val="20"/>
          <w:szCs w:val="20"/>
        </w:rPr>
        <w:t>changes in spending on marketing, sales and customer service software by our current or prospective customers</w:t>
      </w:r>
      <w:r>
        <w:rPr>
          <w:rFonts w:eastAsia="Times New Roman"/>
          <w:sz w:val="20"/>
          <w:szCs w:val="20"/>
        </w:rPr>
        <w:t>;</w:t>
      </w:r>
    </w:p>
    <w:p w14:paraId="423E2CA7" w14:textId="77777777" w:rsidR="00000000" w:rsidRDefault="003C49E9">
      <w:pPr>
        <w:divId w:val="825634280"/>
        <w:rPr>
          <w:rFonts w:eastAsia="Times New Roman"/>
        </w:rPr>
      </w:pPr>
      <w:r>
        <w:rPr>
          <w:rFonts w:eastAsia="Times New Roman"/>
          <w:sz w:val="20"/>
          <w:szCs w:val="20"/>
        </w:rPr>
        <w:t>•</w:t>
      </w:r>
    </w:p>
    <w:p w14:paraId="6643D95C" w14:textId="77777777" w:rsidR="00000000" w:rsidRDefault="003C49E9">
      <w:pPr>
        <w:divId w:val="670716965"/>
        <w:rPr>
          <w:rFonts w:eastAsia="Times New Roman"/>
        </w:rPr>
      </w:pPr>
      <w:r>
        <w:rPr>
          <w:rFonts w:eastAsia="Times New Roman"/>
          <w:sz w:val="20"/>
          <w:szCs w:val="20"/>
        </w:rPr>
        <w:t>pricing our CRM Platform subscriptions effectively so that we are able to attract and retain customers without compromising our profitabili</w:t>
      </w:r>
      <w:r>
        <w:rPr>
          <w:rFonts w:eastAsia="Times New Roman"/>
          <w:sz w:val="20"/>
          <w:szCs w:val="20"/>
        </w:rPr>
        <w:t>ty</w:t>
      </w:r>
      <w:r>
        <w:rPr>
          <w:rFonts w:eastAsia="Times New Roman"/>
          <w:sz w:val="20"/>
          <w:szCs w:val="20"/>
        </w:rPr>
        <w:t>;</w:t>
      </w:r>
    </w:p>
    <w:p w14:paraId="53F67E54" w14:textId="77777777" w:rsidR="00000000" w:rsidRDefault="003C49E9">
      <w:pPr>
        <w:divId w:val="1119686093"/>
        <w:rPr>
          <w:rFonts w:eastAsia="Times New Roman"/>
        </w:rPr>
      </w:pPr>
      <w:r>
        <w:rPr>
          <w:rFonts w:eastAsia="Times New Roman"/>
          <w:sz w:val="20"/>
          <w:szCs w:val="20"/>
        </w:rPr>
        <w:t>•</w:t>
      </w:r>
    </w:p>
    <w:p w14:paraId="3259498A" w14:textId="77777777" w:rsidR="00000000" w:rsidRDefault="003C49E9">
      <w:pPr>
        <w:divId w:val="1151403447"/>
        <w:rPr>
          <w:rFonts w:eastAsia="Times New Roman"/>
        </w:rPr>
      </w:pPr>
      <w:r>
        <w:rPr>
          <w:rFonts w:eastAsia="Times New Roman"/>
          <w:sz w:val="20"/>
          <w:szCs w:val="20"/>
        </w:rPr>
        <w:t>attracting new customers for our marketing, sales, customer service, operations, and content management software, increasing our existing customers’ use of our platform and providing our customers with excellent customer support</w:t>
      </w:r>
      <w:r>
        <w:rPr>
          <w:rFonts w:eastAsia="Times New Roman"/>
          <w:sz w:val="20"/>
          <w:szCs w:val="20"/>
        </w:rPr>
        <w:t>;</w:t>
      </w:r>
    </w:p>
    <w:p w14:paraId="2666F1A0" w14:textId="77777777" w:rsidR="00000000" w:rsidRDefault="003C49E9">
      <w:pPr>
        <w:divId w:val="1455948458"/>
        <w:rPr>
          <w:rFonts w:eastAsia="Times New Roman"/>
        </w:rPr>
      </w:pPr>
      <w:r>
        <w:rPr>
          <w:rFonts w:eastAsia="Times New Roman"/>
          <w:sz w:val="20"/>
          <w:szCs w:val="20"/>
        </w:rPr>
        <w:t>•</w:t>
      </w:r>
    </w:p>
    <w:p w14:paraId="56504D55" w14:textId="77777777" w:rsidR="00000000" w:rsidRDefault="003C49E9">
      <w:pPr>
        <w:divId w:val="1860120945"/>
        <w:rPr>
          <w:rFonts w:eastAsia="Times New Roman"/>
        </w:rPr>
      </w:pPr>
      <w:r>
        <w:rPr>
          <w:rFonts w:eastAsia="Times New Roman"/>
          <w:sz w:val="20"/>
          <w:szCs w:val="20"/>
        </w:rPr>
        <w:t>customer renewal r</w:t>
      </w:r>
      <w:r>
        <w:rPr>
          <w:rFonts w:eastAsia="Times New Roman"/>
          <w:sz w:val="20"/>
          <w:szCs w:val="20"/>
        </w:rPr>
        <w:t>ates and the amounts for which agreements are renewed</w:t>
      </w:r>
      <w:r>
        <w:rPr>
          <w:rFonts w:eastAsia="Times New Roman"/>
          <w:sz w:val="20"/>
          <w:szCs w:val="20"/>
        </w:rPr>
        <w:t>;</w:t>
      </w:r>
    </w:p>
    <w:p w14:paraId="61B39749" w14:textId="77777777" w:rsidR="00000000" w:rsidRDefault="003C49E9">
      <w:pPr>
        <w:divId w:val="658847525"/>
        <w:rPr>
          <w:rFonts w:eastAsia="Times New Roman"/>
        </w:rPr>
      </w:pPr>
      <w:r>
        <w:rPr>
          <w:rFonts w:eastAsia="Times New Roman"/>
          <w:sz w:val="20"/>
          <w:szCs w:val="20"/>
        </w:rPr>
        <w:t>•</w:t>
      </w:r>
    </w:p>
    <w:p w14:paraId="41BFAA74" w14:textId="77777777" w:rsidR="00000000" w:rsidRDefault="003C49E9">
      <w:pPr>
        <w:divId w:val="963000285"/>
        <w:rPr>
          <w:rFonts w:eastAsia="Times New Roman"/>
        </w:rPr>
      </w:pPr>
      <w:r>
        <w:rPr>
          <w:rFonts w:eastAsia="Times New Roman"/>
          <w:sz w:val="20"/>
          <w:szCs w:val="20"/>
        </w:rPr>
        <w:t>global awareness of our thought leadership and brand;</w:t>
      </w:r>
      <w:r>
        <w:rPr>
          <w:rFonts w:eastAsia="Times New Roman"/>
          <w:sz w:val="20"/>
          <w:szCs w:val="20"/>
        </w:rPr>
        <w:t xml:space="preserve"> </w:t>
      </w:r>
    </w:p>
    <w:p w14:paraId="70FB034C" w14:textId="77777777" w:rsidR="00000000" w:rsidRDefault="003C49E9">
      <w:pPr>
        <w:divId w:val="1650401172"/>
        <w:rPr>
          <w:rFonts w:eastAsia="Times New Roman"/>
        </w:rPr>
      </w:pPr>
      <w:r>
        <w:rPr>
          <w:rFonts w:eastAsia="Times New Roman"/>
          <w:sz w:val="20"/>
          <w:szCs w:val="20"/>
        </w:rPr>
        <w:t>•</w:t>
      </w:r>
    </w:p>
    <w:p w14:paraId="68BA6EAC" w14:textId="77777777" w:rsidR="00000000" w:rsidRDefault="003C49E9">
      <w:pPr>
        <w:divId w:val="253787014"/>
        <w:rPr>
          <w:rFonts w:eastAsia="Times New Roman"/>
        </w:rPr>
      </w:pPr>
      <w:r>
        <w:rPr>
          <w:rFonts w:eastAsia="Times New Roman"/>
          <w:sz w:val="20"/>
          <w:szCs w:val="20"/>
        </w:rPr>
        <w:t>changes in the competitive dynamics of our market, including consolidation among competitors or customers and the introduction of new products</w:t>
      </w:r>
      <w:r>
        <w:rPr>
          <w:rFonts w:eastAsia="Times New Roman"/>
          <w:sz w:val="20"/>
          <w:szCs w:val="20"/>
        </w:rPr>
        <w:t xml:space="preserve"> or product enhancements;</w:t>
      </w:r>
      <w:r>
        <w:rPr>
          <w:rFonts w:eastAsia="Times New Roman"/>
          <w:sz w:val="20"/>
          <w:szCs w:val="20"/>
        </w:rPr>
        <w:t xml:space="preserve"> </w:t>
      </w:r>
    </w:p>
    <w:p w14:paraId="5334A442" w14:textId="77777777" w:rsidR="00000000" w:rsidRDefault="003C49E9">
      <w:pPr>
        <w:divId w:val="476190016"/>
        <w:rPr>
          <w:rFonts w:eastAsia="Times New Roman"/>
        </w:rPr>
      </w:pPr>
      <w:r>
        <w:rPr>
          <w:rFonts w:eastAsia="Times New Roman"/>
          <w:sz w:val="20"/>
          <w:szCs w:val="20"/>
        </w:rPr>
        <w:t>•</w:t>
      </w:r>
    </w:p>
    <w:p w14:paraId="258E67C6" w14:textId="77777777" w:rsidR="00000000" w:rsidRDefault="003C49E9">
      <w:pPr>
        <w:divId w:val="224337092"/>
        <w:rPr>
          <w:rFonts w:eastAsia="Times New Roman"/>
        </w:rPr>
      </w:pPr>
      <w:r>
        <w:rPr>
          <w:rFonts w:eastAsia="Times New Roman"/>
          <w:sz w:val="20"/>
          <w:szCs w:val="20"/>
        </w:rPr>
        <w:t>changes to the commission plans, quotas and other compensation-related metrics for our sales representatives</w:t>
      </w:r>
      <w:r>
        <w:rPr>
          <w:rFonts w:eastAsia="Times New Roman"/>
          <w:sz w:val="20"/>
          <w:szCs w:val="20"/>
        </w:rPr>
        <w:t>;</w:t>
      </w:r>
    </w:p>
    <w:p w14:paraId="632FCAB4" w14:textId="77777777" w:rsidR="00000000" w:rsidRDefault="003C49E9">
      <w:pPr>
        <w:divId w:val="758598322"/>
        <w:rPr>
          <w:rFonts w:eastAsia="Times New Roman"/>
        </w:rPr>
      </w:pPr>
      <w:r>
        <w:rPr>
          <w:rFonts w:eastAsia="Times New Roman"/>
          <w:sz w:val="20"/>
          <w:szCs w:val="20"/>
        </w:rPr>
        <w:t>•</w:t>
      </w:r>
    </w:p>
    <w:p w14:paraId="3B8048F0" w14:textId="77777777" w:rsidR="00000000" w:rsidRDefault="003C49E9">
      <w:pPr>
        <w:divId w:val="883637427"/>
        <w:rPr>
          <w:rFonts w:eastAsia="Times New Roman"/>
        </w:rPr>
      </w:pPr>
      <w:r>
        <w:rPr>
          <w:rFonts w:eastAsia="Times New Roman"/>
          <w:sz w:val="20"/>
          <w:szCs w:val="20"/>
        </w:rPr>
        <w:t>the amount and timing of payment for operating expenses, particularly research and development, sales and marketing</w:t>
      </w:r>
      <w:r>
        <w:rPr>
          <w:rFonts w:eastAsia="Times New Roman"/>
          <w:sz w:val="20"/>
          <w:szCs w:val="20"/>
        </w:rPr>
        <w:t xml:space="preserve"> expenses and employee benefit expenses;</w:t>
      </w:r>
      <w:r>
        <w:rPr>
          <w:rFonts w:eastAsia="Times New Roman"/>
          <w:sz w:val="20"/>
          <w:szCs w:val="20"/>
        </w:rPr>
        <w:t xml:space="preserve"> </w:t>
      </w:r>
    </w:p>
    <w:p w14:paraId="437AE818" w14:textId="77777777" w:rsidR="00000000" w:rsidRDefault="003C49E9">
      <w:pPr>
        <w:divId w:val="1672491295"/>
        <w:rPr>
          <w:rFonts w:eastAsia="Times New Roman"/>
        </w:rPr>
      </w:pPr>
      <w:r>
        <w:rPr>
          <w:rFonts w:eastAsia="Times New Roman"/>
          <w:sz w:val="20"/>
          <w:szCs w:val="20"/>
        </w:rPr>
        <w:t>•</w:t>
      </w:r>
    </w:p>
    <w:p w14:paraId="5D26B071" w14:textId="77777777" w:rsidR="00000000" w:rsidRDefault="003C49E9">
      <w:pPr>
        <w:divId w:val="751851338"/>
        <w:rPr>
          <w:rFonts w:eastAsia="Times New Roman"/>
        </w:rPr>
      </w:pPr>
      <w:r>
        <w:rPr>
          <w:rFonts w:eastAsia="Times New Roman"/>
          <w:sz w:val="20"/>
          <w:szCs w:val="20"/>
        </w:rPr>
        <w:t>the amount and timing of costs associated with recruiting, training and integrating new employees while maintaining our company culture</w:t>
      </w:r>
      <w:r>
        <w:rPr>
          <w:rFonts w:eastAsia="Times New Roman"/>
          <w:sz w:val="20"/>
          <w:szCs w:val="20"/>
        </w:rPr>
        <w:t>;</w:t>
      </w:r>
    </w:p>
    <w:p w14:paraId="304BC315" w14:textId="77777777" w:rsidR="00000000" w:rsidRDefault="003C49E9">
      <w:pPr>
        <w:divId w:val="1022978902"/>
        <w:rPr>
          <w:rFonts w:eastAsia="Times New Roman"/>
        </w:rPr>
      </w:pPr>
      <w:r>
        <w:rPr>
          <w:rFonts w:eastAsia="Times New Roman"/>
          <w:sz w:val="20"/>
          <w:szCs w:val="20"/>
        </w:rPr>
        <w:t>•</w:t>
      </w:r>
    </w:p>
    <w:p w14:paraId="6587C2E9" w14:textId="77777777" w:rsidR="00000000" w:rsidRDefault="003C49E9">
      <w:pPr>
        <w:divId w:val="367989789"/>
        <w:rPr>
          <w:rFonts w:eastAsia="Times New Roman"/>
        </w:rPr>
      </w:pPr>
      <w:r>
        <w:rPr>
          <w:rFonts w:eastAsia="Times New Roman"/>
          <w:sz w:val="20"/>
          <w:szCs w:val="20"/>
        </w:rPr>
        <w:t>our ability to manage our existing business and future growth, including increases in the number of customers on our platform and the introduction and adoption of our CRM Platform in new markets outside of the United States</w:t>
      </w:r>
      <w:r>
        <w:rPr>
          <w:rFonts w:eastAsia="Times New Roman"/>
          <w:sz w:val="20"/>
          <w:szCs w:val="20"/>
        </w:rPr>
        <w:t>;</w:t>
      </w:r>
    </w:p>
    <w:p w14:paraId="244D4D06" w14:textId="77777777" w:rsidR="00000000" w:rsidRDefault="003C49E9">
      <w:pPr>
        <w:divId w:val="174728981"/>
        <w:rPr>
          <w:rFonts w:eastAsia="Times New Roman"/>
        </w:rPr>
      </w:pPr>
      <w:r>
        <w:rPr>
          <w:rFonts w:eastAsia="Times New Roman"/>
          <w:sz w:val="20"/>
          <w:szCs w:val="20"/>
        </w:rPr>
        <w:t>•</w:t>
      </w:r>
    </w:p>
    <w:p w14:paraId="449093A1" w14:textId="77777777" w:rsidR="00000000" w:rsidRDefault="003C49E9">
      <w:pPr>
        <w:divId w:val="1570650970"/>
        <w:rPr>
          <w:rFonts w:eastAsia="Times New Roman"/>
        </w:rPr>
      </w:pPr>
      <w:r>
        <w:rPr>
          <w:rFonts w:eastAsia="Times New Roman"/>
          <w:sz w:val="20"/>
          <w:szCs w:val="20"/>
        </w:rPr>
        <w:t>unforeseen costs and expenses</w:t>
      </w:r>
      <w:r>
        <w:rPr>
          <w:rFonts w:eastAsia="Times New Roman"/>
          <w:sz w:val="20"/>
          <w:szCs w:val="20"/>
        </w:rPr>
        <w:t xml:space="preserve"> related to the expansion of our business, operations and infrastructure, including disruptions in our hosting network infrastructure and privacy and data security</w:t>
      </w:r>
      <w:r>
        <w:rPr>
          <w:rFonts w:eastAsia="Times New Roman"/>
          <w:sz w:val="20"/>
          <w:szCs w:val="20"/>
        </w:rPr>
        <w:t>;</w:t>
      </w:r>
    </w:p>
    <w:p w14:paraId="797C6705" w14:textId="77777777" w:rsidR="00000000" w:rsidRDefault="003C49E9">
      <w:pPr>
        <w:divId w:val="1432435660"/>
        <w:rPr>
          <w:rFonts w:eastAsia="Times New Roman"/>
        </w:rPr>
      </w:pPr>
      <w:r>
        <w:rPr>
          <w:rFonts w:eastAsia="Times New Roman"/>
          <w:sz w:val="20"/>
          <w:szCs w:val="20"/>
        </w:rPr>
        <w:t>•</w:t>
      </w:r>
    </w:p>
    <w:p w14:paraId="34891B5C" w14:textId="77777777" w:rsidR="00000000" w:rsidRDefault="003C49E9">
      <w:pPr>
        <w:divId w:val="1606884286"/>
        <w:rPr>
          <w:rFonts w:eastAsia="Times New Roman"/>
        </w:rPr>
      </w:pPr>
      <w:r>
        <w:rPr>
          <w:rFonts w:eastAsia="Times New Roman"/>
          <w:sz w:val="20"/>
          <w:szCs w:val="20"/>
        </w:rPr>
        <w:t>foreign currency exchange rate fluctuations;</w:t>
      </w:r>
      <w:r>
        <w:rPr>
          <w:rFonts w:eastAsia="Times New Roman"/>
          <w:sz w:val="20"/>
          <w:szCs w:val="20"/>
        </w:rPr>
        <w:t xml:space="preserve"> </w:t>
      </w:r>
    </w:p>
    <w:p w14:paraId="0AEB6BAC" w14:textId="77777777" w:rsidR="00000000" w:rsidRDefault="003C49E9">
      <w:pPr>
        <w:divId w:val="1817334449"/>
        <w:rPr>
          <w:rFonts w:eastAsia="Times New Roman"/>
        </w:rPr>
      </w:pPr>
      <w:r>
        <w:rPr>
          <w:rFonts w:eastAsia="Times New Roman"/>
          <w:sz w:val="20"/>
          <w:szCs w:val="20"/>
        </w:rPr>
        <w:t>•</w:t>
      </w:r>
    </w:p>
    <w:p w14:paraId="048E5165" w14:textId="77777777" w:rsidR="00000000" w:rsidRDefault="003C49E9">
      <w:pPr>
        <w:divId w:val="552929637"/>
        <w:rPr>
          <w:rFonts w:eastAsia="Times New Roman"/>
        </w:rPr>
      </w:pPr>
      <w:r>
        <w:rPr>
          <w:rFonts w:eastAsia="Times New Roman"/>
          <w:sz w:val="20"/>
          <w:szCs w:val="20"/>
        </w:rPr>
        <w:t>rising inflation in the economies in whic</w:t>
      </w:r>
      <w:r>
        <w:rPr>
          <w:rFonts w:eastAsia="Times New Roman"/>
          <w:sz w:val="20"/>
          <w:szCs w:val="20"/>
        </w:rPr>
        <w:t>h we operate and our ability to control costs, including operating expenses; an</w:t>
      </w:r>
      <w:r>
        <w:rPr>
          <w:rFonts w:eastAsia="Times New Roman"/>
          <w:sz w:val="20"/>
          <w:szCs w:val="20"/>
        </w:rPr>
        <w:t>d</w:t>
      </w:r>
    </w:p>
    <w:p w14:paraId="62D55419" w14:textId="77777777" w:rsidR="00000000" w:rsidRDefault="003C49E9">
      <w:pPr>
        <w:divId w:val="1044793676"/>
        <w:rPr>
          <w:rFonts w:eastAsia="Times New Roman"/>
        </w:rPr>
      </w:pPr>
      <w:r>
        <w:rPr>
          <w:rFonts w:eastAsia="Times New Roman"/>
          <w:sz w:val="20"/>
          <w:szCs w:val="20"/>
        </w:rPr>
        <w:t>•</w:t>
      </w:r>
    </w:p>
    <w:p w14:paraId="2D083D11" w14:textId="77777777" w:rsidR="00000000" w:rsidRDefault="003C49E9">
      <w:pPr>
        <w:divId w:val="1613169105"/>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14:paraId="301B83ED" w14:textId="77777777" w:rsidR="00000000" w:rsidRDefault="003C49E9">
      <w:pPr>
        <w:pStyle w:val="a3"/>
        <w:spacing w:before="200" w:beforeAutospacing="0" w:after="0" w:afterAutospacing="0"/>
        <w:ind w:firstLine="555"/>
        <w:rPr>
          <w:sz w:val="20"/>
          <w:szCs w:val="20"/>
        </w:rPr>
      </w:pPr>
      <w:r>
        <w:rPr>
          <w:sz w:val="20"/>
          <w:szCs w:val="20"/>
        </w:rPr>
        <w:t>We may not be able to accurately forecast the amount and mix of future subscriptions, re</w:t>
      </w:r>
      <w:r>
        <w:rPr>
          <w:sz w:val="20"/>
          <w:szCs w:val="20"/>
        </w:rPr>
        <w:t>venue and expenses and, as a result, our operating results may fall below our estimates or the expectations of public market analysts and investors. If our revenue or operating results fall below the expectations of investors or securities analysts, or bel</w:t>
      </w:r>
      <w:r>
        <w:rPr>
          <w:sz w:val="20"/>
          <w:szCs w:val="20"/>
        </w:rPr>
        <w:t>ow any guidance we may provide, the price of our common stock could decline</w:t>
      </w:r>
      <w:r>
        <w:rPr>
          <w:sz w:val="20"/>
          <w:szCs w:val="20"/>
        </w:rPr>
        <w:t>.</w:t>
      </w:r>
    </w:p>
    <w:p w14:paraId="2AA0F144" w14:textId="77777777" w:rsidR="00000000" w:rsidRDefault="003C49E9">
      <w:pPr>
        <w:pStyle w:val="a3"/>
        <w:spacing w:before="200" w:beforeAutospacing="0" w:after="0" w:afterAutospacing="0"/>
        <w:rPr>
          <w:sz w:val="20"/>
          <w:szCs w:val="20"/>
        </w:rPr>
      </w:pPr>
      <w:r>
        <w:rPr>
          <w:b/>
          <w:bCs/>
          <w:i/>
          <w:iCs/>
          <w:sz w:val="20"/>
          <w:szCs w:val="20"/>
        </w:rPr>
        <w:t>If we do not accurately predict subscription renewal rates or otherwise fail to forecast our revenue accurately, or if we fail to match our expenditures with corresponding revenue</w:t>
      </w:r>
      <w:r>
        <w:rPr>
          <w:b/>
          <w:bCs/>
          <w:i/>
          <w:iCs/>
          <w:sz w:val="20"/>
          <w:szCs w:val="20"/>
        </w:rPr>
        <w:t>, our operating results could be adversely affected</w:t>
      </w:r>
      <w:r>
        <w:rPr>
          <w:b/>
          <w:bCs/>
          <w:i/>
          <w:iCs/>
          <w:sz w:val="20"/>
          <w:szCs w:val="20"/>
        </w:rPr>
        <w:t>.</w:t>
      </w:r>
    </w:p>
    <w:p w14:paraId="7B549331" w14:textId="77777777" w:rsidR="00000000" w:rsidRDefault="003C49E9">
      <w:pPr>
        <w:pStyle w:val="a3"/>
        <w:spacing w:before="200" w:beforeAutospacing="0" w:after="0" w:afterAutospacing="0"/>
        <w:ind w:firstLine="555"/>
        <w:rPr>
          <w:sz w:val="20"/>
          <w:szCs w:val="20"/>
        </w:rPr>
      </w:pPr>
      <w:r>
        <w:rPr>
          <w:sz w:val="20"/>
          <w:szCs w:val="20"/>
        </w:rPr>
        <w:t>Because our recent growth has resulted in the rapid expansion of our business, we do not have a long history upon which to base forecasts of renewal rates with customers or future operating revenue. As a</w:t>
      </w:r>
      <w:r>
        <w:rPr>
          <w:sz w:val="20"/>
          <w:szCs w:val="20"/>
        </w:rPr>
        <w:t xml:space="preserve"> result, our operating results in future reporting periods may be significantly below the expectations of the public market, equity research analysts or investors, which could harm the price of our common stock</w:t>
      </w:r>
      <w:r>
        <w:rPr>
          <w:sz w:val="20"/>
          <w:szCs w:val="20"/>
        </w:rPr>
        <w:t>.</w:t>
      </w:r>
    </w:p>
    <w:p w14:paraId="769FC8AA" w14:textId="77777777" w:rsidR="00000000" w:rsidRDefault="003C49E9">
      <w:pPr>
        <w:pStyle w:val="a3"/>
        <w:spacing w:before="200" w:beforeAutospacing="0" w:after="0" w:afterAutospacing="0"/>
        <w:rPr>
          <w:sz w:val="20"/>
          <w:szCs w:val="20"/>
        </w:rPr>
      </w:pPr>
      <w:r>
        <w:rPr>
          <w:b/>
          <w:bCs/>
          <w:i/>
          <w:iCs/>
          <w:sz w:val="20"/>
          <w:szCs w:val="20"/>
        </w:rPr>
        <w:t xml:space="preserve">Because we generally recognize revenue from </w:t>
      </w:r>
      <w:r>
        <w:rPr>
          <w:b/>
          <w:bCs/>
          <w:i/>
          <w:iCs/>
          <w:sz w:val="20"/>
          <w:szCs w:val="20"/>
        </w:rPr>
        <w:t>subscriptions ratably over the term of the agreement, near term changes in sales may not be reflected immediately in our operating results</w:t>
      </w:r>
      <w:r>
        <w:rPr>
          <w:b/>
          <w:bCs/>
          <w:i/>
          <w:iCs/>
          <w:sz w:val="20"/>
          <w:szCs w:val="20"/>
        </w:rPr>
        <w:t>.</w:t>
      </w:r>
    </w:p>
    <w:p w14:paraId="6AE22A5A" w14:textId="77777777" w:rsidR="00000000" w:rsidRDefault="003C49E9">
      <w:pPr>
        <w:pStyle w:val="a3"/>
        <w:spacing w:before="200" w:beforeAutospacing="0" w:after="0" w:afterAutospacing="0"/>
        <w:ind w:firstLine="555"/>
        <w:rPr>
          <w:sz w:val="20"/>
          <w:szCs w:val="20"/>
        </w:rPr>
      </w:pPr>
      <w:r>
        <w:rPr>
          <w:sz w:val="20"/>
          <w:szCs w:val="20"/>
        </w:rPr>
        <w:t xml:space="preserve">We offer our CRM Platform primarily through a mix of monthly, quarterly and single-year subscription agreements and </w:t>
      </w:r>
      <w:r>
        <w:rPr>
          <w:sz w:val="20"/>
          <w:szCs w:val="20"/>
        </w:rPr>
        <w:t>generally recognize revenue ratably over the related subscription period. As a result, much of the revenue we report in each quarter is derived from agreements entered into during prior months, quarters or years. In addition, we do not record deferred reve</w:t>
      </w:r>
      <w:r>
        <w:rPr>
          <w:sz w:val="20"/>
          <w:szCs w:val="20"/>
        </w:rPr>
        <w:t>nue beyond amounts invoiced as a liability on our balance sheet. A decline in new or renewed subscriptions or marketing solutions agreements in any one quarter is not likely to be reflected immediately in our revenue results for that quarter. Such declines</w:t>
      </w:r>
      <w:r>
        <w:rPr>
          <w:sz w:val="20"/>
          <w:szCs w:val="20"/>
        </w:rPr>
        <w:t>, however, would negatively affect our revenue and deferred revenue balances in future periods, and the effect of significant downturns in sales and market acceptance of our platform, and potential changes in our rate of renewals, may not be fully reflecte</w:t>
      </w:r>
      <w:r>
        <w:rPr>
          <w:sz w:val="20"/>
          <w:szCs w:val="20"/>
        </w:rPr>
        <w:t>d in our results of operations until future periods. Our subscription model also makes it difficult for us to rapidly increase our total revenue and deferred revenu</w:t>
      </w:r>
      <w:r>
        <w:rPr>
          <w:sz w:val="20"/>
          <w:szCs w:val="20"/>
        </w:rPr>
        <w:t>e</w:t>
      </w:r>
      <w:r>
        <w:rPr>
          <w:sz w:val="20"/>
          <w:szCs w:val="20"/>
        </w:rPr>
        <w:t xml:space="preserve"> </w:t>
      </w:r>
    </w:p>
    <w:p w14:paraId="017F9DA2"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4</w:t>
      </w:r>
    </w:p>
    <w:p w14:paraId="17CF08BA" w14:textId="77777777" w:rsidR="00000000" w:rsidRDefault="003C49E9">
      <w:pPr>
        <w:rPr>
          <w:rFonts w:eastAsia="Times New Roman"/>
        </w:rPr>
      </w:pPr>
      <w:r>
        <w:rPr>
          <w:rFonts w:eastAsia="Times New Roman"/>
        </w:rPr>
        <w:pict w14:anchorId="304FD711">
          <v:rect id="_x0000_i1078" style="width:0;height:1.5pt" o:hralign="center" o:hrstd="t" o:hr="t" fillcolor="#a0a0a0" stroked="f"/>
        </w:pict>
      </w:r>
    </w:p>
    <w:p w14:paraId="7C8E75E0" w14:textId="77777777" w:rsidR="00000000" w:rsidRDefault="003C49E9">
      <w:pPr>
        <w:pStyle w:val="a3"/>
        <w:spacing w:before="0" w:beforeAutospacing="0" w:after="0" w:afterAutospacing="0"/>
        <w:rPr>
          <w:sz w:val="20"/>
          <w:szCs w:val="20"/>
        </w:rPr>
      </w:pPr>
      <w:r>
        <w:rPr>
          <w:sz w:val="20"/>
          <w:szCs w:val="20"/>
        </w:rPr>
        <w:t> </w:t>
      </w:r>
    </w:p>
    <w:p w14:paraId="004D0176" w14:textId="77777777" w:rsidR="00000000" w:rsidRDefault="003C49E9">
      <w:pPr>
        <w:pStyle w:val="a3"/>
        <w:spacing w:before="200" w:beforeAutospacing="0" w:after="0" w:afterAutospacing="0"/>
        <w:rPr>
          <w:sz w:val="20"/>
          <w:szCs w:val="20"/>
        </w:rPr>
      </w:pPr>
      <w:r>
        <w:rPr>
          <w:sz w:val="20"/>
          <w:szCs w:val="20"/>
        </w:rPr>
        <w:t xml:space="preserve">balance through additional sales in any period, </w:t>
      </w:r>
      <w:r>
        <w:rPr>
          <w:sz w:val="20"/>
          <w:szCs w:val="20"/>
        </w:rPr>
        <w:t>as revenue from new customers must be recognized over the applicable subscription term</w:t>
      </w:r>
      <w:r>
        <w:rPr>
          <w:sz w:val="20"/>
          <w:szCs w:val="20"/>
        </w:rPr>
        <w:t>.</w:t>
      </w:r>
    </w:p>
    <w:p w14:paraId="253DB71A" w14:textId="77777777" w:rsidR="00000000" w:rsidRDefault="003C49E9">
      <w:pPr>
        <w:pStyle w:val="a3"/>
        <w:spacing w:before="200" w:beforeAutospacing="0" w:after="0" w:afterAutospacing="0"/>
        <w:ind w:firstLine="555"/>
        <w:rPr>
          <w:sz w:val="20"/>
          <w:szCs w:val="20"/>
        </w:rPr>
      </w:pPr>
      <w:r>
        <w:rPr>
          <w:sz w:val="20"/>
          <w:szCs w:val="20"/>
        </w:rPr>
        <w:t> </w:t>
      </w:r>
    </w:p>
    <w:p w14:paraId="4BA632DE" w14:textId="77777777" w:rsidR="00000000" w:rsidRDefault="003C49E9">
      <w:pPr>
        <w:pStyle w:val="a3"/>
        <w:spacing w:before="200" w:beforeAutospacing="0" w:after="0" w:afterAutospacing="0"/>
        <w:rPr>
          <w:sz w:val="20"/>
          <w:szCs w:val="20"/>
        </w:rPr>
      </w:pPr>
      <w:r>
        <w:rPr>
          <w:b/>
          <w:bCs/>
          <w:sz w:val="20"/>
          <w:szCs w:val="20"/>
        </w:rPr>
        <w:t>Risks Related to Our Note</w:t>
      </w:r>
      <w:r>
        <w:rPr>
          <w:b/>
          <w:bCs/>
          <w:sz w:val="20"/>
          <w:szCs w:val="20"/>
        </w:rPr>
        <w:t>s</w:t>
      </w:r>
    </w:p>
    <w:p w14:paraId="41FA4F62" w14:textId="77777777" w:rsidR="00000000" w:rsidRDefault="003C49E9">
      <w:pPr>
        <w:pStyle w:val="a3"/>
        <w:spacing w:before="200" w:beforeAutospacing="0" w:after="0" w:afterAutospacing="0"/>
        <w:rPr>
          <w:sz w:val="20"/>
          <w:szCs w:val="20"/>
        </w:rPr>
      </w:pPr>
      <w:r>
        <w:rPr>
          <w:b/>
          <w:bCs/>
          <w:i/>
          <w:iCs/>
          <w:sz w:val="20"/>
          <w:szCs w:val="20"/>
        </w:rPr>
        <w:t>Servicing our debt may require a significant amount of cash. We may not have sufficient cash flow from our business to pay our indebtedness</w:t>
      </w:r>
      <w:r>
        <w:rPr>
          <w:b/>
          <w:bCs/>
          <w:i/>
          <w:iCs/>
          <w:sz w:val="20"/>
          <w:szCs w:val="20"/>
        </w:rPr>
        <w:t>, and we may not have the ability to raise the funds necessary to settle for cash conversions of the Notes or to repurchase the Notes for cash upon a fundamental change, which could adversely affect our business and results of operations</w:t>
      </w:r>
      <w:r>
        <w:rPr>
          <w:b/>
          <w:bCs/>
          <w:i/>
          <w:iCs/>
          <w:sz w:val="20"/>
          <w:szCs w:val="20"/>
        </w:rPr>
        <w:t>.</w:t>
      </w:r>
    </w:p>
    <w:p w14:paraId="3AC4292F" w14:textId="77777777" w:rsidR="00000000" w:rsidRDefault="003C49E9">
      <w:pPr>
        <w:pStyle w:val="a3"/>
        <w:spacing w:before="200" w:beforeAutospacing="0" w:after="0" w:afterAutospacing="0"/>
        <w:ind w:firstLine="555"/>
        <w:rPr>
          <w:sz w:val="20"/>
          <w:szCs w:val="20"/>
        </w:rPr>
      </w:pPr>
      <w:r>
        <w:rPr>
          <w:sz w:val="20"/>
          <w:szCs w:val="20"/>
        </w:rPr>
        <w:t xml:space="preserve">In June 2020, we </w:t>
      </w:r>
      <w:r>
        <w:rPr>
          <w:sz w:val="20"/>
          <w:szCs w:val="20"/>
        </w:rPr>
        <w:t>incurred indebtedness in the aggregate principal amount of $460.0 million in connection with the issuance of our 0.375% convertible senior notes due June 1, 2025 (the “2025 Notes”). Our ability to make scheduled payments of the principal of, to pay interes</w:t>
      </w:r>
      <w:r>
        <w:rPr>
          <w:sz w:val="20"/>
          <w:szCs w:val="20"/>
        </w:rPr>
        <w:t>t on or to refinance our indebtedness, including the Notes, depends on our future performance, which is subject to economic, financial, competitive and other factors beyond our control. Our business may not continue to generate cash flow from operations in</w:t>
      </w:r>
      <w:r>
        <w:rPr>
          <w:sz w:val="20"/>
          <w:szCs w:val="20"/>
        </w:rPr>
        <w:t xml:space="preserve"> the future sufficient to service our debt and make necessary capital expenditures. If we are unable to generate such cash flow, we may be required to adopt one or more alternatives, such as selling assets, restructuring debt or obtaining additional debt f</w:t>
      </w:r>
      <w:r>
        <w:rPr>
          <w:sz w:val="20"/>
          <w:szCs w:val="20"/>
        </w:rPr>
        <w:t>inancing or equity capital on terms that may be onerous or highly dilutive. Our ability to refinance any future indebtedness will depend on the capital markets and our financial condition at such time. We may not be able to engage in any of these activitie</w:t>
      </w:r>
      <w:r>
        <w:rPr>
          <w:sz w:val="20"/>
          <w:szCs w:val="20"/>
        </w:rPr>
        <w:t xml:space="preserve">s or engage in these activities on desirable terms, which could result in a default on our debt obligations. In addition, any of our future debt agreements may contain restrictive covenants that may prohibit us from adopting any of these alternatives. Our </w:t>
      </w:r>
      <w:r>
        <w:rPr>
          <w:sz w:val="20"/>
          <w:szCs w:val="20"/>
        </w:rPr>
        <w:t>failure to comply with these covenants could result in an event of default which, if not cured or waived, could result in the acceleration of our debt</w:t>
      </w:r>
      <w:r>
        <w:rPr>
          <w:sz w:val="20"/>
          <w:szCs w:val="20"/>
        </w:rPr>
        <w:t>.</w:t>
      </w:r>
    </w:p>
    <w:p w14:paraId="126CCDF6" w14:textId="77777777" w:rsidR="00000000" w:rsidRDefault="003C49E9">
      <w:pPr>
        <w:pStyle w:val="a3"/>
        <w:spacing w:before="200" w:beforeAutospacing="0" w:after="0" w:afterAutospacing="0"/>
        <w:ind w:firstLine="555"/>
        <w:rPr>
          <w:sz w:val="20"/>
          <w:szCs w:val="20"/>
        </w:rPr>
      </w:pPr>
      <w:r>
        <w:rPr>
          <w:sz w:val="20"/>
          <w:szCs w:val="20"/>
        </w:rPr>
        <w:t>In addition, holders of the Notes have the right to require us to repurchase their Notes upon the occurr</w:t>
      </w:r>
      <w:r>
        <w:rPr>
          <w:sz w:val="20"/>
          <w:szCs w:val="20"/>
        </w:rPr>
        <w:t xml:space="preserve">ence of a fundamental change at a fundamental change repurchase price equal to 100% of the principal amount of the Notes to be repurchased, plus accrued and unpaid interest, if any. Upon conversion of the Notes, unless we elect to deliver solely shares of </w:t>
      </w:r>
      <w:r>
        <w:rPr>
          <w:sz w:val="20"/>
          <w:szCs w:val="20"/>
        </w:rPr>
        <w:t>our common stock to settle such conversion (other than paying cash in lieu of delivering any fractional share), we will be required to make cash payments in respect of the Notes being converted. We may not have enough available cash or be able to obtain fi</w:t>
      </w:r>
      <w:r>
        <w:rPr>
          <w:sz w:val="20"/>
          <w:szCs w:val="20"/>
        </w:rPr>
        <w:t>nancing at the time we are required to make repurchases of Notes surrendered therefore or Notes being converted. In addition, our ability to repurchase the Notes or to pay cash upon conversions of the Notes may be limited by law, by regulatory authority or</w:t>
      </w:r>
      <w:r>
        <w:rPr>
          <w:sz w:val="20"/>
          <w:szCs w:val="20"/>
        </w:rPr>
        <w:t xml:space="preserve"> by agreements governing our future indebtedness. Our failure to repurchase Notes at a time when the repurchase is required by the indenture governing the Notes or to pay any cash payable on future conversions of the Notes as required by such indenture wou</w:t>
      </w:r>
      <w:r>
        <w:rPr>
          <w:sz w:val="20"/>
          <w:szCs w:val="20"/>
        </w:rPr>
        <w:t>ld constitute a default under such indenture. A default under the indenture or the fundamental change itself could also lead to a default under agreements governing our future indebtedness. If the repayment of the related indebtedness were to be accelerate</w:t>
      </w:r>
      <w:r>
        <w:rPr>
          <w:sz w:val="20"/>
          <w:szCs w:val="20"/>
        </w:rPr>
        <w:t>d after any applicable notice or grace periods, we may not have sufficient funds to repay the indebtedness and repurchase the Notes or make cash payments upon conversions thereof</w:t>
      </w:r>
      <w:r>
        <w:rPr>
          <w:sz w:val="20"/>
          <w:szCs w:val="20"/>
        </w:rPr>
        <w:t>.</w:t>
      </w:r>
    </w:p>
    <w:p w14:paraId="732620B1" w14:textId="77777777" w:rsidR="00000000" w:rsidRDefault="003C49E9">
      <w:pPr>
        <w:pStyle w:val="a3"/>
        <w:spacing w:before="200" w:beforeAutospacing="0" w:after="0" w:afterAutospacing="0"/>
        <w:ind w:firstLine="555"/>
        <w:rPr>
          <w:sz w:val="20"/>
          <w:szCs w:val="20"/>
        </w:rPr>
      </w:pPr>
      <w:r>
        <w:rPr>
          <w:sz w:val="20"/>
          <w:szCs w:val="20"/>
        </w:rPr>
        <w:t>In addition, our indebtedness, combined with our other financial obligations and contractual commitments, could have other important consequences. For example, it could</w:t>
      </w:r>
      <w:r>
        <w:rPr>
          <w:sz w:val="20"/>
          <w:szCs w:val="20"/>
        </w:rPr>
        <w:t>:</w:t>
      </w:r>
    </w:p>
    <w:p w14:paraId="18C12DB3" w14:textId="77777777" w:rsidR="00000000" w:rsidRDefault="003C49E9">
      <w:pPr>
        <w:divId w:val="633684461"/>
        <w:rPr>
          <w:rFonts w:eastAsia="Times New Roman"/>
        </w:rPr>
      </w:pPr>
      <w:r>
        <w:rPr>
          <w:rFonts w:eastAsia="Times New Roman"/>
          <w:sz w:val="20"/>
          <w:szCs w:val="20"/>
        </w:rPr>
        <w:t>•</w:t>
      </w:r>
    </w:p>
    <w:p w14:paraId="4602E832" w14:textId="77777777" w:rsidR="00000000" w:rsidRDefault="003C49E9">
      <w:pPr>
        <w:divId w:val="234170125"/>
        <w:rPr>
          <w:rFonts w:eastAsia="Times New Roman"/>
        </w:rPr>
      </w:pPr>
      <w:r>
        <w:rPr>
          <w:rFonts w:eastAsia="Times New Roman"/>
          <w:sz w:val="20"/>
          <w:szCs w:val="20"/>
        </w:rPr>
        <w:t>make us more vulnerable to adverse changes in general U.S. and worldwide economic, i</w:t>
      </w:r>
      <w:r>
        <w:rPr>
          <w:rFonts w:eastAsia="Times New Roman"/>
          <w:sz w:val="20"/>
          <w:szCs w:val="20"/>
        </w:rPr>
        <w:t>ndustry and competitive conditions and adverse changes in government regulation</w:t>
      </w:r>
      <w:r>
        <w:rPr>
          <w:rFonts w:eastAsia="Times New Roman"/>
          <w:sz w:val="20"/>
          <w:szCs w:val="20"/>
        </w:rPr>
        <w:t>;</w:t>
      </w:r>
    </w:p>
    <w:p w14:paraId="78929A88" w14:textId="77777777" w:rsidR="00000000" w:rsidRDefault="003C49E9">
      <w:pPr>
        <w:divId w:val="469246871"/>
        <w:rPr>
          <w:rFonts w:eastAsia="Times New Roman"/>
        </w:rPr>
      </w:pPr>
      <w:r>
        <w:rPr>
          <w:rFonts w:eastAsia="Times New Roman"/>
          <w:sz w:val="20"/>
          <w:szCs w:val="20"/>
        </w:rPr>
        <w:t>•</w:t>
      </w:r>
    </w:p>
    <w:p w14:paraId="2B3F417A" w14:textId="77777777" w:rsidR="00000000" w:rsidRDefault="003C49E9">
      <w:pPr>
        <w:divId w:val="1029452013"/>
        <w:rPr>
          <w:rFonts w:eastAsia="Times New Roman"/>
        </w:rPr>
      </w:pPr>
      <w:r>
        <w:rPr>
          <w:rFonts w:eastAsia="Times New Roman"/>
          <w:sz w:val="20"/>
          <w:szCs w:val="20"/>
        </w:rPr>
        <w:t>limit our flexibility in planning for, or reacting to, changes in our business and our industry</w:t>
      </w:r>
      <w:r>
        <w:rPr>
          <w:rFonts w:eastAsia="Times New Roman"/>
          <w:sz w:val="20"/>
          <w:szCs w:val="20"/>
        </w:rPr>
        <w:t>;</w:t>
      </w:r>
    </w:p>
    <w:p w14:paraId="34BFB8B7" w14:textId="77777777" w:rsidR="00000000" w:rsidRDefault="003C49E9">
      <w:pPr>
        <w:divId w:val="1085343566"/>
        <w:rPr>
          <w:rFonts w:eastAsia="Times New Roman"/>
        </w:rPr>
      </w:pPr>
      <w:r>
        <w:rPr>
          <w:rFonts w:eastAsia="Times New Roman"/>
          <w:sz w:val="20"/>
          <w:szCs w:val="20"/>
        </w:rPr>
        <w:t>•</w:t>
      </w:r>
    </w:p>
    <w:p w14:paraId="3A1E24B0" w14:textId="77777777" w:rsidR="00000000" w:rsidRDefault="003C49E9">
      <w:pPr>
        <w:divId w:val="1494224155"/>
        <w:rPr>
          <w:rFonts w:eastAsia="Times New Roman"/>
        </w:rPr>
      </w:pPr>
      <w:r>
        <w:rPr>
          <w:rFonts w:eastAsia="Times New Roman"/>
          <w:sz w:val="20"/>
          <w:szCs w:val="20"/>
        </w:rPr>
        <w:t>place us at a disadvantage compared to our competitors who have less debt; an</w:t>
      </w:r>
      <w:r>
        <w:rPr>
          <w:rFonts w:eastAsia="Times New Roman"/>
          <w:sz w:val="20"/>
          <w:szCs w:val="20"/>
        </w:rPr>
        <w:t>d</w:t>
      </w:r>
    </w:p>
    <w:p w14:paraId="31725678" w14:textId="77777777" w:rsidR="00000000" w:rsidRDefault="003C49E9">
      <w:pPr>
        <w:divId w:val="558786349"/>
        <w:rPr>
          <w:rFonts w:eastAsia="Times New Roman"/>
        </w:rPr>
      </w:pPr>
      <w:r>
        <w:rPr>
          <w:rFonts w:eastAsia="Times New Roman"/>
          <w:sz w:val="20"/>
          <w:szCs w:val="20"/>
        </w:rPr>
        <w:t>•</w:t>
      </w:r>
    </w:p>
    <w:p w14:paraId="0A6C0DF7" w14:textId="77777777" w:rsidR="00000000" w:rsidRDefault="003C49E9">
      <w:pPr>
        <w:divId w:val="964698308"/>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14:paraId="6E60846F" w14:textId="77777777" w:rsidR="00000000" w:rsidRDefault="003C49E9">
      <w:pPr>
        <w:pStyle w:val="a3"/>
        <w:spacing w:before="200" w:beforeAutospacing="0" w:after="0" w:afterAutospacing="0"/>
        <w:ind w:firstLine="555"/>
        <w:rPr>
          <w:sz w:val="20"/>
          <w:szCs w:val="20"/>
        </w:rPr>
      </w:pPr>
      <w:r>
        <w:rPr>
          <w:sz w:val="20"/>
          <w:szCs w:val="20"/>
        </w:rPr>
        <w:t>Any of these factors could materially and ad</w:t>
      </w:r>
      <w:r>
        <w:rPr>
          <w:sz w:val="20"/>
          <w:szCs w:val="20"/>
        </w:rPr>
        <w:t>versely affect our business, financial condition and results of operations. In addition, if we incur additional indebtedness, the risks related to our business and our ability to service or repay our indebtedness would increase</w:t>
      </w:r>
      <w:r>
        <w:rPr>
          <w:sz w:val="20"/>
          <w:szCs w:val="20"/>
        </w:rPr>
        <w:t>.</w:t>
      </w:r>
    </w:p>
    <w:p w14:paraId="07C59003" w14:textId="77777777" w:rsidR="00000000" w:rsidRDefault="003C49E9">
      <w:pPr>
        <w:pStyle w:val="a3"/>
        <w:spacing w:before="200" w:beforeAutospacing="0" w:after="0" w:afterAutospacing="0"/>
        <w:rPr>
          <w:sz w:val="20"/>
          <w:szCs w:val="20"/>
        </w:rPr>
      </w:pPr>
      <w:r>
        <w:rPr>
          <w:b/>
          <w:bCs/>
          <w:i/>
          <w:iCs/>
          <w:sz w:val="20"/>
          <w:szCs w:val="20"/>
        </w:rPr>
        <w:t xml:space="preserve">The conditional conversion </w:t>
      </w:r>
      <w:r>
        <w:rPr>
          <w:b/>
          <w:bCs/>
          <w:i/>
          <w:iCs/>
          <w:sz w:val="20"/>
          <w:szCs w:val="20"/>
        </w:rPr>
        <w:t>feature of the Notes, if triggered, may adversely affect our financial condition and operating results</w:t>
      </w:r>
      <w:r>
        <w:rPr>
          <w:b/>
          <w:bCs/>
          <w:i/>
          <w:iCs/>
          <w:sz w:val="20"/>
          <w:szCs w:val="20"/>
        </w:rPr>
        <w:t>.</w:t>
      </w:r>
    </w:p>
    <w:p w14:paraId="413275F7" w14:textId="77777777" w:rsidR="00000000" w:rsidRDefault="003C49E9">
      <w:pPr>
        <w:pStyle w:val="a3"/>
        <w:spacing w:before="200" w:beforeAutospacing="0" w:after="0" w:afterAutospacing="0"/>
        <w:ind w:firstLine="555"/>
        <w:rPr>
          <w:sz w:val="20"/>
          <w:szCs w:val="20"/>
        </w:rPr>
      </w:pPr>
      <w:r>
        <w:rPr>
          <w:sz w:val="20"/>
          <w:szCs w:val="20"/>
        </w:rPr>
        <w:t>In the event the conditional conversion feature of the 2025 Notes is triggered, the holders thereof will be entitled to convert the 2025 Notes at any ti</w:t>
      </w:r>
      <w:r>
        <w:rPr>
          <w:sz w:val="20"/>
          <w:szCs w:val="20"/>
        </w:rPr>
        <w:t>me during specified periods at their option. During the three months ended June 30, 2022, the 2025 Notes did not meet the Conversion Option and are not convertible. Whether the Notes that remain outstanding will be convertible following the calendar quarte</w:t>
      </w:r>
      <w:r>
        <w:rPr>
          <w:sz w:val="20"/>
          <w:szCs w:val="20"/>
        </w:rPr>
        <w:t>r ending June 30, 2022 will depend on the continued satisfaction of this condition or another conversion condition in the future. If one or more holders elect to convert their Notes, unless we elect to satisfy our conversion obligation by delivering solely</w:t>
      </w:r>
      <w:r>
        <w:rPr>
          <w:sz w:val="20"/>
          <w:szCs w:val="20"/>
        </w:rPr>
        <w:t xml:space="preserve"> shares of our common stock (other than paying cash in lieu of delivering any fractional share), we would be required to settle a portion or all of our conversion obligation through the payment of cash, which could adversely affect our liquidity. In additi</w:t>
      </w:r>
      <w:r>
        <w:rPr>
          <w:sz w:val="20"/>
          <w:szCs w:val="20"/>
        </w:rPr>
        <w:t>on, even if holder</w:t>
      </w:r>
      <w:r>
        <w:rPr>
          <w:sz w:val="20"/>
          <w:szCs w:val="20"/>
        </w:rPr>
        <w:t>s</w:t>
      </w:r>
      <w:r>
        <w:rPr>
          <w:sz w:val="20"/>
          <w:szCs w:val="20"/>
        </w:rPr>
        <w:t xml:space="preserve"> </w:t>
      </w:r>
    </w:p>
    <w:p w14:paraId="47E46B62"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5</w:t>
      </w:r>
    </w:p>
    <w:p w14:paraId="20F86299" w14:textId="77777777" w:rsidR="00000000" w:rsidRDefault="003C49E9">
      <w:pPr>
        <w:rPr>
          <w:rFonts w:eastAsia="Times New Roman"/>
        </w:rPr>
      </w:pPr>
      <w:r>
        <w:rPr>
          <w:rFonts w:eastAsia="Times New Roman"/>
        </w:rPr>
        <w:pict w14:anchorId="01FA77E1">
          <v:rect id="_x0000_i1079" style="width:0;height:1.5pt" o:hralign="center" o:hrstd="t" o:hr="t" fillcolor="#a0a0a0" stroked="f"/>
        </w:pict>
      </w:r>
    </w:p>
    <w:p w14:paraId="73EB52CF" w14:textId="77777777" w:rsidR="00000000" w:rsidRDefault="003C49E9">
      <w:pPr>
        <w:pStyle w:val="a3"/>
        <w:spacing w:before="0" w:beforeAutospacing="0" w:after="0" w:afterAutospacing="0"/>
        <w:rPr>
          <w:sz w:val="20"/>
          <w:szCs w:val="20"/>
        </w:rPr>
      </w:pPr>
      <w:r>
        <w:rPr>
          <w:sz w:val="20"/>
          <w:szCs w:val="20"/>
        </w:rPr>
        <w:t> </w:t>
      </w:r>
    </w:p>
    <w:p w14:paraId="25D4B720" w14:textId="77777777" w:rsidR="00000000" w:rsidRDefault="003C49E9">
      <w:pPr>
        <w:pStyle w:val="a3"/>
        <w:spacing w:before="200" w:beforeAutospacing="0" w:after="0" w:afterAutospacing="0"/>
        <w:rPr>
          <w:sz w:val="20"/>
          <w:szCs w:val="20"/>
        </w:rPr>
      </w:pPr>
      <w:r>
        <w:rPr>
          <w:sz w:val="20"/>
          <w:szCs w:val="20"/>
        </w:rPr>
        <w:t>do not elect to convert their Notes, we could be required under applicable accounting rules to reclassify all or a portion of the outstanding principal of the Notes as a current rather than long</w:t>
      </w:r>
      <w:r>
        <w:rPr>
          <w:sz w:val="20"/>
          <w:szCs w:val="20"/>
        </w:rPr>
        <w:t>-term liability, which would result in a material reduction of our net working capital</w:t>
      </w:r>
      <w:r>
        <w:rPr>
          <w:sz w:val="20"/>
          <w:szCs w:val="20"/>
        </w:rPr>
        <w:t>.</w:t>
      </w:r>
      <w:r>
        <w:rPr>
          <w:sz w:val="20"/>
          <w:szCs w:val="20"/>
        </w:rPr>
        <w:t xml:space="preserve"> </w:t>
      </w:r>
    </w:p>
    <w:p w14:paraId="6C821E10" w14:textId="77777777" w:rsidR="00000000" w:rsidRDefault="003C49E9">
      <w:pPr>
        <w:pStyle w:val="a3"/>
        <w:spacing w:before="200" w:beforeAutospacing="0" w:after="0" w:afterAutospacing="0"/>
        <w:rPr>
          <w:sz w:val="20"/>
          <w:szCs w:val="20"/>
        </w:rPr>
      </w:pPr>
      <w:r>
        <w:rPr>
          <w:b/>
          <w:bCs/>
          <w:i/>
          <w:iCs/>
          <w:sz w:val="20"/>
          <w:szCs w:val="20"/>
        </w:rPr>
        <w:t>The accounting method for convertible debt securities that may be settled in cash, such as the Notes, could have a material effect on our reported financial results</w:t>
      </w:r>
      <w:r>
        <w:rPr>
          <w:b/>
          <w:bCs/>
          <w:i/>
          <w:iCs/>
          <w:sz w:val="20"/>
          <w:szCs w:val="20"/>
        </w:rPr>
        <w:t>.</w:t>
      </w:r>
    </w:p>
    <w:p w14:paraId="56C84B0A" w14:textId="77777777" w:rsidR="00000000" w:rsidRDefault="003C49E9">
      <w:pPr>
        <w:pStyle w:val="a3"/>
        <w:spacing w:before="200" w:beforeAutospacing="0" w:after="0" w:afterAutospacing="0"/>
        <w:ind w:firstLine="555"/>
        <w:rPr>
          <w:sz w:val="20"/>
          <w:szCs w:val="20"/>
        </w:rPr>
      </w:pPr>
      <w:r>
        <w:rPr>
          <w:sz w:val="20"/>
          <w:szCs w:val="20"/>
        </w:rPr>
        <w:t>U</w:t>
      </w:r>
      <w:r>
        <w:rPr>
          <w:sz w:val="20"/>
          <w:szCs w:val="20"/>
        </w:rPr>
        <w:t xml:space="preserve">nder Financial Accounting Standards Board (“ FASB”) Accounting Standards Codification 470-20, Debt with Conversion and Other Options, which we refer to as ASC 470-20, an entity must separately account for the liability and equity components of convertible </w:t>
      </w:r>
      <w:r>
        <w:rPr>
          <w:sz w:val="20"/>
          <w:szCs w:val="20"/>
        </w:rPr>
        <w:t>debt instruments (such as the Notes) that may be settled entirely or partially in cash upon conversion in a manner that reflects the issuer’s economic interest cost. ASC 470-20 requires the value of the conversion option of the Notes, representing the equi</w:t>
      </w:r>
      <w:r>
        <w:rPr>
          <w:sz w:val="20"/>
          <w:szCs w:val="20"/>
        </w:rPr>
        <w:t>ty component, to be recorded as additional paid-in capital within stockholders’ equity in our consolidated balance sheet and as a discount to the Notes, which reduces their initial carrying value. The carrying value of the Notes, net of the discount record</w:t>
      </w:r>
      <w:r>
        <w:rPr>
          <w:sz w:val="20"/>
          <w:szCs w:val="20"/>
        </w:rPr>
        <w:t>ed, will be accreted up to the principal amount of the Notes from the issuance date until maturity, which will result in non-cash charges to interest expense in our consolidated statement of operations. Accordingly, we will report lower net income or highe</w:t>
      </w:r>
      <w:r>
        <w:rPr>
          <w:sz w:val="20"/>
          <w:szCs w:val="20"/>
        </w:rPr>
        <w:t>r net loss in our financial results because ASC 470-20 requires interest to include both the current period’s accretion of the debt discount and the instrument’s coupon interest, which could adversely affect our reported or future financial results, the tr</w:t>
      </w:r>
      <w:r>
        <w:rPr>
          <w:sz w:val="20"/>
          <w:szCs w:val="20"/>
        </w:rPr>
        <w:t>ading price of our common stock and the trading price of the Notes. In addition, convertible debt instruments (such as the Notes) that may be settled entirely or partly cash were accounted for utilizing the treasury stock method, the effect of which is tha</w:t>
      </w:r>
      <w:r>
        <w:rPr>
          <w:sz w:val="20"/>
          <w:szCs w:val="20"/>
        </w:rPr>
        <w:t>t the shares issuable upon conversion of the Notes are not included in the calculation of diluted earnings per share except to the extent that the conversion value of the Notes exceeds their principal amount</w:t>
      </w:r>
      <w:r>
        <w:rPr>
          <w:sz w:val="20"/>
          <w:szCs w:val="20"/>
        </w:rPr>
        <w:t>.</w:t>
      </w:r>
      <w:r>
        <w:rPr>
          <w:sz w:val="20"/>
          <w:szCs w:val="20"/>
        </w:rPr>
        <w:t xml:space="preserve"> </w:t>
      </w:r>
    </w:p>
    <w:p w14:paraId="5CF3A8F4" w14:textId="77777777" w:rsidR="00000000" w:rsidRDefault="003C49E9">
      <w:pPr>
        <w:pStyle w:val="a3"/>
        <w:spacing w:before="200" w:beforeAutospacing="0" w:after="0" w:afterAutospacing="0"/>
        <w:ind w:firstLine="555"/>
        <w:rPr>
          <w:sz w:val="20"/>
          <w:szCs w:val="20"/>
        </w:rPr>
      </w:pPr>
      <w:r>
        <w:rPr>
          <w:sz w:val="20"/>
          <w:szCs w:val="20"/>
        </w:rPr>
        <w:t>In August 2020, the FASB published an Accounti</w:t>
      </w:r>
      <w:r>
        <w:rPr>
          <w:sz w:val="20"/>
          <w:szCs w:val="20"/>
        </w:rPr>
        <w:t xml:space="preserve">ng Standards Update (“ASU”) 2020-06, which amends the accounting standards for convertible debt instruments that may be settled entirely or partially in cash upon conversion. The new standard eliminates requirements to separately account for liability and </w:t>
      </w:r>
      <w:r>
        <w:rPr>
          <w:sz w:val="20"/>
          <w:szCs w:val="20"/>
        </w:rPr>
        <w:t>equity components of such convertible debt instruments and requires the use of the if-converted method for calculating the diluted earnings per share for convertible debt instruments. We adopted the guidance on January 1, 2022, using the modified retrospec</w:t>
      </w:r>
      <w:r>
        <w:rPr>
          <w:sz w:val="20"/>
          <w:szCs w:val="20"/>
        </w:rPr>
        <w:t>tive method. Future interest expense of the convertible notes will be lower as a result of adoption of this guidance and net loss per share will be computed using the if-converted method for these securities. See Note 8 of the consolidated financial statem</w:t>
      </w:r>
      <w:r>
        <w:rPr>
          <w:sz w:val="20"/>
          <w:szCs w:val="20"/>
        </w:rPr>
        <w:t>ents for more details</w:t>
      </w:r>
      <w:r>
        <w:rPr>
          <w:sz w:val="20"/>
          <w:szCs w:val="20"/>
        </w:rPr>
        <w:t>.</w:t>
      </w:r>
      <w:r>
        <w:rPr>
          <w:sz w:val="20"/>
          <w:szCs w:val="20"/>
        </w:rPr>
        <w:t xml:space="preserve"> </w:t>
      </w:r>
    </w:p>
    <w:p w14:paraId="0AA58F2E" w14:textId="77777777" w:rsidR="00000000" w:rsidRDefault="003C49E9">
      <w:pPr>
        <w:pStyle w:val="a3"/>
        <w:spacing w:before="200" w:beforeAutospacing="0" w:after="0" w:afterAutospacing="0"/>
        <w:rPr>
          <w:sz w:val="20"/>
          <w:szCs w:val="20"/>
        </w:rPr>
      </w:pPr>
      <w:r>
        <w:rPr>
          <w:sz w:val="20"/>
          <w:szCs w:val="20"/>
        </w:rPr>
        <w:t> </w:t>
      </w:r>
    </w:p>
    <w:p w14:paraId="0C7298D4" w14:textId="77777777" w:rsidR="00000000" w:rsidRDefault="003C49E9">
      <w:pPr>
        <w:pStyle w:val="a3"/>
        <w:spacing w:before="200" w:beforeAutospacing="0" w:after="0" w:afterAutospacing="0"/>
        <w:rPr>
          <w:sz w:val="20"/>
          <w:szCs w:val="20"/>
        </w:rPr>
      </w:pPr>
      <w:r>
        <w:rPr>
          <w:b/>
          <w:bCs/>
          <w:sz w:val="20"/>
          <w:szCs w:val="20"/>
        </w:rPr>
        <w:t>Risks Related to Our Common Stoc</w:t>
      </w:r>
      <w:r>
        <w:rPr>
          <w:b/>
          <w:bCs/>
          <w:sz w:val="20"/>
          <w:szCs w:val="20"/>
        </w:rPr>
        <w:t>k</w:t>
      </w:r>
    </w:p>
    <w:p w14:paraId="235DAA93" w14:textId="77777777" w:rsidR="00000000" w:rsidRDefault="003C49E9">
      <w:pPr>
        <w:pStyle w:val="a3"/>
        <w:spacing w:before="20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14:paraId="5B658DA9" w14:textId="77777777" w:rsidR="00000000" w:rsidRDefault="003C49E9">
      <w:pPr>
        <w:pStyle w:val="a3"/>
        <w:spacing w:before="200" w:beforeAutospacing="0" w:after="0" w:afterAutospacing="0"/>
        <w:ind w:firstLine="555"/>
        <w:rPr>
          <w:sz w:val="20"/>
          <w:szCs w:val="20"/>
        </w:rPr>
      </w:pPr>
      <w:r>
        <w:rPr>
          <w:sz w:val="20"/>
          <w:szCs w:val="20"/>
        </w:rPr>
        <w:t>The trading prices of the securities of technology companies, including provider</w:t>
      </w:r>
      <w:r>
        <w:rPr>
          <w:sz w:val="20"/>
          <w:szCs w:val="20"/>
        </w:rPr>
        <w:t>s of software via the cloud-based model, have been highly volatile. Since shares of our common stock were sold in our initial public offering in October 2014 at a price of $25.00 per share, our stock price has ranged from $25.79 to $866.00 through June 30,</w:t>
      </w:r>
      <w:r>
        <w:rPr>
          <w:sz w:val="20"/>
          <w:szCs w:val="20"/>
        </w:rPr>
        <w:t xml:space="preserve"> 2022. The market price of our common stock may fluctuate significantly in response to numerous factors, many of which are beyond our control, including</w:t>
      </w:r>
      <w:r>
        <w:rPr>
          <w:sz w:val="20"/>
          <w:szCs w:val="20"/>
        </w:rPr>
        <w:t>:</w:t>
      </w:r>
    </w:p>
    <w:p w14:paraId="61F87870" w14:textId="77777777" w:rsidR="00000000" w:rsidRDefault="003C49E9">
      <w:pPr>
        <w:divId w:val="346641097"/>
        <w:rPr>
          <w:rFonts w:eastAsia="Times New Roman"/>
        </w:rPr>
      </w:pPr>
      <w:r>
        <w:rPr>
          <w:rFonts w:eastAsia="Times New Roman"/>
          <w:sz w:val="20"/>
          <w:szCs w:val="20"/>
        </w:rPr>
        <w:t>•</w:t>
      </w:r>
    </w:p>
    <w:p w14:paraId="14315E0C" w14:textId="77777777" w:rsidR="00000000" w:rsidRDefault="003C49E9">
      <w:pPr>
        <w:divId w:val="1103183490"/>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14:paraId="44F1A16A" w14:textId="77777777" w:rsidR="00000000" w:rsidRDefault="003C49E9">
      <w:pPr>
        <w:divId w:val="1708867607"/>
        <w:rPr>
          <w:rFonts w:eastAsia="Times New Roman"/>
        </w:rPr>
      </w:pPr>
      <w:r>
        <w:rPr>
          <w:rFonts w:eastAsia="Times New Roman"/>
          <w:sz w:val="20"/>
          <w:szCs w:val="20"/>
        </w:rPr>
        <w:t>•</w:t>
      </w:r>
    </w:p>
    <w:p w14:paraId="04CA3C0C" w14:textId="77777777" w:rsidR="00000000" w:rsidRDefault="003C49E9">
      <w:pPr>
        <w:divId w:val="373122234"/>
        <w:rPr>
          <w:rFonts w:eastAsia="Times New Roman"/>
        </w:rPr>
      </w:pPr>
      <w:r>
        <w:rPr>
          <w:rFonts w:eastAsia="Times New Roman"/>
          <w:sz w:val="20"/>
          <w:szCs w:val="20"/>
        </w:rPr>
        <w:t xml:space="preserve">announcements by us or our competitors of significant technical innovations, acquisitions, strategic </w:t>
      </w:r>
      <w:r>
        <w:rPr>
          <w:rFonts w:eastAsia="Times New Roman"/>
          <w:sz w:val="20"/>
          <w:szCs w:val="20"/>
        </w:rPr>
        <w:t>partnerships, joint ventures or capital commitments</w:t>
      </w:r>
      <w:r>
        <w:rPr>
          <w:rFonts w:eastAsia="Times New Roman"/>
          <w:sz w:val="20"/>
          <w:szCs w:val="20"/>
        </w:rPr>
        <w:t>;</w:t>
      </w:r>
    </w:p>
    <w:p w14:paraId="5D6E5859" w14:textId="77777777" w:rsidR="00000000" w:rsidRDefault="003C49E9">
      <w:pPr>
        <w:divId w:val="646860047"/>
        <w:rPr>
          <w:rFonts w:eastAsia="Times New Roman"/>
        </w:rPr>
      </w:pPr>
      <w:r>
        <w:rPr>
          <w:rFonts w:eastAsia="Times New Roman"/>
          <w:sz w:val="20"/>
          <w:szCs w:val="20"/>
        </w:rPr>
        <w:t>•</w:t>
      </w:r>
    </w:p>
    <w:p w14:paraId="6D402CD0" w14:textId="77777777" w:rsidR="00000000" w:rsidRDefault="003C49E9">
      <w:pPr>
        <w:divId w:val="1276988272"/>
        <w:rPr>
          <w:rFonts w:eastAsia="Times New Roman"/>
        </w:rPr>
      </w:pPr>
      <w:r>
        <w:rPr>
          <w:rFonts w:eastAsia="Times New Roman"/>
          <w:sz w:val="20"/>
          <w:szCs w:val="20"/>
        </w:rPr>
        <w:t>the financial projections we may provide to the public, any changes in these projections or our failure to meet these projections</w:t>
      </w:r>
      <w:r>
        <w:rPr>
          <w:rFonts w:eastAsia="Times New Roman"/>
          <w:sz w:val="20"/>
          <w:szCs w:val="20"/>
        </w:rPr>
        <w:t>;</w:t>
      </w:r>
    </w:p>
    <w:p w14:paraId="520429A3" w14:textId="77777777" w:rsidR="00000000" w:rsidRDefault="003C49E9">
      <w:pPr>
        <w:divId w:val="503712621"/>
        <w:rPr>
          <w:rFonts w:eastAsia="Times New Roman"/>
        </w:rPr>
      </w:pPr>
      <w:r>
        <w:rPr>
          <w:rFonts w:eastAsia="Times New Roman"/>
          <w:sz w:val="20"/>
          <w:szCs w:val="20"/>
        </w:rPr>
        <w:t>•</w:t>
      </w:r>
    </w:p>
    <w:p w14:paraId="04BE38A5" w14:textId="77777777" w:rsidR="00000000" w:rsidRDefault="003C49E9">
      <w:pPr>
        <w:divId w:val="1183200494"/>
        <w:rPr>
          <w:rFonts w:eastAsia="Times New Roman"/>
        </w:rPr>
      </w:pPr>
      <w:r>
        <w:rPr>
          <w:rFonts w:eastAsia="Times New Roman"/>
          <w:sz w:val="20"/>
          <w:szCs w:val="20"/>
        </w:rPr>
        <w:t>failure of securities analysts to initiate or maintain coverage of u</w:t>
      </w:r>
      <w:r>
        <w:rPr>
          <w:rFonts w:eastAsia="Times New Roman"/>
          <w:sz w:val="20"/>
          <w:szCs w:val="20"/>
        </w:rPr>
        <w:t>s, changes in ratings and financial estimates and the publication of other news by any securities analysts who follow our company, or our failure to meet these estimates or the expectations of investors</w:t>
      </w:r>
      <w:r>
        <w:rPr>
          <w:rFonts w:eastAsia="Times New Roman"/>
          <w:sz w:val="20"/>
          <w:szCs w:val="20"/>
        </w:rPr>
        <w:t>;</w:t>
      </w:r>
    </w:p>
    <w:p w14:paraId="108FD109" w14:textId="77777777" w:rsidR="00000000" w:rsidRDefault="003C49E9">
      <w:pPr>
        <w:divId w:val="598097661"/>
        <w:rPr>
          <w:rFonts w:eastAsia="Times New Roman"/>
        </w:rPr>
      </w:pPr>
      <w:r>
        <w:rPr>
          <w:rFonts w:eastAsia="Times New Roman"/>
          <w:sz w:val="20"/>
          <w:szCs w:val="20"/>
        </w:rPr>
        <w:t>•</w:t>
      </w:r>
    </w:p>
    <w:p w14:paraId="7852F77F" w14:textId="77777777" w:rsidR="00000000" w:rsidRDefault="003C49E9">
      <w:pPr>
        <w:divId w:val="1397971722"/>
        <w:rPr>
          <w:rFonts w:eastAsia="Times New Roman"/>
        </w:rPr>
      </w:pPr>
      <w:r>
        <w:rPr>
          <w:rFonts w:eastAsia="Times New Roman"/>
          <w:sz w:val="20"/>
          <w:szCs w:val="20"/>
        </w:rPr>
        <w:t xml:space="preserve">changes in operating performance and stock market </w:t>
      </w:r>
      <w:r>
        <w:rPr>
          <w:rFonts w:eastAsia="Times New Roman"/>
          <w:sz w:val="20"/>
          <w:szCs w:val="20"/>
        </w:rPr>
        <w:t>valuations of cloud-based software or other technology companies, or those in our industry in particular</w:t>
      </w:r>
      <w:r>
        <w:rPr>
          <w:rFonts w:eastAsia="Times New Roman"/>
          <w:sz w:val="20"/>
          <w:szCs w:val="20"/>
        </w:rPr>
        <w:t>;</w:t>
      </w:r>
    </w:p>
    <w:p w14:paraId="21EDA9F1" w14:textId="77777777" w:rsidR="00000000" w:rsidRDefault="003C49E9">
      <w:pPr>
        <w:divId w:val="1061711900"/>
        <w:rPr>
          <w:rFonts w:eastAsia="Times New Roman"/>
        </w:rPr>
      </w:pPr>
      <w:r>
        <w:rPr>
          <w:rFonts w:eastAsia="Times New Roman"/>
          <w:sz w:val="20"/>
          <w:szCs w:val="20"/>
        </w:rPr>
        <w:t>•</w:t>
      </w:r>
    </w:p>
    <w:p w14:paraId="359D3E1F" w14:textId="77777777" w:rsidR="00000000" w:rsidRDefault="003C49E9">
      <w:pPr>
        <w:divId w:val="397677251"/>
        <w:rPr>
          <w:rFonts w:eastAsia="Times New Roman"/>
        </w:rPr>
      </w:pPr>
      <w:r>
        <w:rPr>
          <w:rFonts w:eastAsia="Times New Roman"/>
          <w:sz w:val="20"/>
          <w:szCs w:val="20"/>
        </w:rPr>
        <w:t xml:space="preserve">price and volume fluctuations in the trading of our common stock and in the overall stock market, including as a result of trends in the economy as </w:t>
      </w:r>
      <w:r>
        <w:rPr>
          <w:rFonts w:eastAsia="Times New Roman"/>
          <w:sz w:val="20"/>
          <w:szCs w:val="20"/>
        </w:rPr>
        <w:t>a whole</w:t>
      </w:r>
      <w:r>
        <w:rPr>
          <w:rFonts w:eastAsia="Times New Roman"/>
          <w:sz w:val="20"/>
          <w:szCs w:val="20"/>
        </w:rPr>
        <w:t>;</w:t>
      </w:r>
    </w:p>
    <w:p w14:paraId="6C64EE3F" w14:textId="77777777" w:rsidR="00000000" w:rsidRDefault="003C49E9">
      <w:pPr>
        <w:divId w:val="1199470356"/>
        <w:rPr>
          <w:rFonts w:eastAsia="Times New Roman"/>
        </w:rPr>
      </w:pPr>
      <w:r>
        <w:rPr>
          <w:rFonts w:eastAsia="Times New Roman"/>
          <w:sz w:val="20"/>
          <w:szCs w:val="20"/>
        </w:rPr>
        <w:t>•</w:t>
      </w:r>
    </w:p>
    <w:p w14:paraId="7714CF8F" w14:textId="77777777" w:rsidR="00000000" w:rsidRDefault="003C49E9">
      <w:pPr>
        <w:divId w:val="495221277"/>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14:paraId="746B97B5"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6</w:t>
      </w:r>
    </w:p>
    <w:p w14:paraId="5EA7F735" w14:textId="77777777" w:rsidR="00000000" w:rsidRDefault="003C49E9">
      <w:pPr>
        <w:rPr>
          <w:rFonts w:eastAsia="Times New Roman"/>
        </w:rPr>
      </w:pPr>
      <w:r>
        <w:rPr>
          <w:rFonts w:eastAsia="Times New Roman"/>
        </w:rPr>
        <w:pict w14:anchorId="00D597E8">
          <v:rect id="_x0000_i1080" style="width:0;height:1.5pt" o:hralign="center" o:hrstd="t" o:hr="t" fillcolor="#a0a0a0" stroked="f"/>
        </w:pict>
      </w:r>
    </w:p>
    <w:p w14:paraId="6CC3A137" w14:textId="77777777" w:rsidR="00000000" w:rsidRDefault="003C49E9">
      <w:pPr>
        <w:pStyle w:val="a3"/>
        <w:spacing w:before="0" w:beforeAutospacing="0" w:after="0" w:afterAutospacing="0"/>
        <w:rPr>
          <w:sz w:val="20"/>
          <w:szCs w:val="20"/>
        </w:rPr>
      </w:pPr>
      <w:r>
        <w:rPr>
          <w:sz w:val="20"/>
          <w:szCs w:val="20"/>
        </w:rPr>
        <w:t> </w:t>
      </w:r>
    </w:p>
    <w:p w14:paraId="280CA994" w14:textId="77777777" w:rsidR="00000000" w:rsidRDefault="003C49E9">
      <w:pPr>
        <w:divId w:val="199441426"/>
        <w:rPr>
          <w:rFonts w:eastAsia="Times New Roman"/>
        </w:rPr>
      </w:pPr>
      <w:r>
        <w:rPr>
          <w:rFonts w:eastAsia="Times New Roman"/>
          <w:sz w:val="20"/>
          <w:szCs w:val="20"/>
        </w:rPr>
        <w:t>•</w:t>
      </w:r>
    </w:p>
    <w:p w14:paraId="08D24A24" w14:textId="77777777" w:rsidR="00000000" w:rsidRDefault="003C49E9">
      <w:pPr>
        <w:divId w:val="1963341031"/>
        <w:rPr>
          <w:rFonts w:eastAsia="Times New Roman"/>
        </w:rPr>
      </w:pPr>
      <w:r>
        <w:rPr>
          <w:rFonts w:eastAsia="Times New Roman"/>
          <w:sz w:val="20"/>
          <w:szCs w:val="20"/>
        </w:rPr>
        <w:t>new laws or regulations or new interpretations of existing laws or regulat</w:t>
      </w:r>
      <w:r>
        <w:rPr>
          <w:rFonts w:eastAsia="Times New Roman"/>
          <w:sz w:val="20"/>
          <w:szCs w:val="20"/>
        </w:rPr>
        <w:t>ions applicable to our business or industry, including data privacy and data security</w:t>
      </w:r>
      <w:r>
        <w:rPr>
          <w:rFonts w:eastAsia="Times New Roman"/>
          <w:sz w:val="20"/>
          <w:szCs w:val="20"/>
        </w:rPr>
        <w:t>;</w:t>
      </w:r>
    </w:p>
    <w:p w14:paraId="06730379" w14:textId="77777777" w:rsidR="00000000" w:rsidRDefault="003C49E9">
      <w:pPr>
        <w:divId w:val="1946763056"/>
        <w:rPr>
          <w:rFonts w:eastAsia="Times New Roman"/>
        </w:rPr>
      </w:pPr>
      <w:r>
        <w:rPr>
          <w:rFonts w:eastAsia="Times New Roman"/>
          <w:sz w:val="20"/>
          <w:szCs w:val="20"/>
        </w:rPr>
        <w:t>•</w:t>
      </w:r>
    </w:p>
    <w:p w14:paraId="0558FBDF" w14:textId="77777777" w:rsidR="00000000" w:rsidRDefault="003C49E9">
      <w:pPr>
        <w:divId w:val="146632017"/>
        <w:rPr>
          <w:rFonts w:eastAsia="Times New Roman"/>
        </w:rPr>
      </w:pPr>
      <w:r>
        <w:rPr>
          <w:rFonts w:eastAsia="Times New Roman"/>
          <w:sz w:val="20"/>
          <w:szCs w:val="20"/>
        </w:rPr>
        <w:t>lawsuits threatened or filed against us</w:t>
      </w:r>
      <w:r>
        <w:rPr>
          <w:rFonts w:eastAsia="Times New Roman"/>
          <w:sz w:val="20"/>
          <w:szCs w:val="20"/>
        </w:rPr>
        <w:t>;</w:t>
      </w:r>
    </w:p>
    <w:p w14:paraId="41C3555B" w14:textId="77777777" w:rsidR="00000000" w:rsidRDefault="003C49E9">
      <w:pPr>
        <w:divId w:val="1735078460"/>
        <w:rPr>
          <w:rFonts w:eastAsia="Times New Roman"/>
        </w:rPr>
      </w:pPr>
      <w:r>
        <w:rPr>
          <w:rFonts w:eastAsia="Times New Roman"/>
          <w:sz w:val="20"/>
          <w:szCs w:val="20"/>
        </w:rPr>
        <w:t>•</w:t>
      </w:r>
    </w:p>
    <w:p w14:paraId="7DAE5880" w14:textId="77777777" w:rsidR="00000000" w:rsidRDefault="003C49E9">
      <w:pPr>
        <w:divId w:val="869226441"/>
        <w:rPr>
          <w:rFonts w:eastAsia="Times New Roman"/>
        </w:rPr>
      </w:pPr>
      <w:r>
        <w:rPr>
          <w:rFonts w:eastAsia="Times New Roman"/>
          <w:sz w:val="20"/>
          <w:szCs w:val="20"/>
        </w:rPr>
        <w:t>changes in key personnel; an</w:t>
      </w:r>
      <w:r>
        <w:rPr>
          <w:rFonts w:eastAsia="Times New Roman"/>
          <w:sz w:val="20"/>
          <w:szCs w:val="20"/>
        </w:rPr>
        <w:t>d</w:t>
      </w:r>
    </w:p>
    <w:p w14:paraId="24861B8A" w14:textId="77777777" w:rsidR="00000000" w:rsidRDefault="003C49E9">
      <w:pPr>
        <w:divId w:val="2004703007"/>
        <w:rPr>
          <w:rFonts w:eastAsia="Times New Roman"/>
        </w:rPr>
      </w:pPr>
      <w:r>
        <w:rPr>
          <w:rFonts w:eastAsia="Times New Roman"/>
          <w:sz w:val="20"/>
          <w:szCs w:val="20"/>
        </w:rPr>
        <w:t>•</w:t>
      </w:r>
    </w:p>
    <w:p w14:paraId="47DB4C7B" w14:textId="77777777" w:rsidR="00000000" w:rsidRDefault="003C49E9">
      <w:pPr>
        <w:divId w:val="976111284"/>
        <w:rPr>
          <w:rFonts w:eastAsia="Times New Roman"/>
        </w:rPr>
      </w:pPr>
      <w:r>
        <w:rPr>
          <w:rFonts w:eastAsia="Times New Roman"/>
          <w:sz w:val="20"/>
          <w:szCs w:val="20"/>
        </w:rPr>
        <w:t>other events or factors, including changes in general economic, industry and market conditio</w:t>
      </w:r>
      <w:r>
        <w:rPr>
          <w:rFonts w:eastAsia="Times New Roman"/>
          <w:sz w:val="20"/>
          <w:szCs w:val="20"/>
        </w:rPr>
        <w:t>ns and trends, international disputes, wars (such as the conflict between Russia and Ukraine), and political stability.</w:t>
      </w:r>
      <w:r>
        <w:rPr>
          <w:rFonts w:eastAsia="Times New Roman"/>
          <w:sz w:val="20"/>
          <w:szCs w:val="20"/>
        </w:rPr>
        <w:t xml:space="preserve"> </w:t>
      </w:r>
    </w:p>
    <w:p w14:paraId="4311F23C" w14:textId="77777777" w:rsidR="00000000" w:rsidRDefault="003C49E9">
      <w:pPr>
        <w:pStyle w:val="a3"/>
        <w:spacing w:before="200" w:beforeAutospacing="0" w:after="0" w:afterAutospacing="0"/>
        <w:ind w:firstLine="555"/>
        <w:rPr>
          <w:sz w:val="20"/>
          <w:szCs w:val="20"/>
        </w:rPr>
      </w:pPr>
      <w:r>
        <w:rPr>
          <w:sz w:val="20"/>
          <w:szCs w:val="20"/>
        </w:rPr>
        <w:t>In addition, the stock markets have experienced extreme price and volume fluctuations that have affected and continue to affect the mar</w:t>
      </w:r>
      <w:r>
        <w:rPr>
          <w:sz w:val="20"/>
          <w:szCs w:val="20"/>
        </w:rPr>
        <w:t>ket prices of equity securities of many technology companies. Stock prices of many technology companies have fluctuated in a manner unrelated or disproportionate to the operating performance of those companies</w:t>
      </w:r>
      <w:r>
        <w:rPr>
          <w:sz w:val="20"/>
          <w:szCs w:val="20"/>
        </w:rPr>
        <w:t>.</w:t>
      </w:r>
    </w:p>
    <w:p w14:paraId="2286C2B0" w14:textId="77777777" w:rsidR="00000000" w:rsidRDefault="003C49E9">
      <w:pPr>
        <w:pStyle w:val="a3"/>
        <w:spacing w:before="200" w:beforeAutospacing="0" w:after="0" w:afterAutospacing="0"/>
        <w:ind w:firstLine="555"/>
        <w:rPr>
          <w:sz w:val="20"/>
          <w:szCs w:val="20"/>
        </w:rPr>
      </w:pPr>
      <w:r>
        <w:rPr>
          <w:sz w:val="20"/>
          <w:szCs w:val="20"/>
        </w:rPr>
        <w:t>In the past, stockholders have instituted securities class action litigation following periods of market volatility. If we were to become involved in securities litigation, it could subject us to substantial costs, divert resources and the attention of man</w:t>
      </w:r>
      <w:r>
        <w:rPr>
          <w:sz w:val="20"/>
          <w:szCs w:val="20"/>
        </w:rPr>
        <w:t>agement from our business and adversely affect our business</w:t>
      </w:r>
      <w:r>
        <w:rPr>
          <w:sz w:val="20"/>
          <w:szCs w:val="20"/>
        </w:rPr>
        <w:t>.</w:t>
      </w:r>
    </w:p>
    <w:p w14:paraId="26E79A14" w14:textId="77777777" w:rsidR="00000000" w:rsidRDefault="003C49E9">
      <w:pPr>
        <w:pStyle w:val="a3"/>
        <w:spacing w:before="200" w:beforeAutospacing="0" w:after="0" w:afterAutospacing="0"/>
        <w:rPr>
          <w:sz w:val="20"/>
          <w:szCs w:val="20"/>
        </w:rPr>
      </w:pPr>
      <w:r>
        <w:rPr>
          <w:b/>
          <w:bCs/>
          <w:i/>
          <w:iCs/>
          <w:sz w:val="20"/>
          <w:szCs w:val="20"/>
        </w:rPr>
        <w:t>If we fail to maintain an effective system of disclosure controls and internal control over financial reporting, our ability to produce timely and accurate financial statements or comply with app</w:t>
      </w:r>
      <w:r>
        <w:rPr>
          <w:b/>
          <w:bCs/>
          <w:i/>
          <w:iCs/>
          <w:sz w:val="20"/>
          <w:szCs w:val="20"/>
        </w:rPr>
        <w:t>licable regulations could be impaired</w:t>
      </w:r>
      <w:r>
        <w:rPr>
          <w:b/>
          <w:bCs/>
          <w:i/>
          <w:iCs/>
          <w:sz w:val="20"/>
          <w:szCs w:val="20"/>
        </w:rPr>
        <w:t>.</w:t>
      </w:r>
      <w:r>
        <w:rPr>
          <w:b/>
          <w:bCs/>
          <w:i/>
          <w:iCs/>
          <w:sz w:val="20"/>
          <w:szCs w:val="20"/>
        </w:rPr>
        <w:t xml:space="preserve"> </w:t>
      </w:r>
    </w:p>
    <w:p w14:paraId="1E0EB753" w14:textId="77777777" w:rsidR="00000000" w:rsidRDefault="003C49E9">
      <w:pPr>
        <w:pStyle w:val="a3"/>
        <w:spacing w:before="200" w:beforeAutospacing="0" w:after="0" w:afterAutospacing="0"/>
        <w:ind w:firstLine="555"/>
        <w:rPr>
          <w:sz w:val="20"/>
          <w:szCs w:val="20"/>
        </w:rPr>
      </w:pPr>
      <w:r>
        <w:rPr>
          <w:sz w:val="20"/>
          <w:szCs w:val="20"/>
        </w:rPr>
        <w:t>As a public company we are subject to the reporting requirements of the Securities Exchange Act of 1934, as amended (the “Exchange Act”), the Sarbanes-Oxley Act of 2002 (the “Sarbanes-Oxley Act”), the Dodd-Frank Wall</w:t>
      </w:r>
      <w:r>
        <w:rPr>
          <w:sz w:val="20"/>
          <w:szCs w:val="20"/>
        </w:rPr>
        <w:t xml:space="preserve"> Street Reform and Consumer Protection Act (the “Dodd-Frank Act”), and the rules and regulations of the New York Stock Exchange (the “NYSE”). We expect that compliance with these rules and regulations will continue to increase our legal, accounting and fin</w:t>
      </w:r>
      <w:r>
        <w:rPr>
          <w:sz w:val="20"/>
          <w:szCs w:val="20"/>
        </w:rPr>
        <w:t>ancial compliance costs, make some activities more difficult, time consuming and costly, and place significant strain on our personnel, systems and resources</w:t>
      </w:r>
      <w:r>
        <w:rPr>
          <w:sz w:val="20"/>
          <w:szCs w:val="20"/>
        </w:rPr>
        <w:t>.</w:t>
      </w:r>
    </w:p>
    <w:p w14:paraId="359BBEA0" w14:textId="77777777" w:rsidR="00000000" w:rsidRDefault="003C49E9">
      <w:pPr>
        <w:pStyle w:val="a3"/>
        <w:spacing w:before="200" w:beforeAutospacing="0" w:after="0" w:afterAutospacing="0"/>
        <w:ind w:firstLine="555"/>
        <w:rPr>
          <w:sz w:val="20"/>
          <w:szCs w:val="20"/>
        </w:rPr>
      </w:pPr>
      <w:r>
        <w:rPr>
          <w:sz w:val="20"/>
          <w:szCs w:val="20"/>
        </w:rPr>
        <w:t>The Sarbanes-Oxley Act requires, among other things, that we assess the effectiveness of our inte</w:t>
      </w:r>
      <w:r>
        <w:rPr>
          <w:sz w:val="20"/>
          <w:szCs w:val="20"/>
        </w:rPr>
        <w:t>rnal control over financial reporting annually and the effectiveness of our disclosure controls and procedures quarterly. In particular, Section 404 of the Sarbanes-Oxley Act (“Section 404”), requires us to perform system and process evaluation and testing</w:t>
      </w:r>
      <w:r>
        <w:rPr>
          <w:sz w:val="20"/>
          <w:szCs w:val="20"/>
        </w:rPr>
        <w:t xml:space="preserve"> of our internal control over financial reporting to allow management to report on, and our independent registered public accounting firm to attest to, the effectiveness of our internal control over financial reporting. Our compliance with applicable provi</w:t>
      </w:r>
      <w:r>
        <w:rPr>
          <w:sz w:val="20"/>
          <w:szCs w:val="20"/>
        </w:rPr>
        <w:t>sions of Section 404 requires that we incur substantial accounting expenses and expend significant management time on compliance-related issues as we implement additional corporate governance practices and comply with reporting requirements. Moreover, if w</w:t>
      </w:r>
      <w:r>
        <w:rPr>
          <w:sz w:val="20"/>
          <w:szCs w:val="20"/>
        </w:rPr>
        <w:t xml:space="preserve">e are not able to comply with the requirements of Section 404 applicable to us in a timely manner, or if we or our independent registered public accounting firm identifies deficiencies in our internal control over financial reporting that are deemed to be </w:t>
      </w:r>
      <w:r>
        <w:rPr>
          <w:sz w:val="20"/>
          <w:szCs w:val="20"/>
        </w:rPr>
        <w:t>material weaknesses, the market price of our stock could decline and we could be subject to sanctions or investigations by the SEC or other regulatory authorities, which would require additional financial and management resources</w:t>
      </w:r>
      <w:r>
        <w:rPr>
          <w:sz w:val="20"/>
          <w:szCs w:val="20"/>
        </w:rPr>
        <w:t>.</w:t>
      </w:r>
    </w:p>
    <w:p w14:paraId="32ECC0F0" w14:textId="77777777" w:rsidR="00000000" w:rsidRDefault="003C49E9">
      <w:pPr>
        <w:pStyle w:val="a3"/>
        <w:spacing w:before="200" w:beforeAutospacing="0" w:after="0" w:afterAutospacing="0"/>
        <w:ind w:firstLine="555"/>
        <w:rPr>
          <w:sz w:val="20"/>
          <w:szCs w:val="20"/>
        </w:rPr>
      </w:pPr>
      <w:r>
        <w:rPr>
          <w:sz w:val="20"/>
          <w:szCs w:val="20"/>
        </w:rPr>
        <w:t>Furthermore, investor per</w:t>
      </w:r>
      <w:r>
        <w:rPr>
          <w:sz w:val="20"/>
          <w:szCs w:val="20"/>
        </w:rPr>
        <w:t>ceptions of our company may suffer if deficiencies are found, and this could cause a decline in the market price of our stock. Irrespective of compliance with Section 404, any failure of our internal control over financial reporting could have a material a</w:t>
      </w:r>
      <w:r>
        <w:rPr>
          <w:sz w:val="20"/>
          <w:szCs w:val="20"/>
        </w:rPr>
        <w:t>dverse effect on our stated operating results and harm our reputation. If we are unable to implement these requirements effectively or efficiently, it could harm our operations, financial reporting, or financial results and could result in an adverse opini</w:t>
      </w:r>
      <w:r>
        <w:rPr>
          <w:sz w:val="20"/>
          <w:szCs w:val="20"/>
        </w:rPr>
        <w:t>on on our internal controls from our independent registered public accounting firm. In addition, as a result of our hybrid culture, many of our employees – including those critical to maintaining an effective system of disclosure controls and internal cont</w:t>
      </w:r>
      <w:r>
        <w:rPr>
          <w:sz w:val="20"/>
          <w:szCs w:val="20"/>
        </w:rPr>
        <w:t>rol over financial reporting – are working, and are expected to continue to work for the near term, in a remote environment and not in the office environment from which they have historically performed their duties. We have limited experience maintaining e</w:t>
      </w:r>
      <w:r>
        <w:rPr>
          <w:sz w:val="20"/>
          <w:szCs w:val="20"/>
        </w:rPr>
        <w:t>ffective control systems with our employees working in remote environments, and risks that we have not contemplated may arise and result in our failure to maintain effective disclosure controls or internal control over financial reporting</w:t>
      </w:r>
      <w:r>
        <w:rPr>
          <w:sz w:val="20"/>
          <w:szCs w:val="20"/>
        </w:rPr>
        <w:t>.</w:t>
      </w:r>
    </w:p>
    <w:p w14:paraId="3FB29599" w14:textId="77777777" w:rsidR="00000000" w:rsidRDefault="003C49E9">
      <w:pPr>
        <w:pStyle w:val="a3"/>
        <w:spacing w:before="200" w:beforeAutospacing="0" w:after="0" w:afterAutospacing="0"/>
        <w:rPr>
          <w:sz w:val="20"/>
          <w:szCs w:val="20"/>
        </w:rPr>
      </w:pPr>
      <w:r>
        <w:rPr>
          <w:b/>
          <w:bCs/>
          <w:i/>
          <w:iCs/>
          <w:sz w:val="20"/>
          <w:szCs w:val="20"/>
        </w:rPr>
        <w:t>Anti-takeover pr</w:t>
      </w:r>
      <w:r>
        <w:rPr>
          <w:b/>
          <w:bCs/>
          <w:i/>
          <w:iCs/>
          <w:sz w:val="20"/>
          <w:szCs w:val="20"/>
        </w:rPr>
        <w:t>ovisions in our charter documents and Delaware law may delay or prevent an acquisition of our company</w:t>
      </w:r>
      <w:r>
        <w:rPr>
          <w:b/>
          <w:bCs/>
          <w:i/>
          <w:iCs/>
          <w:sz w:val="20"/>
          <w:szCs w:val="20"/>
        </w:rPr>
        <w:t>.</w:t>
      </w:r>
    </w:p>
    <w:p w14:paraId="4121E354" w14:textId="77777777" w:rsidR="00000000" w:rsidRDefault="003C49E9">
      <w:pPr>
        <w:pStyle w:val="a3"/>
        <w:spacing w:before="200" w:beforeAutospacing="0" w:after="0" w:afterAutospacing="0"/>
        <w:ind w:firstLine="555"/>
        <w:rPr>
          <w:sz w:val="20"/>
          <w:szCs w:val="20"/>
        </w:rPr>
      </w:pPr>
      <w:r>
        <w:rPr>
          <w:sz w:val="20"/>
          <w:szCs w:val="20"/>
        </w:rPr>
        <w:t>Our amended and restated certificate of incorporation, amended and restated bylaws and Delaware law contain provisions that may have the effect of delayi</w:t>
      </w:r>
      <w:r>
        <w:rPr>
          <w:sz w:val="20"/>
          <w:szCs w:val="20"/>
        </w:rPr>
        <w:t>ng or preventing a change in control of us or changes in our management. Our amended and restated certificate of incorporation and bylaws include provisions that</w:t>
      </w:r>
      <w:r>
        <w:rPr>
          <w:sz w:val="20"/>
          <w:szCs w:val="20"/>
        </w:rPr>
        <w:t>:</w:t>
      </w:r>
    </w:p>
    <w:p w14:paraId="4C1AD1B3" w14:textId="77777777" w:rsidR="00000000" w:rsidRDefault="003C49E9">
      <w:pPr>
        <w:divId w:val="1867979323"/>
        <w:rPr>
          <w:rFonts w:eastAsia="Times New Roman"/>
        </w:rPr>
      </w:pPr>
      <w:r>
        <w:rPr>
          <w:rFonts w:eastAsia="Times New Roman"/>
          <w:sz w:val="20"/>
          <w:szCs w:val="20"/>
        </w:rPr>
        <w:t>•</w:t>
      </w:r>
    </w:p>
    <w:p w14:paraId="3BEBA51B" w14:textId="77777777" w:rsidR="00000000" w:rsidRDefault="003C49E9">
      <w:pPr>
        <w:divId w:val="1801992606"/>
        <w:rPr>
          <w:rFonts w:eastAsia="Times New Roman"/>
        </w:rPr>
      </w:pPr>
      <w:r>
        <w:rPr>
          <w:rFonts w:eastAsia="Times New Roman"/>
          <w:sz w:val="20"/>
          <w:szCs w:val="20"/>
        </w:rPr>
        <w:t>authorize “blank check” preferred stock, which could be issued by the board without stockho</w:t>
      </w:r>
      <w:r>
        <w:rPr>
          <w:rFonts w:eastAsia="Times New Roman"/>
          <w:sz w:val="20"/>
          <w:szCs w:val="20"/>
        </w:rPr>
        <w:t>lder approval and may contain voting, liquidation, dividend and other rights superior to our common stock</w:t>
      </w:r>
      <w:r>
        <w:rPr>
          <w:rFonts w:eastAsia="Times New Roman"/>
          <w:sz w:val="20"/>
          <w:szCs w:val="20"/>
        </w:rPr>
        <w:t>;</w:t>
      </w:r>
    </w:p>
    <w:p w14:paraId="5A29D7EC" w14:textId="77777777" w:rsidR="00000000" w:rsidRDefault="003C49E9">
      <w:pPr>
        <w:divId w:val="132262724"/>
        <w:rPr>
          <w:rFonts w:eastAsia="Times New Roman"/>
        </w:rPr>
      </w:pPr>
      <w:r>
        <w:rPr>
          <w:rFonts w:eastAsia="Times New Roman"/>
          <w:sz w:val="20"/>
          <w:szCs w:val="20"/>
        </w:rPr>
        <w:t>•</w:t>
      </w:r>
    </w:p>
    <w:p w14:paraId="124D4DC8" w14:textId="77777777" w:rsidR="00000000" w:rsidRDefault="003C49E9">
      <w:pPr>
        <w:divId w:val="1590847412"/>
        <w:rPr>
          <w:rFonts w:eastAsia="Times New Roman"/>
        </w:rPr>
      </w:pPr>
      <w:r>
        <w:rPr>
          <w:rFonts w:eastAsia="Times New Roman"/>
          <w:sz w:val="20"/>
          <w:szCs w:val="20"/>
        </w:rPr>
        <w:t>provide for a classified board of directors whose members serve staggered three-year terms</w:t>
      </w:r>
      <w:r>
        <w:rPr>
          <w:rFonts w:eastAsia="Times New Roman"/>
          <w:sz w:val="20"/>
          <w:szCs w:val="20"/>
        </w:rPr>
        <w:t>;</w:t>
      </w:r>
    </w:p>
    <w:p w14:paraId="3AADAB5A"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7</w:t>
      </w:r>
    </w:p>
    <w:p w14:paraId="3393704A" w14:textId="77777777" w:rsidR="00000000" w:rsidRDefault="003C49E9">
      <w:pPr>
        <w:rPr>
          <w:rFonts w:eastAsia="Times New Roman"/>
        </w:rPr>
      </w:pPr>
      <w:r>
        <w:rPr>
          <w:rFonts w:eastAsia="Times New Roman"/>
        </w:rPr>
        <w:pict w14:anchorId="1D31565C">
          <v:rect id="_x0000_i1081" style="width:0;height:1.5pt" o:hralign="center" o:hrstd="t" o:hr="t" fillcolor="#a0a0a0" stroked="f"/>
        </w:pict>
      </w:r>
    </w:p>
    <w:p w14:paraId="3A47A37F" w14:textId="77777777" w:rsidR="00000000" w:rsidRDefault="003C49E9">
      <w:pPr>
        <w:pStyle w:val="a3"/>
        <w:spacing w:before="0" w:beforeAutospacing="0" w:after="0" w:afterAutospacing="0"/>
        <w:rPr>
          <w:sz w:val="20"/>
          <w:szCs w:val="20"/>
        </w:rPr>
      </w:pPr>
      <w:r>
        <w:rPr>
          <w:sz w:val="20"/>
          <w:szCs w:val="20"/>
        </w:rPr>
        <w:t> </w:t>
      </w:r>
    </w:p>
    <w:p w14:paraId="69580617" w14:textId="77777777" w:rsidR="00000000" w:rsidRDefault="003C49E9">
      <w:pPr>
        <w:divId w:val="323512699"/>
        <w:rPr>
          <w:rFonts w:eastAsia="Times New Roman"/>
        </w:rPr>
      </w:pPr>
      <w:r>
        <w:rPr>
          <w:rFonts w:eastAsia="Times New Roman"/>
          <w:sz w:val="20"/>
          <w:szCs w:val="20"/>
        </w:rPr>
        <w:t>•</w:t>
      </w:r>
    </w:p>
    <w:p w14:paraId="70EEA114" w14:textId="77777777" w:rsidR="00000000" w:rsidRDefault="003C49E9">
      <w:pPr>
        <w:divId w:val="1615477474"/>
        <w:rPr>
          <w:rFonts w:eastAsia="Times New Roman"/>
        </w:rPr>
      </w:pPr>
      <w:r>
        <w:rPr>
          <w:rFonts w:eastAsia="Times New Roman"/>
          <w:sz w:val="20"/>
          <w:szCs w:val="20"/>
        </w:rPr>
        <w:t>specify that special meetings of our stockholders can be called only by our board of directors, the chairperson of the board, the chief executive officer or the president</w:t>
      </w:r>
      <w:r>
        <w:rPr>
          <w:rFonts w:eastAsia="Times New Roman"/>
          <w:sz w:val="20"/>
          <w:szCs w:val="20"/>
        </w:rPr>
        <w:t>;</w:t>
      </w:r>
    </w:p>
    <w:p w14:paraId="0DA67EB8" w14:textId="77777777" w:rsidR="00000000" w:rsidRDefault="003C49E9">
      <w:pPr>
        <w:divId w:val="1044524002"/>
        <w:rPr>
          <w:rFonts w:eastAsia="Times New Roman"/>
        </w:rPr>
      </w:pPr>
      <w:r>
        <w:rPr>
          <w:rFonts w:eastAsia="Times New Roman"/>
          <w:sz w:val="20"/>
          <w:szCs w:val="20"/>
        </w:rPr>
        <w:t>•</w:t>
      </w:r>
    </w:p>
    <w:p w14:paraId="47581576" w14:textId="77777777" w:rsidR="00000000" w:rsidRDefault="003C49E9">
      <w:pPr>
        <w:divId w:val="1266353551"/>
        <w:rPr>
          <w:rFonts w:eastAsia="Times New Roman"/>
        </w:rPr>
      </w:pPr>
      <w:r>
        <w:rPr>
          <w:rFonts w:eastAsia="Times New Roman"/>
          <w:sz w:val="20"/>
          <w:szCs w:val="20"/>
        </w:rPr>
        <w:t>prohibit stockholder action by written con</w:t>
      </w:r>
      <w:r>
        <w:rPr>
          <w:rFonts w:eastAsia="Times New Roman"/>
          <w:sz w:val="20"/>
          <w:szCs w:val="20"/>
        </w:rPr>
        <w:t>sent</w:t>
      </w:r>
      <w:r>
        <w:rPr>
          <w:rFonts w:eastAsia="Times New Roman"/>
          <w:sz w:val="20"/>
          <w:szCs w:val="20"/>
        </w:rPr>
        <w:t>;</w:t>
      </w:r>
    </w:p>
    <w:p w14:paraId="193C27B0" w14:textId="77777777" w:rsidR="00000000" w:rsidRDefault="003C49E9">
      <w:pPr>
        <w:divId w:val="1546484548"/>
        <w:rPr>
          <w:rFonts w:eastAsia="Times New Roman"/>
        </w:rPr>
      </w:pPr>
      <w:r>
        <w:rPr>
          <w:rFonts w:eastAsia="Times New Roman"/>
          <w:sz w:val="20"/>
          <w:szCs w:val="20"/>
        </w:rPr>
        <w:t>•</w:t>
      </w:r>
    </w:p>
    <w:p w14:paraId="33CB39EB" w14:textId="77777777" w:rsidR="00000000" w:rsidRDefault="003C49E9">
      <w:pPr>
        <w:divId w:val="169368405"/>
        <w:rPr>
          <w:rFonts w:eastAsia="Times New Roman"/>
        </w:rPr>
      </w:pPr>
      <w:r>
        <w:rPr>
          <w:rFonts w:eastAsia="Times New Roman"/>
          <w:sz w:val="20"/>
          <w:szCs w:val="20"/>
        </w:rPr>
        <w:t>establish an advance notice procedure for stockholder approvals to be brought before an annual meeting of our stockholders, including proposed nominations of persons for election to our board of directors</w:t>
      </w:r>
      <w:r>
        <w:rPr>
          <w:rFonts w:eastAsia="Times New Roman"/>
          <w:sz w:val="20"/>
          <w:szCs w:val="20"/>
        </w:rPr>
        <w:t>;</w:t>
      </w:r>
    </w:p>
    <w:p w14:paraId="1679C1F1" w14:textId="77777777" w:rsidR="00000000" w:rsidRDefault="003C49E9">
      <w:pPr>
        <w:divId w:val="1701203612"/>
        <w:rPr>
          <w:rFonts w:eastAsia="Times New Roman"/>
        </w:rPr>
      </w:pPr>
      <w:r>
        <w:rPr>
          <w:rFonts w:eastAsia="Times New Roman"/>
          <w:sz w:val="20"/>
          <w:szCs w:val="20"/>
        </w:rPr>
        <w:t>•</w:t>
      </w:r>
    </w:p>
    <w:p w14:paraId="5811FEA9" w14:textId="77777777" w:rsidR="00000000" w:rsidRDefault="003C49E9">
      <w:pPr>
        <w:divId w:val="2126582644"/>
        <w:rPr>
          <w:rFonts w:eastAsia="Times New Roman"/>
        </w:rPr>
      </w:pPr>
      <w:r>
        <w:rPr>
          <w:rFonts w:eastAsia="Times New Roman"/>
          <w:sz w:val="20"/>
          <w:szCs w:val="20"/>
        </w:rPr>
        <w:t>provide that our directors may be remove</w:t>
      </w:r>
      <w:r>
        <w:rPr>
          <w:rFonts w:eastAsia="Times New Roman"/>
          <w:sz w:val="20"/>
          <w:szCs w:val="20"/>
        </w:rPr>
        <w:t>d only for cause</w:t>
      </w:r>
      <w:r>
        <w:rPr>
          <w:rFonts w:eastAsia="Times New Roman"/>
          <w:sz w:val="20"/>
          <w:szCs w:val="20"/>
        </w:rPr>
        <w:t>;</w:t>
      </w:r>
    </w:p>
    <w:p w14:paraId="45637781" w14:textId="77777777" w:rsidR="00000000" w:rsidRDefault="003C49E9">
      <w:pPr>
        <w:divId w:val="1478837983"/>
        <w:rPr>
          <w:rFonts w:eastAsia="Times New Roman"/>
        </w:rPr>
      </w:pPr>
      <w:r>
        <w:rPr>
          <w:rFonts w:eastAsia="Times New Roman"/>
          <w:sz w:val="20"/>
          <w:szCs w:val="20"/>
        </w:rPr>
        <w:t>•</w:t>
      </w:r>
    </w:p>
    <w:p w14:paraId="13EC6F1A" w14:textId="77777777" w:rsidR="00000000" w:rsidRDefault="003C49E9">
      <w:pPr>
        <w:divId w:val="1173572522"/>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14:paraId="706EE6C0" w14:textId="77777777" w:rsidR="00000000" w:rsidRDefault="003C49E9">
      <w:pPr>
        <w:divId w:val="1764110236"/>
        <w:rPr>
          <w:rFonts w:eastAsia="Times New Roman"/>
        </w:rPr>
      </w:pPr>
      <w:r>
        <w:rPr>
          <w:rFonts w:eastAsia="Times New Roman"/>
          <w:sz w:val="20"/>
          <w:szCs w:val="20"/>
        </w:rPr>
        <w:t>•</w:t>
      </w:r>
    </w:p>
    <w:p w14:paraId="69973754" w14:textId="77777777" w:rsidR="00000000" w:rsidRDefault="003C49E9">
      <w:pPr>
        <w:divId w:val="83766588"/>
        <w:rPr>
          <w:rFonts w:eastAsia="Times New Roman"/>
        </w:rPr>
      </w:pPr>
      <w:r>
        <w:rPr>
          <w:rFonts w:eastAsia="Times New Roman"/>
          <w:sz w:val="20"/>
          <w:szCs w:val="20"/>
        </w:rPr>
        <w:t>specify that no stockholder is permitted to cumulate votes at any election of directors</w:t>
      </w:r>
      <w:r>
        <w:rPr>
          <w:rFonts w:eastAsia="Times New Roman"/>
          <w:sz w:val="20"/>
          <w:szCs w:val="20"/>
        </w:rPr>
        <w:t>;</w:t>
      </w:r>
    </w:p>
    <w:p w14:paraId="69327ACA" w14:textId="77777777" w:rsidR="00000000" w:rsidRDefault="003C49E9">
      <w:pPr>
        <w:divId w:val="1789472715"/>
        <w:rPr>
          <w:rFonts w:eastAsia="Times New Roman"/>
        </w:rPr>
      </w:pPr>
      <w:r>
        <w:rPr>
          <w:rFonts w:eastAsia="Times New Roman"/>
          <w:sz w:val="20"/>
          <w:szCs w:val="20"/>
        </w:rPr>
        <w:t>•</w:t>
      </w:r>
    </w:p>
    <w:p w14:paraId="509D7917" w14:textId="77777777" w:rsidR="00000000" w:rsidRDefault="003C49E9">
      <w:pPr>
        <w:divId w:val="6372402"/>
        <w:rPr>
          <w:rFonts w:eastAsia="Times New Roman"/>
        </w:rPr>
      </w:pPr>
      <w:r>
        <w:rPr>
          <w:rFonts w:eastAsia="Times New Roman"/>
          <w:sz w:val="20"/>
          <w:szCs w:val="20"/>
        </w:rPr>
        <w:t>authorize our board of directors to modify, alter or repeal our amended and restated bylaws; an</w:t>
      </w:r>
      <w:r>
        <w:rPr>
          <w:rFonts w:eastAsia="Times New Roman"/>
          <w:sz w:val="20"/>
          <w:szCs w:val="20"/>
        </w:rPr>
        <w:t>d</w:t>
      </w:r>
    </w:p>
    <w:p w14:paraId="443B3BCD" w14:textId="77777777" w:rsidR="00000000" w:rsidRDefault="003C49E9">
      <w:pPr>
        <w:divId w:val="146482919"/>
        <w:rPr>
          <w:rFonts w:eastAsia="Times New Roman"/>
        </w:rPr>
      </w:pPr>
      <w:r>
        <w:rPr>
          <w:rFonts w:eastAsia="Times New Roman"/>
          <w:sz w:val="20"/>
          <w:szCs w:val="20"/>
        </w:rPr>
        <w:t>•</w:t>
      </w:r>
    </w:p>
    <w:p w14:paraId="2F71F626" w14:textId="77777777" w:rsidR="00000000" w:rsidRDefault="003C49E9">
      <w:pPr>
        <w:divId w:val="613946476"/>
        <w:rPr>
          <w:rFonts w:eastAsia="Times New Roman"/>
        </w:rPr>
      </w:pPr>
      <w:r>
        <w:rPr>
          <w:rFonts w:eastAsia="Times New Roman"/>
          <w:sz w:val="20"/>
          <w:szCs w:val="20"/>
        </w:rPr>
        <w:t xml:space="preserve">require supermajority votes of the holders of our common stock to </w:t>
      </w:r>
      <w:r>
        <w:rPr>
          <w:rFonts w:eastAsia="Times New Roman"/>
          <w:sz w:val="20"/>
          <w:szCs w:val="20"/>
        </w:rPr>
        <w:t>amend specified provisions of our charter documents</w:t>
      </w:r>
      <w:r>
        <w:rPr>
          <w:rFonts w:eastAsia="Times New Roman"/>
          <w:sz w:val="20"/>
          <w:szCs w:val="20"/>
        </w:rPr>
        <w:t>.</w:t>
      </w:r>
    </w:p>
    <w:p w14:paraId="41FCDF01" w14:textId="77777777" w:rsidR="00000000" w:rsidRDefault="003C49E9">
      <w:pPr>
        <w:pStyle w:val="a3"/>
        <w:spacing w:before="200" w:beforeAutospacing="0" w:after="0" w:afterAutospacing="0"/>
        <w:ind w:firstLine="555"/>
        <w:rPr>
          <w:sz w:val="20"/>
          <w:szCs w:val="20"/>
        </w:rPr>
      </w:pPr>
      <w:r>
        <w:rPr>
          <w:sz w:val="20"/>
          <w:szCs w:val="20"/>
        </w:rPr>
        <w:t>These provisions, alone or together, could delay or prevent hostile takeovers and changes in control or changes in our management</w:t>
      </w:r>
      <w:r>
        <w:rPr>
          <w:sz w:val="20"/>
          <w:szCs w:val="20"/>
        </w:rPr>
        <w:t>.</w:t>
      </w:r>
    </w:p>
    <w:p w14:paraId="1D0402FB" w14:textId="77777777" w:rsidR="00000000" w:rsidRDefault="003C49E9">
      <w:pPr>
        <w:pStyle w:val="a3"/>
        <w:spacing w:before="200" w:beforeAutospacing="0" w:after="0" w:afterAutospacing="0"/>
        <w:ind w:firstLine="555"/>
        <w:rPr>
          <w:sz w:val="20"/>
          <w:szCs w:val="20"/>
        </w:rPr>
      </w:pPr>
      <w:r>
        <w:rPr>
          <w:sz w:val="20"/>
          <w:szCs w:val="20"/>
        </w:rPr>
        <w:t>In addition, because we are incorporated in Delaware, we are governed by</w:t>
      </w:r>
      <w:r>
        <w:rPr>
          <w:sz w:val="20"/>
          <w:szCs w:val="20"/>
        </w:rPr>
        <w:t xml:space="preserve"> the provisions of Section 203 of the Delaware General Corporation Law, which limits the ability of stockholders owning in excess of 15% of our outstanding voting stock to merge or combine with us in certain circumstances</w:t>
      </w:r>
      <w:r>
        <w:rPr>
          <w:sz w:val="20"/>
          <w:szCs w:val="20"/>
        </w:rPr>
        <w:t>.</w:t>
      </w:r>
    </w:p>
    <w:p w14:paraId="3DF313F3" w14:textId="77777777" w:rsidR="00000000" w:rsidRDefault="003C49E9">
      <w:pPr>
        <w:pStyle w:val="a3"/>
        <w:spacing w:before="200" w:beforeAutospacing="0" w:after="0" w:afterAutospacing="0"/>
        <w:ind w:firstLine="555"/>
        <w:rPr>
          <w:sz w:val="20"/>
          <w:szCs w:val="20"/>
        </w:rPr>
      </w:pPr>
      <w:r>
        <w:rPr>
          <w:sz w:val="20"/>
          <w:szCs w:val="20"/>
        </w:rPr>
        <w:t xml:space="preserve">Any provision of our amended and </w:t>
      </w:r>
      <w:r>
        <w:rPr>
          <w:sz w:val="20"/>
          <w:szCs w:val="20"/>
        </w:rPr>
        <w:t>restated certificate of incorporation or amended and restated bylaws or Delaware law that has the effect of delaying or deterring a change in control could limit the opportunity for our stockholders to receive a premium for their shares of our common stock</w:t>
      </w:r>
      <w:r>
        <w:rPr>
          <w:sz w:val="20"/>
          <w:szCs w:val="20"/>
        </w:rPr>
        <w:t>, and could also affect the price that some investors are willing to pay for our common stock</w:t>
      </w:r>
      <w:r>
        <w:rPr>
          <w:sz w:val="20"/>
          <w:szCs w:val="20"/>
        </w:rPr>
        <w:t>.</w:t>
      </w:r>
    </w:p>
    <w:p w14:paraId="31513708" w14:textId="77777777" w:rsidR="00000000" w:rsidRDefault="003C49E9">
      <w:pPr>
        <w:pStyle w:val="a3"/>
        <w:spacing w:before="200" w:beforeAutospacing="0" w:after="0" w:afterAutospacing="0"/>
        <w:ind w:firstLine="555"/>
        <w:rPr>
          <w:sz w:val="20"/>
          <w:szCs w:val="20"/>
        </w:rPr>
      </w:pPr>
      <w:r>
        <w:rPr>
          <w:sz w:val="20"/>
          <w:szCs w:val="20"/>
        </w:rPr>
        <w:t> </w:t>
      </w:r>
    </w:p>
    <w:p w14:paraId="13B8FB03" w14:textId="77777777" w:rsidR="00000000" w:rsidRDefault="003C49E9">
      <w:pPr>
        <w:pStyle w:val="a3"/>
        <w:spacing w:before="200" w:beforeAutospacing="0" w:after="0" w:afterAutospacing="0"/>
        <w:rPr>
          <w:sz w:val="20"/>
          <w:szCs w:val="20"/>
        </w:rPr>
      </w:pPr>
      <w:r>
        <w:rPr>
          <w:b/>
          <w:bCs/>
          <w:sz w:val="20"/>
          <w:szCs w:val="20"/>
        </w:rPr>
        <w:t>General Risk</w:t>
      </w:r>
      <w:r>
        <w:rPr>
          <w:b/>
          <w:bCs/>
          <w:sz w:val="20"/>
          <w:szCs w:val="20"/>
        </w:rPr>
        <w:t>s</w:t>
      </w:r>
    </w:p>
    <w:p w14:paraId="3A82520B" w14:textId="77777777" w:rsidR="00000000" w:rsidRDefault="003C49E9">
      <w:pPr>
        <w:pStyle w:val="a3"/>
        <w:spacing w:before="200" w:beforeAutospacing="0" w:after="0" w:afterAutospacing="0"/>
        <w:rPr>
          <w:sz w:val="20"/>
          <w:szCs w:val="20"/>
        </w:rPr>
      </w:pPr>
      <w:r>
        <w:rPr>
          <w:b/>
          <w:bCs/>
          <w:i/>
          <w:iCs/>
          <w:sz w:val="20"/>
          <w:szCs w:val="20"/>
        </w:rPr>
        <w:t>The continuing effects of the COVID-19 pandemic are highly unpredictable and could be significant, and the duration and extent to which this will</w:t>
      </w:r>
      <w:r>
        <w:rPr>
          <w:b/>
          <w:bCs/>
          <w:i/>
          <w:iCs/>
          <w:sz w:val="20"/>
          <w:szCs w:val="20"/>
        </w:rPr>
        <w:t xml:space="preserve"> impact our future results of operations and overall financial performance remains uncertain</w:t>
      </w:r>
      <w:r>
        <w:rPr>
          <w:b/>
          <w:bCs/>
          <w:i/>
          <w:iCs/>
          <w:sz w:val="20"/>
          <w:szCs w:val="20"/>
        </w:rPr>
        <w:t>.</w:t>
      </w:r>
    </w:p>
    <w:p w14:paraId="3492536D" w14:textId="77777777" w:rsidR="00000000" w:rsidRDefault="003C49E9">
      <w:pPr>
        <w:pStyle w:val="a3"/>
        <w:spacing w:before="200" w:beforeAutospacing="0" w:after="0" w:afterAutospacing="0"/>
        <w:ind w:firstLine="555"/>
        <w:rPr>
          <w:sz w:val="20"/>
          <w:szCs w:val="20"/>
        </w:rPr>
      </w:pPr>
      <w:r>
        <w:rPr>
          <w:sz w:val="20"/>
          <w:szCs w:val="20"/>
        </w:rPr>
        <w:t>The COVID-19 pandemic and virus containment measures taken by federal and state governments have resulted in, and may continue to result in, business slowdowns or</w:t>
      </w:r>
      <w:r>
        <w:rPr>
          <w:sz w:val="20"/>
          <w:szCs w:val="20"/>
        </w:rPr>
        <w:t xml:space="preserve"> shutdowns, weakened economic conditions, economic uncertainty, and volatility in the financial markets, both regionally and worldwide. During the height of the COVID-19 pandemic with substantial modifications to employee travel and where employees work, a</w:t>
      </w:r>
      <w:r>
        <w:rPr>
          <w:sz w:val="20"/>
          <w:szCs w:val="20"/>
        </w:rPr>
        <w:t>s well as virtualization, postponement, or cancellation of certain events, among other changes. We have re-opened our offices on a staggered, region-by-region basis in accordance with local authority guidelines. Although we have been able to navigate workp</w:t>
      </w:r>
      <w:r>
        <w:rPr>
          <w:sz w:val="20"/>
          <w:szCs w:val="20"/>
        </w:rPr>
        <w:t>lace restrictions and limitations with minimal disruptions to our business operations to date, we may further modify our business practices and real estate needs in response to the risks and negative impacts caused by the COVID-19 pandemic, but we cannot b</w:t>
      </w:r>
      <w:r>
        <w:rPr>
          <w:sz w:val="20"/>
          <w:szCs w:val="20"/>
        </w:rPr>
        <w:t>e certain that these measures will continue to be successful. We continue to actively monitor the situation and may take further actions to alter our business operations as may be required by federal, state, or local authorities, or that we determine are i</w:t>
      </w:r>
      <w:r>
        <w:rPr>
          <w:sz w:val="20"/>
          <w:szCs w:val="20"/>
        </w:rPr>
        <w:t>n the best interests of our employees, customers, partners, suppliers, and stockholders, including in response to outbreaks and variants</w:t>
      </w:r>
      <w:r>
        <w:rPr>
          <w:sz w:val="20"/>
          <w:szCs w:val="20"/>
        </w:rPr>
        <w:t>.</w:t>
      </w:r>
      <w:r>
        <w:rPr>
          <w:sz w:val="20"/>
          <w:szCs w:val="20"/>
        </w:rPr>
        <w:t xml:space="preserve"> </w:t>
      </w:r>
    </w:p>
    <w:p w14:paraId="6C9757DC" w14:textId="77777777" w:rsidR="00000000" w:rsidRDefault="003C49E9">
      <w:pPr>
        <w:pStyle w:val="a3"/>
        <w:spacing w:before="200" w:beforeAutospacing="0" w:after="0" w:afterAutospacing="0"/>
        <w:ind w:firstLine="555"/>
        <w:rPr>
          <w:sz w:val="20"/>
          <w:szCs w:val="20"/>
        </w:rPr>
      </w:pPr>
      <w:r>
        <w:rPr>
          <w:sz w:val="20"/>
          <w:szCs w:val="20"/>
        </w:rPr>
        <w:t>While we have not been materially adversely affected to date, the conditions caused by the pandemic may affect the ra</w:t>
      </w:r>
      <w:r>
        <w:rPr>
          <w:sz w:val="20"/>
          <w:szCs w:val="20"/>
        </w:rPr>
        <w:t xml:space="preserve">te of spending on software products and may adversely affect our customers’ ability or willingness to purchase our offerings; the timing of our current or prospective customers’ purchasing decisions; pricing discounts or extended payment terms; reductions </w:t>
      </w:r>
      <w:r>
        <w:rPr>
          <w:sz w:val="20"/>
          <w:szCs w:val="20"/>
        </w:rPr>
        <w:t>in the amount or duration of customers’ subscription contracts; or increase customer attrition rates, all of which could adversely affect our future sales, operating results and overall financial performance. If the pandemic and its residual effects have a</w:t>
      </w:r>
      <w:r>
        <w:rPr>
          <w:sz w:val="20"/>
          <w:szCs w:val="20"/>
        </w:rPr>
        <w:t xml:space="preserve"> substantial impact on the ability of our customers to purchase our offerings, our results of operations, and overall financial performance may be harmed</w:t>
      </w:r>
      <w:r>
        <w:rPr>
          <w:sz w:val="20"/>
          <w:szCs w:val="20"/>
        </w:rPr>
        <w:t>.</w:t>
      </w:r>
    </w:p>
    <w:p w14:paraId="051275E8" w14:textId="77777777" w:rsidR="00000000" w:rsidRDefault="003C49E9">
      <w:pPr>
        <w:pStyle w:val="a3"/>
        <w:spacing w:before="200" w:beforeAutospacing="0" w:after="0" w:afterAutospacing="0"/>
        <w:ind w:firstLine="555"/>
        <w:rPr>
          <w:sz w:val="20"/>
          <w:szCs w:val="20"/>
        </w:rPr>
      </w:pPr>
      <w:r>
        <w:rPr>
          <w:sz w:val="20"/>
          <w:szCs w:val="20"/>
        </w:rPr>
        <w:t>The extent to which the pandemic impacts our business operations in future periods will depend on mul</w:t>
      </w:r>
      <w:r>
        <w:rPr>
          <w:sz w:val="20"/>
          <w:szCs w:val="20"/>
        </w:rPr>
        <w:t>tiple factors that cannot be accurately predicted at this time, such as the duration and scope of the pandemic, future spikes of COVID-19 infections (including the spread of variants or mutant strains, and the degree of transmissibility and severity thereo</w:t>
      </w:r>
      <w:r>
        <w:rPr>
          <w:sz w:val="20"/>
          <w:szCs w:val="20"/>
        </w:rPr>
        <w:t>f), the extent and effectiveness of containment actions, the disruption caused by such actions, and the impact of these and other factors on our employees, customers, partners and vendors. If we are not able to respond to and manage the impact of such even</w:t>
      </w:r>
      <w:r>
        <w:rPr>
          <w:sz w:val="20"/>
          <w:szCs w:val="20"/>
        </w:rPr>
        <w:t>ts effectively, our business will be harmed</w:t>
      </w:r>
      <w:r>
        <w:rPr>
          <w:sz w:val="20"/>
          <w:szCs w:val="20"/>
        </w:rPr>
        <w:t>.</w:t>
      </w:r>
      <w:r>
        <w:rPr>
          <w:sz w:val="20"/>
          <w:szCs w:val="20"/>
        </w:rPr>
        <w:t xml:space="preserve"> </w:t>
      </w:r>
    </w:p>
    <w:p w14:paraId="3041F6CF"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8</w:t>
      </w:r>
    </w:p>
    <w:p w14:paraId="6DA63F82" w14:textId="77777777" w:rsidR="00000000" w:rsidRDefault="003C49E9">
      <w:pPr>
        <w:rPr>
          <w:rFonts w:eastAsia="Times New Roman"/>
        </w:rPr>
      </w:pPr>
      <w:r>
        <w:rPr>
          <w:rFonts w:eastAsia="Times New Roman"/>
        </w:rPr>
        <w:pict w14:anchorId="08CABEF1">
          <v:rect id="_x0000_i1082" style="width:0;height:1.5pt" o:hralign="center" o:hrstd="t" o:hr="t" fillcolor="#a0a0a0" stroked="f"/>
        </w:pict>
      </w:r>
    </w:p>
    <w:p w14:paraId="1DDF560A" w14:textId="77777777" w:rsidR="00000000" w:rsidRDefault="003C49E9">
      <w:pPr>
        <w:pStyle w:val="a3"/>
        <w:spacing w:before="0" w:beforeAutospacing="0" w:after="0" w:afterAutospacing="0"/>
        <w:rPr>
          <w:sz w:val="20"/>
          <w:szCs w:val="20"/>
        </w:rPr>
      </w:pPr>
      <w:r>
        <w:rPr>
          <w:sz w:val="20"/>
          <w:szCs w:val="20"/>
        </w:rPr>
        <w:t> </w:t>
      </w:r>
    </w:p>
    <w:p w14:paraId="1BF48232" w14:textId="77777777" w:rsidR="00000000" w:rsidRDefault="003C49E9">
      <w:pPr>
        <w:pStyle w:val="a3"/>
        <w:spacing w:before="200" w:beforeAutospacing="0" w:after="0" w:afterAutospacing="0"/>
        <w:rPr>
          <w:sz w:val="20"/>
          <w:szCs w:val="20"/>
        </w:rPr>
      </w:pPr>
      <w:r>
        <w:rPr>
          <w:sz w:val="20"/>
          <w:szCs w:val="20"/>
        </w:rPr>
        <w:t>In addition, supply chain disruption and resulting inflationary pressures, a global labor shortage, the ebb and flow of COVID-19, including in specific geographies, and</w:t>
      </w:r>
      <w:r>
        <w:rPr>
          <w:sz w:val="20"/>
          <w:szCs w:val="20"/>
        </w:rPr>
        <w:t xml:space="preserve"> changes in economic policy could impact our outlook</w:t>
      </w:r>
      <w:r>
        <w:rPr>
          <w:sz w:val="20"/>
          <w:szCs w:val="20"/>
        </w:rPr>
        <w:t>.</w:t>
      </w:r>
      <w:r>
        <w:rPr>
          <w:sz w:val="20"/>
          <w:szCs w:val="20"/>
        </w:rPr>
        <w:t xml:space="preserve"> </w:t>
      </w:r>
    </w:p>
    <w:p w14:paraId="0E33735C" w14:textId="77777777" w:rsidR="00000000" w:rsidRDefault="003C49E9">
      <w:pPr>
        <w:pStyle w:val="a3"/>
        <w:spacing w:before="200" w:beforeAutospacing="0" w:after="0" w:afterAutospacing="0"/>
        <w:ind w:firstLine="555"/>
        <w:rPr>
          <w:sz w:val="20"/>
          <w:szCs w:val="20"/>
        </w:rPr>
      </w:pPr>
      <w:r>
        <w:rPr>
          <w:sz w:val="20"/>
          <w:szCs w:val="20"/>
        </w:rPr>
        <w:t xml:space="preserve">To the extent the pandemic adversely affects our business and financial results, it may also have the effect of heightening many of the other risks described in this “Risk Factors” section, including, </w:t>
      </w:r>
      <w:r>
        <w:rPr>
          <w:sz w:val="20"/>
          <w:szCs w:val="20"/>
        </w:rPr>
        <w:t>in particular, risks related to our dependence on customer renewals, the addition of new customers and increased revenue from existing customer, risks that our operating results could be negatively affected by changes in the sizes or types of businesses th</w:t>
      </w:r>
      <w:r>
        <w:rPr>
          <w:sz w:val="20"/>
          <w:szCs w:val="20"/>
        </w:rPr>
        <w:t>at purchase our platform and the risk that weakened global economic conditions may harm our industry, business and results of operations</w:t>
      </w:r>
      <w:r>
        <w:rPr>
          <w:sz w:val="20"/>
          <w:szCs w:val="20"/>
        </w:rPr>
        <w:t>.</w:t>
      </w:r>
    </w:p>
    <w:p w14:paraId="66DD56ED" w14:textId="77777777" w:rsidR="00000000" w:rsidRDefault="003C49E9">
      <w:pPr>
        <w:pStyle w:val="a3"/>
        <w:spacing w:before="20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14:paraId="545CBF60" w14:textId="77777777" w:rsidR="00000000" w:rsidRDefault="003C49E9">
      <w:pPr>
        <w:pStyle w:val="a3"/>
        <w:spacing w:before="200" w:beforeAutospacing="0" w:after="0" w:afterAutospacing="0"/>
        <w:ind w:firstLine="555"/>
        <w:rPr>
          <w:sz w:val="20"/>
          <w:szCs w:val="20"/>
        </w:rPr>
      </w:pPr>
      <w:r>
        <w:rPr>
          <w:sz w:val="20"/>
          <w:szCs w:val="20"/>
        </w:rPr>
        <w:t xml:space="preserve">Our business is subject to regulation by various </w:t>
      </w:r>
      <w:r>
        <w:rPr>
          <w:sz w:val="20"/>
          <w:szCs w:val="20"/>
        </w:rPr>
        <w:t>federal, state, local and foreign governmental agencies, including agencies responsible for monitoring and enforcing employment and labor laws, workplace safety, environmental laws, consumer protection laws, anti-bribery laws, import/export controls, feder</w:t>
      </w:r>
      <w:r>
        <w:rPr>
          <w:sz w:val="20"/>
          <w:szCs w:val="20"/>
        </w:rPr>
        <w:t>al securities laws and tax laws and regulations. In certain jurisdictions, these regulatory requirements may be more stringent than those in the United States. Noncompliance with applicable regulations or requirements could subject us to investigations, sa</w:t>
      </w:r>
      <w:r>
        <w:rPr>
          <w:sz w:val="20"/>
          <w:szCs w:val="20"/>
        </w:rPr>
        <w:t>nctions, mandatory recalls, enforcement actions, disgorgement of profits, fines, damages, civil and criminal penalties or injunctions</w:t>
      </w:r>
      <w:r>
        <w:rPr>
          <w:sz w:val="20"/>
          <w:szCs w:val="20"/>
        </w:rPr>
        <w:t>.</w:t>
      </w:r>
    </w:p>
    <w:p w14:paraId="0526BAB1" w14:textId="77777777" w:rsidR="00000000" w:rsidRDefault="003C49E9">
      <w:pPr>
        <w:pStyle w:val="a3"/>
        <w:spacing w:before="0" w:beforeAutospacing="0" w:after="0" w:afterAutospacing="0"/>
        <w:rPr>
          <w:sz w:val="20"/>
          <w:szCs w:val="20"/>
        </w:rPr>
      </w:pPr>
      <w:r>
        <w:rPr>
          <w:sz w:val="20"/>
          <w:szCs w:val="20"/>
        </w:rPr>
        <w:t> </w:t>
      </w:r>
    </w:p>
    <w:p w14:paraId="39D4D298" w14:textId="77777777" w:rsidR="00000000" w:rsidRDefault="003C49E9">
      <w:pPr>
        <w:pStyle w:val="a3"/>
        <w:spacing w:before="200" w:beforeAutospacing="0" w:after="0" w:afterAutospacing="0"/>
        <w:rPr>
          <w:sz w:val="20"/>
          <w:szCs w:val="20"/>
        </w:rPr>
      </w:pPr>
      <w:r>
        <w:rPr>
          <w:b/>
          <w:bCs/>
          <w:i/>
          <w:iCs/>
          <w:sz w:val="20"/>
          <w:szCs w:val="20"/>
        </w:rPr>
        <w:t>Our ability to raise capital in the future may be limited, and our failure to raise capital when needed could prevent u</w:t>
      </w:r>
      <w:r>
        <w:rPr>
          <w:b/>
          <w:bCs/>
          <w:i/>
          <w:iCs/>
          <w:sz w:val="20"/>
          <w:szCs w:val="20"/>
        </w:rPr>
        <w:t>s from growing</w:t>
      </w:r>
      <w:r>
        <w:rPr>
          <w:b/>
          <w:bCs/>
          <w:i/>
          <w:iCs/>
          <w:sz w:val="20"/>
          <w:szCs w:val="20"/>
        </w:rPr>
        <w:t>.</w:t>
      </w:r>
    </w:p>
    <w:p w14:paraId="349FF732" w14:textId="77777777" w:rsidR="00000000" w:rsidRDefault="003C49E9">
      <w:pPr>
        <w:pStyle w:val="a3"/>
        <w:spacing w:before="200" w:beforeAutospacing="0" w:after="0" w:afterAutospacing="0"/>
        <w:ind w:firstLine="555"/>
        <w:rPr>
          <w:sz w:val="20"/>
          <w:szCs w:val="20"/>
        </w:rPr>
      </w:pPr>
      <w:r>
        <w:rPr>
          <w:sz w:val="20"/>
          <w:szCs w:val="20"/>
        </w:rPr>
        <w:t>Our business and operations may consume resources faster than we anticipate. In the future, we may need to raise additional funds to invest in future growth opportunities. Additional financing may not be available on favorable terms, if at all. In addition</w:t>
      </w:r>
      <w:r>
        <w:rPr>
          <w:sz w:val="20"/>
          <w:szCs w:val="20"/>
        </w:rPr>
        <w:t>, recent volatility in capital markets and lower market prices for many securities may affect our ability to access new capital through sales of shares of our common stock or issuance of indebtedness, which may materially harm our liquidity, limit our abil</w:t>
      </w:r>
      <w:r>
        <w:rPr>
          <w:sz w:val="20"/>
          <w:szCs w:val="20"/>
        </w:rPr>
        <w:t>ity to grow our business, pursue acquisitions or improve our operating infrastructure and restrict our ability to compete in our markets.</w:t>
      </w:r>
      <w:r>
        <w:rPr>
          <w:sz w:val="20"/>
          <w:szCs w:val="20"/>
        </w:rPr>
        <w:br/>
      </w:r>
      <w:r>
        <w:rPr>
          <w:sz w:val="20"/>
          <w:szCs w:val="20"/>
        </w:rPr>
        <w:br/>
      </w:r>
      <w:r>
        <w:rPr>
          <w:sz w:val="20"/>
          <w:szCs w:val="20"/>
        </w:rPr>
        <w:t> </w:t>
      </w:r>
    </w:p>
    <w:p w14:paraId="77DB1B2B" w14:textId="77777777" w:rsidR="00000000" w:rsidRDefault="003C49E9">
      <w:pPr>
        <w:pStyle w:val="a3"/>
        <w:spacing w:before="200" w:beforeAutospacing="0" w:after="0" w:afterAutospacing="0"/>
        <w:ind w:firstLine="555"/>
        <w:rPr>
          <w:sz w:val="20"/>
          <w:szCs w:val="20"/>
        </w:rPr>
      </w:pPr>
      <w:r>
        <w:rPr>
          <w:sz w:val="20"/>
          <w:szCs w:val="20"/>
        </w:rPr>
        <w:t>If adequate funds are not available on acceptable terms, we may be unable to invest in future growth opportunities,</w:t>
      </w:r>
      <w:r>
        <w:rPr>
          <w:sz w:val="20"/>
          <w:szCs w:val="20"/>
        </w:rPr>
        <w:t xml:space="preserve"> which could seriously harm our business and operating results. If we incur debt, the debt holders would have rights senior to common stockholders to make claims on our assets, and the terms of any debt could restrict our operations, including our ability </w:t>
      </w:r>
      <w:r>
        <w:rPr>
          <w:sz w:val="20"/>
          <w:szCs w:val="20"/>
        </w:rPr>
        <w:t>to pay dividends on our common stock. Furthermore, if we issue equity securities, stockholders will experience dilution, and the new equity securities could have rights senior to those of our common stock. The Notes are and any additional equity or equity-</w:t>
      </w:r>
      <w:r>
        <w:rPr>
          <w:sz w:val="20"/>
          <w:szCs w:val="20"/>
        </w:rPr>
        <w:t>linked financings would be dilutive to our stockholders. Because our decision to issue securities in any future offering will depend on market conditions and other factors beyond our control, we cannot predict or estimate the amount, timing or nature of ou</w:t>
      </w:r>
      <w:r>
        <w:rPr>
          <w:sz w:val="20"/>
          <w:szCs w:val="20"/>
        </w:rPr>
        <w:t>r future offerings. As a result, our stockholders bear the risk of our future securities offerings reducing the market price of our common stock and diluting their interest</w:t>
      </w:r>
      <w:r>
        <w:rPr>
          <w:sz w:val="20"/>
          <w:szCs w:val="20"/>
        </w:rPr>
        <w:t>.</w:t>
      </w:r>
    </w:p>
    <w:p w14:paraId="2BAE30F1" w14:textId="77777777" w:rsidR="00000000" w:rsidRDefault="003C49E9">
      <w:pPr>
        <w:pStyle w:val="a3"/>
        <w:spacing w:before="0" w:beforeAutospacing="0" w:after="0" w:afterAutospacing="0"/>
        <w:rPr>
          <w:sz w:val="20"/>
          <w:szCs w:val="20"/>
        </w:rPr>
      </w:pPr>
      <w:r>
        <w:rPr>
          <w:sz w:val="20"/>
          <w:szCs w:val="20"/>
        </w:rPr>
        <w:t> </w:t>
      </w:r>
    </w:p>
    <w:p w14:paraId="54984BD1" w14:textId="77777777" w:rsidR="00000000" w:rsidRDefault="003C49E9">
      <w:pPr>
        <w:pStyle w:val="a3"/>
        <w:spacing w:before="0" w:beforeAutospacing="0" w:after="0" w:afterAutospacing="0"/>
        <w:rPr>
          <w:sz w:val="20"/>
          <w:szCs w:val="20"/>
        </w:rPr>
      </w:pPr>
      <w:r>
        <w:rPr>
          <w:sz w:val="20"/>
          <w:szCs w:val="20"/>
        </w:rPr>
        <w:t> </w:t>
      </w:r>
    </w:p>
    <w:p w14:paraId="71A16897" w14:textId="77777777" w:rsidR="00000000" w:rsidRDefault="003C49E9">
      <w:pPr>
        <w:pStyle w:val="a3"/>
        <w:spacing w:before="0" w:beforeAutospacing="0" w:after="0" w:afterAutospacing="0"/>
        <w:ind w:hanging="1220"/>
        <w:rPr>
          <w:sz w:val="20"/>
          <w:szCs w:val="20"/>
        </w:rPr>
      </w:pPr>
      <w:r>
        <w:rPr>
          <w:b/>
          <w:bCs/>
          <w:sz w:val="20"/>
          <w:szCs w:val="20"/>
        </w:rPr>
        <w:t>Item 2. Unregistered Sales of Equ</w:t>
      </w:r>
      <w:r>
        <w:rPr>
          <w:b/>
          <w:bCs/>
          <w:sz w:val="20"/>
          <w:szCs w:val="20"/>
        </w:rPr>
        <w:t>i</w:t>
      </w:r>
      <w:r>
        <w:rPr>
          <w:b/>
          <w:bCs/>
          <w:sz w:val="20"/>
          <w:szCs w:val="20"/>
        </w:rPr>
        <w:t>ty Securities and Use of Proceed</w:t>
      </w:r>
      <w:r>
        <w:rPr>
          <w:b/>
          <w:bCs/>
          <w:sz w:val="20"/>
          <w:szCs w:val="20"/>
        </w:rPr>
        <w:t>s</w:t>
      </w:r>
    </w:p>
    <w:p w14:paraId="583656A0" w14:textId="77777777" w:rsidR="00000000" w:rsidRDefault="003C49E9">
      <w:pPr>
        <w:pStyle w:val="a3"/>
        <w:spacing w:before="120" w:beforeAutospacing="0" w:after="0" w:afterAutospacing="0"/>
        <w:ind w:firstLine="555"/>
        <w:rPr>
          <w:sz w:val="20"/>
          <w:szCs w:val="20"/>
        </w:rPr>
      </w:pPr>
      <w:r>
        <w:rPr>
          <w:sz w:val="20"/>
          <w:szCs w:val="20"/>
        </w:rPr>
        <w:t>None</w:t>
      </w:r>
      <w:r>
        <w:rPr>
          <w:sz w:val="20"/>
          <w:szCs w:val="20"/>
        </w:rPr>
        <w:t>.</w:t>
      </w:r>
    </w:p>
    <w:p w14:paraId="37A61603" w14:textId="77777777" w:rsidR="00000000" w:rsidRDefault="003C49E9">
      <w:pPr>
        <w:pStyle w:val="a3"/>
        <w:spacing w:before="0" w:beforeAutospacing="0" w:after="0" w:afterAutospacing="0"/>
        <w:rPr>
          <w:sz w:val="20"/>
          <w:szCs w:val="20"/>
        </w:rPr>
      </w:pPr>
      <w:r>
        <w:rPr>
          <w:sz w:val="20"/>
          <w:szCs w:val="20"/>
        </w:rPr>
        <w:t> </w:t>
      </w:r>
    </w:p>
    <w:p w14:paraId="79A73B6A" w14:textId="77777777" w:rsidR="00000000" w:rsidRDefault="003C49E9">
      <w:pPr>
        <w:pStyle w:val="a3"/>
        <w:spacing w:before="0" w:beforeAutospacing="0" w:after="0" w:afterAutospacing="0"/>
        <w:rPr>
          <w:sz w:val="20"/>
          <w:szCs w:val="20"/>
        </w:rPr>
      </w:pPr>
      <w:r>
        <w:rPr>
          <w:sz w:val="20"/>
          <w:szCs w:val="20"/>
        </w:rPr>
        <w:t> </w:t>
      </w:r>
    </w:p>
    <w:p w14:paraId="1F9F58E8" w14:textId="77777777" w:rsidR="00000000" w:rsidRDefault="003C49E9">
      <w:pPr>
        <w:pStyle w:val="a3"/>
        <w:spacing w:before="0" w:beforeAutospacing="0" w:after="0" w:afterAutospacing="0"/>
        <w:ind w:hanging="1220"/>
        <w:rPr>
          <w:sz w:val="20"/>
          <w:szCs w:val="20"/>
        </w:rPr>
      </w:pPr>
      <w:r>
        <w:rPr>
          <w:b/>
          <w:bCs/>
          <w:sz w:val="20"/>
          <w:szCs w:val="20"/>
        </w:rPr>
        <w:t>Item 3. Defaults o</w:t>
      </w:r>
      <w:r>
        <w:rPr>
          <w:b/>
          <w:bCs/>
          <w:sz w:val="20"/>
          <w:szCs w:val="20"/>
        </w:rPr>
        <w:t>n</w:t>
      </w:r>
      <w:r>
        <w:rPr>
          <w:b/>
          <w:bCs/>
          <w:sz w:val="20"/>
          <w:szCs w:val="20"/>
        </w:rPr>
        <w:t xml:space="preserve"> Senior Securitie</w:t>
      </w:r>
      <w:r>
        <w:rPr>
          <w:b/>
          <w:bCs/>
          <w:sz w:val="20"/>
          <w:szCs w:val="20"/>
        </w:rPr>
        <w:t>s</w:t>
      </w:r>
    </w:p>
    <w:p w14:paraId="3F227873" w14:textId="77777777" w:rsidR="00000000" w:rsidRDefault="003C49E9">
      <w:pPr>
        <w:pStyle w:val="a3"/>
        <w:spacing w:before="120" w:beforeAutospacing="0" w:after="0" w:afterAutospacing="0"/>
        <w:ind w:firstLine="555"/>
        <w:rPr>
          <w:sz w:val="20"/>
          <w:szCs w:val="20"/>
        </w:rPr>
      </w:pPr>
      <w:r>
        <w:rPr>
          <w:sz w:val="20"/>
          <w:szCs w:val="20"/>
        </w:rPr>
        <w:t>None</w:t>
      </w:r>
      <w:r>
        <w:rPr>
          <w:sz w:val="20"/>
          <w:szCs w:val="20"/>
        </w:rPr>
        <w:t>.</w:t>
      </w:r>
    </w:p>
    <w:p w14:paraId="2873A826" w14:textId="77777777" w:rsidR="00000000" w:rsidRDefault="003C49E9">
      <w:pPr>
        <w:pStyle w:val="a3"/>
        <w:spacing w:before="0" w:beforeAutospacing="0" w:after="0" w:afterAutospacing="0"/>
        <w:rPr>
          <w:sz w:val="20"/>
          <w:szCs w:val="20"/>
        </w:rPr>
      </w:pPr>
      <w:r>
        <w:rPr>
          <w:sz w:val="20"/>
          <w:szCs w:val="20"/>
        </w:rPr>
        <w:t> </w:t>
      </w:r>
    </w:p>
    <w:p w14:paraId="78068182" w14:textId="77777777" w:rsidR="00000000" w:rsidRDefault="003C49E9">
      <w:pPr>
        <w:pStyle w:val="a3"/>
        <w:spacing w:before="0" w:beforeAutospacing="0" w:after="0" w:afterAutospacing="0"/>
        <w:rPr>
          <w:sz w:val="20"/>
          <w:szCs w:val="20"/>
        </w:rPr>
      </w:pPr>
      <w:r>
        <w:rPr>
          <w:sz w:val="20"/>
          <w:szCs w:val="20"/>
        </w:rPr>
        <w:t> </w:t>
      </w:r>
    </w:p>
    <w:p w14:paraId="2CA351E9" w14:textId="77777777" w:rsidR="00000000" w:rsidRDefault="003C49E9">
      <w:pPr>
        <w:pStyle w:val="a3"/>
        <w:spacing w:before="0" w:beforeAutospacing="0" w:after="0" w:afterAutospacing="0"/>
        <w:ind w:hanging="1220"/>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14:paraId="108A30E3" w14:textId="77777777" w:rsidR="00000000" w:rsidRDefault="003C49E9">
      <w:pPr>
        <w:pStyle w:val="a3"/>
        <w:spacing w:before="120" w:beforeAutospacing="0" w:after="0" w:afterAutospacing="0"/>
        <w:ind w:firstLine="555"/>
        <w:rPr>
          <w:sz w:val="20"/>
          <w:szCs w:val="20"/>
        </w:rPr>
      </w:pPr>
      <w:r>
        <w:rPr>
          <w:sz w:val="20"/>
          <w:szCs w:val="20"/>
        </w:rPr>
        <w:t>Not Applicable</w:t>
      </w:r>
      <w:r>
        <w:rPr>
          <w:sz w:val="20"/>
          <w:szCs w:val="20"/>
        </w:rPr>
        <w:t>.</w:t>
      </w:r>
    </w:p>
    <w:p w14:paraId="208234C1" w14:textId="77777777" w:rsidR="00000000" w:rsidRDefault="003C49E9">
      <w:pPr>
        <w:pStyle w:val="a3"/>
        <w:spacing w:before="0" w:beforeAutospacing="0" w:after="0" w:afterAutospacing="0"/>
        <w:rPr>
          <w:sz w:val="20"/>
          <w:szCs w:val="20"/>
        </w:rPr>
      </w:pPr>
      <w:r>
        <w:rPr>
          <w:sz w:val="20"/>
          <w:szCs w:val="20"/>
        </w:rPr>
        <w:t> </w:t>
      </w:r>
    </w:p>
    <w:p w14:paraId="3E2EA41C" w14:textId="77777777" w:rsidR="00000000" w:rsidRDefault="003C49E9">
      <w:pPr>
        <w:pStyle w:val="a3"/>
        <w:spacing w:before="0" w:beforeAutospacing="0" w:after="0" w:afterAutospacing="0"/>
        <w:rPr>
          <w:sz w:val="20"/>
          <w:szCs w:val="20"/>
        </w:rPr>
      </w:pPr>
      <w:r>
        <w:rPr>
          <w:sz w:val="20"/>
          <w:szCs w:val="20"/>
        </w:rPr>
        <w:t> </w:t>
      </w:r>
    </w:p>
    <w:p w14:paraId="1E5A9167" w14:textId="77777777" w:rsidR="00000000" w:rsidRDefault="003C49E9">
      <w:pPr>
        <w:pStyle w:val="a3"/>
        <w:spacing w:before="0" w:beforeAutospacing="0" w:after="0" w:afterAutospacing="0"/>
        <w:ind w:hanging="1220"/>
        <w:rPr>
          <w:sz w:val="20"/>
          <w:szCs w:val="20"/>
        </w:rPr>
      </w:pPr>
      <w:r>
        <w:rPr>
          <w:b/>
          <w:bCs/>
          <w:sz w:val="20"/>
          <w:szCs w:val="20"/>
        </w:rPr>
        <w:t>Item 5. Othe</w:t>
      </w:r>
      <w:r>
        <w:rPr>
          <w:b/>
          <w:bCs/>
          <w:sz w:val="20"/>
          <w:szCs w:val="20"/>
        </w:rPr>
        <w:t>r</w:t>
      </w:r>
      <w:r>
        <w:rPr>
          <w:b/>
          <w:bCs/>
          <w:sz w:val="20"/>
          <w:szCs w:val="20"/>
        </w:rPr>
        <w:t xml:space="preserve"> Informatio</w:t>
      </w:r>
      <w:r>
        <w:rPr>
          <w:b/>
          <w:bCs/>
          <w:sz w:val="20"/>
          <w:szCs w:val="20"/>
        </w:rPr>
        <w:t>n</w:t>
      </w:r>
    </w:p>
    <w:p w14:paraId="1388DDFC" w14:textId="77777777" w:rsidR="00000000" w:rsidRDefault="003C49E9">
      <w:pPr>
        <w:pStyle w:val="a3"/>
        <w:spacing w:before="120" w:beforeAutospacing="0" w:after="0" w:afterAutospacing="0"/>
        <w:ind w:firstLine="555"/>
        <w:rPr>
          <w:sz w:val="20"/>
          <w:szCs w:val="20"/>
        </w:rPr>
      </w:pPr>
      <w:r>
        <w:rPr>
          <w:sz w:val="20"/>
          <w:szCs w:val="20"/>
        </w:rPr>
        <w:t>None</w:t>
      </w:r>
      <w:r>
        <w:rPr>
          <w:sz w:val="20"/>
          <w:szCs w:val="20"/>
        </w:rPr>
        <w:t>.</w:t>
      </w:r>
    </w:p>
    <w:p w14:paraId="04B8BD8E" w14:textId="77777777" w:rsidR="00000000" w:rsidRDefault="003C49E9">
      <w:pPr>
        <w:pStyle w:val="a3"/>
        <w:spacing w:before="0" w:beforeAutospacing="0" w:after="0" w:afterAutospacing="0"/>
        <w:rPr>
          <w:sz w:val="20"/>
          <w:szCs w:val="20"/>
        </w:rPr>
      </w:pPr>
      <w:r>
        <w:rPr>
          <w:sz w:val="20"/>
          <w:szCs w:val="20"/>
        </w:rPr>
        <w:t> </w:t>
      </w:r>
    </w:p>
    <w:p w14:paraId="3E4C9C1F" w14:textId="77777777" w:rsidR="00000000" w:rsidRDefault="003C49E9">
      <w:pPr>
        <w:pStyle w:val="a3"/>
        <w:spacing w:before="0" w:beforeAutospacing="0" w:after="0" w:afterAutospacing="0"/>
        <w:rPr>
          <w:sz w:val="20"/>
          <w:szCs w:val="20"/>
        </w:rPr>
      </w:pPr>
      <w:r>
        <w:rPr>
          <w:sz w:val="20"/>
          <w:szCs w:val="20"/>
        </w:rPr>
        <w:t> </w:t>
      </w:r>
    </w:p>
    <w:p w14:paraId="1C0E1932" w14:textId="77777777" w:rsidR="00000000" w:rsidRDefault="003C49E9">
      <w:pPr>
        <w:pStyle w:val="a3"/>
        <w:spacing w:before="0" w:beforeAutospacing="0" w:after="0" w:afterAutospacing="0"/>
        <w:rPr>
          <w:sz w:val="20"/>
          <w:szCs w:val="20"/>
        </w:rPr>
      </w:pPr>
      <w:r>
        <w:rPr>
          <w:sz w:val="20"/>
          <w:szCs w:val="20"/>
        </w:rPr>
        <w:t> </w:t>
      </w:r>
    </w:p>
    <w:p w14:paraId="63E95506" w14:textId="77777777" w:rsidR="00000000" w:rsidRDefault="003C49E9">
      <w:pPr>
        <w:pStyle w:val="a3"/>
        <w:spacing w:before="240" w:beforeAutospacing="0" w:after="0" w:afterAutospacing="0"/>
        <w:jc w:val="center"/>
        <w:rPr>
          <w:sz w:val="20"/>
          <w:szCs w:val="20"/>
        </w:rPr>
      </w:pPr>
      <w:r>
        <w:rPr>
          <w:sz w:val="20"/>
          <w:szCs w:val="20"/>
        </w:rPr>
        <w:t>5</w:t>
      </w:r>
      <w:r>
        <w:rPr>
          <w:sz w:val="20"/>
          <w:szCs w:val="20"/>
        </w:rPr>
        <w:t>9</w:t>
      </w:r>
    </w:p>
    <w:p w14:paraId="096FBA6C" w14:textId="77777777" w:rsidR="00000000" w:rsidRDefault="003C49E9">
      <w:pPr>
        <w:rPr>
          <w:rFonts w:eastAsia="Times New Roman"/>
        </w:rPr>
      </w:pPr>
      <w:r>
        <w:rPr>
          <w:rFonts w:eastAsia="Times New Roman"/>
        </w:rPr>
        <w:pict w14:anchorId="650BDABC">
          <v:rect id="_x0000_i1083" style="width:0;height:1.5pt" o:hralign="center" o:hrstd="t" o:hr="t" fillcolor="#a0a0a0" stroked="f"/>
        </w:pict>
      </w:r>
    </w:p>
    <w:p w14:paraId="1E4F82A6" w14:textId="77777777" w:rsidR="00000000" w:rsidRDefault="003C49E9">
      <w:pPr>
        <w:pStyle w:val="a3"/>
        <w:spacing w:before="0" w:beforeAutospacing="0" w:after="0" w:afterAutospacing="0"/>
        <w:rPr>
          <w:sz w:val="20"/>
          <w:szCs w:val="20"/>
        </w:rPr>
      </w:pPr>
      <w:r>
        <w:rPr>
          <w:sz w:val="20"/>
          <w:szCs w:val="20"/>
        </w:rPr>
        <w:t> </w:t>
      </w:r>
    </w:p>
    <w:p w14:paraId="6B53E3BB" w14:textId="77777777" w:rsidR="00000000" w:rsidRDefault="003C49E9">
      <w:pPr>
        <w:pStyle w:val="a3"/>
        <w:spacing w:before="0" w:beforeAutospacing="0" w:after="0" w:afterAutospacing="0"/>
        <w:ind w:hanging="1220"/>
        <w:rPr>
          <w:sz w:val="20"/>
          <w:szCs w:val="20"/>
        </w:rPr>
      </w:pPr>
      <w:r>
        <w:rPr>
          <w:b/>
          <w:bCs/>
          <w:sz w:val="20"/>
          <w:szCs w:val="20"/>
        </w:rPr>
        <w:t>Item 6.</w:t>
      </w:r>
      <w:r>
        <w:rPr>
          <w:b/>
          <w:bCs/>
          <w:sz w:val="20"/>
          <w:szCs w:val="20"/>
        </w:rPr>
        <w:t xml:space="preserve"> </w:t>
      </w:r>
      <w:r>
        <w:rPr>
          <w:b/>
          <w:bCs/>
          <w:sz w:val="20"/>
          <w:szCs w:val="20"/>
        </w:rPr>
        <w:t>Exhibit</w:t>
      </w:r>
      <w:r>
        <w:rPr>
          <w:b/>
          <w:bCs/>
          <w:sz w:val="20"/>
          <w:szCs w:val="20"/>
        </w:rPr>
        <w:t>s</w:t>
      </w:r>
    </w:p>
    <w:p w14:paraId="0C547D70" w14:textId="77777777" w:rsidR="00000000" w:rsidRDefault="003C49E9">
      <w:pPr>
        <w:pStyle w:val="a3"/>
        <w:spacing w:before="120" w:beforeAutospacing="0" w:after="0" w:afterAutospacing="0"/>
        <w:ind w:firstLine="555"/>
        <w:rPr>
          <w:sz w:val="20"/>
          <w:szCs w:val="20"/>
        </w:rPr>
      </w:pPr>
      <w:r>
        <w:rPr>
          <w:sz w:val="20"/>
          <w:szCs w:val="20"/>
        </w:rPr>
        <w:t>The exhibits listed below are filed or incorporated by reference into this Report</w:t>
      </w:r>
      <w:r>
        <w:rPr>
          <w:sz w:val="20"/>
          <w:szCs w:val="20"/>
        </w:rPr>
        <w:t>.</w:t>
      </w:r>
    </w:p>
    <w:p w14:paraId="205CF8F2" w14:textId="77777777" w:rsidR="00000000" w:rsidRDefault="003C49E9">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5"/>
        <w:gridCol w:w="110"/>
        <w:gridCol w:w="7171"/>
      </w:tblGrid>
      <w:tr w:rsidR="00000000" w14:paraId="6C7D6566" w14:textId="77777777">
        <w:trPr>
          <w:tblCellSpacing w:w="15" w:type="dxa"/>
        </w:trPr>
        <w:tc>
          <w:tcPr>
            <w:tcW w:w="491" w:type="pct"/>
            <w:vAlign w:val="center"/>
            <w:hideMark/>
          </w:tcPr>
          <w:p w14:paraId="29C72BCA" w14:textId="77777777" w:rsidR="00000000" w:rsidRDefault="003C49E9">
            <w:pPr>
              <w:rPr>
                <w:sz w:val="20"/>
                <w:szCs w:val="20"/>
              </w:rPr>
            </w:pPr>
          </w:p>
        </w:tc>
        <w:tc>
          <w:tcPr>
            <w:tcW w:w="50" w:type="pct"/>
            <w:vAlign w:val="center"/>
            <w:hideMark/>
          </w:tcPr>
          <w:p w14:paraId="58E7AFFC" w14:textId="77777777" w:rsidR="00000000" w:rsidRDefault="003C49E9">
            <w:pPr>
              <w:rPr>
                <w:rFonts w:eastAsia="Times New Roman"/>
                <w:sz w:val="20"/>
                <w:szCs w:val="20"/>
              </w:rPr>
            </w:pPr>
          </w:p>
        </w:tc>
        <w:tc>
          <w:tcPr>
            <w:tcW w:w="4458" w:type="pct"/>
            <w:vAlign w:val="center"/>
            <w:hideMark/>
          </w:tcPr>
          <w:p w14:paraId="4B573AF3" w14:textId="77777777" w:rsidR="00000000" w:rsidRDefault="003C49E9">
            <w:pPr>
              <w:rPr>
                <w:rFonts w:eastAsia="Times New Roman"/>
                <w:sz w:val="20"/>
                <w:szCs w:val="20"/>
              </w:rPr>
            </w:pPr>
          </w:p>
        </w:tc>
      </w:tr>
      <w:tr w:rsidR="00000000" w14:paraId="371CA819" w14:textId="77777777">
        <w:trPr>
          <w:trHeight w:val="160"/>
          <w:tblCellSpacing w:w="15" w:type="dxa"/>
        </w:trPr>
        <w:tc>
          <w:tcPr>
            <w:tcW w:w="0" w:type="auto"/>
            <w:vAlign w:val="bottom"/>
            <w:hideMark/>
          </w:tcPr>
          <w:p w14:paraId="21A7F431" w14:textId="77777777" w:rsidR="00000000" w:rsidRDefault="003C49E9">
            <w:pPr>
              <w:pStyle w:val="a3"/>
              <w:spacing w:before="0" w:beforeAutospacing="0" w:after="0" w:afterAutospacing="0"/>
              <w:jc w:val="center"/>
              <w:rPr>
                <w:sz w:val="16"/>
                <w:szCs w:val="16"/>
              </w:rPr>
            </w:pPr>
            <w:r>
              <w:rPr>
                <w:b/>
                <w:bCs/>
                <w:sz w:val="16"/>
                <w:szCs w:val="16"/>
              </w:rPr>
              <w:t>Exhibi</w:t>
            </w:r>
            <w:r>
              <w:rPr>
                <w:b/>
                <w:bCs/>
                <w:sz w:val="16"/>
                <w:szCs w:val="16"/>
              </w:rPr>
              <w:t>t</w:t>
            </w:r>
          </w:p>
          <w:p w14:paraId="434FB246" w14:textId="77777777" w:rsidR="00000000" w:rsidRDefault="003C49E9">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14:paraId="6377034A" w14:textId="77777777" w:rsidR="00000000" w:rsidRDefault="003C49E9">
            <w:pPr>
              <w:pStyle w:val="a3"/>
              <w:spacing w:before="0" w:beforeAutospacing="0" w:after="0" w:afterAutospacing="0"/>
              <w:rPr>
                <w:sz w:val="16"/>
                <w:szCs w:val="16"/>
              </w:rPr>
            </w:pPr>
            <w:r>
              <w:rPr>
                <w:sz w:val="16"/>
                <w:szCs w:val="16"/>
              </w:rPr>
              <w:t> </w:t>
            </w:r>
          </w:p>
        </w:tc>
        <w:tc>
          <w:tcPr>
            <w:tcW w:w="0" w:type="auto"/>
            <w:vAlign w:val="bottom"/>
            <w:hideMark/>
          </w:tcPr>
          <w:p w14:paraId="67C6223F" w14:textId="77777777" w:rsidR="00000000" w:rsidRDefault="003C49E9">
            <w:pPr>
              <w:pStyle w:val="a3"/>
              <w:spacing w:before="0" w:beforeAutospacing="0" w:after="0" w:afterAutospacing="0"/>
              <w:jc w:val="center"/>
              <w:rPr>
                <w:sz w:val="16"/>
                <w:szCs w:val="16"/>
              </w:rPr>
            </w:pPr>
            <w:r>
              <w:rPr>
                <w:b/>
                <w:bCs/>
                <w:sz w:val="16"/>
                <w:szCs w:val="16"/>
              </w:rPr>
              <w:t>Exhibit Titl</w:t>
            </w:r>
            <w:r>
              <w:rPr>
                <w:b/>
                <w:bCs/>
                <w:sz w:val="16"/>
                <w:szCs w:val="16"/>
              </w:rPr>
              <w:t>e</w:t>
            </w:r>
          </w:p>
        </w:tc>
      </w:tr>
      <w:tr w:rsidR="00000000" w14:paraId="33837C28" w14:textId="77777777">
        <w:trPr>
          <w:trHeight w:val="86"/>
          <w:tblCellSpacing w:w="15" w:type="dxa"/>
        </w:trPr>
        <w:tc>
          <w:tcPr>
            <w:tcW w:w="0" w:type="auto"/>
            <w:vAlign w:val="bottom"/>
            <w:hideMark/>
          </w:tcPr>
          <w:p w14:paraId="61699F6C"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2C15D1FF"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5C25DC5B" w14:textId="77777777" w:rsidR="00000000" w:rsidRDefault="003C49E9">
            <w:pPr>
              <w:pStyle w:val="a3"/>
              <w:spacing w:before="0" w:beforeAutospacing="0" w:after="0" w:afterAutospacing="0"/>
              <w:rPr>
                <w:sz w:val="12"/>
                <w:szCs w:val="12"/>
              </w:rPr>
            </w:pPr>
            <w:r>
              <w:rPr>
                <w:sz w:val="12"/>
                <w:szCs w:val="12"/>
              </w:rPr>
              <w:t> </w:t>
            </w:r>
          </w:p>
        </w:tc>
      </w:tr>
      <w:tr w:rsidR="00000000" w14:paraId="5509B24D" w14:textId="77777777">
        <w:trPr>
          <w:trHeight w:val="200"/>
          <w:tblCellSpacing w:w="15" w:type="dxa"/>
        </w:trPr>
        <w:tc>
          <w:tcPr>
            <w:tcW w:w="0" w:type="auto"/>
            <w:hideMark/>
          </w:tcPr>
          <w:p w14:paraId="563ECFFD" w14:textId="77777777" w:rsidR="00000000" w:rsidRDefault="003C49E9">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14:paraId="42BE055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EE07C35" w14:textId="77777777" w:rsidR="00000000" w:rsidRDefault="003C49E9">
            <w:pPr>
              <w:pStyle w:val="a3"/>
              <w:spacing w:before="0" w:beforeAutospacing="0" w:after="0" w:afterAutospacing="0"/>
              <w:rPr>
                <w:sz w:val="20"/>
                <w:szCs w:val="20"/>
              </w:rPr>
            </w:pPr>
            <w:hyperlink r:id="rId4" w:history="1">
              <w:r>
                <w:rPr>
                  <w:rStyle w:val="a4"/>
                  <w:sz w:val="20"/>
                  <w:szCs w:val="20"/>
                </w:rPr>
                <w:t>Seventh Amended and Restated Certificate of Incorporation of the Registran</w:t>
              </w:r>
              <w:r>
                <w:rPr>
                  <w:rStyle w:val="a4"/>
                  <w:sz w:val="20"/>
                  <w:szCs w:val="20"/>
                </w:rPr>
                <w:t>t</w:t>
              </w:r>
            </w:hyperlink>
          </w:p>
        </w:tc>
      </w:tr>
      <w:tr w:rsidR="00000000" w14:paraId="7B703EDA" w14:textId="77777777">
        <w:trPr>
          <w:trHeight w:val="86"/>
          <w:tblCellSpacing w:w="15" w:type="dxa"/>
        </w:trPr>
        <w:tc>
          <w:tcPr>
            <w:tcW w:w="0" w:type="auto"/>
            <w:hideMark/>
          </w:tcPr>
          <w:p w14:paraId="700A24E3" w14:textId="77777777" w:rsidR="00000000" w:rsidRDefault="003C49E9">
            <w:pPr>
              <w:pStyle w:val="a3"/>
              <w:spacing w:before="0" w:beforeAutospacing="0" w:after="0" w:afterAutospacing="0"/>
              <w:jc w:val="center"/>
              <w:rPr>
                <w:sz w:val="12"/>
                <w:szCs w:val="12"/>
              </w:rPr>
            </w:pPr>
            <w:r>
              <w:rPr>
                <w:sz w:val="12"/>
                <w:szCs w:val="12"/>
              </w:rPr>
              <w:t> </w:t>
            </w:r>
          </w:p>
        </w:tc>
        <w:tc>
          <w:tcPr>
            <w:tcW w:w="0" w:type="auto"/>
            <w:vAlign w:val="bottom"/>
            <w:hideMark/>
          </w:tcPr>
          <w:p w14:paraId="50360E67"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44D35BA9" w14:textId="77777777" w:rsidR="00000000" w:rsidRDefault="003C49E9">
            <w:pPr>
              <w:pStyle w:val="a3"/>
              <w:spacing w:before="0" w:beforeAutospacing="0" w:after="0" w:afterAutospacing="0"/>
              <w:rPr>
                <w:sz w:val="12"/>
                <w:szCs w:val="12"/>
              </w:rPr>
            </w:pPr>
            <w:r>
              <w:rPr>
                <w:sz w:val="12"/>
                <w:szCs w:val="12"/>
              </w:rPr>
              <w:t> </w:t>
            </w:r>
          </w:p>
        </w:tc>
      </w:tr>
      <w:tr w:rsidR="00000000" w14:paraId="2AF57B7D" w14:textId="77777777">
        <w:trPr>
          <w:trHeight w:val="200"/>
          <w:tblCellSpacing w:w="15" w:type="dxa"/>
        </w:trPr>
        <w:tc>
          <w:tcPr>
            <w:tcW w:w="0" w:type="auto"/>
            <w:hideMark/>
          </w:tcPr>
          <w:p w14:paraId="1C2836F2" w14:textId="77777777" w:rsidR="00000000" w:rsidRDefault="003C49E9">
            <w:pPr>
              <w:pStyle w:val="a3"/>
              <w:spacing w:before="0" w:beforeAutospacing="0" w:after="0" w:afterAutospacing="0"/>
              <w:jc w:val="center"/>
              <w:rPr>
                <w:sz w:val="20"/>
                <w:szCs w:val="20"/>
              </w:rPr>
            </w:pPr>
            <w:r>
              <w:rPr>
                <w:sz w:val="20"/>
                <w:szCs w:val="20"/>
              </w:rPr>
              <w:t>3.2(2</w:t>
            </w:r>
            <w:r>
              <w:rPr>
                <w:sz w:val="20"/>
                <w:szCs w:val="20"/>
              </w:rPr>
              <w:t>)</w:t>
            </w:r>
          </w:p>
        </w:tc>
        <w:tc>
          <w:tcPr>
            <w:tcW w:w="0" w:type="auto"/>
            <w:vAlign w:val="bottom"/>
            <w:hideMark/>
          </w:tcPr>
          <w:p w14:paraId="4DD09E3B"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57531FBD" w14:textId="77777777" w:rsidR="00000000" w:rsidRDefault="003C49E9">
            <w:pPr>
              <w:pStyle w:val="a3"/>
              <w:spacing w:before="0" w:beforeAutospacing="0" w:after="0" w:afterAutospacing="0"/>
              <w:rPr>
                <w:sz w:val="20"/>
                <w:szCs w:val="20"/>
              </w:rPr>
            </w:pPr>
            <w:hyperlink r:id="rId5" w:history="1">
              <w:r>
                <w:rPr>
                  <w:rStyle w:val="a4"/>
                  <w:sz w:val="20"/>
                  <w:szCs w:val="20"/>
                </w:rPr>
                <w:t>Third Amended and Restated Bylaws of the Registran</w:t>
              </w:r>
              <w:r>
                <w:rPr>
                  <w:rStyle w:val="a4"/>
                  <w:sz w:val="20"/>
                  <w:szCs w:val="20"/>
                </w:rPr>
                <w:t>t</w:t>
              </w:r>
              <w:r>
                <w:rPr>
                  <w:rStyle w:val="a4"/>
                  <w:sz w:val="20"/>
                  <w:szCs w:val="20"/>
                </w:rPr>
                <w:t xml:space="preserve"> </w:t>
              </w:r>
            </w:hyperlink>
          </w:p>
        </w:tc>
      </w:tr>
      <w:tr w:rsidR="00000000" w14:paraId="695FFF88" w14:textId="77777777">
        <w:trPr>
          <w:trHeight w:val="158"/>
          <w:tblCellSpacing w:w="15" w:type="dxa"/>
        </w:trPr>
        <w:tc>
          <w:tcPr>
            <w:tcW w:w="0" w:type="auto"/>
            <w:hideMark/>
          </w:tcPr>
          <w:p w14:paraId="268F3E7B" w14:textId="77777777" w:rsidR="00000000" w:rsidRDefault="003C49E9">
            <w:pPr>
              <w:pStyle w:val="a3"/>
              <w:spacing w:before="0" w:beforeAutospacing="0" w:after="0" w:afterAutospacing="0"/>
              <w:jc w:val="center"/>
              <w:rPr>
                <w:sz w:val="9"/>
                <w:szCs w:val="9"/>
              </w:rPr>
            </w:pPr>
            <w:r>
              <w:rPr>
                <w:sz w:val="9"/>
                <w:szCs w:val="9"/>
              </w:rPr>
              <w:t> </w:t>
            </w:r>
          </w:p>
          <w:p w14:paraId="605CC6E1" w14:textId="77777777" w:rsidR="00000000" w:rsidRDefault="003C49E9">
            <w:pPr>
              <w:pStyle w:val="a3"/>
              <w:spacing w:before="0" w:beforeAutospacing="0" w:after="0" w:afterAutospacing="0"/>
              <w:jc w:val="center"/>
              <w:rPr>
                <w:sz w:val="20"/>
                <w:szCs w:val="20"/>
              </w:rPr>
            </w:pPr>
            <w:r>
              <w:rPr>
                <w:sz w:val="20"/>
                <w:szCs w:val="20"/>
              </w:rPr>
              <w:t>3.3(3</w:t>
            </w:r>
            <w:r>
              <w:rPr>
                <w:sz w:val="20"/>
                <w:szCs w:val="20"/>
              </w:rPr>
              <w:t>)</w:t>
            </w:r>
          </w:p>
        </w:tc>
        <w:tc>
          <w:tcPr>
            <w:tcW w:w="0" w:type="auto"/>
            <w:vAlign w:val="bottom"/>
            <w:hideMark/>
          </w:tcPr>
          <w:p w14:paraId="6246898A"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717713D" w14:textId="77777777" w:rsidR="00000000" w:rsidRDefault="003C49E9">
            <w:pPr>
              <w:pStyle w:val="a3"/>
              <w:spacing w:before="0" w:beforeAutospacing="0" w:after="0" w:afterAutospacing="0"/>
              <w:rPr>
                <w:sz w:val="20"/>
                <w:szCs w:val="20"/>
              </w:rPr>
            </w:pPr>
            <w:hyperlink r:id="rId6" w:history="1">
              <w:r>
                <w:rPr>
                  <w:rStyle w:val="a4"/>
                  <w:sz w:val="20"/>
                  <w:szCs w:val="20"/>
                </w:rPr>
                <w:t>First Amendment to Third Amended and Restated Bylaws of the Registran</w:t>
              </w:r>
              <w:r>
                <w:rPr>
                  <w:rStyle w:val="a4"/>
                  <w:sz w:val="20"/>
                  <w:szCs w:val="20"/>
                </w:rPr>
                <w:t>t</w:t>
              </w:r>
            </w:hyperlink>
          </w:p>
        </w:tc>
      </w:tr>
      <w:tr w:rsidR="00000000" w14:paraId="3609923E" w14:textId="77777777">
        <w:trPr>
          <w:tblCellSpacing w:w="15" w:type="dxa"/>
        </w:trPr>
        <w:tc>
          <w:tcPr>
            <w:tcW w:w="0" w:type="auto"/>
            <w:hideMark/>
          </w:tcPr>
          <w:p w14:paraId="22DB0476" w14:textId="77777777" w:rsidR="00000000" w:rsidRDefault="003C49E9">
            <w:pPr>
              <w:pStyle w:val="a3"/>
              <w:spacing w:before="0" w:beforeAutospacing="0" w:after="0" w:afterAutospacing="0"/>
              <w:jc w:val="center"/>
              <w:rPr>
                <w:sz w:val="12"/>
                <w:szCs w:val="12"/>
              </w:rPr>
            </w:pPr>
            <w:r>
              <w:rPr>
                <w:sz w:val="12"/>
                <w:szCs w:val="12"/>
              </w:rPr>
              <w:t> </w:t>
            </w:r>
          </w:p>
        </w:tc>
        <w:tc>
          <w:tcPr>
            <w:tcW w:w="0" w:type="auto"/>
            <w:vAlign w:val="bottom"/>
            <w:hideMark/>
          </w:tcPr>
          <w:p w14:paraId="4746E69A"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06098395" w14:textId="77777777" w:rsidR="00000000" w:rsidRDefault="003C49E9">
            <w:pPr>
              <w:pStyle w:val="a3"/>
              <w:spacing w:before="0" w:beforeAutospacing="0" w:after="0" w:afterAutospacing="0"/>
              <w:rPr>
                <w:sz w:val="12"/>
                <w:szCs w:val="12"/>
              </w:rPr>
            </w:pPr>
            <w:r>
              <w:rPr>
                <w:sz w:val="12"/>
                <w:szCs w:val="12"/>
              </w:rPr>
              <w:t> </w:t>
            </w:r>
          </w:p>
        </w:tc>
      </w:tr>
      <w:tr w:rsidR="00000000" w14:paraId="0034585C" w14:textId="77777777">
        <w:trPr>
          <w:trHeight w:val="200"/>
          <w:tblCellSpacing w:w="15" w:type="dxa"/>
        </w:trPr>
        <w:tc>
          <w:tcPr>
            <w:tcW w:w="0" w:type="auto"/>
            <w:hideMark/>
          </w:tcPr>
          <w:p w14:paraId="283C2752" w14:textId="77777777" w:rsidR="00000000" w:rsidRDefault="003C49E9">
            <w:pPr>
              <w:pStyle w:val="a3"/>
              <w:spacing w:before="0" w:beforeAutospacing="0" w:after="0" w:afterAutospacing="0"/>
              <w:jc w:val="center"/>
              <w:rPr>
                <w:sz w:val="20"/>
                <w:szCs w:val="20"/>
              </w:rPr>
            </w:pPr>
            <w:r>
              <w:rPr>
                <w:sz w:val="20"/>
                <w:szCs w:val="20"/>
              </w:rPr>
              <w:t>4.1(4</w:t>
            </w:r>
            <w:r>
              <w:rPr>
                <w:sz w:val="20"/>
                <w:szCs w:val="20"/>
              </w:rPr>
              <w:t>)</w:t>
            </w:r>
          </w:p>
        </w:tc>
        <w:tc>
          <w:tcPr>
            <w:tcW w:w="0" w:type="auto"/>
            <w:vAlign w:val="bottom"/>
            <w:hideMark/>
          </w:tcPr>
          <w:p w14:paraId="26BD439E"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5D7BB2C" w14:textId="77777777" w:rsidR="00000000" w:rsidRDefault="003C49E9">
            <w:pPr>
              <w:pStyle w:val="a3"/>
              <w:spacing w:before="0" w:beforeAutospacing="0" w:after="0" w:afterAutospacing="0"/>
              <w:rPr>
                <w:sz w:val="20"/>
                <w:szCs w:val="20"/>
              </w:rPr>
            </w:pPr>
            <w:hyperlink r:id="rId7" w:history="1">
              <w:r>
                <w:rPr>
                  <w:rStyle w:val="a4"/>
                  <w:sz w:val="20"/>
                  <w:szCs w:val="20"/>
                </w:rPr>
                <w:t>Form of Common Stock certificate of the Registran</w:t>
              </w:r>
              <w:r>
                <w:rPr>
                  <w:rStyle w:val="a4"/>
                  <w:sz w:val="20"/>
                  <w:szCs w:val="20"/>
                </w:rPr>
                <w:t>t</w:t>
              </w:r>
            </w:hyperlink>
          </w:p>
        </w:tc>
      </w:tr>
      <w:tr w:rsidR="00000000" w14:paraId="3F15166F" w14:textId="77777777">
        <w:trPr>
          <w:trHeight w:val="86"/>
          <w:tblCellSpacing w:w="15" w:type="dxa"/>
        </w:trPr>
        <w:tc>
          <w:tcPr>
            <w:tcW w:w="0" w:type="auto"/>
            <w:hideMark/>
          </w:tcPr>
          <w:p w14:paraId="732E7EEF" w14:textId="77777777" w:rsidR="00000000" w:rsidRDefault="003C49E9">
            <w:pPr>
              <w:pStyle w:val="a3"/>
              <w:spacing w:before="0" w:beforeAutospacing="0" w:after="0" w:afterAutospacing="0"/>
              <w:jc w:val="center"/>
              <w:rPr>
                <w:sz w:val="12"/>
                <w:szCs w:val="12"/>
              </w:rPr>
            </w:pPr>
            <w:r>
              <w:rPr>
                <w:sz w:val="12"/>
                <w:szCs w:val="12"/>
              </w:rPr>
              <w:t> </w:t>
            </w:r>
          </w:p>
        </w:tc>
        <w:tc>
          <w:tcPr>
            <w:tcW w:w="0" w:type="auto"/>
            <w:vAlign w:val="bottom"/>
            <w:hideMark/>
          </w:tcPr>
          <w:p w14:paraId="59C89BE6"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00119F33" w14:textId="77777777" w:rsidR="00000000" w:rsidRDefault="003C49E9">
            <w:pPr>
              <w:pStyle w:val="a3"/>
              <w:spacing w:before="0" w:beforeAutospacing="0" w:after="0" w:afterAutospacing="0"/>
              <w:rPr>
                <w:sz w:val="12"/>
                <w:szCs w:val="12"/>
              </w:rPr>
            </w:pPr>
            <w:r>
              <w:rPr>
                <w:sz w:val="12"/>
                <w:szCs w:val="12"/>
              </w:rPr>
              <w:t> </w:t>
            </w:r>
          </w:p>
        </w:tc>
      </w:tr>
      <w:tr w:rsidR="00000000" w14:paraId="68C8B81B" w14:textId="77777777">
        <w:trPr>
          <w:trHeight w:val="200"/>
          <w:tblCellSpacing w:w="15" w:type="dxa"/>
        </w:trPr>
        <w:tc>
          <w:tcPr>
            <w:tcW w:w="0" w:type="auto"/>
            <w:hideMark/>
          </w:tcPr>
          <w:p w14:paraId="270A6EED" w14:textId="77777777" w:rsidR="00000000" w:rsidRDefault="003C49E9">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14:paraId="564E4FF7"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55E96B7" w14:textId="77777777" w:rsidR="00000000" w:rsidRDefault="003C49E9">
            <w:pPr>
              <w:pStyle w:val="a3"/>
              <w:spacing w:before="0" w:beforeAutospacing="0" w:after="0" w:afterAutospacing="0"/>
              <w:rPr>
                <w:sz w:val="20"/>
                <w:szCs w:val="20"/>
              </w:rPr>
            </w:pPr>
            <w:hyperlink r:id="rId8" w:history="1">
              <w:r>
                <w:rPr>
                  <w:rStyle w:val="a4"/>
                  <w:sz w:val="20"/>
                  <w:szCs w:val="20"/>
                </w:rPr>
                <w:t>Certification of Principal Executive Officer pursuant to</w:t>
              </w:r>
              <w:r>
                <w:rPr>
                  <w:rStyle w:val="a4"/>
                  <w:sz w:val="20"/>
                  <w:szCs w:val="20"/>
                </w:rPr>
                <w:t xml:space="preserve"> Rule 13a-14(a) or Rule 15d-14(a) of the Securities Exchange Act of 1934, as amende</w:t>
              </w:r>
              <w:r>
                <w:rPr>
                  <w:rStyle w:val="a4"/>
                  <w:sz w:val="20"/>
                  <w:szCs w:val="20"/>
                </w:rPr>
                <w:t>d</w:t>
              </w:r>
            </w:hyperlink>
          </w:p>
        </w:tc>
      </w:tr>
      <w:tr w:rsidR="00000000" w14:paraId="1E16323E" w14:textId="77777777">
        <w:trPr>
          <w:trHeight w:val="86"/>
          <w:tblCellSpacing w:w="15" w:type="dxa"/>
        </w:trPr>
        <w:tc>
          <w:tcPr>
            <w:tcW w:w="0" w:type="auto"/>
            <w:hideMark/>
          </w:tcPr>
          <w:p w14:paraId="774BC48A" w14:textId="77777777" w:rsidR="00000000" w:rsidRDefault="003C49E9">
            <w:pPr>
              <w:pStyle w:val="a3"/>
              <w:spacing w:before="0" w:beforeAutospacing="0" w:after="0" w:afterAutospacing="0"/>
              <w:jc w:val="center"/>
              <w:rPr>
                <w:sz w:val="12"/>
                <w:szCs w:val="12"/>
              </w:rPr>
            </w:pPr>
            <w:r>
              <w:rPr>
                <w:sz w:val="12"/>
                <w:szCs w:val="12"/>
              </w:rPr>
              <w:t> </w:t>
            </w:r>
          </w:p>
        </w:tc>
        <w:tc>
          <w:tcPr>
            <w:tcW w:w="0" w:type="auto"/>
            <w:vAlign w:val="bottom"/>
            <w:hideMark/>
          </w:tcPr>
          <w:p w14:paraId="30BFCF14"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4978104D" w14:textId="77777777" w:rsidR="00000000" w:rsidRDefault="003C49E9">
            <w:pPr>
              <w:pStyle w:val="a3"/>
              <w:spacing w:before="0" w:beforeAutospacing="0" w:after="0" w:afterAutospacing="0"/>
              <w:rPr>
                <w:sz w:val="12"/>
                <w:szCs w:val="12"/>
              </w:rPr>
            </w:pPr>
            <w:r>
              <w:rPr>
                <w:sz w:val="12"/>
                <w:szCs w:val="12"/>
              </w:rPr>
              <w:t> </w:t>
            </w:r>
          </w:p>
        </w:tc>
      </w:tr>
      <w:tr w:rsidR="00000000" w14:paraId="761BA0C2" w14:textId="77777777">
        <w:trPr>
          <w:trHeight w:val="200"/>
          <w:tblCellSpacing w:w="15" w:type="dxa"/>
        </w:trPr>
        <w:tc>
          <w:tcPr>
            <w:tcW w:w="0" w:type="auto"/>
            <w:hideMark/>
          </w:tcPr>
          <w:p w14:paraId="549226F3" w14:textId="77777777" w:rsidR="00000000" w:rsidRDefault="003C49E9">
            <w:pPr>
              <w:pStyle w:val="a3"/>
              <w:spacing w:before="0" w:beforeAutospacing="0" w:after="0" w:afterAutospacing="0"/>
              <w:jc w:val="center"/>
              <w:rPr>
                <w:sz w:val="20"/>
                <w:szCs w:val="20"/>
              </w:rPr>
            </w:pPr>
            <w:r>
              <w:rPr>
                <w:sz w:val="20"/>
                <w:szCs w:val="20"/>
              </w:rPr>
              <w:t>31.2*</w:t>
            </w:r>
            <w:r>
              <w:rPr>
                <w:sz w:val="20"/>
                <w:szCs w:val="20"/>
              </w:rPr>
              <w:t>*</w:t>
            </w:r>
          </w:p>
        </w:tc>
        <w:tc>
          <w:tcPr>
            <w:tcW w:w="0" w:type="auto"/>
            <w:vAlign w:val="bottom"/>
            <w:hideMark/>
          </w:tcPr>
          <w:p w14:paraId="05ED1B7C"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74442A67" w14:textId="77777777" w:rsidR="00000000" w:rsidRDefault="003C49E9">
            <w:pPr>
              <w:pStyle w:val="a3"/>
              <w:spacing w:before="0" w:beforeAutospacing="0" w:after="0" w:afterAutospacing="0"/>
              <w:rPr>
                <w:sz w:val="20"/>
                <w:szCs w:val="20"/>
              </w:rPr>
            </w:pPr>
            <w:hyperlink r:id="rId9" w:history="1">
              <w:r>
                <w:rPr>
                  <w:rStyle w:val="a4"/>
                  <w:sz w:val="20"/>
                  <w:szCs w:val="20"/>
                </w:rPr>
                <w:t>Certification of Principal Financial Officer pursuant to Rule 13a-14(a) or Rule 15d-14(a) of the Securities Exchange Act o</w:t>
              </w:r>
              <w:r>
                <w:rPr>
                  <w:rStyle w:val="a4"/>
                  <w:sz w:val="20"/>
                  <w:szCs w:val="20"/>
                </w:rPr>
                <w:t>f 1934, as amende</w:t>
              </w:r>
              <w:r>
                <w:rPr>
                  <w:rStyle w:val="a4"/>
                  <w:sz w:val="20"/>
                  <w:szCs w:val="20"/>
                </w:rPr>
                <w:t>d</w:t>
              </w:r>
            </w:hyperlink>
          </w:p>
        </w:tc>
      </w:tr>
      <w:tr w:rsidR="00000000" w14:paraId="3E490AC7" w14:textId="77777777">
        <w:trPr>
          <w:trHeight w:val="86"/>
          <w:tblCellSpacing w:w="15" w:type="dxa"/>
        </w:trPr>
        <w:tc>
          <w:tcPr>
            <w:tcW w:w="0" w:type="auto"/>
            <w:hideMark/>
          </w:tcPr>
          <w:p w14:paraId="1CF32FAF" w14:textId="77777777" w:rsidR="00000000" w:rsidRDefault="003C49E9">
            <w:pPr>
              <w:pStyle w:val="a3"/>
              <w:spacing w:before="0" w:beforeAutospacing="0" w:after="0" w:afterAutospacing="0"/>
              <w:jc w:val="center"/>
              <w:rPr>
                <w:sz w:val="12"/>
                <w:szCs w:val="12"/>
              </w:rPr>
            </w:pPr>
            <w:r>
              <w:rPr>
                <w:sz w:val="12"/>
                <w:szCs w:val="12"/>
              </w:rPr>
              <w:t> </w:t>
            </w:r>
          </w:p>
        </w:tc>
        <w:tc>
          <w:tcPr>
            <w:tcW w:w="0" w:type="auto"/>
            <w:vAlign w:val="bottom"/>
            <w:hideMark/>
          </w:tcPr>
          <w:p w14:paraId="38791422"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180621BD" w14:textId="77777777" w:rsidR="00000000" w:rsidRDefault="003C49E9">
            <w:pPr>
              <w:pStyle w:val="a3"/>
              <w:spacing w:before="0" w:beforeAutospacing="0" w:after="0" w:afterAutospacing="0"/>
              <w:rPr>
                <w:sz w:val="12"/>
                <w:szCs w:val="12"/>
              </w:rPr>
            </w:pPr>
            <w:r>
              <w:rPr>
                <w:sz w:val="12"/>
                <w:szCs w:val="12"/>
              </w:rPr>
              <w:t> </w:t>
            </w:r>
          </w:p>
        </w:tc>
      </w:tr>
      <w:tr w:rsidR="00000000" w14:paraId="3C28C2E9" w14:textId="77777777">
        <w:trPr>
          <w:trHeight w:val="200"/>
          <w:tblCellSpacing w:w="15" w:type="dxa"/>
        </w:trPr>
        <w:tc>
          <w:tcPr>
            <w:tcW w:w="0" w:type="auto"/>
            <w:hideMark/>
          </w:tcPr>
          <w:p w14:paraId="132F5A33" w14:textId="77777777" w:rsidR="00000000" w:rsidRDefault="003C49E9">
            <w:pPr>
              <w:pStyle w:val="a3"/>
              <w:spacing w:before="0" w:beforeAutospacing="0" w:after="0" w:afterAutospacing="0"/>
              <w:jc w:val="center"/>
              <w:rPr>
                <w:sz w:val="20"/>
                <w:szCs w:val="20"/>
              </w:rPr>
            </w:pPr>
            <w:r>
              <w:rPr>
                <w:sz w:val="20"/>
                <w:szCs w:val="20"/>
              </w:rPr>
              <w:t>32.1</w:t>
            </w:r>
            <w:r>
              <w:rPr>
                <w:sz w:val="20"/>
                <w:szCs w:val="20"/>
              </w:rPr>
              <w:t>*</w:t>
            </w:r>
          </w:p>
        </w:tc>
        <w:tc>
          <w:tcPr>
            <w:tcW w:w="0" w:type="auto"/>
            <w:vAlign w:val="bottom"/>
            <w:hideMark/>
          </w:tcPr>
          <w:p w14:paraId="1AA40B34"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224E97F8" w14:textId="77777777" w:rsidR="00000000" w:rsidRDefault="003C49E9">
            <w:pPr>
              <w:pStyle w:val="a3"/>
              <w:spacing w:before="0" w:beforeAutospacing="0" w:after="0" w:afterAutospacing="0"/>
              <w:rPr>
                <w:sz w:val="20"/>
                <w:szCs w:val="20"/>
              </w:rPr>
            </w:pPr>
            <w:hyperlink r:id="rId10" w:history="1">
              <w:r>
                <w:rPr>
                  <w:rStyle w:val="a4"/>
                  <w:sz w:val="20"/>
                  <w:szCs w:val="20"/>
                </w:rPr>
                <w:t>Certification of Principal Executive Officer and Principal Financial Officer pursuant to Section 906 of the Sarbanes-Oxley Ac</w:t>
              </w:r>
              <w:r>
                <w:rPr>
                  <w:rStyle w:val="a4"/>
                  <w:sz w:val="20"/>
                  <w:szCs w:val="20"/>
                </w:rPr>
                <w:t>t</w:t>
              </w:r>
            </w:hyperlink>
          </w:p>
        </w:tc>
      </w:tr>
      <w:tr w:rsidR="00000000" w14:paraId="3DC9EBD1" w14:textId="77777777">
        <w:trPr>
          <w:trHeight w:val="86"/>
          <w:tblCellSpacing w:w="15" w:type="dxa"/>
        </w:trPr>
        <w:tc>
          <w:tcPr>
            <w:tcW w:w="0" w:type="auto"/>
            <w:hideMark/>
          </w:tcPr>
          <w:p w14:paraId="02CA38DE"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22F4566C"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12A42270" w14:textId="77777777" w:rsidR="00000000" w:rsidRDefault="003C49E9">
            <w:pPr>
              <w:pStyle w:val="a3"/>
              <w:spacing w:before="0" w:beforeAutospacing="0" w:after="0" w:afterAutospacing="0"/>
              <w:rPr>
                <w:sz w:val="12"/>
                <w:szCs w:val="12"/>
              </w:rPr>
            </w:pPr>
            <w:r>
              <w:rPr>
                <w:sz w:val="12"/>
                <w:szCs w:val="12"/>
              </w:rPr>
              <w:t> </w:t>
            </w:r>
          </w:p>
        </w:tc>
      </w:tr>
      <w:tr w:rsidR="00000000" w14:paraId="0D1A2EB4" w14:textId="77777777">
        <w:trPr>
          <w:trHeight w:val="200"/>
          <w:tblCellSpacing w:w="15" w:type="dxa"/>
        </w:trPr>
        <w:tc>
          <w:tcPr>
            <w:tcW w:w="0" w:type="auto"/>
            <w:hideMark/>
          </w:tcPr>
          <w:p w14:paraId="0668958F" w14:textId="77777777" w:rsidR="00000000" w:rsidRDefault="003C49E9">
            <w:pPr>
              <w:pStyle w:val="a3"/>
              <w:spacing w:before="0" w:beforeAutospacing="0" w:after="0" w:afterAutospacing="0"/>
              <w:rPr>
                <w:sz w:val="20"/>
                <w:szCs w:val="20"/>
              </w:rPr>
            </w:pPr>
            <w:r>
              <w:rPr>
                <w:sz w:val="20"/>
                <w:szCs w:val="20"/>
              </w:rPr>
              <w:t>101.INS*</w:t>
            </w:r>
            <w:r>
              <w:rPr>
                <w:sz w:val="20"/>
                <w:szCs w:val="20"/>
              </w:rPr>
              <w:t>*</w:t>
            </w:r>
          </w:p>
        </w:tc>
        <w:tc>
          <w:tcPr>
            <w:tcW w:w="0" w:type="auto"/>
            <w:vAlign w:val="bottom"/>
            <w:hideMark/>
          </w:tcPr>
          <w:p w14:paraId="753E4040" w14:textId="77777777" w:rsidR="00000000" w:rsidRDefault="003C49E9">
            <w:pPr>
              <w:pStyle w:val="a3"/>
              <w:spacing w:before="0" w:beforeAutospacing="0" w:after="0" w:afterAutospacing="0"/>
              <w:rPr>
                <w:sz w:val="20"/>
                <w:szCs w:val="20"/>
              </w:rPr>
            </w:pPr>
            <w:r>
              <w:rPr>
                <w:sz w:val="20"/>
                <w:szCs w:val="20"/>
              </w:rPr>
              <w:t> </w:t>
            </w:r>
          </w:p>
        </w:tc>
        <w:tc>
          <w:tcPr>
            <w:tcW w:w="0" w:type="auto"/>
            <w:vAlign w:val="center"/>
            <w:hideMark/>
          </w:tcPr>
          <w:p w14:paraId="7033C504" w14:textId="77777777" w:rsidR="00000000" w:rsidRDefault="003C49E9">
            <w:pPr>
              <w:pStyle w:val="a3"/>
              <w:spacing w:before="0" w:beforeAutospacing="0" w:after="0" w:afterAutospacing="0"/>
              <w:rPr>
                <w:sz w:val="20"/>
                <w:szCs w:val="20"/>
              </w:rPr>
            </w:pPr>
            <w:r>
              <w:rPr>
                <w:sz w:val="20"/>
                <w:szCs w:val="20"/>
              </w:rPr>
              <w:t>Inline XBRL Instance Document – the instance document does not appear in the Interactive Data File because XB</w:t>
            </w:r>
            <w:r>
              <w:rPr>
                <w:sz w:val="20"/>
                <w:szCs w:val="20"/>
              </w:rPr>
              <w:t>RL tags are embedded within the Inline XBRL documen</w:t>
            </w:r>
            <w:r>
              <w:rPr>
                <w:sz w:val="20"/>
                <w:szCs w:val="20"/>
              </w:rPr>
              <w:t>t</w:t>
            </w:r>
          </w:p>
        </w:tc>
      </w:tr>
      <w:tr w:rsidR="00000000" w14:paraId="2C1477FC" w14:textId="77777777">
        <w:trPr>
          <w:trHeight w:val="86"/>
          <w:tblCellSpacing w:w="15" w:type="dxa"/>
        </w:trPr>
        <w:tc>
          <w:tcPr>
            <w:tcW w:w="0" w:type="auto"/>
            <w:hideMark/>
          </w:tcPr>
          <w:p w14:paraId="407E79CB"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4F1348BF"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31DAA5B9" w14:textId="77777777" w:rsidR="00000000" w:rsidRDefault="003C49E9">
            <w:pPr>
              <w:pStyle w:val="a3"/>
              <w:spacing w:before="0" w:beforeAutospacing="0" w:after="0" w:afterAutospacing="0"/>
              <w:rPr>
                <w:sz w:val="12"/>
                <w:szCs w:val="12"/>
              </w:rPr>
            </w:pPr>
            <w:r>
              <w:rPr>
                <w:sz w:val="12"/>
                <w:szCs w:val="12"/>
              </w:rPr>
              <w:t> </w:t>
            </w:r>
          </w:p>
        </w:tc>
      </w:tr>
      <w:tr w:rsidR="00000000" w14:paraId="5A8D7E29" w14:textId="77777777">
        <w:trPr>
          <w:trHeight w:val="200"/>
          <w:tblCellSpacing w:w="15" w:type="dxa"/>
        </w:trPr>
        <w:tc>
          <w:tcPr>
            <w:tcW w:w="0" w:type="auto"/>
            <w:hideMark/>
          </w:tcPr>
          <w:p w14:paraId="284BC6DB" w14:textId="77777777" w:rsidR="00000000" w:rsidRDefault="003C49E9">
            <w:pPr>
              <w:pStyle w:val="a3"/>
              <w:spacing w:before="0" w:beforeAutospacing="0" w:after="0" w:afterAutospacing="0"/>
              <w:rPr>
                <w:sz w:val="20"/>
                <w:szCs w:val="20"/>
              </w:rPr>
            </w:pPr>
            <w:r>
              <w:rPr>
                <w:sz w:val="20"/>
                <w:szCs w:val="20"/>
              </w:rPr>
              <w:t>101.SCH*</w:t>
            </w:r>
            <w:r>
              <w:rPr>
                <w:sz w:val="20"/>
                <w:szCs w:val="20"/>
              </w:rPr>
              <w:t>*</w:t>
            </w:r>
          </w:p>
        </w:tc>
        <w:tc>
          <w:tcPr>
            <w:tcW w:w="0" w:type="auto"/>
            <w:vAlign w:val="bottom"/>
            <w:hideMark/>
          </w:tcPr>
          <w:p w14:paraId="7E187DE5"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CA2BF31" w14:textId="77777777" w:rsidR="00000000" w:rsidRDefault="003C49E9">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14:paraId="06BC4D5C" w14:textId="77777777">
        <w:trPr>
          <w:trHeight w:val="86"/>
          <w:tblCellSpacing w:w="15" w:type="dxa"/>
        </w:trPr>
        <w:tc>
          <w:tcPr>
            <w:tcW w:w="0" w:type="auto"/>
            <w:hideMark/>
          </w:tcPr>
          <w:p w14:paraId="012DD00D"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55933E71"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0CCF45FA" w14:textId="77777777" w:rsidR="00000000" w:rsidRDefault="003C49E9">
            <w:pPr>
              <w:pStyle w:val="a3"/>
              <w:spacing w:before="0" w:beforeAutospacing="0" w:after="0" w:afterAutospacing="0"/>
              <w:rPr>
                <w:sz w:val="12"/>
                <w:szCs w:val="12"/>
              </w:rPr>
            </w:pPr>
            <w:r>
              <w:rPr>
                <w:sz w:val="12"/>
                <w:szCs w:val="12"/>
              </w:rPr>
              <w:t> </w:t>
            </w:r>
          </w:p>
        </w:tc>
      </w:tr>
      <w:tr w:rsidR="00000000" w14:paraId="48C7172D" w14:textId="77777777">
        <w:trPr>
          <w:trHeight w:val="200"/>
          <w:tblCellSpacing w:w="15" w:type="dxa"/>
        </w:trPr>
        <w:tc>
          <w:tcPr>
            <w:tcW w:w="0" w:type="auto"/>
            <w:hideMark/>
          </w:tcPr>
          <w:p w14:paraId="00F0651E" w14:textId="77777777" w:rsidR="00000000" w:rsidRDefault="003C49E9">
            <w:pPr>
              <w:pStyle w:val="a3"/>
              <w:spacing w:before="0" w:beforeAutospacing="0" w:after="0" w:afterAutospacing="0"/>
              <w:rPr>
                <w:sz w:val="20"/>
                <w:szCs w:val="20"/>
              </w:rPr>
            </w:pPr>
            <w:r>
              <w:rPr>
                <w:sz w:val="20"/>
                <w:szCs w:val="20"/>
              </w:rPr>
              <w:t>101.CAL*</w:t>
            </w:r>
            <w:r>
              <w:rPr>
                <w:sz w:val="20"/>
                <w:szCs w:val="20"/>
              </w:rPr>
              <w:t>*</w:t>
            </w:r>
          </w:p>
        </w:tc>
        <w:tc>
          <w:tcPr>
            <w:tcW w:w="0" w:type="auto"/>
            <w:vAlign w:val="bottom"/>
            <w:hideMark/>
          </w:tcPr>
          <w:p w14:paraId="2163E733"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0A944F5" w14:textId="77777777" w:rsidR="00000000" w:rsidRDefault="003C49E9">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14:paraId="6DE8DC95" w14:textId="77777777">
        <w:trPr>
          <w:trHeight w:val="86"/>
          <w:tblCellSpacing w:w="15" w:type="dxa"/>
        </w:trPr>
        <w:tc>
          <w:tcPr>
            <w:tcW w:w="0" w:type="auto"/>
            <w:hideMark/>
          </w:tcPr>
          <w:p w14:paraId="18D0E2F8"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209FF626"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33B2D02B" w14:textId="77777777" w:rsidR="00000000" w:rsidRDefault="003C49E9">
            <w:pPr>
              <w:pStyle w:val="a3"/>
              <w:spacing w:before="0" w:beforeAutospacing="0" w:after="0" w:afterAutospacing="0"/>
              <w:rPr>
                <w:sz w:val="12"/>
                <w:szCs w:val="12"/>
              </w:rPr>
            </w:pPr>
            <w:r>
              <w:rPr>
                <w:sz w:val="12"/>
                <w:szCs w:val="12"/>
              </w:rPr>
              <w:t> </w:t>
            </w:r>
          </w:p>
        </w:tc>
      </w:tr>
      <w:tr w:rsidR="00000000" w14:paraId="172EFC76" w14:textId="77777777">
        <w:trPr>
          <w:trHeight w:val="200"/>
          <w:tblCellSpacing w:w="15" w:type="dxa"/>
        </w:trPr>
        <w:tc>
          <w:tcPr>
            <w:tcW w:w="0" w:type="auto"/>
            <w:hideMark/>
          </w:tcPr>
          <w:p w14:paraId="19632D9A" w14:textId="77777777" w:rsidR="00000000" w:rsidRDefault="003C49E9">
            <w:pPr>
              <w:pStyle w:val="a3"/>
              <w:spacing w:before="0" w:beforeAutospacing="0" w:after="0" w:afterAutospacing="0"/>
              <w:rPr>
                <w:sz w:val="20"/>
                <w:szCs w:val="20"/>
              </w:rPr>
            </w:pPr>
            <w:r>
              <w:rPr>
                <w:sz w:val="20"/>
                <w:szCs w:val="20"/>
              </w:rPr>
              <w:t>101.DEF*</w:t>
            </w:r>
            <w:r>
              <w:rPr>
                <w:sz w:val="20"/>
                <w:szCs w:val="20"/>
              </w:rPr>
              <w:t>*</w:t>
            </w:r>
          </w:p>
        </w:tc>
        <w:tc>
          <w:tcPr>
            <w:tcW w:w="0" w:type="auto"/>
            <w:vAlign w:val="bottom"/>
            <w:hideMark/>
          </w:tcPr>
          <w:p w14:paraId="0CD92EF6"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2EB47D2" w14:textId="77777777" w:rsidR="00000000" w:rsidRDefault="003C49E9">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14:paraId="43A598A8" w14:textId="77777777">
        <w:trPr>
          <w:trHeight w:val="86"/>
          <w:tblCellSpacing w:w="15" w:type="dxa"/>
        </w:trPr>
        <w:tc>
          <w:tcPr>
            <w:tcW w:w="0" w:type="auto"/>
            <w:hideMark/>
          </w:tcPr>
          <w:p w14:paraId="0098050E"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63068775"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0C877524" w14:textId="77777777" w:rsidR="00000000" w:rsidRDefault="003C49E9">
            <w:pPr>
              <w:pStyle w:val="a3"/>
              <w:spacing w:before="0" w:beforeAutospacing="0" w:after="0" w:afterAutospacing="0"/>
              <w:rPr>
                <w:sz w:val="12"/>
                <w:szCs w:val="12"/>
              </w:rPr>
            </w:pPr>
            <w:r>
              <w:rPr>
                <w:sz w:val="12"/>
                <w:szCs w:val="12"/>
              </w:rPr>
              <w:t> </w:t>
            </w:r>
          </w:p>
        </w:tc>
      </w:tr>
      <w:tr w:rsidR="00000000" w14:paraId="7484B532" w14:textId="77777777">
        <w:trPr>
          <w:trHeight w:val="200"/>
          <w:tblCellSpacing w:w="15" w:type="dxa"/>
        </w:trPr>
        <w:tc>
          <w:tcPr>
            <w:tcW w:w="0" w:type="auto"/>
            <w:hideMark/>
          </w:tcPr>
          <w:p w14:paraId="42DE2FCF" w14:textId="77777777" w:rsidR="00000000" w:rsidRDefault="003C49E9">
            <w:pPr>
              <w:pStyle w:val="a3"/>
              <w:spacing w:before="0" w:beforeAutospacing="0" w:after="0" w:afterAutospacing="0"/>
              <w:rPr>
                <w:sz w:val="20"/>
                <w:szCs w:val="20"/>
              </w:rPr>
            </w:pPr>
            <w:r>
              <w:rPr>
                <w:sz w:val="20"/>
                <w:szCs w:val="20"/>
              </w:rPr>
              <w:t>101.LAB*</w:t>
            </w:r>
            <w:r>
              <w:rPr>
                <w:sz w:val="20"/>
                <w:szCs w:val="20"/>
              </w:rPr>
              <w:t>*</w:t>
            </w:r>
          </w:p>
        </w:tc>
        <w:tc>
          <w:tcPr>
            <w:tcW w:w="0" w:type="auto"/>
            <w:vAlign w:val="bottom"/>
            <w:hideMark/>
          </w:tcPr>
          <w:p w14:paraId="60DCFCAD"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8D668F1" w14:textId="77777777" w:rsidR="00000000" w:rsidRDefault="003C49E9">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14:paraId="7F503515" w14:textId="77777777">
        <w:trPr>
          <w:trHeight w:val="86"/>
          <w:tblCellSpacing w:w="15" w:type="dxa"/>
        </w:trPr>
        <w:tc>
          <w:tcPr>
            <w:tcW w:w="0" w:type="auto"/>
            <w:hideMark/>
          </w:tcPr>
          <w:p w14:paraId="22284297"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7D8F6568"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01323CB9" w14:textId="77777777" w:rsidR="00000000" w:rsidRDefault="003C49E9">
            <w:pPr>
              <w:pStyle w:val="a3"/>
              <w:spacing w:before="0" w:beforeAutospacing="0" w:after="0" w:afterAutospacing="0"/>
              <w:rPr>
                <w:sz w:val="12"/>
                <w:szCs w:val="12"/>
              </w:rPr>
            </w:pPr>
            <w:r>
              <w:rPr>
                <w:sz w:val="12"/>
                <w:szCs w:val="12"/>
              </w:rPr>
              <w:t> </w:t>
            </w:r>
          </w:p>
        </w:tc>
      </w:tr>
      <w:tr w:rsidR="00000000" w14:paraId="45345005" w14:textId="77777777">
        <w:trPr>
          <w:trHeight w:val="200"/>
          <w:tblCellSpacing w:w="15" w:type="dxa"/>
        </w:trPr>
        <w:tc>
          <w:tcPr>
            <w:tcW w:w="0" w:type="auto"/>
            <w:hideMark/>
          </w:tcPr>
          <w:p w14:paraId="43116974" w14:textId="77777777" w:rsidR="00000000" w:rsidRDefault="003C49E9">
            <w:pPr>
              <w:pStyle w:val="a3"/>
              <w:spacing w:before="0" w:beforeAutospacing="0" w:after="0" w:afterAutospacing="0"/>
              <w:rPr>
                <w:sz w:val="20"/>
                <w:szCs w:val="20"/>
              </w:rPr>
            </w:pPr>
            <w:r>
              <w:rPr>
                <w:sz w:val="20"/>
                <w:szCs w:val="20"/>
              </w:rPr>
              <w:t>101.PRE*</w:t>
            </w:r>
            <w:r>
              <w:rPr>
                <w:sz w:val="20"/>
                <w:szCs w:val="20"/>
              </w:rPr>
              <w:t>*</w:t>
            </w:r>
          </w:p>
        </w:tc>
        <w:tc>
          <w:tcPr>
            <w:tcW w:w="0" w:type="auto"/>
            <w:vAlign w:val="bottom"/>
            <w:hideMark/>
          </w:tcPr>
          <w:p w14:paraId="0E077211"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4EAFB15E" w14:textId="77777777" w:rsidR="00000000" w:rsidRDefault="003C49E9">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14:paraId="0E39AAFB" w14:textId="77777777">
        <w:trPr>
          <w:tblCellSpacing w:w="15" w:type="dxa"/>
        </w:trPr>
        <w:tc>
          <w:tcPr>
            <w:tcW w:w="0" w:type="auto"/>
            <w:hideMark/>
          </w:tcPr>
          <w:p w14:paraId="02EEA6BD"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187F48C0" w14:textId="77777777" w:rsidR="00000000" w:rsidRDefault="003C49E9">
            <w:pPr>
              <w:pStyle w:val="a3"/>
              <w:spacing w:before="0" w:beforeAutospacing="0" w:after="0" w:afterAutospacing="0"/>
              <w:rPr>
                <w:sz w:val="12"/>
                <w:szCs w:val="12"/>
              </w:rPr>
            </w:pPr>
            <w:r>
              <w:rPr>
                <w:sz w:val="12"/>
                <w:szCs w:val="12"/>
              </w:rPr>
              <w:t> </w:t>
            </w:r>
          </w:p>
        </w:tc>
        <w:tc>
          <w:tcPr>
            <w:tcW w:w="0" w:type="auto"/>
            <w:vAlign w:val="bottom"/>
            <w:hideMark/>
          </w:tcPr>
          <w:p w14:paraId="6616A80B" w14:textId="77777777" w:rsidR="00000000" w:rsidRDefault="003C49E9">
            <w:pPr>
              <w:pStyle w:val="a3"/>
              <w:spacing w:before="0" w:beforeAutospacing="0" w:after="0" w:afterAutospacing="0"/>
              <w:rPr>
                <w:sz w:val="12"/>
                <w:szCs w:val="12"/>
              </w:rPr>
            </w:pPr>
            <w:r>
              <w:rPr>
                <w:sz w:val="12"/>
                <w:szCs w:val="12"/>
              </w:rPr>
              <w:t> </w:t>
            </w:r>
          </w:p>
        </w:tc>
      </w:tr>
      <w:tr w:rsidR="00000000" w14:paraId="7D5DDE77" w14:textId="77777777">
        <w:trPr>
          <w:trHeight w:val="200"/>
          <w:tblCellSpacing w:w="15" w:type="dxa"/>
        </w:trPr>
        <w:tc>
          <w:tcPr>
            <w:tcW w:w="0" w:type="auto"/>
            <w:hideMark/>
          </w:tcPr>
          <w:p w14:paraId="556111C2" w14:textId="77777777" w:rsidR="00000000" w:rsidRDefault="003C49E9">
            <w:pPr>
              <w:pStyle w:val="a3"/>
              <w:spacing w:before="0" w:beforeAutospacing="0" w:after="0" w:afterAutospacing="0"/>
              <w:rPr>
                <w:sz w:val="20"/>
                <w:szCs w:val="20"/>
              </w:rPr>
            </w:pPr>
            <w:r>
              <w:rPr>
                <w:sz w:val="20"/>
                <w:szCs w:val="20"/>
              </w:rPr>
              <w:t>104*</w:t>
            </w:r>
            <w:r>
              <w:rPr>
                <w:sz w:val="20"/>
                <w:szCs w:val="20"/>
              </w:rPr>
              <w:t>*</w:t>
            </w:r>
          </w:p>
        </w:tc>
        <w:tc>
          <w:tcPr>
            <w:tcW w:w="0" w:type="auto"/>
            <w:vAlign w:val="bottom"/>
            <w:hideMark/>
          </w:tcPr>
          <w:p w14:paraId="07F3309F"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179D01E1" w14:textId="77777777" w:rsidR="00000000" w:rsidRDefault="003C49E9">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14:paraId="152C713F" w14:textId="77777777" w:rsidR="00000000" w:rsidRDefault="003C49E9">
      <w:pPr>
        <w:pStyle w:val="a3"/>
        <w:spacing w:before="120" w:beforeAutospacing="0" w:after="0" w:afterAutospacing="0"/>
        <w:ind w:hanging="581"/>
        <w:rPr>
          <w:sz w:val="20"/>
          <w:szCs w:val="20"/>
        </w:rPr>
      </w:pPr>
      <w:r>
        <w:rPr>
          <w:sz w:val="20"/>
          <w:szCs w:val="20"/>
        </w:rPr>
        <w:t>** Filed herewith</w:t>
      </w:r>
      <w:r>
        <w:rPr>
          <w:sz w:val="20"/>
          <w:szCs w:val="20"/>
        </w:rPr>
        <w:t>.</w:t>
      </w:r>
    </w:p>
    <w:p w14:paraId="650134A8" w14:textId="77777777" w:rsidR="00000000" w:rsidRDefault="003C49E9">
      <w:pPr>
        <w:pStyle w:val="a3"/>
        <w:spacing w:before="40" w:beforeAutospacing="0" w:after="0" w:afterAutospacing="0"/>
        <w:ind w:hanging="581"/>
        <w:rPr>
          <w:sz w:val="20"/>
          <w:szCs w:val="20"/>
        </w:rPr>
      </w:pPr>
      <w:r>
        <w:rPr>
          <w:sz w:val="20"/>
          <w:szCs w:val="20"/>
        </w:rPr>
        <w:t> </w:t>
      </w:r>
    </w:p>
    <w:p w14:paraId="7A4E08C3" w14:textId="77777777" w:rsidR="00000000" w:rsidRDefault="003C49E9">
      <w:pPr>
        <w:pStyle w:val="a3"/>
        <w:spacing w:before="40" w:beforeAutospacing="0" w:after="0" w:afterAutospacing="0"/>
        <w:ind w:hanging="581"/>
        <w:rPr>
          <w:sz w:val="20"/>
          <w:szCs w:val="20"/>
        </w:rPr>
      </w:pPr>
      <w:r>
        <w:rPr>
          <w:sz w:val="20"/>
          <w:szCs w:val="20"/>
        </w:rPr>
        <w:t xml:space="preserve">(1) </w:t>
      </w:r>
      <w:r>
        <w:rPr>
          <w:sz w:val="20"/>
          <w:szCs w:val="20"/>
        </w:rPr>
        <w:t>Incorporated by reference to Exhibit 3.1 to HubSpot, Inc.’s Annual Report on Form 10-K filed on February 24, 2016</w:t>
      </w:r>
      <w:r>
        <w:rPr>
          <w:sz w:val="20"/>
          <w:szCs w:val="20"/>
        </w:rPr>
        <w:t>.</w:t>
      </w:r>
    </w:p>
    <w:p w14:paraId="1EB32B16" w14:textId="77777777" w:rsidR="00000000" w:rsidRDefault="003C49E9">
      <w:pPr>
        <w:pStyle w:val="a3"/>
        <w:spacing w:before="0" w:beforeAutospacing="0" w:after="0" w:afterAutospacing="0"/>
        <w:ind w:hanging="581"/>
        <w:rPr>
          <w:sz w:val="20"/>
          <w:szCs w:val="20"/>
        </w:rPr>
      </w:pPr>
      <w:r>
        <w:rPr>
          <w:sz w:val="20"/>
          <w:szCs w:val="20"/>
        </w:rPr>
        <w:t>(2) Incorporated by reference to Exhibit 3.2 to HubSpot Inc.’s Quarterly Report on Form 10-Q filed on November 5, 2020</w:t>
      </w:r>
      <w:r>
        <w:rPr>
          <w:sz w:val="20"/>
          <w:szCs w:val="20"/>
        </w:rPr>
        <w:t>.</w:t>
      </w:r>
    </w:p>
    <w:p w14:paraId="5A88A369" w14:textId="77777777" w:rsidR="00000000" w:rsidRDefault="003C49E9">
      <w:pPr>
        <w:pStyle w:val="a3"/>
        <w:spacing w:before="0" w:beforeAutospacing="0" w:after="0" w:afterAutospacing="0"/>
        <w:ind w:hanging="581"/>
        <w:rPr>
          <w:sz w:val="20"/>
          <w:szCs w:val="20"/>
        </w:rPr>
      </w:pPr>
      <w:r>
        <w:rPr>
          <w:sz w:val="20"/>
          <w:szCs w:val="20"/>
        </w:rPr>
        <w:t>(3) Incorporated by r</w:t>
      </w:r>
      <w:r>
        <w:rPr>
          <w:sz w:val="20"/>
          <w:szCs w:val="20"/>
        </w:rPr>
        <w:t>eference to Exhibit 3.1 to HubSpot Inc.’s Current Report on Form 8-K filed on April 14, 2022</w:t>
      </w:r>
      <w:r>
        <w:rPr>
          <w:sz w:val="20"/>
          <w:szCs w:val="20"/>
        </w:rPr>
        <w:t>.</w:t>
      </w:r>
    </w:p>
    <w:p w14:paraId="46F1EABB" w14:textId="77777777" w:rsidR="00000000" w:rsidRDefault="003C49E9">
      <w:pPr>
        <w:pStyle w:val="a3"/>
        <w:spacing w:before="0" w:beforeAutospacing="0" w:after="0" w:afterAutospacing="0"/>
        <w:ind w:hanging="581"/>
        <w:rPr>
          <w:sz w:val="20"/>
          <w:szCs w:val="20"/>
        </w:rPr>
      </w:pPr>
      <w:r>
        <w:rPr>
          <w:sz w:val="20"/>
          <w:szCs w:val="20"/>
        </w:rPr>
        <w:t>(4) Incorporated by reference to Exhibit 4.1 to Amendment No. 1 to Registrant’</w:t>
      </w:r>
      <w:r>
        <w:rPr>
          <w:sz w:val="20"/>
          <w:szCs w:val="20"/>
        </w:rPr>
        <w:t>s Registration Statement on Form S-1 (SEC file No. 333-198333) filed on September 26, 2014</w:t>
      </w:r>
      <w:r>
        <w:rPr>
          <w:sz w:val="20"/>
          <w:szCs w:val="20"/>
        </w:rPr>
        <w:t>.</w:t>
      </w:r>
    </w:p>
    <w:p w14:paraId="49C6DDE0" w14:textId="77777777" w:rsidR="00000000" w:rsidRDefault="003C49E9">
      <w:pPr>
        <w:pStyle w:val="a3"/>
        <w:spacing w:before="0" w:beforeAutospacing="0" w:after="0" w:afterAutospacing="0"/>
        <w:rPr>
          <w:sz w:val="20"/>
          <w:szCs w:val="20"/>
        </w:rPr>
      </w:pPr>
      <w:r>
        <w:rPr>
          <w:sz w:val="20"/>
          <w:szCs w:val="20"/>
        </w:rPr>
        <w:t> </w:t>
      </w:r>
    </w:p>
    <w:p w14:paraId="6D3AC153" w14:textId="77777777" w:rsidR="00000000" w:rsidRDefault="003C49E9">
      <w:pPr>
        <w:pStyle w:val="a3"/>
        <w:spacing w:before="0" w:beforeAutospacing="0" w:after="0" w:afterAutospacing="0"/>
        <w:ind w:hanging="581"/>
        <w:rPr>
          <w:sz w:val="20"/>
          <w:szCs w:val="20"/>
        </w:rPr>
      </w:pPr>
      <w:r>
        <w:rPr>
          <w:sz w:val="20"/>
          <w:szCs w:val="20"/>
        </w:rPr>
        <w:t>* The certifications furnished in Exhibit 32.1 hereto are deemed to accompany this Quarterly Report on Form 10-Q and will not be deemed “filed” for purposes of Se</w:t>
      </w:r>
      <w:r>
        <w:rPr>
          <w:sz w:val="20"/>
          <w:szCs w:val="20"/>
        </w:rPr>
        <w:t>ction 18 of the Securities Exchange Act of 1934, as amended, except to the extent that the Registrant specifically incorporates it by reference. Such certifications will not be deemed to be incorporated by reference into any filings under the Securities Ac</w:t>
      </w:r>
      <w:r>
        <w:rPr>
          <w:sz w:val="20"/>
          <w:szCs w:val="20"/>
        </w:rPr>
        <w:t>t of 1933, as amended, or the Securities Exchange Act of 1934, as amended, except to the extent that the Registrant specifically incorporates it by reference</w:t>
      </w:r>
      <w:r>
        <w:rPr>
          <w:sz w:val="20"/>
          <w:szCs w:val="20"/>
        </w:rPr>
        <w:t>.</w:t>
      </w:r>
    </w:p>
    <w:p w14:paraId="02177D06" w14:textId="77777777" w:rsidR="00000000" w:rsidRDefault="003C49E9">
      <w:pPr>
        <w:pStyle w:val="a3"/>
        <w:spacing w:before="0" w:beforeAutospacing="0" w:after="0" w:afterAutospacing="0"/>
        <w:ind w:hanging="1220"/>
        <w:rPr>
          <w:sz w:val="20"/>
          <w:szCs w:val="20"/>
        </w:rPr>
      </w:pPr>
      <w:r>
        <w:rPr>
          <w:sz w:val="20"/>
          <w:szCs w:val="20"/>
        </w:rPr>
        <w:t> </w:t>
      </w:r>
    </w:p>
    <w:p w14:paraId="5A2409FF" w14:textId="77777777" w:rsidR="00000000" w:rsidRDefault="003C49E9">
      <w:pPr>
        <w:pStyle w:val="a3"/>
        <w:spacing w:before="0" w:beforeAutospacing="0" w:after="0" w:afterAutospacing="0"/>
        <w:rPr>
          <w:sz w:val="20"/>
          <w:szCs w:val="20"/>
        </w:rPr>
      </w:pPr>
      <w:r>
        <w:rPr>
          <w:sz w:val="20"/>
          <w:szCs w:val="20"/>
        </w:rPr>
        <w:t> </w:t>
      </w:r>
    </w:p>
    <w:p w14:paraId="33A06C08" w14:textId="77777777" w:rsidR="00000000" w:rsidRDefault="003C49E9">
      <w:pPr>
        <w:pStyle w:val="a3"/>
        <w:spacing w:before="240" w:beforeAutospacing="0" w:after="0" w:afterAutospacing="0"/>
        <w:jc w:val="center"/>
        <w:rPr>
          <w:sz w:val="20"/>
          <w:szCs w:val="20"/>
        </w:rPr>
      </w:pPr>
      <w:r>
        <w:rPr>
          <w:sz w:val="20"/>
          <w:szCs w:val="20"/>
        </w:rPr>
        <w:t>6</w:t>
      </w:r>
      <w:r>
        <w:rPr>
          <w:sz w:val="20"/>
          <w:szCs w:val="20"/>
        </w:rPr>
        <w:t>0</w:t>
      </w:r>
    </w:p>
    <w:p w14:paraId="2C5D4B12" w14:textId="77777777" w:rsidR="00000000" w:rsidRDefault="003C49E9">
      <w:pPr>
        <w:rPr>
          <w:rFonts w:eastAsia="Times New Roman"/>
        </w:rPr>
      </w:pPr>
      <w:r>
        <w:rPr>
          <w:rFonts w:eastAsia="Times New Roman"/>
        </w:rPr>
        <w:pict w14:anchorId="12D342D1">
          <v:rect id="_x0000_i1084" style="width:0;height:1.5pt" o:hralign="center" o:hrstd="t" o:hr="t" fillcolor="#a0a0a0" stroked="f"/>
        </w:pict>
      </w:r>
    </w:p>
    <w:p w14:paraId="1215B50D" w14:textId="77777777" w:rsidR="00000000" w:rsidRDefault="003C49E9">
      <w:pPr>
        <w:pStyle w:val="a3"/>
        <w:spacing w:before="0" w:beforeAutospacing="0" w:after="0" w:afterAutospacing="0"/>
        <w:rPr>
          <w:sz w:val="20"/>
          <w:szCs w:val="20"/>
        </w:rPr>
      </w:pPr>
      <w:r>
        <w:rPr>
          <w:sz w:val="20"/>
          <w:szCs w:val="20"/>
        </w:rPr>
        <w:t> </w:t>
      </w:r>
    </w:p>
    <w:p w14:paraId="65CF8072" w14:textId="77777777" w:rsidR="00000000" w:rsidRDefault="003C49E9">
      <w:pPr>
        <w:pStyle w:val="a3"/>
        <w:spacing w:before="0" w:beforeAutospacing="0" w:after="0" w:afterAutospacing="0"/>
        <w:rPr>
          <w:sz w:val="20"/>
          <w:szCs w:val="20"/>
        </w:rPr>
      </w:pPr>
      <w:r>
        <w:rPr>
          <w:sz w:val="20"/>
          <w:szCs w:val="20"/>
        </w:rPr>
        <w:t> </w:t>
      </w:r>
    </w:p>
    <w:p w14:paraId="647F959D" w14:textId="77777777" w:rsidR="00000000" w:rsidRDefault="003C49E9">
      <w:pPr>
        <w:pStyle w:val="a3"/>
        <w:spacing w:before="0" w:beforeAutospacing="0" w:after="0" w:afterAutospacing="0"/>
        <w:rPr>
          <w:sz w:val="20"/>
          <w:szCs w:val="20"/>
        </w:rPr>
      </w:pPr>
      <w:r>
        <w:rPr>
          <w:sz w:val="20"/>
          <w:szCs w:val="20"/>
        </w:rPr>
        <w:t> </w:t>
      </w:r>
    </w:p>
    <w:p w14:paraId="0D9BA013" w14:textId="77777777" w:rsidR="00000000" w:rsidRDefault="003C49E9">
      <w:pPr>
        <w:pStyle w:val="a3"/>
        <w:spacing w:before="0" w:beforeAutospacing="0" w:after="0" w:afterAutospacing="0"/>
        <w:rPr>
          <w:sz w:val="20"/>
          <w:szCs w:val="20"/>
        </w:rPr>
      </w:pPr>
      <w:r>
        <w:rPr>
          <w:sz w:val="20"/>
          <w:szCs w:val="20"/>
        </w:rPr>
        <w:t> </w:t>
      </w:r>
    </w:p>
    <w:p w14:paraId="2658ABEE" w14:textId="77777777" w:rsidR="00000000" w:rsidRDefault="003C49E9">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14:paraId="32C897B0" w14:textId="77777777" w:rsidR="00000000" w:rsidRDefault="003C49E9">
      <w:pPr>
        <w:pStyle w:val="a3"/>
        <w:spacing w:before="120" w:beforeAutospacing="0" w:after="0" w:afterAutospacing="0"/>
        <w:ind w:firstLine="555"/>
        <w:rPr>
          <w:sz w:val="20"/>
          <w:szCs w:val="20"/>
        </w:rPr>
      </w:pPr>
      <w:r>
        <w:rPr>
          <w:sz w:val="20"/>
          <w:szCs w:val="20"/>
        </w:rPr>
        <w:t>Pursuant to the requirements of the</w:t>
      </w:r>
      <w:r>
        <w:rPr>
          <w:sz w:val="20"/>
          <w:szCs w:val="20"/>
        </w:rPr>
        <w:t xml:space="preserve"> Securities Exchange Act of 1934, the registrant has duly caused this report to be signed on its behalf by the undersigned thereunto duly authorized</w:t>
      </w:r>
      <w:r>
        <w:rPr>
          <w:sz w:val="20"/>
          <w:szCs w:val="20"/>
        </w:rPr>
        <w:t>.</w:t>
      </w:r>
      <w:r>
        <w:rPr>
          <w:sz w:val="20"/>
          <w:szCs w:val="20"/>
        </w:rPr>
        <w:t xml:space="preserve"> </w:t>
      </w:r>
    </w:p>
    <w:tbl>
      <w:tblPr>
        <w:tblW w:w="2200" w:type="pct"/>
        <w:tblCellSpacing w:w="15" w:type="dxa"/>
        <w:tblCellMar>
          <w:top w:w="15" w:type="dxa"/>
          <w:left w:w="15" w:type="dxa"/>
          <w:bottom w:w="15" w:type="dxa"/>
          <w:right w:w="15" w:type="dxa"/>
        </w:tblCellMar>
        <w:tblLook w:val="04A0" w:firstRow="1" w:lastRow="0" w:firstColumn="1" w:lastColumn="0" w:noHBand="0" w:noVBand="1"/>
      </w:tblPr>
      <w:tblGrid>
        <w:gridCol w:w="830"/>
        <w:gridCol w:w="110"/>
        <w:gridCol w:w="2715"/>
      </w:tblGrid>
      <w:tr w:rsidR="00000000" w14:paraId="1493355F" w14:textId="77777777">
        <w:trPr>
          <w:tblCellSpacing w:w="15" w:type="dxa"/>
        </w:trPr>
        <w:tc>
          <w:tcPr>
            <w:tcW w:w="1112" w:type="pct"/>
            <w:vAlign w:val="center"/>
            <w:hideMark/>
          </w:tcPr>
          <w:p w14:paraId="547006B0" w14:textId="77777777" w:rsidR="00000000" w:rsidRDefault="003C49E9">
            <w:pPr>
              <w:rPr>
                <w:sz w:val="20"/>
                <w:szCs w:val="20"/>
              </w:rPr>
            </w:pPr>
          </w:p>
        </w:tc>
        <w:tc>
          <w:tcPr>
            <w:tcW w:w="110" w:type="pct"/>
            <w:vAlign w:val="center"/>
            <w:hideMark/>
          </w:tcPr>
          <w:p w14:paraId="68BD8047" w14:textId="77777777" w:rsidR="00000000" w:rsidRDefault="003C49E9">
            <w:pPr>
              <w:rPr>
                <w:rFonts w:eastAsia="Times New Roman"/>
                <w:sz w:val="20"/>
                <w:szCs w:val="20"/>
              </w:rPr>
            </w:pPr>
          </w:p>
        </w:tc>
        <w:tc>
          <w:tcPr>
            <w:tcW w:w="3776" w:type="pct"/>
            <w:vAlign w:val="center"/>
            <w:hideMark/>
          </w:tcPr>
          <w:p w14:paraId="48EF04AD" w14:textId="77777777" w:rsidR="00000000" w:rsidRDefault="003C49E9">
            <w:pPr>
              <w:rPr>
                <w:rFonts w:eastAsia="Times New Roman"/>
                <w:sz w:val="20"/>
                <w:szCs w:val="20"/>
              </w:rPr>
            </w:pPr>
          </w:p>
        </w:tc>
      </w:tr>
      <w:tr w:rsidR="00000000" w14:paraId="538A32D3" w14:textId="77777777">
        <w:trPr>
          <w:trHeight w:val="200"/>
          <w:tblCellSpacing w:w="15" w:type="dxa"/>
        </w:trPr>
        <w:tc>
          <w:tcPr>
            <w:tcW w:w="0" w:type="auto"/>
            <w:gridSpan w:val="3"/>
            <w:vAlign w:val="bottom"/>
            <w:hideMark/>
          </w:tcPr>
          <w:p w14:paraId="6E732CCA" w14:textId="77777777" w:rsidR="00000000" w:rsidRDefault="003C49E9">
            <w:pPr>
              <w:pStyle w:val="a3"/>
              <w:spacing w:before="0" w:beforeAutospacing="0" w:after="0" w:afterAutospacing="0"/>
              <w:rPr>
                <w:sz w:val="20"/>
                <w:szCs w:val="20"/>
              </w:rPr>
            </w:pPr>
            <w:r>
              <w:rPr>
                <w:b/>
                <w:bCs/>
                <w:sz w:val="20"/>
                <w:szCs w:val="20"/>
              </w:rPr>
              <w:t>HUBSPOT, INC</w:t>
            </w:r>
            <w:r>
              <w:rPr>
                <w:b/>
                <w:bCs/>
                <w:sz w:val="20"/>
                <w:szCs w:val="20"/>
              </w:rPr>
              <w:t>.</w:t>
            </w:r>
          </w:p>
        </w:tc>
      </w:tr>
      <w:tr w:rsidR="00000000" w14:paraId="6492CF84" w14:textId="77777777">
        <w:trPr>
          <w:tblCellSpacing w:w="15" w:type="dxa"/>
        </w:trPr>
        <w:tc>
          <w:tcPr>
            <w:tcW w:w="0" w:type="auto"/>
            <w:vAlign w:val="center"/>
            <w:hideMark/>
          </w:tcPr>
          <w:p w14:paraId="77CCA2CA" w14:textId="77777777" w:rsidR="00000000" w:rsidRDefault="003C49E9">
            <w:pPr>
              <w:pStyle w:val="a3"/>
              <w:spacing w:before="0" w:beforeAutospacing="0" w:after="0" w:afterAutospacing="0"/>
            </w:pPr>
            <w:r>
              <w:t> </w:t>
            </w:r>
          </w:p>
        </w:tc>
        <w:tc>
          <w:tcPr>
            <w:tcW w:w="0" w:type="auto"/>
            <w:gridSpan w:val="2"/>
            <w:vAlign w:val="center"/>
            <w:hideMark/>
          </w:tcPr>
          <w:p w14:paraId="008E0CEF" w14:textId="77777777" w:rsidR="00000000" w:rsidRDefault="003C49E9">
            <w:pPr>
              <w:pStyle w:val="a3"/>
              <w:spacing w:before="0" w:beforeAutospacing="0" w:after="0" w:afterAutospacing="0"/>
            </w:pPr>
            <w:r>
              <w:t> </w:t>
            </w:r>
          </w:p>
        </w:tc>
      </w:tr>
      <w:tr w:rsidR="00000000" w14:paraId="57FAFEEB" w14:textId="77777777">
        <w:trPr>
          <w:trHeight w:val="200"/>
          <w:tblCellSpacing w:w="15" w:type="dxa"/>
        </w:trPr>
        <w:tc>
          <w:tcPr>
            <w:tcW w:w="0" w:type="auto"/>
            <w:vAlign w:val="bottom"/>
            <w:hideMark/>
          </w:tcPr>
          <w:p w14:paraId="6F2FD89D" w14:textId="77777777" w:rsidR="00000000" w:rsidRDefault="003C49E9">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14:paraId="1995E64A" w14:textId="77777777" w:rsidR="00000000" w:rsidRDefault="003C49E9">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14:paraId="26B0640D" w14:textId="77777777" w:rsidR="00000000" w:rsidRDefault="003C49E9">
            <w:pPr>
              <w:pStyle w:val="a3"/>
              <w:spacing w:before="0" w:beforeAutospacing="0" w:after="0" w:afterAutospacing="0"/>
              <w:rPr>
                <w:sz w:val="20"/>
                <w:szCs w:val="20"/>
              </w:rPr>
            </w:pPr>
            <w:r>
              <w:rPr>
                <w:sz w:val="20"/>
                <w:szCs w:val="20"/>
              </w:rPr>
              <w:t>/s/ Kate Bueke</w:t>
            </w:r>
            <w:r>
              <w:rPr>
                <w:sz w:val="20"/>
                <w:szCs w:val="20"/>
              </w:rPr>
              <w:t>r</w:t>
            </w:r>
          </w:p>
        </w:tc>
      </w:tr>
      <w:tr w:rsidR="00000000" w14:paraId="385A1796" w14:textId="77777777">
        <w:trPr>
          <w:trHeight w:val="200"/>
          <w:tblCellSpacing w:w="15" w:type="dxa"/>
        </w:trPr>
        <w:tc>
          <w:tcPr>
            <w:tcW w:w="0" w:type="auto"/>
            <w:vAlign w:val="bottom"/>
            <w:hideMark/>
          </w:tcPr>
          <w:p w14:paraId="5312600D" w14:textId="77777777" w:rsidR="00000000" w:rsidRDefault="003C49E9">
            <w:pPr>
              <w:pStyle w:val="a3"/>
              <w:spacing w:before="0" w:beforeAutospacing="0" w:after="0" w:afterAutospacing="0"/>
              <w:rPr>
                <w:sz w:val="20"/>
                <w:szCs w:val="20"/>
              </w:rPr>
            </w:pPr>
            <w:r>
              <w:rPr>
                <w:sz w:val="20"/>
                <w:szCs w:val="20"/>
              </w:rPr>
              <w:t>Name</w:t>
            </w:r>
            <w:r>
              <w:rPr>
                <w:sz w:val="20"/>
                <w:szCs w:val="20"/>
              </w:rPr>
              <w:t>:</w:t>
            </w:r>
          </w:p>
        </w:tc>
        <w:tc>
          <w:tcPr>
            <w:tcW w:w="0" w:type="auto"/>
            <w:vAlign w:val="bottom"/>
            <w:hideMark/>
          </w:tcPr>
          <w:p w14:paraId="02FBB508"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D5CB360" w14:textId="77777777" w:rsidR="00000000" w:rsidRDefault="003C49E9">
            <w:pPr>
              <w:pStyle w:val="a3"/>
              <w:spacing w:before="0" w:beforeAutospacing="0" w:after="0" w:afterAutospacing="0"/>
              <w:rPr>
                <w:sz w:val="20"/>
                <w:szCs w:val="20"/>
              </w:rPr>
            </w:pPr>
            <w:r>
              <w:rPr>
                <w:sz w:val="20"/>
                <w:szCs w:val="20"/>
              </w:rPr>
              <w:t>Kate Bueke</w:t>
            </w:r>
            <w:r>
              <w:rPr>
                <w:sz w:val="20"/>
                <w:szCs w:val="20"/>
              </w:rPr>
              <w:t>r</w:t>
            </w:r>
          </w:p>
        </w:tc>
      </w:tr>
      <w:tr w:rsidR="00000000" w14:paraId="2CEBD220" w14:textId="77777777">
        <w:trPr>
          <w:trHeight w:val="200"/>
          <w:tblCellSpacing w:w="15" w:type="dxa"/>
        </w:trPr>
        <w:tc>
          <w:tcPr>
            <w:tcW w:w="0" w:type="auto"/>
            <w:hideMark/>
          </w:tcPr>
          <w:p w14:paraId="73479853" w14:textId="77777777" w:rsidR="00000000" w:rsidRDefault="003C49E9">
            <w:pPr>
              <w:pStyle w:val="a3"/>
              <w:spacing w:before="0" w:beforeAutospacing="0" w:after="0" w:afterAutospacing="0"/>
              <w:rPr>
                <w:sz w:val="20"/>
                <w:szCs w:val="20"/>
              </w:rPr>
            </w:pPr>
            <w:r>
              <w:rPr>
                <w:sz w:val="20"/>
                <w:szCs w:val="20"/>
              </w:rPr>
              <w:t>Title</w:t>
            </w:r>
            <w:r>
              <w:rPr>
                <w:sz w:val="20"/>
                <w:szCs w:val="20"/>
              </w:rPr>
              <w:t>:</w:t>
            </w:r>
          </w:p>
        </w:tc>
        <w:tc>
          <w:tcPr>
            <w:tcW w:w="0" w:type="auto"/>
            <w:vAlign w:val="bottom"/>
            <w:hideMark/>
          </w:tcPr>
          <w:p w14:paraId="1CABA942" w14:textId="77777777" w:rsidR="00000000" w:rsidRDefault="003C49E9">
            <w:pPr>
              <w:pStyle w:val="a3"/>
              <w:spacing w:before="0" w:beforeAutospacing="0" w:after="0" w:afterAutospacing="0"/>
              <w:rPr>
                <w:sz w:val="20"/>
                <w:szCs w:val="20"/>
              </w:rPr>
            </w:pPr>
            <w:r>
              <w:rPr>
                <w:sz w:val="20"/>
                <w:szCs w:val="20"/>
              </w:rPr>
              <w:t> </w:t>
            </w:r>
          </w:p>
        </w:tc>
        <w:tc>
          <w:tcPr>
            <w:tcW w:w="0" w:type="auto"/>
            <w:vAlign w:val="bottom"/>
            <w:hideMark/>
          </w:tcPr>
          <w:p w14:paraId="0088FB42" w14:textId="77777777" w:rsidR="00000000" w:rsidRDefault="003C49E9">
            <w:pPr>
              <w:pStyle w:val="a3"/>
              <w:spacing w:before="0" w:beforeAutospacing="0" w:after="0" w:afterAutospacing="0"/>
              <w:rPr>
                <w:sz w:val="20"/>
                <w:szCs w:val="20"/>
              </w:rPr>
            </w:pPr>
            <w:r>
              <w:rPr>
                <w:sz w:val="20"/>
                <w:szCs w:val="20"/>
              </w:rPr>
              <w:t>Chief Financial Office</w:t>
            </w:r>
            <w:r>
              <w:rPr>
                <w:sz w:val="20"/>
                <w:szCs w:val="20"/>
              </w:rPr>
              <w:t>r</w:t>
            </w:r>
          </w:p>
          <w:p w14:paraId="221BC1E2" w14:textId="77777777" w:rsidR="00000000" w:rsidRDefault="003C49E9">
            <w:pPr>
              <w:pStyle w:val="a3"/>
              <w:spacing w:before="0" w:beforeAutospacing="0" w:after="0" w:afterAutospacing="0"/>
              <w:rPr>
                <w:sz w:val="20"/>
                <w:szCs w:val="20"/>
              </w:rPr>
            </w:pPr>
            <w:r>
              <w:rPr>
                <w:i/>
                <w:iCs/>
                <w:sz w:val="20"/>
                <w:szCs w:val="20"/>
              </w:rPr>
              <w:t>(Principal Financial and Accountin</w:t>
            </w:r>
            <w:r>
              <w:rPr>
                <w:i/>
                <w:iCs/>
                <w:sz w:val="20"/>
                <w:szCs w:val="20"/>
              </w:rPr>
              <w:t>g</w:t>
            </w:r>
            <w:r>
              <w:rPr>
                <w:i/>
                <w:iCs/>
                <w:sz w:val="20"/>
                <w:szCs w:val="20"/>
              </w:rPr>
              <w:t xml:space="preserve"> </w:t>
            </w:r>
          </w:p>
          <w:p w14:paraId="1DE9C9B4" w14:textId="77777777" w:rsidR="00000000" w:rsidRDefault="003C49E9">
            <w:pPr>
              <w:pStyle w:val="a3"/>
              <w:spacing w:before="0" w:beforeAutospacing="0" w:after="0" w:afterAutospacing="0"/>
              <w:rPr>
                <w:sz w:val="20"/>
                <w:szCs w:val="20"/>
              </w:rPr>
            </w:pPr>
            <w:r>
              <w:rPr>
                <w:i/>
                <w:iCs/>
                <w:sz w:val="20"/>
                <w:szCs w:val="20"/>
              </w:rPr>
              <w:t>Officer and Authorized Signatory</w:t>
            </w:r>
            <w:r>
              <w:rPr>
                <w:i/>
                <w:iCs/>
                <w:sz w:val="20"/>
                <w:szCs w:val="20"/>
              </w:rPr>
              <w:t>)</w:t>
            </w:r>
          </w:p>
        </w:tc>
      </w:tr>
    </w:tbl>
    <w:p w14:paraId="6DE8DBA5" w14:textId="77777777" w:rsidR="00000000" w:rsidRDefault="003C49E9">
      <w:pPr>
        <w:pStyle w:val="a3"/>
        <w:spacing w:before="240" w:beforeAutospacing="0" w:after="0" w:afterAutospacing="0"/>
        <w:rPr>
          <w:sz w:val="20"/>
          <w:szCs w:val="20"/>
        </w:rPr>
      </w:pPr>
      <w:r>
        <w:rPr>
          <w:sz w:val="20"/>
          <w:szCs w:val="20"/>
        </w:rPr>
        <w:t>August 4, 202</w:t>
      </w:r>
      <w:r>
        <w:rPr>
          <w:sz w:val="20"/>
          <w:szCs w:val="20"/>
        </w:rPr>
        <w:t>2</w:t>
      </w:r>
    </w:p>
    <w:p w14:paraId="193F2C1D" w14:textId="77777777" w:rsidR="00000000" w:rsidRDefault="003C49E9">
      <w:pPr>
        <w:pStyle w:val="a3"/>
        <w:spacing w:before="240" w:beforeAutospacing="0" w:after="0" w:afterAutospacing="0"/>
        <w:jc w:val="center"/>
        <w:rPr>
          <w:sz w:val="20"/>
          <w:szCs w:val="20"/>
        </w:rPr>
      </w:pPr>
      <w:r>
        <w:rPr>
          <w:sz w:val="20"/>
          <w:szCs w:val="20"/>
        </w:rPr>
        <w:t>6</w:t>
      </w:r>
      <w:r>
        <w:rPr>
          <w:sz w:val="20"/>
          <w:szCs w:val="20"/>
        </w:rPr>
        <w:t>1</w:t>
      </w:r>
    </w:p>
    <w:p w14:paraId="278C0444" w14:textId="77777777" w:rsidR="003C49E9" w:rsidRDefault="003C49E9">
      <w:pPr>
        <w:rPr>
          <w:rFonts w:eastAsia="Times New Roman"/>
        </w:rPr>
      </w:pPr>
      <w:r>
        <w:rPr>
          <w:rFonts w:eastAsia="Times New Roman"/>
        </w:rPr>
        <w:pict w14:anchorId="4DB705EB">
          <v:rect id="_x0000_i1085" style="width:0;height:1.5pt" o:hralign="center" o:hrstd="t" o:hr="t" fillcolor="#a0a0a0" stroked="f"/>
        </w:pict>
      </w:r>
    </w:p>
    <w:sectPr w:rsidR="003C49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49E9"/>
    <w:rsid w:val="003C49E9"/>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20630"/>
  <w:attachedSchema w:val="http://xbrl.sec.gov/dei/2022"/>
  <w:attachedSchema w:val="http://xbrl.sec.gov/stpr/2022"/>
  <w:attachedSchema w:val="http://fasb.org/us-gaap/2022"/>
  <w:attachedSchema w:val="http://www.xbrl.org/2003/iso4217"/>
  <w:attachedSchema w:val="http://xbrl.org/2020/extensible-enumerations-2.0"/>
  <w:attachedSchema w:val="http://www.xbrl.org/dtr/type/2020-01-2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91C3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38">
      <w:marLeft w:val="4"/>
      <w:marRight w:val="0"/>
      <w:marTop w:val="160"/>
      <w:marBottom w:val="0"/>
      <w:divBdr>
        <w:top w:val="none" w:sz="0" w:space="0" w:color="auto"/>
        <w:left w:val="none" w:sz="0" w:space="0" w:color="auto"/>
        <w:bottom w:val="none" w:sz="0" w:space="0" w:color="auto"/>
        <w:right w:val="none" w:sz="0" w:space="0" w:color="auto"/>
      </w:divBdr>
      <w:divsChild>
        <w:div w:id="1840151734">
          <w:marLeft w:val="0"/>
          <w:marRight w:val="0"/>
          <w:marTop w:val="0"/>
          <w:marBottom w:val="0"/>
          <w:divBdr>
            <w:top w:val="none" w:sz="0" w:space="0" w:color="auto"/>
            <w:left w:val="none" w:sz="0" w:space="0" w:color="auto"/>
            <w:bottom w:val="none" w:sz="0" w:space="0" w:color="auto"/>
            <w:right w:val="none" w:sz="0" w:space="0" w:color="auto"/>
          </w:divBdr>
        </w:div>
      </w:divsChild>
    </w:div>
    <w:div w:id="108863171">
      <w:marLeft w:val="0"/>
      <w:marRight w:val="0"/>
      <w:marTop w:val="0"/>
      <w:marBottom w:val="0"/>
      <w:divBdr>
        <w:top w:val="none" w:sz="0" w:space="0" w:color="auto"/>
        <w:left w:val="none" w:sz="0" w:space="0" w:color="auto"/>
        <w:bottom w:val="none" w:sz="0" w:space="0" w:color="auto"/>
        <w:right w:val="none" w:sz="0" w:space="0" w:color="auto"/>
      </w:divBdr>
      <w:divsChild>
        <w:div w:id="1062027124">
          <w:marLeft w:val="0"/>
          <w:marRight w:val="0"/>
          <w:marTop w:val="0"/>
          <w:marBottom w:val="0"/>
          <w:divBdr>
            <w:top w:val="none" w:sz="0" w:space="0" w:color="auto"/>
            <w:left w:val="none" w:sz="0" w:space="0" w:color="auto"/>
            <w:bottom w:val="none" w:sz="0" w:space="0" w:color="auto"/>
            <w:right w:val="none" w:sz="0" w:space="0" w:color="auto"/>
          </w:divBdr>
        </w:div>
        <w:div w:id="2090493722">
          <w:marLeft w:val="0"/>
          <w:marRight w:val="0"/>
          <w:marTop w:val="0"/>
          <w:marBottom w:val="0"/>
          <w:divBdr>
            <w:top w:val="none" w:sz="0" w:space="0" w:color="auto"/>
            <w:left w:val="none" w:sz="0" w:space="0" w:color="auto"/>
            <w:bottom w:val="none" w:sz="0" w:space="0" w:color="auto"/>
            <w:right w:val="none" w:sz="0" w:space="0" w:color="auto"/>
          </w:divBdr>
        </w:div>
      </w:divsChild>
    </w:div>
    <w:div w:id="132262724">
      <w:marLeft w:val="4"/>
      <w:marRight w:val="0"/>
      <w:marTop w:val="200"/>
      <w:marBottom w:val="0"/>
      <w:divBdr>
        <w:top w:val="none" w:sz="0" w:space="0" w:color="auto"/>
        <w:left w:val="none" w:sz="0" w:space="0" w:color="auto"/>
        <w:bottom w:val="none" w:sz="0" w:space="0" w:color="auto"/>
        <w:right w:val="none" w:sz="0" w:space="0" w:color="auto"/>
      </w:divBdr>
      <w:divsChild>
        <w:div w:id="1590847412">
          <w:marLeft w:val="0"/>
          <w:marRight w:val="0"/>
          <w:marTop w:val="0"/>
          <w:marBottom w:val="0"/>
          <w:divBdr>
            <w:top w:val="none" w:sz="0" w:space="0" w:color="auto"/>
            <w:left w:val="none" w:sz="0" w:space="0" w:color="auto"/>
            <w:bottom w:val="none" w:sz="0" w:space="0" w:color="auto"/>
            <w:right w:val="none" w:sz="0" w:space="0" w:color="auto"/>
          </w:divBdr>
        </w:div>
      </w:divsChild>
    </w:div>
    <w:div w:id="146482919">
      <w:marLeft w:val="4"/>
      <w:marRight w:val="0"/>
      <w:marTop w:val="200"/>
      <w:marBottom w:val="0"/>
      <w:divBdr>
        <w:top w:val="none" w:sz="0" w:space="0" w:color="auto"/>
        <w:left w:val="none" w:sz="0" w:space="0" w:color="auto"/>
        <w:bottom w:val="none" w:sz="0" w:space="0" w:color="auto"/>
        <w:right w:val="none" w:sz="0" w:space="0" w:color="auto"/>
      </w:divBdr>
      <w:divsChild>
        <w:div w:id="613946476">
          <w:marLeft w:val="0"/>
          <w:marRight w:val="0"/>
          <w:marTop w:val="0"/>
          <w:marBottom w:val="0"/>
          <w:divBdr>
            <w:top w:val="none" w:sz="0" w:space="0" w:color="auto"/>
            <w:left w:val="none" w:sz="0" w:space="0" w:color="auto"/>
            <w:bottom w:val="none" w:sz="0" w:space="0" w:color="auto"/>
            <w:right w:val="none" w:sz="0" w:space="0" w:color="auto"/>
          </w:divBdr>
        </w:div>
      </w:divsChild>
    </w:div>
    <w:div w:id="159739568">
      <w:marLeft w:val="0"/>
      <w:marRight w:val="0"/>
      <w:marTop w:val="0"/>
      <w:marBottom w:val="0"/>
      <w:divBdr>
        <w:top w:val="none" w:sz="0" w:space="0" w:color="auto"/>
        <w:left w:val="none" w:sz="0" w:space="0" w:color="auto"/>
        <w:bottom w:val="none" w:sz="0" w:space="0" w:color="auto"/>
        <w:right w:val="none" w:sz="0" w:space="0" w:color="auto"/>
      </w:divBdr>
      <w:divsChild>
        <w:div w:id="1740399693">
          <w:marLeft w:val="0"/>
          <w:marRight w:val="0"/>
          <w:marTop w:val="0"/>
          <w:marBottom w:val="0"/>
          <w:divBdr>
            <w:top w:val="none" w:sz="0" w:space="0" w:color="auto"/>
            <w:left w:val="none" w:sz="0" w:space="0" w:color="auto"/>
            <w:bottom w:val="none" w:sz="0" w:space="0" w:color="auto"/>
            <w:right w:val="none" w:sz="0" w:space="0" w:color="auto"/>
          </w:divBdr>
        </w:div>
      </w:divsChild>
    </w:div>
    <w:div w:id="174728981">
      <w:marLeft w:val="4"/>
      <w:marRight w:val="0"/>
      <w:marTop w:val="200"/>
      <w:marBottom w:val="0"/>
      <w:divBdr>
        <w:top w:val="none" w:sz="0" w:space="0" w:color="auto"/>
        <w:left w:val="none" w:sz="0" w:space="0" w:color="auto"/>
        <w:bottom w:val="none" w:sz="0" w:space="0" w:color="auto"/>
        <w:right w:val="none" w:sz="0" w:space="0" w:color="auto"/>
      </w:divBdr>
      <w:divsChild>
        <w:div w:id="1570650970">
          <w:marLeft w:val="0"/>
          <w:marRight w:val="0"/>
          <w:marTop w:val="0"/>
          <w:marBottom w:val="0"/>
          <w:divBdr>
            <w:top w:val="none" w:sz="0" w:space="0" w:color="auto"/>
            <w:left w:val="none" w:sz="0" w:space="0" w:color="auto"/>
            <w:bottom w:val="none" w:sz="0" w:space="0" w:color="auto"/>
            <w:right w:val="none" w:sz="0" w:space="0" w:color="auto"/>
          </w:divBdr>
        </w:div>
      </w:divsChild>
    </w:div>
    <w:div w:id="193543950">
      <w:marLeft w:val="4"/>
      <w:marRight w:val="0"/>
      <w:marTop w:val="160"/>
      <w:marBottom w:val="0"/>
      <w:divBdr>
        <w:top w:val="none" w:sz="0" w:space="0" w:color="auto"/>
        <w:left w:val="none" w:sz="0" w:space="0" w:color="auto"/>
        <w:bottom w:val="none" w:sz="0" w:space="0" w:color="auto"/>
        <w:right w:val="none" w:sz="0" w:space="0" w:color="auto"/>
      </w:divBdr>
      <w:divsChild>
        <w:div w:id="1048453319">
          <w:marLeft w:val="0"/>
          <w:marRight w:val="0"/>
          <w:marTop w:val="0"/>
          <w:marBottom w:val="0"/>
          <w:divBdr>
            <w:top w:val="none" w:sz="0" w:space="0" w:color="auto"/>
            <w:left w:val="none" w:sz="0" w:space="0" w:color="auto"/>
            <w:bottom w:val="none" w:sz="0" w:space="0" w:color="auto"/>
            <w:right w:val="none" w:sz="0" w:space="0" w:color="auto"/>
          </w:divBdr>
        </w:div>
      </w:divsChild>
    </w:div>
    <w:div w:id="199441426">
      <w:marLeft w:val="4"/>
      <w:marRight w:val="0"/>
      <w:marTop w:val="200"/>
      <w:marBottom w:val="0"/>
      <w:divBdr>
        <w:top w:val="none" w:sz="0" w:space="0" w:color="auto"/>
        <w:left w:val="none" w:sz="0" w:space="0" w:color="auto"/>
        <w:bottom w:val="none" w:sz="0" w:space="0" w:color="auto"/>
        <w:right w:val="none" w:sz="0" w:space="0" w:color="auto"/>
      </w:divBdr>
      <w:divsChild>
        <w:div w:id="1963341031">
          <w:marLeft w:val="0"/>
          <w:marRight w:val="0"/>
          <w:marTop w:val="0"/>
          <w:marBottom w:val="0"/>
          <w:divBdr>
            <w:top w:val="none" w:sz="0" w:space="0" w:color="auto"/>
            <w:left w:val="none" w:sz="0" w:space="0" w:color="auto"/>
            <w:bottom w:val="none" w:sz="0" w:space="0" w:color="auto"/>
            <w:right w:val="none" w:sz="0" w:space="0" w:color="auto"/>
          </w:divBdr>
        </w:div>
      </w:divsChild>
    </w:div>
    <w:div w:id="213541852">
      <w:marLeft w:val="4"/>
      <w:marRight w:val="0"/>
      <w:marTop w:val="160"/>
      <w:marBottom w:val="0"/>
      <w:divBdr>
        <w:top w:val="none" w:sz="0" w:space="0" w:color="auto"/>
        <w:left w:val="none" w:sz="0" w:space="0" w:color="auto"/>
        <w:bottom w:val="none" w:sz="0" w:space="0" w:color="auto"/>
        <w:right w:val="none" w:sz="0" w:space="0" w:color="auto"/>
      </w:divBdr>
      <w:divsChild>
        <w:div w:id="624966177">
          <w:marLeft w:val="0"/>
          <w:marRight w:val="0"/>
          <w:marTop w:val="0"/>
          <w:marBottom w:val="0"/>
          <w:divBdr>
            <w:top w:val="none" w:sz="0" w:space="0" w:color="auto"/>
            <w:left w:val="none" w:sz="0" w:space="0" w:color="auto"/>
            <w:bottom w:val="none" w:sz="0" w:space="0" w:color="auto"/>
            <w:right w:val="none" w:sz="0" w:space="0" w:color="auto"/>
          </w:divBdr>
        </w:div>
      </w:divsChild>
    </w:div>
    <w:div w:id="234164360">
      <w:marLeft w:val="4"/>
      <w:marRight w:val="0"/>
      <w:marTop w:val="200"/>
      <w:marBottom w:val="0"/>
      <w:divBdr>
        <w:top w:val="none" w:sz="0" w:space="0" w:color="auto"/>
        <w:left w:val="none" w:sz="0" w:space="0" w:color="auto"/>
        <w:bottom w:val="none" w:sz="0" w:space="0" w:color="auto"/>
        <w:right w:val="none" w:sz="0" w:space="0" w:color="auto"/>
      </w:divBdr>
      <w:divsChild>
        <w:div w:id="1979610164">
          <w:marLeft w:val="0"/>
          <w:marRight w:val="0"/>
          <w:marTop w:val="0"/>
          <w:marBottom w:val="0"/>
          <w:divBdr>
            <w:top w:val="none" w:sz="0" w:space="0" w:color="auto"/>
            <w:left w:val="none" w:sz="0" w:space="0" w:color="auto"/>
            <w:bottom w:val="none" w:sz="0" w:space="0" w:color="auto"/>
            <w:right w:val="none" w:sz="0" w:space="0" w:color="auto"/>
          </w:divBdr>
        </w:div>
      </w:divsChild>
    </w:div>
    <w:div w:id="237977800">
      <w:marLeft w:val="0"/>
      <w:marRight w:val="0"/>
      <w:marTop w:val="0"/>
      <w:marBottom w:val="0"/>
      <w:divBdr>
        <w:top w:val="none" w:sz="0" w:space="0" w:color="auto"/>
        <w:left w:val="none" w:sz="0" w:space="0" w:color="auto"/>
        <w:bottom w:val="none" w:sz="0" w:space="0" w:color="auto"/>
        <w:right w:val="none" w:sz="0" w:space="0" w:color="auto"/>
      </w:divBdr>
      <w:divsChild>
        <w:div w:id="816453404">
          <w:marLeft w:val="0"/>
          <w:marRight w:val="0"/>
          <w:marTop w:val="0"/>
          <w:marBottom w:val="0"/>
          <w:divBdr>
            <w:top w:val="none" w:sz="0" w:space="0" w:color="auto"/>
            <w:left w:val="none" w:sz="0" w:space="0" w:color="auto"/>
            <w:bottom w:val="none" w:sz="0" w:space="0" w:color="auto"/>
            <w:right w:val="none" w:sz="0" w:space="0" w:color="auto"/>
          </w:divBdr>
        </w:div>
      </w:divsChild>
    </w:div>
    <w:div w:id="268775919">
      <w:marLeft w:val="4"/>
      <w:marRight w:val="0"/>
      <w:marTop w:val="120"/>
      <w:marBottom w:val="0"/>
      <w:divBdr>
        <w:top w:val="none" w:sz="0" w:space="0" w:color="auto"/>
        <w:left w:val="none" w:sz="0" w:space="0" w:color="auto"/>
        <w:bottom w:val="none" w:sz="0" w:space="0" w:color="auto"/>
        <w:right w:val="none" w:sz="0" w:space="0" w:color="auto"/>
      </w:divBdr>
      <w:divsChild>
        <w:div w:id="1319726955">
          <w:marLeft w:val="0"/>
          <w:marRight w:val="0"/>
          <w:marTop w:val="0"/>
          <w:marBottom w:val="0"/>
          <w:divBdr>
            <w:top w:val="none" w:sz="0" w:space="0" w:color="auto"/>
            <w:left w:val="none" w:sz="0" w:space="0" w:color="auto"/>
            <w:bottom w:val="none" w:sz="0" w:space="0" w:color="auto"/>
            <w:right w:val="none" w:sz="0" w:space="0" w:color="auto"/>
          </w:divBdr>
        </w:div>
      </w:divsChild>
    </w:div>
    <w:div w:id="273177617">
      <w:marLeft w:val="0"/>
      <w:marRight w:val="0"/>
      <w:marTop w:val="0"/>
      <w:marBottom w:val="0"/>
      <w:divBdr>
        <w:top w:val="none" w:sz="0" w:space="0" w:color="auto"/>
        <w:left w:val="none" w:sz="0" w:space="0" w:color="auto"/>
        <w:bottom w:val="none" w:sz="0" w:space="0" w:color="auto"/>
        <w:right w:val="none" w:sz="0" w:space="0" w:color="auto"/>
      </w:divBdr>
      <w:divsChild>
        <w:div w:id="1725060646">
          <w:marLeft w:val="0"/>
          <w:marRight w:val="0"/>
          <w:marTop w:val="0"/>
          <w:marBottom w:val="0"/>
          <w:divBdr>
            <w:top w:val="none" w:sz="0" w:space="0" w:color="auto"/>
            <w:left w:val="none" w:sz="0" w:space="0" w:color="auto"/>
            <w:bottom w:val="none" w:sz="0" w:space="0" w:color="auto"/>
            <w:right w:val="none" w:sz="0" w:space="0" w:color="auto"/>
          </w:divBdr>
        </w:div>
      </w:divsChild>
    </w:div>
    <w:div w:id="287057153">
      <w:marLeft w:val="4"/>
      <w:marRight w:val="0"/>
      <w:marTop w:val="200"/>
      <w:marBottom w:val="0"/>
      <w:divBdr>
        <w:top w:val="none" w:sz="0" w:space="0" w:color="auto"/>
        <w:left w:val="none" w:sz="0" w:space="0" w:color="auto"/>
        <w:bottom w:val="none" w:sz="0" w:space="0" w:color="auto"/>
        <w:right w:val="none" w:sz="0" w:space="0" w:color="auto"/>
      </w:divBdr>
      <w:divsChild>
        <w:div w:id="1802841685">
          <w:marLeft w:val="0"/>
          <w:marRight w:val="0"/>
          <w:marTop w:val="0"/>
          <w:marBottom w:val="0"/>
          <w:divBdr>
            <w:top w:val="none" w:sz="0" w:space="0" w:color="auto"/>
            <w:left w:val="none" w:sz="0" w:space="0" w:color="auto"/>
            <w:bottom w:val="none" w:sz="0" w:space="0" w:color="auto"/>
            <w:right w:val="none" w:sz="0" w:space="0" w:color="auto"/>
          </w:divBdr>
        </w:div>
      </w:divsChild>
    </w:div>
    <w:div w:id="288123936">
      <w:marLeft w:val="4"/>
      <w:marRight w:val="0"/>
      <w:marTop w:val="160"/>
      <w:marBottom w:val="0"/>
      <w:divBdr>
        <w:top w:val="none" w:sz="0" w:space="0" w:color="auto"/>
        <w:left w:val="none" w:sz="0" w:space="0" w:color="auto"/>
        <w:bottom w:val="none" w:sz="0" w:space="0" w:color="auto"/>
        <w:right w:val="none" w:sz="0" w:space="0" w:color="auto"/>
      </w:divBdr>
      <w:divsChild>
        <w:div w:id="150802917">
          <w:marLeft w:val="0"/>
          <w:marRight w:val="0"/>
          <w:marTop w:val="0"/>
          <w:marBottom w:val="0"/>
          <w:divBdr>
            <w:top w:val="none" w:sz="0" w:space="0" w:color="auto"/>
            <w:left w:val="none" w:sz="0" w:space="0" w:color="auto"/>
            <w:bottom w:val="none" w:sz="0" w:space="0" w:color="auto"/>
            <w:right w:val="none" w:sz="0" w:space="0" w:color="auto"/>
          </w:divBdr>
        </w:div>
      </w:divsChild>
    </w:div>
    <w:div w:id="290282652">
      <w:marLeft w:val="4"/>
      <w:marRight w:val="0"/>
      <w:marTop w:val="160"/>
      <w:marBottom w:val="0"/>
      <w:divBdr>
        <w:top w:val="none" w:sz="0" w:space="0" w:color="auto"/>
        <w:left w:val="none" w:sz="0" w:space="0" w:color="auto"/>
        <w:bottom w:val="none" w:sz="0" w:space="0" w:color="auto"/>
        <w:right w:val="none" w:sz="0" w:space="0" w:color="auto"/>
      </w:divBdr>
      <w:divsChild>
        <w:div w:id="511602649">
          <w:marLeft w:val="0"/>
          <w:marRight w:val="0"/>
          <w:marTop w:val="0"/>
          <w:marBottom w:val="0"/>
          <w:divBdr>
            <w:top w:val="none" w:sz="0" w:space="0" w:color="auto"/>
            <w:left w:val="none" w:sz="0" w:space="0" w:color="auto"/>
            <w:bottom w:val="none" w:sz="0" w:space="0" w:color="auto"/>
            <w:right w:val="none" w:sz="0" w:space="0" w:color="auto"/>
          </w:divBdr>
        </w:div>
      </w:divsChild>
    </w:div>
    <w:div w:id="318460364">
      <w:marLeft w:val="0"/>
      <w:marRight w:val="0"/>
      <w:marTop w:val="0"/>
      <w:marBottom w:val="0"/>
      <w:divBdr>
        <w:top w:val="none" w:sz="0" w:space="0" w:color="auto"/>
        <w:left w:val="none" w:sz="0" w:space="0" w:color="auto"/>
        <w:bottom w:val="none" w:sz="0" w:space="0" w:color="auto"/>
        <w:right w:val="none" w:sz="0" w:space="0" w:color="auto"/>
      </w:divBdr>
      <w:divsChild>
        <w:div w:id="1472557955">
          <w:marLeft w:val="0"/>
          <w:marRight w:val="0"/>
          <w:marTop w:val="0"/>
          <w:marBottom w:val="0"/>
          <w:divBdr>
            <w:top w:val="none" w:sz="0" w:space="0" w:color="auto"/>
            <w:left w:val="none" w:sz="0" w:space="0" w:color="auto"/>
            <w:bottom w:val="none" w:sz="0" w:space="0" w:color="auto"/>
            <w:right w:val="none" w:sz="0" w:space="0" w:color="auto"/>
          </w:divBdr>
        </w:div>
      </w:divsChild>
    </w:div>
    <w:div w:id="323512699">
      <w:marLeft w:val="4"/>
      <w:marRight w:val="0"/>
      <w:marTop w:val="200"/>
      <w:marBottom w:val="0"/>
      <w:divBdr>
        <w:top w:val="none" w:sz="0" w:space="0" w:color="auto"/>
        <w:left w:val="none" w:sz="0" w:space="0" w:color="auto"/>
        <w:bottom w:val="none" w:sz="0" w:space="0" w:color="auto"/>
        <w:right w:val="none" w:sz="0" w:space="0" w:color="auto"/>
      </w:divBdr>
      <w:divsChild>
        <w:div w:id="1615477474">
          <w:marLeft w:val="0"/>
          <w:marRight w:val="0"/>
          <w:marTop w:val="0"/>
          <w:marBottom w:val="0"/>
          <w:divBdr>
            <w:top w:val="none" w:sz="0" w:space="0" w:color="auto"/>
            <w:left w:val="none" w:sz="0" w:space="0" w:color="auto"/>
            <w:bottom w:val="none" w:sz="0" w:space="0" w:color="auto"/>
            <w:right w:val="none" w:sz="0" w:space="0" w:color="auto"/>
          </w:divBdr>
        </w:div>
      </w:divsChild>
    </w:div>
    <w:div w:id="325322173">
      <w:marLeft w:val="4"/>
      <w:marRight w:val="0"/>
      <w:marTop w:val="160"/>
      <w:marBottom w:val="0"/>
      <w:divBdr>
        <w:top w:val="none" w:sz="0" w:space="0" w:color="auto"/>
        <w:left w:val="none" w:sz="0" w:space="0" w:color="auto"/>
        <w:bottom w:val="none" w:sz="0" w:space="0" w:color="auto"/>
        <w:right w:val="none" w:sz="0" w:space="0" w:color="auto"/>
      </w:divBdr>
      <w:divsChild>
        <w:div w:id="1524708590">
          <w:marLeft w:val="0"/>
          <w:marRight w:val="0"/>
          <w:marTop w:val="0"/>
          <w:marBottom w:val="0"/>
          <w:divBdr>
            <w:top w:val="none" w:sz="0" w:space="0" w:color="auto"/>
            <w:left w:val="none" w:sz="0" w:space="0" w:color="auto"/>
            <w:bottom w:val="none" w:sz="0" w:space="0" w:color="auto"/>
            <w:right w:val="none" w:sz="0" w:space="0" w:color="auto"/>
          </w:divBdr>
        </w:div>
      </w:divsChild>
    </w:div>
    <w:div w:id="341009450">
      <w:marLeft w:val="4"/>
      <w:marRight w:val="0"/>
      <w:marTop w:val="200"/>
      <w:marBottom w:val="0"/>
      <w:divBdr>
        <w:top w:val="none" w:sz="0" w:space="0" w:color="auto"/>
        <w:left w:val="none" w:sz="0" w:space="0" w:color="auto"/>
        <w:bottom w:val="none" w:sz="0" w:space="0" w:color="auto"/>
        <w:right w:val="none" w:sz="0" w:space="0" w:color="auto"/>
      </w:divBdr>
      <w:divsChild>
        <w:div w:id="254170052">
          <w:marLeft w:val="0"/>
          <w:marRight w:val="0"/>
          <w:marTop w:val="0"/>
          <w:marBottom w:val="0"/>
          <w:divBdr>
            <w:top w:val="none" w:sz="0" w:space="0" w:color="auto"/>
            <w:left w:val="none" w:sz="0" w:space="0" w:color="auto"/>
            <w:bottom w:val="none" w:sz="0" w:space="0" w:color="auto"/>
            <w:right w:val="none" w:sz="0" w:space="0" w:color="auto"/>
          </w:divBdr>
        </w:div>
      </w:divsChild>
    </w:div>
    <w:div w:id="346641097">
      <w:marLeft w:val="4"/>
      <w:marRight w:val="0"/>
      <w:marTop w:val="200"/>
      <w:marBottom w:val="0"/>
      <w:divBdr>
        <w:top w:val="none" w:sz="0" w:space="0" w:color="auto"/>
        <w:left w:val="none" w:sz="0" w:space="0" w:color="auto"/>
        <w:bottom w:val="none" w:sz="0" w:space="0" w:color="auto"/>
        <w:right w:val="none" w:sz="0" w:space="0" w:color="auto"/>
      </w:divBdr>
      <w:divsChild>
        <w:div w:id="1103183490">
          <w:marLeft w:val="0"/>
          <w:marRight w:val="0"/>
          <w:marTop w:val="0"/>
          <w:marBottom w:val="0"/>
          <w:divBdr>
            <w:top w:val="none" w:sz="0" w:space="0" w:color="auto"/>
            <w:left w:val="none" w:sz="0" w:space="0" w:color="auto"/>
            <w:bottom w:val="none" w:sz="0" w:space="0" w:color="auto"/>
            <w:right w:val="none" w:sz="0" w:space="0" w:color="auto"/>
          </w:divBdr>
        </w:div>
      </w:divsChild>
    </w:div>
    <w:div w:id="352079010">
      <w:marLeft w:val="4"/>
      <w:marRight w:val="0"/>
      <w:marTop w:val="160"/>
      <w:marBottom w:val="0"/>
      <w:divBdr>
        <w:top w:val="none" w:sz="0" w:space="0" w:color="auto"/>
        <w:left w:val="none" w:sz="0" w:space="0" w:color="auto"/>
        <w:bottom w:val="none" w:sz="0" w:space="0" w:color="auto"/>
        <w:right w:val="none" w:sz="0" w:space="0" w:color="auto"/>
      </w:divBdr>
      <w:divsChild>
        <w:div w:id="306974338">
          <w:marLeft w:val="0"/>
          <w:marRight w:val="0"/>
          <w:marTop w:val="0"/>
          <w:marBottom w:val="0"/>
          <w:divBdr>
            <w:top w:val="none" w:sz="0" w:space="0" w:color="auto"/>
            <w:left w:val="none" w:sz="0" w:space="0" w:color="auto"/>
            <w:bottom w:val="none" w:sz="0" w:space="0" w:color="auto"/>
            <w:right w:val="none" w:sz="0" w:space="0" w:color="auto"/>
          </w:divBdr>
        </w:div>
      </w:divsChild>
    </w:div>
    <w:div w:id="360907893">
      <w:marLeft w:val="4"/>
      <w:marRight w:val="0"/>
      <w:marTop w:val="120"/>
      <w:marBottom w:val="0"/>
      <w:divBdr>
        <w:top w:val="none" w:sz="0" w:space="0" w:color="auto"/>
        <w:left w:val="none" w:sz="0" w:space="0" w:color="auto"/>
        <w:bottom w:val="none" w:sz="0" w:space="0" w:color="auto"/>
        <w:right w:val="none" w:sz="0" w:space="0" w:color="auto"/>
      </w:divBdr>
      <w:divsChild>
        <w:div w:id="1131361161">
          <w:marLeft w:val="0"/>
          <w:marRight w:val="0"/>
          <w:marTop w:val="0"/>
          <w:marBottom w:val="0"/>
          <w:divBdr>
            <w:top w:val="none" w:sz="0" w:space="0" w:color="auto"/>
            <w:left w:val="none" w:sz="0" w:space="0" w:color="auto"/>
            <w:bottom w:val="none" w:sz="0" w:space="0" w:color="auto"/>
            <w:right w:val="none" w:sz="0" w:space="0" w:color="auto"/>
          </w:divBdr>
        </w:div>
      </w:divsChild>
    </w:div>
    <w:div w:id="391320238">
      <w:marLeft w:val="4"/>
      <w:marRight w:val="0"/>
      <w:marTop w:val="160"/>
      <w:marBottom w:val="0"/>
      <w:divBdr>
        <w:top w:val="none" w:sz="0" w:space="0" w:color="auto"/>
        <w:left w:val="none" w:sz="0" w:space="0" w:color="auto"/>
        <w:bottom w:val="none" w:sz="0" w:space="0" w:color="auto"/>
        <w:right w:val="none" w:sz="0" w:space="0" w:color="auto"/>
      </w:divBdr>
      <w:divsChild>
        <w:div w:id="1500392698">
          <w:marLeft w:val="0"/>
          <w:marRight w:val="0"/>
          <w:marTop w:val="0"/>
          <w:marBottom w:val="0"/>
          <w:divBdr>
            <w:top w:val="none" w:sz="0" w:space="0" w:color="auto"/>
            <w:left w:val="none" w:sz="0" w:space="0" w:color="auto"/>
            <w:bottom w:val="none" w:sz="0" w:space="0" w:color="auto"/>
            <w:right w:val="none" w:sz="0" w:space="0" w:color="auto"/>
          </w:divBdr>
        </w:div>
      </w:divsChild>
    </w:div>
    <w:div w:id="457259007">
      <w:marLeft w:val="4"/>
      <w:marRight w:val="0"/>
      <w:marTop w:val="200"/>
      <w:marBottom w:val="0"/>
      <w:divBdr>
        <w:top w:val="none" w:sz="0" w:space="0" w:color="auto"/>
        <w:left w:val="none" w:sz="0" w:space="0" w:color="auto"/>
        <w:bottom w:val="none" w:sz="0" w:space="0" w:color="auto"/>
        <w:right w:val="none" w:sz="0" w:space="0" w:color="auto"/>
      </w:divBdr>
      <w:divsChild>
        <w:div w:id="1459109613">
          <w:marLeft w:val="0"/>
          <w:marRight w:val="0"/>
          <w:marTop w:val="0"/>
          <w:marBottom w:val="0"/>
          <w:divBdr>
            <w:top w:val="none" w:sz="0" w:space="0" w:color="auto"/>
            <w:left w:val="none" w:sz="0" w:space="0" w:color="auto"/>
            <w:bottom w:val="none" w:sz="0" w:space="0" w:color="auto"/>
            <w:right w:val="none" w:sz="0" w:space="0" w:color="auto"/>
          </w:divBdr>
        </w:div>
      </w:divsChild>
    </w:div>
    <w:div w:id="469246871">
      <w:marLeft w:val="4"/>
      <w:marRight w:val="0"/>
      <w:marTop w:val="200"/>
      <w:marBottom w:val="0"/>
      <w:divBdr>
        <w:top w:val="none" w:sz="0" w:space="0" w:color="auto"/>
        <w:left w:val="none" w:sz="0" w:space="0" w:color="auto"/>
        <w:bottom w:val="none" w:sz="0" w:space="0" w:color="auto"/>
        <w:right w:val="none" w:sz="0" w:space="0" w:color="auto"/>
      </w:divBdr>
      <w:divsChild>
        <w:div w:id="1029452013">
          <w:marLeft w:val="0"/>
          <w:marRight w:val="0"/>
          <w:marTop w:val="0"/>
          <w:marBottom w:val="0"/>
          <w:divBdr>
            <w:top w:val="none" w:sz="0" w:space="0" w:color="auto"/>
            <w:left w:val="none" w:sz="0" w:space="0" w:color="auto"/>
            <w:bottom w:val="none" w:sz="0" w:space="0" w:color="auto"/>
            <w:right w:val="none" w:sz="0" w:space="0" w:color="auto"/>
          </w:divBdr>
        </w:div>
      </w:divsChild>
    </w:div>
    <w:div w:id="476190016">
      <w:marLeft w:val="4"/>
      <w:marRight w:val="0"/>
      <w:marTop w:val="200"/>
      <w:marBottom w:val="0"/>
      <w:divBdr>
        <w:top w:val="none" w:sz="0" w:space="0" w:color="auto"/>
        <w:left w:val="none" w:sz="0" w:space="0" w:color="auto"/>
        <w:bottom w:val="none" w:sz="0" w:space="0" w:color="auto"/>
        <w:right w:val="none" w:sz="0" w:space="0" w:color="auto"/>
      </w:divBdr>
      <w:divsChild>
        <w:div w:id="224337092">
          <w:marLeft w:val="0"/>
          <w:marRight w:val="0"/>
          <w:marTop w:val="0"/>
          <w:marBottom w:val="0"/>
          <w:divBdr>
            <w:top w:val="none" w:sz="0" w:space="0" w:color="auto"/>
            <w:left w:val="none" w:sz="0" w:space="0" w:color="auto"/>
            <w:bottom w:val="none" w:sz="0" w:space="0" w:color="auto"/>
            <w:right w:val="none" w:sz="0" w:space="0" w:color="auto"/>
          </w:divBdr>
        </w:div>
      </w:divsChild>
    </w:div>
    <w:div w:id="492917387">
      <w:marLeft w:val="4"/>
      <w:marRight w:val="0"/>
      <w:marTop w:val="160"/>
      <w:marBottom w:val="0"/>
      <w:divBdr>
        <w:top w:val="none" w:sz="0" w:space="0" w:color="auto"/>
        <w:left w:val="none" w:sz="0" w:space="0" w:color="auto"/>
        <w:bottom w:val="none" w:sz="0" w:space="0" w:color="auto"/>
        <w:right w:val="none" w:sz="0" w:space="0" w:color="auto"/>
      </w:divBdr>
      <w:divsChild>
        <w:div w:id="1544176659">
          <w:marLeft w:val="0"/>
          <w:marRight w:val="0"/>
          <w:marTop w:val="0"/>
          <w:marBottom w:val="0"/>
          <w:divBdr>
            <w:top w:val="none" w:sz="0" w:space="0" w:color="auto"/>
            <w:left w:val="none" w:sz="0" w:space="0" w:color="auto"/>
            <w:bottom w:val="none" w:sz="0" w:space="0" w:color="auto"/>
            <w:right w:val="none" w:sz="0" w:space="0" w:color="auto"/>
          </w:divBdr>
        </w:div>
      </w:divsChild>
    </w:div>
    <w:div w:id="499662201">
      <w:marLeft w:val="4"/>
      <w:marRight w:val="0"/>
      <w:marTop w:val="200"/>
      <w:marBottom w:val="0"/>
      <w:divBdr>
        <w:top w:val="none" w:sz="0" w:space="0" w:color="auto"/>
        <w:left w:val="none" w:sz="0" w:space="0" w:color="auto"/>
        <w:bottom w:val="none" w:sz="0" w:space="0" w:color="auto"/>
        <w:right w:val="none" w:sz="0" w:space="0" w:color="auto"/>
      </w:divBdr>
      <w:divsChild>
        <w:div w:id="1854949388">
          <w:marLeft w:val="0"/>
          <w:marRight w:val="0"/>
          <w:marTop w:val="0"/>
          <w:marBottom w:val="0"/>
          <w:divBdr>
            <w:top w:val="none" w:sz="0" w:space="0" w:color="auto"/>
            <w:left w:val="none" w:sz="0" w:space="0" w:color="auto"/>
            <w:bottom w:val="none" w:sz="0" w:space="0" w:color="auto"/>
            <w:right w:val="none" w:sz="0" w:space="0" w:color="auto"/>
          </w:divBdr>
        </w:div>
      </w:divsChild>
    </w:div>
    <w:div w:id="503712621">
      <w:marLeft w:val="4"/>
      <w:marRight w:val="0"/>
      <w:marTop w:val="200"/>
      <w:marBottom w:val="0"/>
      <w:divBdr>
        <w:top w:val="none" w:sz="0" w:space="0" w:color="auto"/>
        <w:left w:val="none" w:sz="0" w:space="0" w:color="auto"/>
        <w:bottom w:val="none" w:sz="0" w:space="0" w:color="auto"/>
        <w:right w:val="none" w:sz="0" w:space="0" w:color="auto"/>
      </w:divBdr>
      <w:divsChild>
        <w:div w:id="1183200494">
          <w:marLeft w:val="0"/>
          <w:marRight w:val="0"/>
          <w:marTop w:val="0"/>
          <w:marBottom w:val="0"/>
          <w:divBdr>
            <w:top w:val="none" w:sz="0" w:space="0" w:color="auto"/>
            <w:left w:val="none" w:sz="0" w:space="0" w:color="auto"/>
            <w:bottom w:val="none" w:sz="0" w:space="0" w:color="auto"/>
            <w:right w:val="none" w:sz="0" w:space="0" w:color="auto"/>
          </w:divBdr>
        </w:div>
      </w:divsChild>
    </w:div>
    <w:div w:id="505444911">
      <w:marLeft w:val="4"/>
      <w:marRight w:val="0"/>
      <w:marTop w:val="120"/>
      <w:marBottom w:val="0"/>
      <w:divBdr>
        <w:top w:val="none" w:sz="0" w:space="0" w:color="auto"/>
        <w:left w:val="none" w:sz="0" w:space="0" w:color="auto"/>
        <w:bottom w:val="none" w:sz="0" w:space="0" w:color="auto"/>
        <w:right w:val="none" w:sz="0" w:space="0" w:color="auto"/>
      </w:divBdr>
      <w:divsChild>
        <w:div w:id="196430417">
          <w:marLeft w:val="0"/>
          <w:marRight w:val="0"/>
          <w:marTop w:val="0"/>
          <w:marBottom w:val="0"/>
          <w:divBdr>
            <w:top w:val="none" w:sz="0" w:space="0" w:color="auto"/>
            <w:left w:val="none" w:sz="0" w:space="0" w:color="auto"/>
            <w:bottom w:val="none" w:sz="0" w:space="0" w:color="auto"/>
            <w:right w:val="none" w:sz="0" w:space="0" w:color="auto"/>
          </w:divBdr>
        </w:div>
      </w:divsChild>
    </w:div>
    <w:div w:id="558786349">
      <w:marLeft w:val="4"/>
      <w:marRight w:val="0"/>
      <w:marTop w:val="200"/>
      <w:marBottom w:val="0"/>
      <w:divBdr>
        <w:top w:val="none" w:sz="0" w:space="0" w:color="auto"/>
        <w:left w:val="none" w:sz="0" w:space="0" w:color="auto"/>
        <w:bottom w:val="none" w:sz="0" w:space="0" w:color="auto"/>
        <w:right w:val="none" w:sz="0" w:space="0" w:color="auto"/>
      </w:divBdr>
      <w:divsChild>
        <w:div w:id="964698308">
          <w:marLeft w:val="0"/>
          <w:marRight w:val="0"/>
          <w:marTop w:val="0"/>
          <w:marBottom w:val="0"/>
          <w:divBdr>
            <w:top w:val="none" w:sz="0" w:space="0" w:color="auto"/>
            <w:left w:val="none" w:sz="0" w:space="0" w:color="auto"/>
            <w:bottom w:val="none" w:sz="0" w:space="0" w:color="auto"/>
            <w:right w:val="none" w:sz="0" w:space="0" w:color="auto"/>
          </w:divBdr>
        </w:div>
      </w:divsChild>
    </w:div>
    <w:div w:id="575287524">
      <w:marLeft w:val="4"/>
      <w:marRight w:val="0"/>
      <w:marTop w:val="120"/>
      <w:marBottom w:val="0"/>
      <w:divBdr>
        <w:top w:val="none" w:sz="0" w:space="0" w:color="auto"/>
        <w:left w:val="none" w:sz="0" w:space="0" w:color="auto"/>
        <w:bottom w:val="none" w:sz="0" w:space="0" w:color="auto"/>
        <w:right w:val="none" w:sz="0" w:space="0" w:color="auto"/>
      </w:divBdr>
      <w:divsChild>
        <w:div w:id="182943323">
          <w:marLeft w:val="0"/>
          <w:marRight w:val="0"/>
          <w:marTop w:val="0"/>
          <w:marBottom w:val="0"/>
          <w:divBdr>
            <w:top w:val="none" w:sz="0" w:space="0" w:color="auto"/>
            <w:left w:val="none" w:sz="0" w:space="0" w:color="auto"/>
            <w:bottom w:val="none" w:sz="0" w:space="0" w:color="auto"/>
            <w:right w:val="none" w:sz="0" w:space="0" w:color="auto"/>
          </w:divBdr>
        </w:div>
      </w:divsChild>
    </w:div>
    <w:div w:id="598097661">
      <w:marLeft w:val="4"/>
      <w:marRight w:val="0"/>
      <w:marTop w:val="200"/>
      <w:marBottom w:val="0"/>
      <w:divBdr>
        <w:top w:val="none" w:sz="0" w:space="0" w:color="auto"/>
        <w:left w:val="none" w:sz="0" w:space="0" w:color="auto"/>
        <w:bottom w:val="none" w:sz="0" w:space="0" w:color="auto"/>
        <w:right w:val="none" w:sz="0" w:space="0" w:color="auto"/>
      </w:divBdr>
      <w:divsChild>
        <w:div w:id="1397971722">
          <w:marLeft w:val="0"/>
          <w:marRight w:val="0"/>
          <w:marTop w:val="0"/>
          <w:marBottom w:val="0"/>
          <w:divBdr>
            <w:top w:val="none" w:sz="0" w:space="0" w:color="auto"/>
            <w:left w:val="none" w:sz="0" w:space="0" w:color="auto"/>
            <w:bottom w:val="none" w:sz="0" w:space="0" w:color="auto"/>
            <w:right w:val="none" w:sz="0" w:space="0" w:color="auto"/>
          </w:divBdr>
        </w:div>
      </w:divsChild>
    </w:div>
    <w:div w:id="610279272">
      <w:marLeft w:val="4"/>
      <w:marRight w:val="0"/>
      <w:marTop w:val="160"/>
      <w:marBottom w:val="0"/>
      <w:divBdr>
        <w:top w:val="none" w:sz="0" w:space="0" w:color="auto"/>
        <w:left w:val="none" w:sz="0" w:space="0" w:color="auto"/>
        <w:bottom w:val="none" w:sz="0" w:space="0" w:color="auto"/>
        <w:right w:val="none" w:sz="0" w:space="0" w:color="auto"/>
      </w:divBdr>
      <w:divsChild>
        <w:div w:id="1205286907">
          <w:marLeft w:val="0"/>
          <w:marRight w:val="0"/>
          <w:marTop w:val="0"/>
          <w:marBottom w:val="0"/>
          <w:divBdr>
            <w:top w:val="none" w:sz="0" w:space="0" w:color="auto"/>
            <w:left w:val="none" w:sz="0" w:space="0" w:color="auto"/>
            <w:bottom w:val="none" w:sz="0" w:space="0" w:color="auto"/>
            <w:right w:val="none" w:sz="0" w:space="0" w:color="auto"/>
          </w:divBdr>
        </w:div>
      </w:divsChild>
    </w:div>
    <w:div w:id="613829913">
      <w:marLeft w:val="4"/>
      <w:marRight w:val="0"/>
      <w:marTop w:val="160"/>
      <w:marBottom w:val="0"/>
      <w:divBdr>
        <w:top w:val="none" w:sz="0" w:space="0" w:color="auto"/>
        <w:left w:val="none" w:sz="0" w:space="0" w:color="auto"/>
        <w:bottom w:val="none" w:sz="0" w:space="0" w:color="auto"/>
        <w:right w:val="none" w:sz="0" w:space="0" w:color="auto"/>
      </w:divBdr>
      <w:divsChild>
        <w:div w:id="1227448821">
          <w:marLeft w:val="0"/>
          <w:marRight w:val="0"/>
          <w:marTop w:val="0"/>
          <w:marBottom w:val="0"/>
          <w:divBdr>
            <w:top w:val="none" w:sz="0" w:space="0" w:color="auto"/>
            <w:left w:val="none" w:sz="0" w:space="0" w:color="auto"/>
            <w:bottom w:val="none" w:sz="0" w:space="0" w:color="auto"/>
            <w:right w:val="none" w:sz="0" w:space="0" w:color="auto"/>
          </w:divBdr>
        </w:div>
      </w:divsChild>
    </w:div>
    <w:div w:id="633684461">
      <w:marLeft w:val="4"/>
      <w:marRight w:val="0"/>
      <w:marTop w:val="200"/>
      <w:marBottom w:val="0"/>
      <w:divBdr>
        <w:top w:val="none" w:sz="0" w:space="0" w:color="auto"/>
        <w:left w:val="none" w:sz="0" w:space="0" w:color="auto"/>
        <w:bottom w:val="none" w:sz="0" w:space="0" w:color="auto"/>
        <w:right w:val="none" w:sz="0" w:space="0" w:color="auto"/>
      </w:divBdr>
      <w:divsChild>
        <w:div w:id="234170125">
          <w:marLeft w:val="0"/>
          <w:marRight w:val="0"/>
          <w:marTop w:val="0"/>
          <w:marBottom w:val="0"/>
          <w:divBdr>
            <w:top w:val="none" w:sz="0" w:space="0" w:color="auto"/>
            <w:left w:val="none" w:sz="0" w:space="0" w:color="auto"/>
            <w:bottom w:val="none" w:sz="0" w:space="0" w:color="auto"/>
            <w:right w:val="none" w:sz="0" w:space="0" w:color="auto"/>
          </w:divBdr>
        </w:div>
      </w:divsChild>
    </w:div>
    <w:div w:id="646860047">
      <w:marLeft w:val="4"/>
      <w:marRight w:val="0"/>
      <w:marTop w:val="200"/>
      <w:marBottom w:val="0"/>
      <w:divBdr>
        <w:top w:val="none" w:sz="0" w:space="0" w:color="auto"/>
        <w:left w:val="none" w:sz="0" w:space="0" w:color="auto"/>
        <w:bottom w:val="none" w:sz="0" w:space="0" w:color="auto"/>
        <w:right w:val="none" w:sz="0" w:space="0" w:color="auto"/>
      </w:divBdr>
      <w:divsChild>
        <w:div w:id="1276988272">
          <w:marLeft w:val="0"/>
          <w:marRight w:val="0"/>
          <w:marTop w:val="0"/>
          <w:marBottom w:val="0"/>
          <w:divBdr>
            <w:top w:val="none" w:sz="0" w:space="0" w:color="auto"/>
            <w:left w:val="none" w:sz="0" w:space="0" w:color="auto"/>
            <w:bottom w:val="none" w:sz="0" w:space="0" w:color="auto"/>
            <w:right w:val="none" w:sz="0" w:space="0" w:color="auto"/>
          </w:divBdr>
        </w:div>
      </w:divsChild>
    </w:div>
    <w:div w:id="658584997">
      <w:marLeft w:val="4"/>
      <w:marRight w:val="0"/>
      <w:marTop w:val="160"/>
      <w:marBottom w:val="0"/>
      <w:divBdr>
        <w:top w:val="none" w:sz="0" w:space="0" w:color="auto"/>
        <w:left w:val="none" w:sz="0" w:space="0" w:color="auto"/>
        <w:bottom w:val="none" w:sz="0" w:space="0" w:color="auto"/>
        <w:right w:val="none" w:sz="0" w:space="0" w:color="auto"/>
      </w:divBdr>
      <w:divsChild>
        <w:div w:id="1584533900">
          <w:marLeft w:val="0"/>
          <w:marRight w:val="0"/>
          <w:marTop w:val="0"/>
          <w:marBottom w:val="0"/>
          <w:divBdr>
            <w:top w:val="none" w:sz="0" w:space="0" w:color="auto"/>
            <w:left w:val="none" w:sz="0" w:space="0" w:color="auto"/>
            <w:bottom w:val="none" w:sz="0" w:space="0" w:color="auto"/>
            <w:right w:val="none" w:sz="0" w:space="0" w:color="auto"/>
          </w:divBdr>
        </w:div>
      </w:divsChild>
    </w:div>
    <w:div w:id="658847525">
      <w:marLeft w:val="4"/>
      <w:marRight w:val="0"/>
      <w:marTop w:val="200"/>
      <w:marBottom w:val="0"/>
      <w:divBdr>
        <w:top w:val="none" w:sz="0" w:space="0" w:color="auto"/>
        <w:left w:val="none" w:sz="0" w:space="0" w:color="auto"/>
        <w:bottom w:val="none" w:sz="0" w:space="0" w:color="auto"/>
        <w:right w:val="none" w:sz="0" w:space="0" w:color="auto"/>
      </w:divBdr>
      <w:divsChild>
        <w:div w:id="963000285">
          <w:marLeft w:val="0"/>
          <w:marRight w:val="0"/>
          <w:marTop w:val="0"/>
          <w:marBottom w:val="0"/>
          <w:divBdr>
            <w:top w:val="none" w:sz="0" w:space="0" w:color="auto"/>
            <w:left w:val="none" w:sz="0" w:space="0" w:color="auto"/>
            <w:bottom w:val="none" w:sz="0" w:space="0" w:color="auto"/>
            <w:right w:val="none" w:sz="0" w:space="0" w:color="auto"/>
          </w:divBdr>
        </w:div>
      </w:divsChild>
    </w:div>
    <w:div w:id="694690449">
      <w:marLeft w:val="4"/>
      <w:marRight w:val="0"/>
      <w:marTop w:val="160"/>
      <w:marBottom w:val="0"/>
      <w:divBdr>
        <w:top w:val="none" w:sz="0" w:space="0" w:color="auto"/>
        <w:left w:val="none" w:sz="0" w:space="0" w:color="auto"/>
        <w:bottom w:val="none" w:sz="0" w:space="0" w:color="auto"/>
        <w:right w:val="none" w:sz="0" w:space="0" w:color="auto"/>
      </w:divBdr>
      <w:divsChild>
        <w:div w:id="1449465829">
          <w:marLeft w:val="0"/>
          <w:marRight w:val="0"/>
          <w:marTop w:val="0"/>
          <w:marBottom w:val="0"/>
          <w:divBdr>
            <w:top w:val="none" w:sz="0" w:space="0" w:color="auto"/>
            <w:left w:val="none" w:sz="0" w:space="0" w:color="auto"/>
            <w:bottom w:val="none" w:sz="0" w:space="0" w:color="auto"/>
            <w:right w:val="none" w:sz="0" w:space="0" w:color="auto"/>
          </w:divBdr>
        </w:div>
      </w:divsChild>
    </w:div>
    <w:div w:id="732239980">
      <w:marLeft w:val="4"/>
      <w:marRight w:val="0"/>
      <w:marTop w:val="200"/>
      <w:marBottom w:val="0"/>
      <w:divBdr>
        <w:top w:val="none" w:sz="0" w:space="0" w:color="auto"/>
        <w:left w:val="none" w:sz="0" w:space="0" w:color="auto"/>
        <w:bottom w:val="none" w:sz="0" w:space="0" w:color="auto"/>
        <w:right w:val="none" w:sz="0" w:space="0" w:color="auto"/>
      </w:divBdr>
      <w:divsChild>
        <w:div w:id="379523354">
          <w:marLeft w:val="0"/>
          <w:marRight w:val="0"/>
          <w:marTop w:val="0"/>
          <w:marBottom w:val="0"/>
          <w:divBdr>
            <w:top w:val="none" w:sz="0" w:space="0" w:color="auto"/>
            <w:left w:val="none" w:sz="0" w:space="0" w:color="auto"/>
            <w:bottom w:val="none" w:sz="0" w:space="0" w:color="auto"/>
            <w:right w:val="none" w:sz="0" w:space="0" w:color="auto"/>
          </w:divBdr>
        </w:div>
      </w:divsChild>
    </w:div>
    <w:div w:id="755828503">
      <w:marLeft w:val="4"/>
      <w:marRight w:val="0"/>
      <w:marTop w:val="200"/>
      <w:marBottom w:val="0"/>
      <w:divBdr>
        <w:top w:val="none" w:sz="0" w:space="0" w:color="auto"/>
        <w:left w:val="none" w:sz="0" w:space="0" w:color="auto"/>
        <w:bottom w:val="none" w:sz="0" w:space="0" w:color="auto"/>
        <w:right w:val="none" w:sz="0" w:space="0" w:color="auto"/>
      </w:divBdr>
      <w:divsChild>
        <w:div w:id="1519545242">
          <w:marLeft w:val="0"/>
          <w:marRight w:val="0"/>
          <w:marTop w:val="0"/>
          <w:marBottom w:val="0"/>
          <w:divBdr>
            <w:top w:val="none" w:sz="0" w:space="0" w:color="auto"/>
            <w:left w:val="none" w:sz="0" w:space="0" w:color="auto"/>
            <w:bottom w:val="none" w:sz="0" w:space="0" w:color="auto"/>
            <w:right w:val="none" w:sz="0" w:space="0" w:color="auto"/>
          </w:divBdr>
        </w:div>
      </w:divsChild>
    </w:div>
    <w:div w:id="758598322">
      <w:marLeft w:val="4"/>
      <w:marRight w:val="0"/>
      <w:marTop w:val="200"/>
      <w:marBottom w:val="0"/>
      <w:divBdr>
        <w:top w:val="none" w:sz="0" w:space="0" w:color="auto"/>
        <w:left w:val="none" w:sz="0" w:space="0" w:color="auto"/>
        <w:bottom w:val="none" w:sz="0" w:space="0" w:color="auto"/>
        <w:right w:val="none" w:sz="0" w:space="0" w:color="auto"/>
      </w:divBdr>
      <w:divsChild>
        <w:div w:id="883637427">
          <w:marLeft w:val="0"/>
          <w:marRight w:val="0"/>
          <w:marTop w:val="0"/>
          <w:marBottom w:val="0"/>
          <w:divBdr>
            <w:top w:val="none" w:sz="0" w:space="0" w:color="auto"/>
            <w:left w:val="none" w:sz="0" w:space="0" w:color="auto"/>
            <w:bottom w:val="none" w:sz="0" w:space="0" w:color="auto"/>
            <w:right w:val="none" w:sz="0" w:space="0" w:color="auto"/>
          </w:divBdr>
        </w:div>
      </w:divsChild>
    </w:div>
    <w:div w:id="824207101">
      <w:marLeft w:val="0"/>
      <w:marRight w:val="0"/>
      <w:marTop w:val="0"/>
      <w:marBottom w:val="0"/>
      <w:divBdr>
        <w:top w:val="none" w:sz="0" w:space="0" w:color="auto"/>
        <w:left w:val="none" w:sz="0" w:space="0" w:color="auto"/>
        <w:bottom w:val="none" w:sz="0" w:space="0" w:color="auto"/>
        <w:right w:val="none" w:sz="0" w:space="0" w:color="auto"/>
      </w:divBdr>
      <w:divsChild>
        <w:div w:id="763572479">
          <w:marLeft w:val="0"/>
          <w:marRight w:val="0"/>
          <w:marTop w:val="0"/>
          <w:marBottom w:val="0"/>
          <w:divBdr>
            <w:top w:val="none" w:sz="0" w:space="0" w:color="auto"/>
            <w:left w:val="none" w:sz="0" w:space="0" w:color="auto"/>
            <w:bottom w:val="none" w:sz="0" w:space="0" w:color="auto"/>
            <w:right w:val="none" w:sz="0" w:space="0" w:color="auto"/>
          </w:divBdr>
        </w:div>
      </w:divsChild>
    </w:div>
    <w:div w:id="825634280">
      <w:marLeft w:val="4"/>
      <w:marRight w:val="0"/>
      <w:marTop w:val="200"/>
      <w:marBottom w:val="0"/>
      <w:divBdr>
        <w:top w:val="none" w:sz="0" w:space="0" w:color="auto"/>
        <w:left w:val="none" w:sz="0" w:space="0" w:color="auto"/>
        <w:bottom w:val="none" w:sz="0" w:space="0" w:color="auto"/>
        <w:right w:val="none" w:sz="0" w:space="0" w:color="auto"/>
      </w:divBdr>
      <w:divsChild>
        <w:div w:id="670716965">
          <w:marLeft w:val="0"/>
          <w:marRight w:val="0"/>
          <w:marTop w:val="0"/>
          <w:marBottom w:val="0"/>
          <w:divBdr>
            <w:top w:val="none" w:sz="0" w:space="0" w:color="auto"/>
            <w:left w:val="none" w:sz="0" w:space="0" w:color="auto"/>
            <w:bottom w:val="none" w:sz="0" w:space="0" w:color="auto"/>
            <w:right w:val="none" w:sz="0" w:space="0" w:color="auto"/>
          </w:divBdr>
        </w:div>
      </w:divsChild>
    </w:div>
    <w:div w:id="829255123">
      <w:marLeft w:val="4"/>
      <w:marRight w:val="0"/>
      <w:marTop w:val="160"/>
      <w:marBottom w:val="0"/>
      <w:divBdr>
        <w:top w:val="none" w:sz="0" w:space="0" w:color="auto"/>
        <w:left w:val="none" w:sz="0" w:space="0" w:color="auto"/>
        <w:bottom w:val="none" w:sz="0" w:space="0" w:color="auto"/>
        <w:right w:val="none" w:sz="0" w:space="0" w:color="auto"/>
      </w:divBdr>
      <w:divsChild>
        <w:div w:id="1177891658">
          <w:marLeft w:val="0"/>
          <w:marRight w:val="0"/>
          <w:marTop w:val="0"/>
          <w:marBottom w:val="0"/>
          <w:divBdr>
            <w:top w:val="none" w:sz="0" w:space="0" w:color="auto"/>
            <w:left w:val="none" w:sz="0" w:space="0" w:color="auto"/>
            <w:bottom w:val="none" w:sz="0" w:space="0" w:color="auto"/>
            <w:right w:val="none" w:sz="0" w:space="0" w:color="auto"/>
          </w:divBdr>
        </w:div>
      </w:divsChild>
    </w:div>
    <w:div w:id="915363661">
      <w:marLeft w:val="0"/>
      <w:marRight w:val="0"/>
      <w:marTop w:val="0"/>
      <w:marBottom w:val="0"/>
      <w:divBdr>
        <w:top w:val="none" w:sz="0" w:space="0" w:color="auto"/>
        <w:left w:val="none" w:sz="0" w:space="0" w:color="auto"/>
        <w:bottom w:val="none" w:sz="0" w:space="0" w:color="auto"/>
        <w:right w:val="none" w:sz="0" w:space="0" w:color="auto"/>
      </w:divBdr>
      <w:divsChild>
        <w:div w:id="742338599">
          <w:marLeft w:val="0"/>
          <w:marRight w:val="0"/>
          <w:marTop w:val="0"/>
          <w:marBottom w:val="0"/>
          <w:divBdr>
            <w:top w:val="none" w:sz="0" w:space="0" w:color="auto"/>
            <w:left w:val="none" w:sz="0" w:space="0" w:color="auto"/>
            <w:bottom w:val="none" w:sz="0" w:space="0" w:color="auto"/>
            <w:right w:val="none" w:sz="0" w:space="0" w:color="auto"/>
          </w:divBdr>
        </w:div>
        <w:div w:id="878931627">
          <w:marLeft w:val="0"/>
          <w:marRight w:val="0"/>
          <w:marTop w:val="0"/>
          <w:marBottom w:val="0"/>
          <w:divBdr>
            <w:top w:val="none" w:sz="0" w:space="0" w:color="auto"/>
            <w:left w:val="none" w:sz="0" w:space="0" w:color="auto"/>
            <w:bottom w:val="none" w:sz="0" w:space="0" w:color="auto"/>
            <w:right w:val="none" w:sz="0" w:space="0" w:color="auto"/>
          </w:divBdr>
        </w:div>
      </w:divsChild>
    </w:div>
    <w:div w:id="1022978902">
      <w:marLeft w:val="4"/>
      <w:marRight w:val="0"/>
      <w:marTop w:val="200"/>
      <w:marBottom w:val="0"/>
      <w:divBdr>
        <w:top w:val="none" w:sz="0" w:space="0" w:color="auto"/>
        <w:left w:val="none" w:sz="0" w:space="0" w:color="auto"/>
        <w:bottom w:val="none" w:sz="0" w:space="0" w:color="auto"/>
        <w:right w:val="none" w:sz="0" w:space="0" w:color="auto"/>
      </w:divBdr>
      <w:divsChild>
        <w:div w:id="367989789">
          <w:marLeft w:val="0"/>
          <w:marRight w:val="0"/>
          <w:marTop w:val="0"/>
          <w:marBottom w:val="0"/>
          <w:divBdr>
            <w:top w:val="none" w:sz="0" w:space="0" w:color="auto"/>
            <w:left w:val="none" w:sz="0" w:space="0" w:color="auto"/>
            <w:bottom w:val="none" w:sz="0" w:space="0" w:color="auto"/>
            <w:right w:val="none" w:sz="0" w:space="0" w:color="auto"/>
          </w:divBdr>
        </w:div>
      </w:divsChild>
    </w:div>
    <w:div w:id="1044524002">
      <w:marLeft w:val="4"/>
      <w:marRight w:val="0"/>
      <w:marTop w:val="200"/>
      <w:marBottom w:val="0"/>
      <w:divBdr>
        <w:top w:val="none" w:sz="0" w:space="0" w:color="auto"/>
        <w:left w:val="none" w:sz="0" w:space="0" w:color="auto"/>
        <w:bottom w:val="none" w:sz="0" w:space="0" w:color="auto"/>
        <w:right w:val="none" w:sz="0" w:space="0" w:color="auto"/>
      </w:divBdr>
      <w:divsChild>
        <w:div w:id="1266353551">
          <w:marLeft w:val="0"/>
          <w:marRight w:val="0"/>
          <w:marTop w:val="0"/>
          <w:marBottom w:val="0"/>
          <w:divBdr>
            <w:top w:val="none" w:sz="0" w:space="0" w:color="auto"/>
            <w:left w:val="none" w:sz="0" w:space="0" w:color="auto"/>
            <w:bottom w:val="none" w:sz="0" w:space="0" w:color="auto"/>
            <w:right w:val="none" w:sz="0" w:space="0" w:color="auto"/>
          </w:divBdr>
        </w:div>
      </w:divsChild>
    </w:div>
    <w:div w:id="1044793676">
      <w:marLeft w:val="4"/>
      <w:marRight w:val="0"/>
      <w:marTop w:val="200"/>
      <w:marBottom w:val="0"/>
      <w:divBdr>
        <w:top w:val="none" w:sz="0" w:space="0" w:color="auto"/>
        <w:left w:val="none" w:sz="0" w:space="0" w:color="auto"/>
        <w:bottom w:val="none" w:sz="0" w:space="0" w:color="auto"/>
        <w:right w:val="none" w:sz="0" w:space="0" w:color="auto"/>
      </w:divBdr>
      <w:divsChild>
        <w:div w:id="1613169105">
          <w:marLeft w:val="0"/>
          <w:marRight w:val="0"/>
          <w:marTop w:val="0"/>
          <w:marBottom w:val="0"/>
          <w:divBdr>
            <w:top w:val="none" w:sz="0" w:space="0" w:color="auto"/>
            <w:left w:val="none" w:sz="0" w:space="0" w:color="auto"/>
            <w:bottom w:val="none" w:sz="0" w:space="0" w:color="auto"/>
            <w:right w:val="none" w:sz="0" w:space="0" w:color="auto"/>
          </w:divBdr>
        </w:div>
      </w:divsChild>
    </w:div>
    <w:div w:id="1050811320">
      <w:marLeft w:val="0"/>
      <w:marRight w:val="0"/>
      <w:marTop w:val="0"/>
      <w:marBottom w:val="0"/>
      <w:divBdr>
        <w:top w:val="none" w:sz="0" w:space="0" w:color="auto"/>
        <w:left w:val="none" w:sz="0" w:space="0" w:color="auto"/>
        <w:bottom w:val="none" w:sz="0" w:space="0" w:color="auto"/>
        <w:right w:val="none" w:sz="0" w:space="0" w:color="auto"/>
      </w:divBdr>
      <w:divsChild>
        <w:div w:id="652684331">
          <w:marLeft w:val="0"/>
          <w:marRight w:val="0"/>
          <w:marTop w:val="0"/>
          <w:marBottom w:val="0"/>
          <w:divBdr>
            <w:top w:val="none" w:sz="0" w:space="0" w:color="auto"/>
            <w:left w:val="none" w:sz="0" w:space="0" w:color="auto"/>
            <w:bottom w:val="none" w:sz="0" w:space="0" w:color="auto"/>
            <w:right w:val="none" w:sz="0" w:space="0" w:color="auto"/>
          </w:divBdr>
        </w:div>
        <w:div w:id="2004972320">
          <w:marLeft w:val="0"/>
          <w:marRight w:val="0"/>
          <w:marTop w:val="0"/>
          <w:marBottom w:val="0"/>
          <w:divBdr>
            <w:top w:val="none" w:sz="0" w:space="0" w:color="auto"/>
            <w:left w:val="none" w:sz="0" w:space="0" w:color="auto"/>
            <w:bottom w:val="none" w:sz="0" w:space="0" w:color="auto"/>
            <w:right w:val="none" w:sz="0" w:space="0" w:color="auto"/>
          </w:divBdr>
        </w:div>
      </w:divsChild>
    </w:div>
    <w:div w:id="1061711900">
      <w:marLeft w:val="4"/>
      <w:marRight w:val="0"/>
      <w:marTop w:val="200"/>
      <w:marBottom w:val="0"/>
      <w:divBdr>
        <w:top w:val="none" w:sz="0" w:space="0" w:color="auto"/>
        <w:left w:val="none" w:sz="0" w:space="0" w:color="auto"/>
        <w:bottom w:val="none" w:sz="0" w:space="0" w:color="auto"/>
        <w:right w:val="none" w:sz="0" w:space="0" w:color="auto"/>
      </w:divBdr>
      <w:divsChild>
        <w:div w:id="397677251">
          <w:marLeft w:val="0"/>
          <w:marRight w:val="0"/>
          <w:marTop w:val="0"/>
          <w:marBottom w:val="0"/>
          <w:divBdr>
            <w:top w:val="none" w:sz="0" w:space="0" w:color="auto"/>
            <w:left w:val="none" w:sz="0" w:space="0" w:color="auto"/>
            <w:bottom w:val="none" w:sz="0" w:space="0" w:color="auto"/>
            <w:right w:val="none" w:sz="0" w:space="0" w:color="auto"/>
          </w:divBdr>
        </w:div>
      </w:divsChild>
    </w:div>
    <w:div w:id="1063331966">
      <w:marLeft w:val="4"/>
      <w:marRight w:val="0"/>
      <w:marTop w:val="200"/>
      <w:marBottom w:val="0"/>
      <w:divBdr>
        <w:top w:val="none" w:sz="0" w:space="0" w:color="auto"/>
        <w:left w:val="none" w:sz="0" w:space="0" w:color="auto"/>
        <w:bottom w:val="none" w:sz="0" w:space="0" w:color="auto"/>
        <w:right w:val="none" w:sz="0" w:space="0" w:color="auto"/>
      </w:divBdr>
      <w:divsChild>
        <w:div w:id="932128655">
          <w:marLeft w:val="0"/>
          <w:marRight w:val="0"/>
          <w:marTop w:val="0"/>
          <w:marBottom w:val="0"/>
          <w:divBdr>
            <w:top w:val="none" w:sz="0" w:space="0" w:color="auto"/>
            <w:left w:val="none" w:sz="0" w:space="0" w:color="auto"/>
            <w:bottom w:val="none" w:sz="0" w:space="0" w:color="auto"/>
            <w:right w:val="none" w:sz="0" w:space="0" w:color="auto"/>
          </w:divBdr>
        </w:div>
      </w:divsChild>
    </w:div>
    <w:div w:id="1085343566">
      <w:marLeft w:val="4"/>
      <w:marRight w:val="0"/>
      <w:marTop w:val="200"/>
      <w:marBottom w:val="0"/>
      <w:divBdr>
        <w:top w:val="none" w:sz="0" w:space="0" w:color="auto"/>
        <w:left w:val="none" w:sz="0" w:space="0" w:color="auto"/>
        <w:bottom w:val="none" w:sz="0" w:space="0" w:color="auto"/>
        <w:right w:val="none" w:sz="0" w:space="0" w:color="auto"/>
      </w:divBdr>
      <w:divsChild>
        <w:div w:id="1494224155">
          <w:marLeft w:val="0"/>
          <w:marRight w:val="0"/>
          <w:marTop w:val="0"/>
          <w:marBottom w:val="0"/>
          <w:divBdr>
            <w:top w:val="none" w:sz="0" w:space="0" w:color="auto"/>
            <w:left w:val="none" w:sz="0" w:space="0" w:color="auto"/>
            <w:bottom w:val="none" w:sz="0" w:space="0" w:color="auto"/>
            <w:right w:val="none" w:sz="0" w:space="0" w:color="auto"/>
          </w:divBdr>
        </w:div>
      </w:divsChild>
    </w:div>
    <w:div w:id="1091707167">
      <w:marLeft w:val="0"/>
      <w:marRight w:val="0"/>
      <w:marTop w:val="0"/>
      <w:marBottom w:val="0"/>
      <w:divBdr>
        <w:top w:val="none" w:sz="0" w:space="0" w:color="auto"/>
        <w:left w:val="none" w:sz="0" w:space="0" w:color="auto"/>
        <w:bottom w:val="none" w:sz="0" w:space="0" w:color="auto"/>
        <w:right w:val="none" w:sz="0" w:space="0" w:color="auto"/>
      </w:divBdr>
      <w:divsChild>
        <w:div w:id="126747600">
          <w:marLeft w:val="0"/>
          <w:marRight w:val="0"/>
          <w:marTop w:val="0"/>
          <w:marBottom w:val="0"/>
          <w:divBdr>
            <w:top w:val="none" w:sz="0" w:space="0" w:color="auto"/>
            <w:left w:val="none" w:sz="0" w:space="0" w:color="auto"/>
            <w:bottom w:val="none" w:sz="0" w:space="0" w:color="auto"/>
            <w:right w:val="none" w:sz="0" w:space="0" w:color="auto"/>
          </w:divBdr>
        </w:div>
      </w:divsChild>
    </w:div>
    <w:div w:id="1102384540">
      <w:marLeft w:val="4"/>
      <w:marRight w:val="0"/>
      <w:marTop w:val="160"/>
      <w:marBottom w:val="0"/>
      <w:divBdr>
        <w:top w:val="none" w:sz="0" w:space="0" w:color="auto"/>
        <w:left w:val="none" w:sz="0" w:space="0" w:color="auto"/>
        <w:bottom w:val="none" w:sz="0" w:space="0" w:color="auto"/>
        <w:right w:val="none" w:sz="0" w:space="0" w:color="auto"/>
      </w:divBdr>
      <w:divsChild>
        <w:div w:id="1634410984">
          <w:marLeft w:val="0"/>
          <w:marRight w:val="0"/>
          <w:marTop w:val="0"/>
          <w:marBottom w:val="0"/>
          <w:divBdr>
            <w:top w:val="none" w:sz="0" w:space="0" w:color="auto"/>
            <w:left w:val="none" w:sz="0" w:space="0" w:color="auto"/>
            <w:bottom w:val="none" w:sz="0" w:space="0" w:color="auto"/>
            <w:right w:val="none" w:sz="0" w:space="0" w:color="auto"/>
          </w:divBdr>
        </w:div>
      </w:divsChild>
    </w:div>
    <w:div w:id="1119686093">
      <w:marLeft w:val="4"/>
      <w:marRight w:val="0"/>
      <w:marTop w:val="200"/>
      <w:marBottom w:val="0"/>
      <w:divBdr>
        <w:top w:val="none" w:sz="0" w:space="0" w:color="auto"/>
        <w:left w:val="none" w:sz="0" w:space="0" w:color="auto"/>
        <w:bottom w:val="none" w:sz="0" w:space="0" w:color="auto"/>
        <w:right w:val="none" w:sz="0" w:space="0" w:color="auto"/>
      </w:divBdr>
      <w:divsChild>
        <w:div w:id="1151403447">
          <w:marLeft w:val="0"/>
          <w:marRight w:val="0"/>
          <w:marTop w:val="0"/>
          <w:marBottom w:val="0"/>
          <w:divBdr>
            <w:top w:val="none" w:sz="0" w:space="0" w:color="auto"/>
            <w:left w:val="none" w:sz="0" w:space="0" w:color="auto"/>
            <w:bottom w:val="none" w:sz="0" w:space="0" w:color="auto"/>
            <w:right w:val="none" w:sz="0" w:space="0" w:color="auto"/>
          </w:divBdr>
        </w:div>
      </w:divsChild>
    </w:div>
    <w:div w:id="1157840162">
      <w:marLeft w:val="4"/>
      <w:marRight w:val="0"/>
      <w:marTop w:val="160"/>
      <w:marBottom w:val="0"/>
      <w:divBdr>
        <w:top w:val="none" w:sz="0" w:space="0" w:color="auto"/>
        <w:left w:val="none" w:sz="0" w:space="0" w:color="auto"/>
        <w:bottom w:val="none" w:sz="0" w:space="0" w:color="auto"/>
        <w:right w:val="none" w:sz="0" w:space="0" w:color="auto"/>
      </w:divBdr>
      <w:divsChild>
        <w:div w:id="763460718">
          <w:marLeft w:val="0"/>
          <w:marRight w:val="0"/>
          <w:marTop w:val="0"/>
          <w:marBottom w:val="0"/>
          <w:divBdr>
            <w:top w:val="none" w:sz="0" w:space="0" w:color="auto"/>
            <w:left w:val="none" w:sz="0" w:space="0" w:color="auto"/>
            <w:bottom w:val="none" w:sz="0" w:space="0" w:color="auto"/>
            <w:right w:val="none" w:sz="0" w:space="0" w:color="auto"/>
          </w:divBdr>
        </w:div>
      </w:divsChild>
    </w:div>
    <w:div w:id="1159610284">
      <w:marLeft w:val="0"/>
      <w:marRight w:val="0"/>
      <w:marTop w:val="0"/>
      <w:marBottom w:val="0"/>
      <w:divBdr>
        <w:top w:val="none" w:sz="0" w:space="0" w:color="auto"/>
        <w:left w:val="none" w:sz="0" w:space="0" w:color="auto"/>
        <w:bottom w:val="none" w:sz="0" w:space="0" w:color="auto"/>
        <w:right w:val="none" w:sz="0" w:space="0" w:color="auto"/>
      </w:divBdr>
      <w:divsChild>
        <w:div w:id="697851297">
          <w:marLeft w:val="0"/>
          <w:marRight w:val="0"/>
          <w:marTop w:val="0"/>
          <w:marBottom w:val="0"/>
          <w:divBdr>
            <w:top w:val="none" w:sz="0" w:space="0" w:color="auto"/>
            <w:left w:val="none" w:sz="0" w:space="0" w:color="auto"/>
            <w:bottom w:val="none" w:sz="0" w:space="0" w:color="auto"/>
            <w:right w:val="none" w:sz="0" w:space="0" w:color="auto"/>
          </w:divBdr>
        </w:div>
        <w:div w:id="1529296453">
          <w:marLeft w:val="0"/>
          <w:marRight w:val="0"/>
          <w:marTop w:val="0"/>
          <w:marBottom w:val="0"/>
          <w:divBdr>
            <w:top w:val="none" w:sz="0" w:space="0" w:color="auto"/>
            <w:left w:val="none" w:sz="0" w:space="0" w:color="auto"/>
            <w:bottom w:val="none" w:sz="0" w:space="0" w:color="auto"/>
            <w:right w:val="none" w:sz="0" w:space="0" w:color="auto"/>
          </w:divBdr>
        </w:div>
        <w:div w:id="1547328377">
          <w:marLeft w:val="0"/>
          <w:marRight w:val="0"/>
          <w:marTop w:val="0"/>
          <w:marBottom w:val="0"/>
          <w:divBdr>
            <w:top w:val="none" w:sz="0" w:space="0" w:color="auto"/>
            <w:left w:val="none" w:sz="0" w:space="0" w:color="auto"/>
            <w:bottom w:val="none" w:sz="0" w:space="0" w:color="auto"/>
            <w:right w:val="none" w:sz="0" w:space="0" w:color="auto"/>
          </w:divBdr>
        </w:div>
      </w:divsChild>
    </w:div>
    <w:div w:id="1166017072">
      <w:marLeft w:val="4"/>
      <w:marRight w:val="0"/>
      <w:marTop w:val="200"/>
      <w:marBottom w:val="0"/>
      <w:divBdr>
        <w:top w:val="none" w:sz="0" w:space="0" w:color="auto"/>
        <w:left w:val="none" w:sz="0" w:space="0" w:color="auto"/>
        <w:bottom w:val="none" w:sz="0" w:space="0" w:color="auto"/>
        <w:right w:val="none" w:sz="0" w:space="0" w:color="auto"/>
      </w:divBdr>
      <w:divsChild>
        <w:div w:id="757100654">
          <w:marLeft w:val="0"/>
          <w:marRight w:val="0"/>
          <w:marTop w:val="0"/>
          <w:marBottom w:val="0"/>
          <w:divBdr>
            <w:top w:val="none" w:sz="0" w:space="0" w:color="auto"/>
            <w:left w:val="none" w:sz="0" w:space="0" w:color="auto"/>
            <w:bottom w:val="none" w:sz="0" w:space="0" w:color="auto"/>
            <w:right w:val="none" w:sz="0" w:space="0" w:color="auto"/>
          </w:divBdr>
        </w:div>
      </w:divsChild>
    </w:div>
    <w:div w:id="1173687196">
      <w:marLeft w:val="4"/>
      <w:marRight w:val="0"/>
      <w:marTop w:val="200"/>
      <w:marBottom w:val="0"/>
      <w:divBdr>
        <w:top w:val="none" w:sz="0" w:space="0" w:color="auto"/>
        <w:left w:val="none" w:sz="0" w:space="0" w:color="auto"/>
        <w:bottom w:val="none" w:sz="0" w:space="0" w:color="auto"/>
        <w:right w:val="none" w:sz="0" w:space="0" w:color="auto"/>
      </w:divBdr>
      <w:divsChild>
        <w:div w:id="521282251">
          <w:marLeft w:val="0"/>
          <w:marRight w:val="0"/>
          <w:marTop w:val="0"/>
          <w:marBottom w:val="0"/>
          <w:divBdr>
            <w:top w:val="none" w:sz="0" w:space="0" w:color="auto"/>
            <w:left w:val="none" w:sz="0" w:space="0" w:color="auto"/>
            <w:bottom w:val="none" w:sz="0" w:space="0" w:color="auto"/>
            <w:right w:val="none" w:sz="0" w:space="0" w:color="auto"/>
          </w:divBdr>
        </w:div>
      </w:divsChild>
    </w:div>
    <w:div w:id="1176767828">
      <w:marLeft w:val="4"/>
      <w:marRight w:val="0"/>
      <w:marTop w:val="200"/>
      <w:marBottom w:val="0"/>
      <w:divBdr>
        <w:top w:val="none" w:sz="0" w:space="0" w:color="auto"/>
        <w:left w:val="none" w:sz="0" w:space="0" w:color="auto"/>
        <w:bottom w:val="none" w:sz="0" w:space="0" w:color="auto"/>
        <w:right w:val="none" w:sz="0" w:space="0" w:color="auto"/>
      </w:divBdr>
      <w:divsChild>
        <w:div w:id="1141536518">
          <w:marLeft w:val="0"/>
          <w:marRight w:val="0"/>
          <w:marTop w:val="0"/>
          <w:marBottom w:val="0"/>
          <w:divBdr>
            <w:top w:val="none" w:sz="0" w:space="0" w:color="auto"/>
            <w:left w:val="none" w:sz="0" w:space="0" w:color="auto"/>
            <w:bottom w:val="none" w:sz="0" w:space="0" w:color="auto"/>
            <w:right w:val="none" w:sz="0" w:space="0" w:color="auto"/>
          </w:divBdr>
        </w:div>
      </w:divsChild>
    </w:div>
    <w:div w:id="1189684896">
      <w:marLeft w:val="4"/>
      <w:marRight w:val="0"/>
      <w:marTop w:val="160"/>
      <w:marBottom w:val="0"/>
      <w:divBdr>
        <w:top w:val="none" w:sz="0" w:space="0" w:color="auto"/>
        <w:left w:val="none" w:sz="0" w:space="0" w:color="auto"/>
        <w:bottom w:val="none" w:sz="0" w:space="0" w:color="auto"/>
        <w:right w:val="none" w:sz="0" w:space="0" w:color="auto"/>
      </w:divBdr>
      <w:divsChild>
        <w:div w:id="1699353560">
          <w:marLeft w:val="0"/>
          <w:marRight w:val="0"/>
          <w:marTop w:val="0"/>
          <w:marBottom w:val="0"/>
          <w:divBdr>
            <w:top w:val="none" w:sz="0" w:space="0" w:color="auto"/>
            <w:left w:val="none" w:sz="0" w:space="0" w:color="auto"/>
            <w:bottom w:val="none" w:sz="0" w:space="0" w:color="auto"/>
            <w:right w:val="none" w:sz="0" w:space="0" w:color="auto"/>
          </w:divBdr>
        </w:div>
      </w:divsChild>
    </w:div>
    <w:div w:id="1199470356">
      <w:marLeft w:val="4"/>
      <w:marRight w:val="0"/>
      <w:marTop w:val="200"/>
      <w:marBottom w:val="0"/>
      <w:divBdr>
        <w:top w:val="none" w:sz="0" w:space="0" w:color="auto"/>
        <w:left w:val="none" w:sz="0" w:space="0" w:color="auto"/>
        <w:bottom w:val="none" w:sz="0" w:space="0" w:color="auto"/>
        <w:right w:val="none" w:sz="0" w:space="0" w:color="auto"/>
      </w:divBdr>
      <w:divsChild>
        <w:div w:id="495221277">
          <w:marLeft w:val="0"/>
          <w:marRight w:val="0"/>
          <w:marTop w:val="0"/>
          <w:marBottom w:val="0"/>
          <w:divBdr>
            <w:top w:val="none" w:sz="0" w:space="0" w:color="auto"/>
            <w:left w:val="none" w:sz="0" w:space="0" w:color="auto"/>
            <w:bottom w:val="none" w:sz="0" w:space="0" w:color="auto"/>
            <w:right w:val="none" w:sz="0" w:space="0" w:color="auto"/>
          </w:divBdr>
        </w:div>
      </w:divsChild>
    </w:div>
    <w:div w:id="1286692748">
      <w:marLeft w:val="4"/>
      <w:marRight w:val="0"/>
      <w:marTop w:val="160"/>
      <w:marBottom w:val="0"/>
      <w:divBdr>
        <w:top w:val="none" w:sz="0" w:space="0" w:color="auto"/>
        <w:left w:val="none" w:sz="0" w:space="0" w:color="auto"/>
        <w:bottom w:val="none" w:sz="0" w:space="0" w:color="auto"/>
        <w:right w:val="none" w:sz="0" w:space="0" w:color="auto"/>
      </w:divBdr>
      <w:divsChild>
        <w:div w:id="1031615714">
          <w:marLeft w:val="0"/>
          <w:marRight w:val="0"/>
          <w:marTop w:val="0"/>
          <w:marBottom w:val="0"/>
          <w:divBdr>
            <w:top w:val="none" w:sz="0" w:space="0" w:color="auto"/>
            <w:left w:val="none" w:sz="0" w:space="0" w:color="auto"/>
            <w:bottom w:val="none" w:sz="0" w:space="0" w:color="auto"/>
            <w:right w:val="none" w:sz="0" w:space="0" w:color="auto"/>
          </w:divBdr>
        </w:div>
      </w:divsChild>
    </w:div>
    <w:div w:id="1292054403">
      <w:marLeft w:val="4"/>
      <w:marRight w:val="0"/>
      <w:marTop w:val="200"/>
      <w:marBottom w:val="0"/>
      <w:divBdr>
        <w:top w:val="none" w:sz="0" w:space="0" w:color="auto"/>
        <w:left w:val="none" w:sz="0" w:space="0" w:color="auto"/>
        <w:bottom w:val="none" w:sz="0" w:space="0" w:color="auto"/>
        <w:right w:val="none" w:sz="0" w:space="0" w:color="auto"/>
      </w:divBdr>
      <w:divsChild>
        <w:div w:id="1998070104">
          <w:marLeft w:val="0"/>
          <w:marRight w:val="0"/>
          <w:marTop w:val="0"/>
          <w:marBottom w:val="0"/>
          <w:divBdr>
            <w:top w:val="none" w:sz="0" w:space="0" w:color="auto"/>
            <w:left w:val="none" w:sz="0" w:space="0" w:color="auto"/>
            <w:bottom w:val="none" w:sz="0" w:space="0" w:color="auto"/>
            <w:right w:val="none" w:sz="0" w:space="0" w:color="auto"/>
          </w:divBdr>
        </w:div>
      </w:divsChild>
    </w:div>
    <w:div w:id="1309703888">
      <w:marLeft w:val="4"/>
      <w:marRight w:val="0"/>
      <w:marTop w:val="200"/>
      <w:marBottom w:val="0"/>
      <w:divBdr>
        <w:top w:val="none" w:sz="0" w:space="0" w:color="auto"/>
        <w:left w:val="none" w:sz="0" w:space="0" w:color="auto"/>
        <w:bottom w:val="none" w:sz="0" w:space="0" w:color="auto"/>
        <w:right w:val="none" w:sz="0" w:space="0" w:color="auto"/>
      </w:divBdr>
      <w:divsChild>
        <w:div w:id="1268199786">
          <w:marLeft w:val="0"/>
          <w:marRight w:val="0"/>
          <w:marTop w:val="0"/>
          <w:marBottom w:val="0"/>
          <w:divBdr>
            <w:top w:val="none" w:sz="0" w:space="0" w:color="auto"/>
            <w:left w:val="none" w:sz="0" w:space="0" w:color="auto"/>
            <w:bottom w:val="none" w:sz="0" w:space="0" w:color="auto"/>
            <w:right w:val="none" w:sz="0" w:space="0" w:color="auto"/>
          </w:divBdr>
        </w:div>
      </w:divsChild>
    </w:div>
    <w:div w:id="1355038056">
      <w:marLeft w:val="4"/>
      <w:marRight w:val="0"/>
      <w:marTop w:val="160"/>
      <w:marBottom w:val="0"/>
      <w:divBdr>
        <w:top w:val="none" w:sz="0" w:space="0" w:color="auto"/>
        <w:left w:val="none" w:sz="0" w:space="0" w:color="auto"/>
        <w:bottom w:val="none" w:sz="0" w:space="0" w:color="auto"/>
        <w:right w:val="none" w:sz="0" w:space="0" w:color="auto"/>
      </w:divBdr>
      <w:divsChild>
        <w:div w:id="1277254564">
          <w:marLeft w:val="0"/>
          <w:marRight w:val="0"/>
          <w:marTop w:val="0"/>
          <w:marBottom w:val="0"/>
          <w:divBdr>
            <w:top w:val="none" w:sz="0" w:space="0" w:color="auto"/>
            <w:left w:val="none" w:sz="0" w:space="0" w:color="auto"/>
            <w:bottom w:val="none" w:sz="0" w:space="0" w:color="auto"/>
            <w:right w:val="none" w:sz="0" w:space="0" w:color="auto"/>
          </w:divBdr>
        </w:div>
      </w:divsChild>
    </w:div>
    <w:div w:id="1363360301">
      <w:marLeft w:val="4"/>
      <w:marRight w:val="0"/>
      <w:marTop w:val="120"/>
      <w:marBottom w:val="0"/>
      <w:divBdr>
        <w:top w:val="none" w:sz="0" w:space="0" w:color="auto"/>
        <w:left w:val="none" w:sz="0" w:space="0" w:color="auto"/>
        <w:bottom w:val="none" w:sz="0" w:space="0" w:color="auto"/>
        <w:right w:val="none" w:sz="0" w:space="0" w:color="auto"/>
      </w:divBdr>
      <w:divsChild>
        <w:div w:id="149100528">
          <w:marLeft w:val="0"/>
          <w:marRight w:val="0"/>
          <w:marTop w:val="0"/>
          <w:marBottom w:val="0"/>
          <w:divBdr>
            <w:top w:val="none" w:sz="0" w:space="0" w:color="auto"/>
            <w:left w:val="none" w:sz="0" w:space="0" w:color="auto"/>
            <w:bottom w:val="none" w:sz="0" w:space="0" w:color="auto"/>
            <w:right w:val="none" w:sz="0" w:space="0" w:color="auto"/>
          </w:divBdr>
        </w:div>
      </w:divsChild>
    </w:div>
    <w:div w:id="1374501046">
      <w:marLeft w:val="4"/>
      <w:marRight w:val="0"/>
      <w:marTop w:val="160"/>
      <w:marBottom w:val="0"/>
      <w:divBdr>
        <w:top w:val="none" w:sz="0" w:space="0" w:color="auto"/>
        <w:left w:val="none" w:sz="0" w:space="0" w:color="auto"/>
        <w:bottom w:val="none" w:sz="0" w:space="0" w:color="auto"/>
        <w:right w:val="none" w:sz="0" w:space="0" w:color="auto"/>
      </w:divBdr>
      <w:divsChild>
        <w:div w:id="317458935">
          <w:marLeft w:val="0"/>
          <w:marRight w:val="0"/>
          <w:marTop w:val="0"/>
          <w:marBottom w:val="0"/>
          <w:divBdr>
            <w:top w:val="none" w:sz="0" w:space="0" w:color="auto"/>
            <w:left w:val="none" w:sz="0" w:space="0" w:color="auto"/>
            <w:bottom w:val="none" w:sz="0" w:space="0" w:color="auto"/>
            <w:right w:val="none" w:sz="0" w:space="0" w:color="auto"/>
          </w:divBdr>
        </w:div>
      </w:divsChild>
    </w:div>
    <w:div w:id="1377118034">
      <w:marLeft w:val="4"/>
      <w:marRight w:val="0"/>
      <w:marTop w:val="120"/>
      <w:marBottom w:val="0"/>
      <w:divBdr>
        <w:top w:val="none" w:sz="0" w:space="0" w:color="auto"/>
        <w:left w:val="none" w:sz="0" w:space="0" w:color="auto"/>
        <w:bottom w:val="none" w:sz="0" w:space="0" w:color="auto"/>
        <w:right w:val="none" w:sz="0" w:space="0" w:color="auto"/>
      </w:divBdr>
      <w:divsChild>
        <w:div w:id="927037067">
          <w:marLeft w:val="0"/>
          <w:marRight w:val="0"/>
          <w:marTop w:val="0"/>
          <w:marBottom w:val="0"/>
          <w:divBdr>
            <w:top w:val="none" w:sz="0" w:space="0" w:color="auto"/>
            <w:left w:val="none" w:sz="0" w:space="0" w:color="auto"/>
            <w:bottom w:val="none" w:sz="0" w:space="0" w:color="auto"/>
            <w:right w:val="none" w:sz="0" w:space="0" w:color="auto"/>
          </w:divBdr>
        </w:div>
      </w:divsChild>
    </w:div>
    <w:div w:id="1399326761">
      <w:marLeft w:val="4"/>
      <w:marRight w:val="0"/>
      <w:marTop w:val="160"/>
      <w:marBottom w:val="0"/>
      <w:divBdr>
        <w:top w:val="none" w:sz="0" w:space="0" w:color="auto"/>
        <w:left w:val="none" w:sz="0" w:space="0" w:color="auto"/>
        <w:bottom w:val="none" w:sz="0" w:space="0" w:color="auto"/>
        <w:right w:val="none" w:sz="0" w:space="0" w:color="auto"/>
      </w:divBdr>
      <w:divsChild>
        <w:div w:id="937180617">
          <w:marLeft w:val="0"/>
          <w:marRight w:val="0"/>
          <w:marTop w:val="0"/>
          <w:marBottom w:val="0"/>
          <w:divBdr>
            <w:top w:val="none" w:sz="0" w:space="0" w:color="auto"/>
            <w:left w:val="none" w:sz="0" w:space="0" w:color="auto"/>
            <w:bottom w:val="none" w:sz="0" w:space="0" w:color="auto"/>
            <w:right w:val="none" w:sz="0" w:space="0" w:color="auto"/>
          </w:divBdr>
        </w:div>
      </w:divsChild>
    </w:div>
    <w:div w:id="1407805266">
      <w:marLeft w:val="4"/>
      <w:marRight w:val="0"/>
      <w:marTop w:val="160"/>
      <w:marBottom w:val="0"/>
      <w:divBdr>
        <w:top w:val="none" w:sz="0" w:space="0" w:color="auto"/>
        <w:left w:val="none" w:sz="0" w:space="0" w:color="auto"/>
        <w:bottom w:val="none" w:sz="0" w:space="0" w:color="auto"/>
        <w:right w:val="none" w:sz="0" w:space="0" w:color="auto"/>
      </w:divBdr>
      <w:divsChild>
        <w:div w:id="1425102579">
          <w:marLeft w:val="0"/>
          <w:marRight w:val="0"/>
          <w:marTop w:val="0"/>
          <w:marBottom w:val="0"/>
          <w:divBdr>
            <w:top w:val="none" w:sz="0" w:space="0" w:color="auto"/>
            <w:left w:val="none" w:sz="0" w:space="0" w:color="auto"/>
            <w:bottom w:val="none" w:sz="0" w:space="0" w:color="auto"/>
            <w:right w:val="none" w:sz="0" w:space="0" w:color="auto"/>
          </w:divBdr>
        </w:div>
      </w:divsChild>
    </w:div>
    <w:div w:id="1432435660">
      <w:marLeft w:val="4"/>
      <w:marRight w:val="0"/>
      <w:marTop w:val="200"/>
      <w:marBottom w:val="0"/>
      <w:divBdr>
        <w:top w:val="none" w:sz="0" w:space="0" w:color="auto"/>
        <w:left w:val="none" w:sz="0" w:space="0" w:color="auto"/>
        <w:bottom w:val="none" w:sz="0" w:space="0" w:color="auto"/>
        <w:right w:val="none" w:sz="0" w:space="0" w:color="auto"/>
      </w:divBdr>
      <w:divsChild>
        <w:div w:id="1606884286">
          <w:marLeft w:val="0"/>
          <w:marRight w:val="0"/>
          <w:marTop w:val="0"/>
          <w:marBottom w:val="0"/>
          <w:divBdr>
            <w:top w:val="none" w:sz="0" w:space="0" w:color="auto"/>
            <w:left w:val="none" w:sz="0" w:space="0" w:color="auto"/>
            <w:bottom w:val="none" w:sz="0" w:space="0" w:color="auto"/>
            <w:right w:val="none" w:sz="0" w:space="0" w:color="auto"/>
          </w:divBdr>
        </w:div>
      </w:divsChild>
    </w:div>
    <w:div w:id="1455948458">
      <w:marLeft w:val="4"/>
      <w:marRight w:val="0"/>
      <w:marTop w:val="200"/>
      <w:marBottom w:val="0"/>
      <w:divBdr>
        <w:top w:val="none" w:sz="0" w:space="0" w:color="auto"/>
        <w:left w:val="none" w:sz="0" w:space="0" w:color="auto"/>
        <w:bottom w:val="none" w:sz="0" w:space="0" w:color="auto"/>
        <w:right w:val="none" w:sz="0" w:space="0" w:color="auto"/>
      </w:divBdr>
      <w:divsChild>
        <w:div w:id="1860120945">
          <w:marLeft w:val="0"/>
          <w:marRight w:val="0"/>
          <w:marTop w:val="0"/>
          <w:marBottom w:val="0"/>
          <w:divBdr>
            <w:top w:val="none" w:sz="0" w:space="0" w:color="auto"/>
            <w:left w:val="none" w:sz="0" w:space="0" w:color="auto"/>
            <w:bottom w:val="none" w:sz="0" w:space="0" w:color="auto"/>
            <w:right w:val="none" w:sz="0" w:space="0" w:color="auto"/>
          </w:divBdr>
        </w:div>
      </w:divsChild>
    </w:div>
    <w:div w:id="1459109022">
      <w:marLeft w:val="4"/>
      <w:marRight w:val="0"/>
      <w:marTop w:val="200"/>
      <w:marBottom w:val="0"/>
      <w:divBdr>
        <w:top w:val="none" w:sz="0" w:space="0" w:color="auto"/>
        <w:left w:val="none" w:sz="0" w:space="0" w:color="auto"/>
        <w:bottom w:val="none" w:sz="0" w:space="0" w:color="auto"/>
        <w:right w:val="none" w:sz="0" w:space="0" w:color="auto"/>
      </w:divBdr>
      <w:divsChild>
        <w:div w:id="1035696799">
          <w:marLeft w:val="0"/>
          <w:marRight w:val="0"/>
          <w:marTop w:val="0"/>
          <w:marBottom w:val="0"/>
          <w:divBdr>
            <w:top w:val="none" w:sz="0" w:space="0" w:color="auto"/>
            <w:left w:val="none" w:sz="0" w:space="0" w:color="auto"/>
            <w:bottom w:val="none" w:sz="0" w:space="0" w:color="auto"/>
            <w:right w:val="none" w:sz="0" w:space="0" w:color="auto"/>
          </w:divBdr>
        </w:div>
      </w:divsChild>
    </w:div>
    <w:div w:id="1478837983">
      <w:marLeft w:val="4"/>
      <w:marRight w:val="0"/>
      <w:marTop w:val="200"/>
      <w:marBottom w:val="0"/>
      <w:divBdr>
        <w:top w:val="none" w:sz="0" w:space="0" w:color="auto"/>
        <w:left w:val="none" w:sz="0" w:space="0" w:color="auto"/>
        <w:bottom w:val="none" w:sz="0" w:space="0" w:color="auto"/>
        <w:right w:val="none" w:sz="0" w:space="0" w:color="auto"/>
      </w:divBdr>
      <w:divsChild>
        <w:div w:id="1173572522">
          <w:marLeft w:val="0"/>
          <w:marRight w:val="0"/>
          <w:marTop w:val="0"/>
          <w:marBottom w:val="0"/>
          <w:divBdr>
            <w:top w:val="none" w:sz="0" w:space="0" w:color="auto"/>
            <w:left w:val="none" w:sz="0" w:space="0" w:color="auto"/>
            <w:bottom w:val="none" w:sz="0" w:space="0" w:color="auto"/>
            <w:right w:val="none" w:sz="0" w:space="0" w:color="auto"/>
          </w:divBdr>
        </w:div>
      </w:divsChild>
    </w:div>
    <w:div w:id="1509831592">
      <w:marLeft w:val="4"/>
      <w:marRight w:val="0"/>
      <w:marTop w:val="160"/>
      <w:marBottom w:val="0"/>
      <w:divBdr>
        <w:top w:val="none" w:sz="0" w:space="0" w:color="auto"/>
        <w:left w:val="none" w:sz="0" w:space="0" w:color="auto"/>
        <w:bottom w:val="none" w:sz="0" w:space="0" w:color="auto"/>
        <w:right w:val="none" w:sz="0" w:space="0" w:color="auto"/>
      </w:divBdr>
      <w:divsChild>
        <w:div w:id="1923491311">
          <w:marLeft w:val="0"/>
          <w:marRight w:val="0"/>
          <w:marTop w:val="0"/>
          <w:marBottom w:val="0"/>
          <w:divBdr>
            <w:top w:val="none" w:sz="0" w:space="0" w:color="auto"/>
            <w:left w:val="none" w:sz="0" w:space="0" w:color="auto"/>
            <w:bottom w:val="none" w:sz="0" w:space="0" w:color="auto"/>
            <w:right w:val="none" w:sz="0" w:space="0" w:color="auto"/>
          </w:divBdr>
        </w:div>
      </w:divsChild>
    </w:div>
    <w:div w:id="1546484548">
      <w:marLeft w:val="4"/>
      <w:marRight w:val="0"/>
      <w:marTop w:val="200"/>
      <w:marBottom w:val="0"/>
      <w:divBdr>
        <w:top w:val="none" w:sz="0" w:space="0" w:color="auto"/>
        <w:left w:val="none" w:sz="0" w:space="0" w:color="auto"/>
        <w:bottom w:val="none" w:sz="0" w:space="0" w:color="auto"/>
        <w:right w:val="none" w:sz="0" w:space="0" w:color="auto"/>
      </w:divBdr>
      <w:divsChild>
        <w:div w:id="169368405">
          <w:marLeft w:val="0"/>
          <w:marRight w:val="0"/>
          <w:marTop w:val="0"/>
          <w:marBottom w:val="0"/>
          <w:divBdr>
            <w:top w:val="none" w:sz="0" w:space="0" w:color="auto"/>
            <w:left w:val="none" w:sz="0" w:space="0" w:color="auto"/>
            <w:bottom w:val="none" w:sz="0" w:space="0" w:color="auto"/>
            <w:right w:val="none" w:sz="0" w:space="0" w:color="auto"/>
          </w:divBdr>
        </w:div>
      </w:divsChild>
    </w:div>
    <w:div w:id="1590119726">
      <w:marLeft w:val="4"/>
      <w:marRight w:val="0"/>
      <w:marTop w:val="200"/>
      <w:marBottom w:val="0"/>
      <w:divBdr>
        <w:top w:val="none" w:sz="0" w:space="0" w:color="auto"/>
        <w:left w:val="none" w:sz="0" w:space="0" w:color="auto"/>
        <w:bottom w:val="none" w:sz="0" w:space="0" w:color="auto"/>
        <w:right w:val="none" w:sz="0" w:space="0" w:color="auto"/>
      </w:divBdr>
      <w:divsChild>
        <w:div w:id="1777946228">
          <w:marLeft w:val="0"/>
          <w:marRight w:val="0"/>
          <w:marTop w:val="0"/>
          <w:marBottom w:val="0"/>
          <w:divBdr>
            <w:top w:val="none" w:sz="0" w:space="0" w:color="auto"/>
            <w:left w:val="none" w:sz="0" w:space="0" w:color="auto"/>
            <w:bottom w:val="none" w:sz="0" w:space="0" w:color="auto"/>
            <w:right w:val="none" w:sz="0" w:space="0" w:color="auto"/>
          </w:divBdr>
        </w:div>
      </w:divsChild>
    </w:div>
    <w:div w:id="1606575596">
      <w:marLeft w:val="4"/>
      <w:marRight w:val="0"/>
      <w:marTop w:val="200"/>
      <w:marBottom w:val="0"/>
      <w:divBdr>
        <w:top w:val="none" w:sz="0" w:space="0" w:color="auto"/>
        <w:left w:val="none" w:sz="0" w:space="0" w:color="auto"/>
        <w:bottom w:val="none" w:sz="0" w:space="0" w:color="auto"/>
        <w:right w:val="none" w:sz="0" w:space="0" w:color="auto"/>
      </w:divBdr>
      <w:divsChild>
        <w:div w:id="1424380869">
          <w:marLeft w:val="0"/>
          <w:marRight w:val="0"/>
          <w:marTop w:val="0"/>
          <w:marBottom w:val="0"/>
          <w:divBdr>
            <w:top w:val="none" w:sz="0" w:space="0" w:color="auto"/>
            <w:left w:val="none" w:sz="0" w:space="0" w:color="auto"/>
            <w:bottom w:val="none" w:sz="0" w:space="0" w:color="auto"/>
            <w:right w:val="none" w:sz="0" w:space="0" w:color="auto"/>
          </w:divBdr>
        </w:div>
      </w:divsChild>
    </w:div>
    <w:div w:id="1650401172">
      <w:marLeft w:val="4"/>
      <w:marRight w:val="0"/>
      <w:marTop w:val="200"/>
      <w:marBottom w:val="0"/>
      <w:divBdr>
        <w:top w:val="none" w:sz="0" w:space="0" w:color="auto"/>
        <w:left w:val="none" w:sz="0" w:space="0" w:color="auto"/>
        <w:bottom w:val="none" w:sz="0" w:space="0" w:color="auto"/>
        <w:right w:val="none" w:sz="0" w:space="0" w:color="auto"/>
      </w:divBdr>
      <w:divsChild>
        <w:div w:id="253787014">
          <w:marLeft w:val="0"/>
          <w:marRight w:val="0"/>
          <w:marTop w:val="0"/>
          <w:marBottom w:val="0"/>
          <w:divBdr>
            <w:top w:val="none" w:sz="0" w:space="0" w:color="auto"/>
            <w:left w:val="none" w:sz="0" w:space="0" w:color="auto"/>
            <w:bottom w:val="none" w:sz="0" w:space="0" w:color="auto"/>
            <w:right w:val="none" w:sz="0" w:space="0" w:color="auto"/>
          </w:divBdr>
        </w:div>
      </w:divsChild>
    </w:div>
    <w:div w:id="1663001974">
      <w:marLeft w:val="4"/>
      <w:marRight w:val="0"/>
      <w:marTop w:val="160"/>
      <w:marBottom w:val="0"/>
      <w:divBdr>
        <w:top w:val="none" w:sz="0" w:space="0" w:color="auto"/>
        <w:left w:val="none" w:sz="0" w:space="0" w:color="auto"/>
        <w:bottom w:val="none" w:sz="0" w:space="0" w:color="auto"/>
        <w:right w:val="none" w:sz="0" w:space="0" w:color="auto"/>
      </w:divBdr>
      <w:divsChild>
        <w:div w:id="606888843">
          <w:marLeft w:val="0"/>
          <w:marRight w:val="0"/>
          <w:marTop w:val="0"/>
          <w:marBottom w:val="0"/>
          <w:divBdr>
            <w:top w:val="none" w:sz="0" w:space="0" w:color="auto"/>
            <w:left w:val="none" w:sz="0" w:space="0" w:color="auto"/>
            <w:bottom w:val="none" w:sz="0" w:space="0" w:color="auto"/>
            <w:right w:val="none" w:sz="0" w:space="0" w:color="auto"/>
          </w:divBdr>
        </w:div>
      </w:divsChild>
    </w:div>
    <w:div w:id="1672491295">
      <w:marLeft w:val="4"/>
      <w:marRight w:val="0"/>
      <w:marTop w:val="200"/>
      <w:marBottom w:val="0"/>
      <w:divBdr>
        <w:top w:val="none" w:sz="0" w:space="0" w:color="auto"/>
        <w:left w:val="none" w:sz="0" w:space="0" w:color="auto"/>
        <w:bottom w:val="none" w:sz="0" w:space="0" w:color="auto"/>
        <w:right w:val="none" w:sz="0" w:space="0" w:color="auto"/>
      </w:divBdr>
      <w:divsChild>
        <w:div w:id="751851338">
          <w:marLeft w:val="0"/>
          <w:marRight w:val="0"/>
          <w:marTop w:val="0"/>
          <w:marBottom w:val="0"/>
          <w:divBdr>
            <w:top w:val="none" w:sz="0" w:space="0" w:color="auto"/>
            <w:left w:val="none" w:sz="0" w:space="0" w:color="auto"/>
            <w:bottom w:val="none" w:sz="0" w:space="0" w:color="auto"/>
            <w:right w:val="none" w:sz="0" w:space="0" w:color="auto"/>
          </w:divBdr>
        </w:div>
      </w:divsChild>
    </w:div>
    <w:div w:id="1701203612">
      <w:marLeft w:val="4"/>
      <w:marRight w:val="0"/>
      <w:marTop w:val="200"/>
      <w:marBottom w:val="0"/>
      <w:divBdr>
        <w:top w:val="none" w:sz="0" w:space="0" w:color="auto"/>
        <w:left w:val="none" w:sz="0" w:space="0" w:color="auto"/>
        <w:bottom w:val="none" w:sz="0" w:space="0" w:color="auto"/>
        <w:right w:val="none" w:sz="0" w:space="0" w:color="auto"/>
      </w:divBdr>
      <w:divsChild>
        <w:div w:id="2126582644">
          <w:marLeft w:val="0"/>
          <w:marRight w:val="0"/>
          <w:marTop w:val="0"/>
          <w:marBottom w:val="0"/>
          <w:divBdr>
            <w:top w:val="none" w:sz="0" w:space="0" w:color="auto"/>
            <w:left w:val="none" w:sz="0" w:space="0" w:color="auto"/>
            <w:bottom w:val="none" w:sz="0" w:space="0" w:color="auto"/>
            <w:right w:val="none" w:sz="0" w:space="0" w:color="auto"/>
          </w:divBdr>
        </w:div>
      </w:divsChild>
    </w:div>
    <w:div w:id="1708867607">
      <w:marLeft w:val="4"/>
      <w:marRight w:val="0"/>
      <w:marTop w:val="200"/>
      <w:marBottom w:val="0"/>
      <w:divBdr>
        <w:top w:val="none" w:sz="0" w:space="0" w:color="auto"/>
        <w:left w:val="none" w:sz="0" w:space="0" w:color="auto"/>
        <w:bottom w:val="none" w:sz="0" w:space="0" w:color="auto"/>
        <w:right w:val="none" w:sz="0" w:space="0" w:color="auto"/>
      </w:divBdr>
      <w:divsChild>
        <w:div w:id="373122234">
          <w:marLeft w:val="0"/>
          <w:marRight w:val="0"/>
          <w:marTop w:val="0"/>
          <w:marBottom w:val="0"/>
          <w:divBdr>
            <w:top w:val="none" w:sz="0" w:space="0" w:color="auto"/>
            <w:left w:val="none" w:sz="0" w:space="0" w:color="auto"/>
            <w:bottom w:val="none" w:sz="0" w:space="0" w:color="auto"/>
            <w:right w:val="none" w:sz="0" w:space="0" w:color="auto"/>
          </w:divBdr>
        </w:div>
      </w:divsChild>
    </w:div>
    <w:div w:id="1730877117">
      <w:marLeft w:val="0"/>
      <w:marRight w:val="0"/>
      <w:marTop w:val="0"/>
      <w:marBottom w:val="0"/>
      <w:divBdr>
        <w:top w:val="none" w:sz="0" w:space="0" w:color="auto"/>
        <w:left w:val="none" w:sz="0" w:space="0" w:color="auto"/>
        <w:bottom w:val="none" w:sz="0" w:space="0" w:color="auto"/>
        <w:right w:val="none" w:sz="0" w:space="0" w:color="auto"/>
      </w:divBdr>
      <w:divsChild>
        <w:div w:id="1418013870">
          <w:marLeft w:val="0"/>
          <w:marRight w:val="0"/>
          <w:marTop w:val="0"/>
          <w:marBottom w:val="0"/>
          <w:divBdr>
            <w:top w:val="none" w:sz="0" w:space="0" w:color="auto"/>
            <w:left w:val="none" w:sz="0" w:space="0" w:color="auto"/>
            <w:bottom w:val="none" w:sz="0" w:space="0" w:color="auto"/>
            <w:right w:val="none" w:sz="0" w:space="0" w:color="auto"/>
          </w:divBdr>
        </w:div>
        <w:div w:id="598411574">
          <w:marLeft w:val="0"/>
          <w:marRight w:val="0"/>
          <w:marTop w:val="0"/>
          <w:marBottom w:val="0"/>
          <w:divBdr>
            <w:top w:val="none" w:sz="0" w:space="0" w:color="auto"/>
            <w:left w:val="none" w:sz="0" w:space="0" w:color="auto"/>
            <w:bottom w:val="none" w:sz="0" w:space="0" w:color="auto"/>
            <w:right w:val="none" w:sz="0" w:space="0" w:color="auto"/>
          </w:divBdr>
        </w:div>
      </w:divsChild>
    </w:div>
    <w:div w:id="1735078460">
      <w:marLeft w:val="4"/>
      <w:marRight w:val="0"/>
      <w:marTop w:val="200"/>
      <w:marBottom w:val="0"/>
      <w:divBdr>
        <w:top w:val="none" w:sz="0" w:space="0" w:color="auto"/>
        <w:left w:val="none" w:sz="0" w:space="0" w:color="auto"/>
        <w:bottom w:val="none" w:sz="0" w:space="0" w:color="auto"/>
        <w:right w:val="none" w:sz="0" w:space="0" w:color="auto"/>
      </w:divBdr>
      <w:divsChild>
        <w:div w:id="869226441">
          <w:marLeft w:val="0"/>
          <w:marRight w:val="0"/>
          <w:marTop w:val="0"/>
          <w:marBottom w:val="0"/>
          <w:divBdr>
            <w:top w:val="none" w:sz="0" w:space="0" w:color="auto"/>
            <w:left w:val="none" w:sz="0" w:space="0" w:color="auto"/>
            <w:bottom w:val="none" w:sz="0" w:space="0" w:color="auto"/>
            <w:right w:val="none" w:sz="0" w:space="0" w:color="auto"/>
          </w:divBdr>
        </w:div>
      </w:divsChild>
    </w:div>
    <w:div w:id="1737047954">
      <w:marLeft w:val="0"/>
      <w:marRight w:val="0"/>
      <w:marTop w:val="0"/>
      <w:marBottom w:val="0"/>
      <w:divBdr>
        <w:top w:val="none" w:sz="0" w:space="0" w:color="auto"/>
        <w:left w:val="none" w:sz="0" w:space="0" w:color="auto"/>
        <w:bottom w:val="none" w:sz="0" w:space="0" w:color="auto"/>
        <w:right w:val="none" w:sz="0" w:space="0" w:color="auto"/>
      </w:divBdr>
    </w:div>
    <w:div w:id="1764110236">
      <w:marLeft w:val="4"/>
      <w:marRight w:val="0"/>
      <w:marTop w:val="200"/>
      <w:marBottom w:val="0"/>
      <w:divBdr>
        <w:top w:val="none" w:sz="0" w:space="0" w:color="auto"/>
        <w:left w:val="none" w:sz="0" w:space="0" w:color="auto"/>
        <w:bottom w:val="none" w:sz="0" w:space="0" w:color="auto"/>
        <w:right w:val="none" w:sz="0" w:space="0" w:color="auto"/>
      </w:divBdr>
      <w:divsChild>
        <w:div w:id="83766588">
          <w:marLeft w:val="0"/>
          <w:marRight w:val="0"/>
          <w:marTop w:val="0"/>
          <w:marBottom w:val="0"/>
          <w:divBdr>
            <w:top w:val="none" w:sz="0" w:space="0" w:color="auto"/>
            <w:left w:val="none" w:sz="0" w:space="0" w:color="auto"/>
            <w:bottom w:val="none" w:sz="0" w:space="0" w:color="auto"/>
            <w:right w:val="none" w:sz="0" w:space="0" w:color="auto"/>
          </w:divBdr>
        </w:div>
      </w:divsChild>
    </w:div>
    <w:div w:id="1789472715">
      <w:marLeft w:val="4"/>
      <w:marRight w:val="0"/>
      <w:marTop w:val="200"/>
      <w:marBottom w:val="0"/>
      <w:divBdr>
        <w:top w:val="none" w:sz="0" w:space="0" w:color="auto"/>
        <w:left w:val="none" w:sz="0" w:space="0" w:color="auto"/>
        <w:bottom w:val="none" w:sz="0" w:space="0" w:color="auto"/>
        <w:right w:val="none" w:sz="0" w:space="0" w:color="auto"/>
      </w:divBdr>
      <w:divsChild>
        <w:div w:id="6372402">
          <w:marLeft w:val="0"/>
          <w:marRight w:val="0"/>
          <w:marTop w:val="0"/>
          <w:marBottom w:val="0"/>
          <w:divBdr>
            <w:top w:val="none" w:sz="0" w:space="0" w:color="auto"/>
            <w:left w:val="none" w:sz="0" w:space="0" w:color="auto"/>
            <w:bottom w:val="none" w:sz="0" w:space="0" w:color="auto"/>
            <w:right w:val="none" w:sz="0" w:space="0" w:color="auto"/>
          </w:divBdr>
        </w:div>
      </w:divsChild>
    </w:div>
    <w:div w:id="1794906940">
      <w:marLeft w:val="4"/>
      <w:marRight w:val="0"/>
      <w:marTop w:val="160"/>
      <w:marBottom w:val="0"/>
      <w:divBdr>
        <w:top w:val="none" w:sz="0" w:space="0" w:color="auto"/>
        <w:left w:val="none" w:sz="0" w:space="0" w:color="auto"/>
        <w:bottom w:val="none" w:sz="0" w:space="0" w:color="auto"/>
        <w:right w:val="none" w:sz="0" w:space="0" w:color="auto"/>
      </w:divBdr>
      <w:divsChild>
        <w:div w:id="783109889">
          <w:marLeft w:val="0"/>
          <w:marRight w:val="0"/>
          <w:marTop w:val="0"/>
          <w:marBottom w:val="0"/>
          <w:divBdr>
            <w:top w:val="none" w:sz="0" w:space="0" w:color="auto"/>
            <w:left w:val="none" w:sz="0" w:space="0" w:color="auto"/>
            <w:bottom w:val="none" w:sz="0" w:space="0" w:color="auto"/>
            <w:right w:val="none" w:sz="0" w:space="0" w:color="auto"/>
          </w:divBdr>
        </w:div>
      </w:divsChild>
    </w:div>
    <w:div w:id="1817334449">
      <w:marLeft w:val="4"/>
      <w:marRight w:val="0"/>
      <w:marTop w:val="200"/>
      <w:marBottom w:val="0"/>
      <w:divBdr>
        <w:top w:val="none" w:sz="0" w:space="0" w:color="auto"/>
        <w:left w:val="none" w:sz="0" w:space="0" w:color="auto"/>
        <w:bottom w:val="none" w:sz="0" w:space="0" w:color="auto"/>
        <w:right w:val="none" w:sz="0" w:space="0" w:color="auto"/>
      </w:divBdr>
      <w:divsChild>
        <w:div w:id="552929637">
          <w:marLeft w:val="0"/>
          <w:marRight w:val="0"/>
          <w:marTop w:val="0"/>
          <w:marBottom w:val="0"/>
          <w:divBdr>
            <w:top w:val="none" w:sz="0" w:space="0" w:color="auto"/>
            <w:left w:val="none" w:sz="0" w:space="0" w:color="auto"/>
            <w:bottom w:val="none" w:sz="0" w:space="0" w:color="auto"/>
            <w:right w:val="none" w:sz="0" w:space="0" w:color="auto"/>
          </w:divBdr>
        </w:div>
      </w:divsChild>
    </w:div>
    <w:div w:id="1867979323">
      <w:marLeft w:val="4"/>
      <w:marRight w:val="0"/>
      <w:marTop w:val="200"/>
      <w:marBottom w:val="0"/>
      <w:divBdr>
        <w:top w:val="none" w:sz="0" w:space="0" w:color="auto"/>
        <w:left w:val="none" w:sz="0" w:space="0" w:color="auto"/>
        <w:bottom w:val="none" w:sz="0" w:space="0" w:color="auto"/>
        <w:right w:val="none" w:sz="0" w:space="0" w:color="auto"/>
      </w:divBdr>
      <w:divsChild>
        <w:div w:id="1801992606">
          <w:marLeft w:val="0"/>
          <w:marRight w:val="0"/>
          <w:marTop w:val="0"/>
          <w:marBottom w:val="0"/>
          <w:divBdr>
            <w:top w:val="none" w:sz="0" w:space="0" w:color="auto"/>
            <w:left w:val="none" w:sz="0" w:space="0" w:color="auto"/>
            <w:bottom w:val="none" w:sz="0" w:space="0" w:color="auto"/>
            <w:right w:val="none" w:sz="0" w:space="0" w:color="auto"/>
          </w:divBdr>
        </w:div>
      </w:divsChild>
    </w:div>
    <w:div w:id="1868255224">
      <w:marLeft w:val="4"/>
      <w:marRight w:val="0"/>
      <w:marTop w:val="200"/>
      <w:marBottom w:val="0"/>
      <w:divBdr>
        <w:top w:val="none" w:sz="0" w:space="0" w:color="auto"/>
        <w:left w:val="none" w:sz="0" w:space="0" w:color="auto"/>
        <w:bottom w:val="none" w:sz="0" w:space="0" w:color="auto"/>
        <w:right w:val="none" w:sz="0" w:space="0" w:color="auto"/>
      </w:divBdr>
      <w:divsChild>
        <w:div w:id="1845125210">
          <w:marLeft w:val="0"/>
          <w:marRight w:val="0"/>
          <w:marTop w:val="0"/>
          <w:marBottom w:val="0"/>
          <w:divBdr>
            <w:top w:val="none" w:sz="0" w:space="0" w:color="auto"/>
            <w:left w:val="none" w:sz="0" w:space="0" w:color="auto"/>
            <w:bottom w:val="none" w:sz="0" w:space="0" w:color="auto"/>
            <w:right w:val="none" w:sz="0" w:space="0" w:color="auto"/>
          </w:divBdr>
        </w:div>
      </w:divsChild>
    </w:div>
    <w:div w:id="1869221781">
      <w:marLeft w:val="4"/>
      <w:marRight w:val="0"/>
      <w:marTop w:val="200"/>
      <w:marBottom w:val="0"/>
      <w:divBdr>
        <w:top w:val="none" w:sz="0" w:space="0" w:color="auto"/>
        <w:left w:val="none" w:sz="0" w:space="0" w:color="auto"/>
        <w:bottom w:val="none" w:sz="0" w:space="0" w:color="auto"/>
        <w:right w:val="none" w:sz="0" w:space="0" w:color="auto"/>
      </w:divBdr>
      <w:divsChild>
        <w:div w:id="85425654">
          <w:marLeft w:val="0"/>
          <w:marRight w:val="0"/>
          <w:marTop w:val="0"/>
          <w:marBottom w:val="0"/>
          <w:divBdr>
            <w:top w:val="none" w:sz="0" w:space="0" w:color="auto"/>
            <w:left w:val="none" w:sz="0" w:space="0" w:color="auto"/>
            <w:bottom w:val="none" w:sz="0" w:space="0" w:color="auto"/>
            <w:right w:val="none" w:sz="0" w:space="0" w:color="auto"/>
          </w:divBdr>
        </w:div>
      </w:divsChild>
    </w:div>
    <w:div w:id="1893695025">
      <w:marLeft w:val="4"/>
      <w:marRight w:val="0"/>
      <w:marTop w:val="160"/>
      <w:marBottom w:val="0"/>
      <w:divBdr>
        <w:top w:val="none" w:sz="0" w:space="0" w:color="auto"/>
        <w:left w:val="none" w:sz="0" w:space="0" w:color="auto"/>
        <w:bottom w:val="none" w:sz="0" w:space="0" w:color="auto"/>
        <w:right w:val="none" w:sz="0" w:space="0" w:color="auto"/>
      </w:divBdr>
      <w:divsChild>
        <w:div w:id="1693145938">
          <w:marLeft w:val="0"/>
          <w:marRight w:val="0"/>
          <w:marTop w:val="0"/>
          <w:marBottom w:val="0"/>
          <w:divBdr>
            <w:top w:val="none" w:sz="0" w:space="0" w:color="auto"/>
            <w:left w:val="none" w:sz="0" w:space="0" w:color="auto"/>
            <w:bottom w:val="none" w:sz="0" w:space="0" w:color="auto"/>
            <w:right w:val="none" w:sz="0" w:space="0" w:color="auto"/>
          </w:divBdr>
        </w:div>
      </w:divsChild>
    </w:div>
    <w:div w:id="1905137953">
      <w:marLeft w:val="4"/>
      <w:marRight w:val="0"/>
      <w:marTop w:val="200"/>
      <w:marBottom w:val="0"/>
      <w:divBdr>
        <w:top w:val="none" w:sz="0" w:space="0" w:color="auto"/>
        <w:left w:val="none" w:sz="0" w:space="0" w:color="auto"/>
        <w:bottom w:val="none" w:sz="0" w:space="0" w:color="auto"/>
        <w:right w:val="none" w:sz="0" w:space="0" w:color="auto"/>
      </w:divBdr>
      <w:divsChild>
        <w:div w:id="828132794">
          <w:marLeft w:val="0"/>
          <w:marRight w:val="0"/>
          <w:marTop w:val="0"/>
          <w:marBottom w:val="0"/>
          <w:divBdr>
            <w:top w:val="none" w:sz="0" w:space="0" w:color="auto"/>
            <w:left w:val="none" w:sz="0" w:space="0" w:color="auto"/>
            <w:bottom w:val="none" w:sz="0" w:space="0" w:color="auto"/>
            <w:right w:val="none" w:sz="0" w:space="0" w:color="auto"/>
          </w:divBdr>
        </w:div>
      </w:divsChild>
    </w:div>
    <w:div w:id="1946763056">
      <w:marLeft w:val="4"/>
      <w:marRight w:val="0"/>
      <w:marTop w:val="200"/>
      <w:marBottom w:val="0"/>
      <w:divBdr>
        <w:top w:val="none" w:sz="0" w:space="0" w:color="auto"/>
        <w:left w:val="none" w:sz="0" w:space="0" w:color="auto"/>
        <w:bottom w:val="none" w:sz="0" w:space="0" w:color="auto"/>
        <w:right w:val="none" w:sz="0" w:space="0" w:color="auto"/>
      </w:divBdr>
      <w:divsChild>
        <w:div w:id="146632017">
          <w:marLeft w:val="0"/>
          <w:marRight w:val="0"/>
          <w:marTop w:val="0"/>
          <w:marBottom w:val="0"/>
          <w:divBdr>
            <w:top w:val="none" w:sz="0" w:space="0" w:color="auto"/>
            <w:left w:val="none" w:sz="0" w:space="0" w:color="auto"/>
            <w:bottom w:val="none" w:sz="0" w:space="0" w:color="auto"/>
            <w:right w:val="none" w:sz="0" w:space="0" w:color="auto"/>
          </w:divBdr>
        </w:div>
      </w:divsChild>
    </w:div>
    <w:div w:id="1947153775">
      <w:marLeft w:val="4"/>
      <w:marRight w:val="0"/>
      <w:marTop w:val="200"/>
      <w:marBottom w:val="0"/>
      <w:divBdr>
        <w:top w:val="none" w:sz="0" w:space="0" w:color="auto"/>
        <w:left w:val="none" w:sz="0" w:space="0" w:color="auto"/>
        <w:bottom w:val="none" w:sz="0" w:space="0" w:color="auto"/>
        <w:right w:val="none" w:sz="0" w:space="0" w:color="auto"/>
      </w:divBdr>
      <w:divsChild>
        <w:div w:id="569996906">
          <w:marLeft w:val="0"/>
          <w:marRight w:val="0"/>
          <w:marTop w:val="0"/>
          <w:marBottom w:val="0"/>
          <w:divBdr>
            <w:top w:val="none" w:sz="0" w:space="0" w:color="auto"/>
            <w:left w:val="none" w:sz="0" w:space="0" w:color="auto"/>
            <w:bottom w:val="none" w:sz="0" w:space="0" w:color="auto"/>
            <w:right w:val="none" w:sz="0" w:space="0" w:color="auto"/>
          </w:divBdr>
        </w:div>
      </w:divsChild>
    </w:div>
    <w:div w:id="1949852764">
      <w:marLeft w:val="0"/>
      <w:marRight w:val="0"/>
      <w:marTop w:val="0"/>
      <w:marBottom w:val="0"/>
      <w:divBdr>
        <w:top w:val="none" w:sz="0" w:space="0" w:color="auto"/>
        <w:left w:val="none" w:sz="0" w:space="0" w:color="auto"/>
        <w:bottom w:val="none" w:sz="0" w:space="0" w:color="auto"/>
        <w:right w:val="none" w:sz="0" w:space="0" w:color="auto"/>
      </w:divBdr>
    </w:div>
    <w:div w:id="1994945293">
      <w:marLeft w:val="4"/>
      <w:marRight w:val="0"/>
      <w:marTop w:val="200"/>
      <w:marBottom w:val="0"/>
      <w:divBdr>
        <w:top w:val="none" w:sz="0" w:space="0" w:color="auto"/>
        <w:left w:val="none" w:sz="0" w:space="0" w:color="auto"/>
        <w:bottom w:val="none" w:sz="0" w:space="0" w:color="auto"/>
        <w:right w:val="none" w:sz="0" w:space="0" w:color="auto"/>
      </w:divBdr>
      <w:divsChild>
        <w:div w:id="1375539257">
          <w:marLeft w:val="0"/>
          <w:marRight w:val="0"/>
          <w:marTop w:val="0"/>
          <w:marBottom w:val="0"/>
          <w:divBdr>
            <w:top w:val="none" w:sz="0" w:space="0" w:color="auto"/>
            <w:left w:val="none" w:sz="0" w:space="0" w:color="auto"/>
            <w:bottom w:val="none" w:sz="0" w:space="0" w:color="auto"/>
            <w:right w:val="none" w:sz="0" w:space="0" w:color="auto"/>
          </w:divBdr>
        </w:div>
      </w:divsChild>
    </w:div>
    <w:div w:id="2004703007">
      <w:marLeft w:val="4"/>
      <w:marRight w:val="0"/>
      <w:marTop w:val="200"/>
      <w:marBottom w:val="0"/>
      <w:divBdr>
        <w:top w:val="none" w:sz="0" w:space="0" w:color="auto"/>
        <w:left w:val="none" w:sz="0" w:space="0" w:color="auto"/>
        <w:bottom w:val="none" w:sz="0" w:space="0" w:color="auto"/>
        <w:right w:val="none" w:sz="0" w:space="0" w:color="auto"/>
      </w:divBdr>
      <w:divsChild>
        <w:div w:id="976111284">
          <w:marLeft w:val="0"/>
          <w:marRight w:val="0"/>
          <w:marTop w:val="0"/>
          <w:marBottom w:val="0"/>
          <w:divBdr>
            <w:top w:val="none" w:sz="0" w:space="0" w:color="auto"/>
            <w:left w:val="none" w:sz="0" w:space="0" w:color="auto"/>
            <w:bottom w:val="none" w:sz="0" w:space="0" w:color="auto"/>
            <w:right w:val="none" w:sz="0" w:space="0" w:color="auto"/>
          </w:divBdr>
        </w:div>
      </w:divsChild>
    </w:div>
    <w:div w:id="2025521850">
      <w:marLeft w:val="4"/>
      <w:marRight w:val="0"/>
      <w:marTop w:val="200"/>
      <w:marBottom w:val="0"/>
      <w:divBdr>
        <w:top w:val="none" w:sz="0" w:space="0" w:color="auto"/>
        <w:left w:val="none" w:sz="0" w:space="0" w:color="auto"/>
        <w:bottom w:val="none" w:sz="0" w:space="0" w:color="auto"/>
        <w:right w:val="none" w:sz="0" w:space="0" w:color="auto"/>
      </w:divBdr>
      <w:divsChild>
        <w:div w:id="54427600">
          <w:marLeft w:val="0"/>
          <w:marRight w:val="0"/>
          <w:marTop w:val="0"/>
          <w:marBottom w:val="0"/>
          <w:divBdr>
            <w:top w:val="none" w:sz="0" w:space="0" w:color="auto"/>
            <w:left w:val="none" w:sz="0" w:space="0" w:color="auto"/>
            <w:bottom w:val="none" w:sz="0" w:space="0" w:color="auto"/>
            <w:right w:val="none" w:sz="0" w:space="0" w:color="auto"/>
          </w:divBdr>
        </w:div>
      </w:divsChild>
    </w:div>
    <w:div w:id="2089577374">
      <w:marLeft w:val="0"/>
      <w:marRight w:val="0"/>
      <w:marTop w:val="0"/>
      <w:marBottom w:val="0"/>
      <w:divBdr>
        <w:top w:val="none" w:sz="0" w:space="0" w:color="auto"/>
        <w:left w:val="none" w:sz="0" w:space="0" w:color="auto"/>
        <w:bottom w:val="none" w:sz="0" w:space="0" w:color="auto"/>
        <w:right w:val="none" w:sz="0" w:space="0" w:color="auto"/>
      </w:divBdr>
      <w:divsChild>
        <w:div w:id="1301379666">
          <w:marLeft w:val="4"/>
          <w:marRight w:val="0"/>
          <w:marTop w:val="200"/>
          <w:marBottom w:val="0"/>
          <w:divBdr>
            <w:top w:val="none" w:sz="0" w:space="0" w:color="auto"/>
            <w:left w:val="none" w:sz="0" w:space="0" w:color="auto"/>
            <w:bottom w:val="none" w:sz="0" w:space="0" w:color="auto"/>
            <w:right w:val="none" w:sz="0" w:space="0" w:color="auto"/>
          </w:divBdr>
          <w:divsChild>
            <w:div w:id="1369064732">
              <w:marLeft w:val="0"/>
              <w:marRight w:val="0"/>
              <w:marTop w:val="0"/>
              <w:marBottom w:val="0"/>
              <w:divBdr>
                <w:top w:val="none" w:sz="0" w:space="0" w:color="auto"/>
                <w:left w:val="none" w:sz="0" w:space="0" w:color="auto"/>
                <w:bottom w:val="none" w:sz="0" w:space="0" w:color="auto"/>
                <w:right w:val="none" w:sz="0" w:space="0" w:color="auto"/>
              </w:divBdr>
            </w:div>
          </w:divsChild>
        </w:div>
        <w:div w:id="378552389">
          <w:marLeft w:val="4"/>
          <w:marRight w:val="0"/>
          <w:marTop w:val="200"/>
          <w:marBottom w:val="0"/>
          <w:divBdr>
            <w:top w:val="none" w:sz="0" w:space="0" w:color="auto"/>
            <w:left w:val="none" w:sz="0" w:space="0" w:color="auto"/>
            <w:bottom w:val="none" w:sz="0" w:space="0" w:color="auto"/>
            <w:right w:val="none" w:sz="0" w:space="0" w:color="auto"/>
          </w:divBdr>
          <w:divsChild>
            <w:div w:id="1110272815">
              <w:marLeft w:val="0"/>
              <w:marRight w:val="0"/>
              <w:marTop w:val="0"/>
              <w:marBottom w:val="0"/>
              <w:divBdr>
                <w:top w:val="none" w:sz="0" w:space="0" w:color="auto"/>
                <w:left w:val="none" w:sz="0" w:space="0" w:color="auto"/>
                <w:bottom w:val="none" w:sz="0" w:space="0" w:color="auto"/>
                <w:right w:val="none" w:sz="0" w:space="0" w:color="auto"/>
              </w:divBdr>
            </w:div>
          </w:divsChild>
        </w:div>
        <w:div w:id="1785077867">
          <w:marLeft w:val="4"/>
          <w:marRight w:val="0"/>
          <w:marTop w:val="200"/>
          <w:marBottom w:val="0"/>
          <w:divBdr>
            <w:top w:val="none" w:sz="0" w:space="0" w:color="auto"/>
            <w:left w:val="none" w:sz="0" w:space="0" w:color="auto"/>
            <w:bottom w:val="none" w:sz="0" w:space="0" w:color="auto"/>
            <w:right w:val="none" w:sz="0" w:space="0" w:color="auto"/>
          </w:divBdr>
          <w:divsChild>
            <w:div w:id="708341130">
              <w:marLeft w:val="0"/>
              <w:marRight w:val="0"/>
              <w:marTop w:val="0"/>
              <w:marBottom w:val="0"/>
              <w:divBdr>
                <w:top w:val="none" w:sz="0" w:space="0" w:color="auto"/>
                <w:left w:val="none" w:sz="0" w:space="0" w:color="auto"/>
                <w:bottom w:val="none" w:sz="0" w:space="0" w:color="auto"/>
                <w:right w:val="none" w:sz="0" w:space="0" w:color="auto"/>
              </w:divBdr>
            </w:div>
          </w:divsChild>
        </w:div>
        <w:div w:id="1692997683">
          <w:marLeft w:val="0"/>
          <w:marRight w:val="0"/>
          <w:marTop w:val="0"/>
          <w:marBottom w:val="0"/>
          <w:divBdr>
            <w:top w:val="none" w:sz="0" w:space="0" w:color="auto"/>
            <w:left w:val="none" w:sz="0" w:space="0" w:color="auto"/>
            <w:bottom w:val="none" w:sz="0" w:space="0" w:color="auto"/>
            <w:right w:val="none" w:sz="0" w:space="0" w:color="auto"/>
          </w:divBdr>
        </w:div>
        <w:div w:id="1783260887">
          <w:marLeft w:val="0"/>
          <w:marRight w:val="0"/>
          <w:marTop w:val="0"/>
          <w:marBottom w:val="0"/>
          <w:divBdr>
            <w:top w:val="none" w:sz="0" w:space="0" w:color="auto"/>
            <w:left w:val="none" w:sz="0" w:space="0" w:color="auto"/>
            <w:bottom w:val="none" w:sz="0" w:space="0" w:color="auto"/>
            <w:right w:val="none" w:sz="0" w:space="0" w:color="auto"/>
          </w:divBdr>
        </w:div>
        <w:div w:id="1939555516">
          <w:marLeft w:val="0"/>
          <w:marRight w:val="0"/>
          <w:marTop w:val="0"/>
          <w:marBottom w:val="0"/>
          <w:divBdr>
            <w:top w:val="none" w:sz="0" w:space="0" w:color="auto"/>
            <w:left w:val="none" w:sz="0" w:space="0" w:color="auto"/>
            <w:bottom w:val="none" w:sz="0" w:space="0" w:color="auto"/>
            <w:right w:val="none" w:sz="0" w:space="0" w:color="auto"/>
          </w:divBdr>
        </w:div>
      </w:divsChild>
    </w:div>
    <w:div w:id="2091613349">
      <w:marLeft w:val="4"/>
      <w:marRight w:val="0"/>
      <w:marTop w:val="160"/>
      <w:marBottom w:val="0"/>
      <w:divBdr>
        <w:top w:val="none" w:sz="0" w:space="0" w:color="auto"/>
        <w:left w:val="none" w:sz="0" w:space="0" w:color="auto"/>
        <w:bottom w:val="none" w:sz="0" w:space="0" w:color="auto"/>
        <w:right w:val="none" w:sz="0" w:space="0" w:color="auto"/>
      </w:divBdr>
      <w:divsChild>
        <w:div w:id="425735668">
          <w:marLeft w:val="0"/>
          <w:marRight w:val="0"/>
          <w:marTop w:val="0"/>
          <w:marBottom w:val="0"/>
          <w:divBdr>
            <w:top w:val="none" w:sz="0" w:space="0" w:color="auto"/>
            <w:left w:val="none" w:sz="0" w:space="0" w:color="auto"/>
            <w:bottom w:val="none" w:sz="0" w:space="0" w:color="auto"/>
            <w:right w:val="none" w:sz="0" w:space="0" w:color="auto"/>
          </w:divBdr>
        </w:div>
      </w:divsChild>
    </w:div>
    <w:div w:id="2105415072">
      <w:marLeft w:val="4"/>
      <w:marRight w:val="0"/>
      <w:marTop w:val="160"/>
      <w:marBottom w:val="0"/>
      <w:divBdr>
        <w:top w:val="none" w:sz="0" w:space="0" w:color="auto"/>
        <w:left w:val="none" w:sz="0" w:space="0" w:color="auto"/>
        <w:bottom w:val="none" w:sz="0" w:space="0" w:color="auto"/>
        <w:right w:val="none" w:sz="0" w:space="0" w:color="auto"/>
      </w:divBdr>
      <w:divsChild>
        <w:div w:id="531382119">
          <w:marLeft w:val="0"/>
          <w:marRight w:val="0"/>
          <w:marTop w:val="0"/>
          <w:marBottom w:val="0"/>
          <w:divBdr>
            <w:top w:val="none" w:sz="0" w:space="0" w:color="auto"/>
            <w:left w:val="none" w:sz="0" w:space="0" w:color="auto"/>
            <w:bottom w:val="none" w:sz="0" w:space="0" w:color="auto"/>
            <w:right w:val="none" w:sz="0" w:space="0" w:color="auto"/>
          </w:divBdr>
        </w:div>
      </w:divsChild>
    </w:div>
    <w:div w:id="2118793620">
      <w:marLeft w:val="0"/>
      <w:marRight w:val="0"/>
      <w:marTop w:val="0"/>
      <w:marBottom w:val="0"/>
      <w:divBdr>
        <w:top w:val="none" w:sz="0" w:space="0" w:color="auto"/>
        <w:left w:val="none" w:sz="0" w:space="0" w:color="auto"/>
        <w:bottom w:val="none" w:sz="0" w:space="0" w:color="auto"/>
        <w:right w:val="none" w:sz="0" w:space="0" w:color="auto"/>
      </w:divBdr>
      <w:divsChild>
        <w:div w:id="444037682">
          <w:marLeft w:val="0"/>
          <w:marRight w:val="0"/>
          <w:marTop w:val="0"/>
          <w:marBottom w:val="0"/>
          <w:divBdr>
            <w:top w:val="none" w:sz="0" w:space="0" w:color="auto"/>
            <w:left w:val="none" w:sz="0" w:space="0" w:color="auto"/>
            <w:bottom w:val="none" w:sz="0" w:space="0" w:color="auto"/>
            <w:right w:val="none" w:sz="0" w:space="0" w:color="auto"/>
          </w:divBdr>
        </w:div>
      </w:divsChild>
    </w:div>
    <w:div w:id="2133671759">
      <w:marLeft w:val="4"/>
      <w:marRight w:val="0"/>
      <w:marTop w:val="200"/>
      <w:marBottom w:val="0"/>
      <w:divBdr>
        <w:top w:val="none" w:sz="0" w:space="0" w:color="auto"/>
        <w:left w:val="none" w:sz="0" w:space="0" w:color="auto"/>
        <w:bottom w:val="none" w:sz="0" w:space="0" w:color="auto"/>
        <w:right w:val="none" w:sz="0" w:space="0" w:color="auto"/>
      </w:divBdr>
      <w:divsChild>
        <w:div w:id="20071251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1_1.htm" TargetMode="External"/><Relationship Id="rId3" Type="http://schemas.openxmlformats.org/officeDocument/2006/relationships/webSettings" Target="webSettings.xml"/><Relationship Id="rId7" Type="http://schemas.openxmlformats.org/officeDocument/2006/relationships/hyperlink" Target="https://www.sec.gov/Archives/edgar/data/1404655/000119312514353746/d697256dex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04655/000095017022005701/hubs-ex3_1.htm" TargetMode="External"/><Relationship Id="rId11" Type="http://schemas.openxmlformats.org/officeDocument/2006/relationships/fontTable" Target="fontTable.xml"/><Relationship Id="rId5" Type="http://schemas.openxmlformats.org/officeDocument/2006/relationships/hyperlink" Target="https://www.sec.gov/Archives/edgar/data/1404655/000156459020051449/hubs-ex32_103.htm" TargetMode="External"/><Relationship Id="rId10" Type="http://schemas.openxmlformats.org/officeDocument/2006/relationships/hyperlink" Target="hubs-ex32_1.htm" TargetMode="External"/><Relationship Id="rId4" Type="http://schemas.openxmlformats.org/officeDocument/2006/relationships/hyperlink" Target="https://www.sec.gov/Archives/edgar/data/1404655/000156459016013204/hubs-ex31_768.htm" TargetMode="External"/><Relationship Id="rId9" Type="http://schemas.openxmlformats.org/officeDocument/2006/relationships/hyperlink" Target="hubs-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42664</Words>
  <Characters>243191</Characters>
  <Application>Microsoft Office Word</Application>
  <DocSecurity>0</DocSecurity>
  <Lines>2026</Lines>
  <Paragraphs>570</Paragraphs>
  <ScaleCrop>false</ScaleCrop>
  <Company/>
  <LinksUpToDate>false</LinksUpToDate>
  <CharactersWithSpaces>285285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