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05FA0">
      <w:pPr>
        <w:divId w:val="1724597348"/>
        <w:rPr>
          <w:rFonts w:eastAsia="Times New Roman"/>
          <w:vanish/>
        </w:rPr>
      </w:pPr>
      <w:r>
        <w:rPr>
          <w:rFonts w:eastAsia="Times New Roman"/>
          <w:vanish/>
        </w:rPr>
        <w:t>P1Yhttp://fasb.org/us-gaap/2022#OtherAssetsNoncurrent--12-31http://fasb.org/us-gaap/2022#OtherAssetsNoncurrentfalse0001404655Q3http://fasb.org/us-gaap/2022#OtherAssetsNoncurrent0001404655us-gaap:EmployeeStockMember2021-01-012021-09-300001404655</w:t>
      </w:r>
      <w:r>
        <w:rPr>
          <w:rFonts w:eastAsia="Times New Roman"/>
          <w:vanish/>
        </w:rPr>
        <w:t>us-gaap:FairValueInputsLevel2Memberus-gaap:CommercialPaperMember2021-12-310001404655us-gaap:GeographicConcentrationRiskMemberus-gaap:SalesRevenueNetMemberhubs:RestOfTheWorldMember2021-01-012021-09-300001404655us-gaap:SubscriptionAndCirculationMember2022-01</w:t>
      </w:r>
      <w:r>
        <w:rPr>
          <w:rFonts w:eastAsia="Times New Roman"/>
          <w:vanish/>
        </w:rPr>
        <w:t>-012022-09-300001404655hubs:USTreasurySecuritiesExcludingCashAndCashEquivalentsMember2021-12-310001404655hubs:CapitalizedSoftwareAndPropertyPlantAndEquipmentMember2021-01-012021-09-300001404655hubs:ProductRelatedObligationsMember2022-09-300001404655hubs:Ze</w:t>
      </w:r>
      <w:r>
        <w:rPr>
          <w:rFonts w:eastAsia="Times New Roman"/>
          <w:vanish/>
        </w:rPr>
        <w:t>roPointTwoFivePercentConvertibleSeniorNotesDueTwoThousandTwentyTwoMember2021-07-012021-09-300001404655us-gaap:AccumulatedOtherComprehensiveIncomeMember2021-06-300001404655us-gaap:ConstructionInProgressMember2021-12-310001404655srt:EuropeMember2021-12-31000</w:t>
      </w:r>
      <w:r>
        <w:rPr>
          <w:rFonts w:eastAsia="Times New Roman"/>
          <w:vanish/>
        </w:rPr>
        <w:t>1404655hubs:ZeroPointTwoFivePercentConvertibleSeniorNotesDueTwoThousandTwentyTwoAsLiabilityComponentMemberus-gaap:CommonStockMember2021-01-012021-06-300001404655us-gaap:EmployeeStockOptionMember2021-07-012021-09-300001404655us-gaap:SellingAndMarketingExpen</w:t>
      </w:r>
      <w:r>
        <w:rPr>
          <w:rFonts w:eastAsia="Times New Roman"/>
          <w:vanish/>
        </w:rPr>
        <w:t>seMember2022-01-012022-09-300001404655us-gaap:RetainedEarningsMember2021-06-300001404655us-gaap:GeneralAndAdministrativeExpenseMember2021-01-012021-09-300001404655us-gaap:RetainedEarningsMember2020-12-310001404655us-gaap:AdditionalPaidInCapitalMember2021-1</w:t>
      </w:r>
      <w:r>
        <w:rPr>
          <w:rFonts w:eastAsia="Times New Roman"/>
          <w:vanish/>
        </w:rPr>
        <w:t>2-310001404655hubs:CostOfSubscriptionRevenuesMember2022-07-012022-09-300001404655hubs:ZeroPointTwoFivePercentConvertibleSeniorNotesDueTwoThousandTwentyTwoAsLiabilityComponentMemberus-gaap:AdditionalPaidInCapitalMember2021-07-012021-09-300001404655us-gaap:G</w:t>
      </w:r>
      <w:r>
        <w:rPr>
          <w:rFonts w:eastAsia="Times New Roman"/>
          <w:vanish/>
        </w:rPr>
        <w:t>eneralAndAdministrativeExpenseMember2021-07-012021-09-300001404655us-gaap:GeographicConcentrationRiskMemberus-gaap:SalesRevenueNetMemberhubs:OutsideOfAmericasMember2021-01-012021-09-300001404655hubs:ZeroPointTwoFivePercentConvertibleSeniorNotesDueTwoThousa</w:t>
      </w:r>
      <w:r>
        <w:rPr>
          <w:rFonts w:eastAsia="Times New Roman"/>
          <w:vanish/>
        </w:rPr>
        <w:t>ndTwentyTwoMember2022-06-012022-06-010001404655us-gaap:FairValueInputsLevel2Member2022-09-300001404655hubs:ZeroPointTwoFivePercentConvertibleSeniorNotesDueTwoThousandTwentyTwoAsLiabilityComponentMember2021-07-012021-09-300001404655hubs:ZeroPointTwoFivePerc</w:t>
      </w:r>
      <w:r>
        <w:rPr>
          <w:rFonts w:eastAsia="Times New Roman"/>
          <w:vanish/>
        </w:rPr>
        <w:t>entConvertibleSeniorNotesDueTwoThousandTwentyTwoAsLiabilityComponentMemberus-gaap:AdditionalPaidInCapitalMember2021-01-012021-06-300001404655srt:MinimumMember2022-01-012022-09-300001404655us-gaap:ServiceMember2022-01-012022-09-300001404655us-gaap:CommonSto</w:t>
      </w:r>
      <w:r>
        <w:rPr>
          <w:rFonts w:eastAsia="Times New Roman"/>
          <w:vanish/>
        </w:rPr>
        <w:t>ckMember2022-06-300001404655us-gaap:SubscriptionAndCirculationMember2021-01-012021-09-300001404655hubs:StrategicInvestmentsMember2021-12-310001404655us-gaap:AccumulatedOtherComprehensiveIncomeMember2022-09-3000014046552022-10-280001404655us-gaap:SoftwareDe</w:t>
      </w:r>
      <w:r>
        <w:rPr>
          <w:rFonts w:eastAsia="Times New Roman"/>
          <w:vanish/>
        </w:rPr>
        <w:t>velopmentMember2022-09-300001404655srt:AmericasMember2022-07-012022-09-300001404655us-gaap:AccumulatedOtherComprehensiveIncomeMember2022-01-012022-06-300001404655hubs:CapitalizedSoftwareAndPropertyPlantAndEquipmentMember2022-07-012022-09-300001404655us-gaa</w:t>
      </w:r>
      <w:r>
        <w:rPr>
          <w:rFonts w:eastAsia="Times New Roman"/>
          <w:vanish/>
        </w:rPr>
        <w:t>p:AccumulatedNetUnrealizedInvestmentGainLossMember2021-12-310001404655us-gaap:CommonStockMember2020-12-310001404655us-gaap:ServiceMember2021-01-012021-09-300001404655us-gaap:ConvertibleDebtSecuritiesMember2022-01-012022-09-300001404655us-gaap:EmployeeStock</w:t>
      </w:r>
      <w:r>
        <w:rPr>
          <w:rFonts w:eastAsia="Times New Roman"/>
          <w:vanish/>
        </w:rPr>
        <w:t>Member2022-07-012022-09-300001404655us-gaap:AdditionalPaidInCapitalMember2022-01-012022-06-300001404655srt:EuropeMember2021-01-012021-09-300001404655us-gaap:RestrictedStockUnitsRSUMember2021-01-012021-09-300001404655hubs:ZeroPointThreeSevenFivePercentConve</w:t>
      </w:r>
      <w:r>
        <w:rPr>
          <w:rFonts w:eastAsia="Times New Roman"/>
          <w:vanish/>
        </w:rPr>
        <w:t>rtibleSeniorNotesDueTwoThousandTwentyFiveMembersrt:MaximumMemberhubs:CappedCallOptionsMember2020-06-012020-06-300001404655hubs:StrategicInvestmentsMember2022-09-300001404655us-gaap:AdditionalPaidInCapitalMemberhubs:ZeroPointThreeSevenFivePercentConvertible</w:t>
      </w:r>
      <w:r>
        <w:rPr>
          <w:rFonts w:eastAsia="Times New Roman"/>
          <w:vanish/>
        </w:rPr>
        <w:t>SeniorNotesDueTwoThousandTwentyFiveAsLiabilityComponentMember2022-01-012022-06-300001404655us-gaap:FairValueInputsLevel2Memberus-gaap:CorporateBondSecuritiesMember2021-12-310001404655us-gaap:LeaseholdImprovementsMember2021-12-3100014046552022-01-012022-03-</w:t>
      </w:r>
      <w:r>
        <w:rPr>
          <w:rFonts w:eastAsia="Times New Roman"/>
          <w:vanish/>
        </w:rPr>
        <w:t>310001404655hubs:EmployeeRelatedComputerEquipmentMember2022-09-300001404655us-gaap:FairValueInputsLevel2Memberus-gaap:MoneyMarketFundsMember2022-09-300001404655us-gaap:GeographicConcentrationRiskMemberus-gaap:SalesRevenueNetMemberhubs:OutsideOfAmericasMemb</w:t>
      </w:r>
      <w:r>
        <w:rPr>
          <w:rFonts w:eastAsia="Times New Roman"/>
          <w:vanish/>
        </w:rPr>
        <w:t>er2021-07-012021-09-300001404655us-gaap:EmployeeStockMember2021-07-012021-09-300001404655us-gaap:FurnitureAndFixturesMember2021-12-3100014046552021-01-012021-06-300001404655us-gaap:SellingAndMarketingExpenseMember2022-07-012022-09-300001404655us-gaap:Commo</w:t>
      </w:r>
      <w:r>
        <w:rPr>
          <w:rFonts w:eastAsia="Times New Roman"/>
          <w:vanish/>
        </w:rPr>
        <w:t>nStockMember2021-06-300001404655us-gaap:FairValueInputsLevel2Memberhubs:ZeroPointThreeSevenFivePercentConvertibleSeniorNotesDueTwoThousandTwentyFiveMember2022-09-300001404655hubs:ZeroPointTwoFivePercentConvertibleSeniorNotesDueTwoThousandTwentyTwoAsLiabili</w:t>
      </w:r>
      <w:r>
        <w:rPr>
          <w:rFonts w:eastAsia="Times New Roman"/>
          <w:vanish/>
        </w:rPr>
        <w:t>tyComponentMember2022-01-012022-06-300001404655us-gaap:FairValueInputsLevel1Member2022-09-300001404655us-gaap:MoneyMarketFundsMember2022-09-300001404655us-gaap:CommercialPaperNotIncludedWithCashAndCashEquivalentsMember2021-12-310001404655us-gaap:SoftwareDe</w:t>
      </w:r>
      <w:r>
        <w:rPr>
          <w:rFonts w:eastAsia="Times New Roman"/>
          <w:vanish/>
        </w:rPr>
        <w:t>velopmentMember2021-12-310001404655us-gaap:AccumulatedOtherComprehensiveIncomeMember2022-07-012022-09-3000014046552021-10-012022-09-300001404655us-gaap:USGovernmentAgenciesShorttermDebtSecuritiesMember2022-09-300001404655us-gaap:AdditionalPaidInCapitalMemb</w:t>
      </w:r>
      <w:r>
        <w:rPr>
          <w:rFonts w:eastAsia="Times New Roman"/>
          <w:vanish/>
        </w:rPr>
        <w:t>er2022-07-012022-09-300001404655us-gaap:CommonStockMember2021-12-310001404655us-gaap:EmployeeStockOptionMember2022-01-012022-09-300001404655hubs:ZeroPointThreeSevenFivePercentConvertibleSeniorNotesDueTwoThousandTwentyFiveMember2022-01-012022-09-30000140465</w:t>
      </w:r>
      <w:r>
        <w:rPr>
          <w:rFonts w:eastAsia="Times New Roman"/>
          <w:vanish/>
        </w:rPr>
        <w:t>5hubs:CostOfSubscriptionRevenuesMember2022-01-012022-09-300001404655us-gaap:CommonStockMember2021-07-012021-09-300001404655hubs:CostOfRevenueProfessionalServicesAndOtherMember2022-01-012022-09-300001404655hubs:ZeroPointTwoFivePercentConvertibleSeniorNotesD</w:t>
      </w:r>
      <w:r>
        <w:rPr>
          <w:rFonts w:eastAsia="Times New Roman"/>
          <w:vanish/>
        </w:rPr>
        <w:t>ueTwoThousandTwentyTwoMember2017-05-012017-05-3100014046552022-07-012022-09-3000014046552021-07-012021-09-3000014046552022-01-012022-01-010001404655us-gaap:CommonStockMemberhubs:ZeroPointTwoFivePercentConvertibleSeniorNotesDueTwoThousandTwentyTwoMember2022</w:t>
      </w:r>
      <w:r>
        <w:rPr>
          <w:rFonts w:eastAsia="Times New Roman"/>
          <w:vanish/>
        </w:rPr>
        <w:t>-07-012022-09-300001404655hubs:ZeroPointThreeSevenFivePercentConvertibleSeniorNotesDueTwoThousandTwentyFiveMember2020-06-300001404655us-gaap:GeographicConcentrationRiskMemberus-gaap:SalesRevenueNetMemberhubs:OutsideOfAmericasMember2022-01-012022-09-3000014</w:t>
      </w:r>
      <w:r>
        <w:rPr>
          <w:rFonts w:eastAsia="Times New Roman"/>
          <w:vanish/>
        </w:rPr>
        <w:t>04655hubs:CapitalizedSoftwareAndPropertyPlantAndEquipmentMember2021-07-012021-09-300001404655us-gaap:AccumulatedTranslationAdjustmentMember2021-12-310001404655us-gaap:FairValueInputsLevel2Memberus-gaap:USGovernmentAgenciesShorttermDebtSecuritiesMember2022-</w:t>
      </w:r>
      <w:r>
        <w:rPr>
          <w:rFonts w:eastAsia="Times New Roman"/>
          <w:vanish/>
        </w:rPr>
        <w:t>09-300001404655hubs:ZeroPointThreeSevenFivePercentConvertibleSeniorNotesDueTwoThousandTwentyFiveMember2020-06-012020-06-300001404655us-gaap:CommercialPaperMember2021-12-3100014046552022-06-3000014046552021-01-012021-09-3000014046552022-04-012022-04-3000014</w:t>
      </w:r>
      <w:r>
        <w:rPr>
          <w:rFonts w:eastAsia="Times New Roman"/>
          <w:vanish/>
        </w:rPr>
        <w:t>04655hubs:ZeroPointThreeSevenFivePercentConvertibleSeniorNotesDueTwoThousandTwentyFiveMember2021-01-012021-09-300001404655us-gaap:MoneyMarketFundsMemberus-gaap:FairValueInputsLevel1Member2021-12-310001404655srt:AsiaPacificMember2022-07-012022-09-3000014046</w:t>
      </w:r>
      <w:r>
        <w:rPr>
          <w:rFonts w:eastAsia="Times New Roman"/>
          <w:vanish/>
        </w:rPr>
        <w:t>55hubs:CostOfSubscriptionRevenuesMember2021-07-012021-09-300001404655us-gaap:TreasuryStockMember2021-07-012021-09-300001404655srt:AmericasMember2021-12-3100014046552021-12-310001404655us-gaap:ServiceMember2021-07-012021-09-300001404655us-gaap:TreasuryStock</w:t>
      </w:r>
      <w:r>
        <w:rPr>
          <w:rFonts w:eastAsia="Times New Roman"/>
          <w:vanish/>
        </w:rPr>
        <w:t>Member2021-09-300001404655us-gaap:FurnitureAndFixturesMember2022-09-300001404655srt:AsiaPacificMember2021-12-3100014046552021-06-300001404655hubs:ZeroPointThreeSevenFivePercentConvertibleSeniorNotesDueTwoThousandTwentyFiveMemberus-gaap:PrivatePlacementMemb</w:t>
      </w:r>
      <w:r>
        <w:rPr>
          <w:rFonts w:eastAsia="Times New Roman"/>
          <w:vanish/>
        </w:rPr>
        <w:t>er2020-06-300001404655us-gaap:FairValueInputsLevel1Member2021-12-310001404655hubs:ZeroPointThreeSevenFivePercentConvertibleSeniorNotesDueTwoThousandTwentyFiveAsLiabilityComponentMember2022-01-012022-06-300001404655hubs:CapitalizedSoftwareAndPropertyPlantAn</w:t>
      </w:r>
      <w:r>
        <w:rPr>
          <w:rFonts w:eastAsia="Times New Roman"/>
          <w:vanish/>
        </w:rPr>
        <w:t>dEquipmentMember2022-01-012022-09-300001404655us-gaap:RetainedEarningsMember2022-01-012022-06-300001404655hubs:EmployeeRelatedComputerEquipmentMember2021-12-310001404655hubs:ZeroPointThreeSevenFivePercentConvertibleSeniorNotesDueTwoThousandTwentyFiveMember</w:t>
      </w:r>
      <w:r>
        <w:rPr>
          <w:rFonts w:eastAsia="Times New Roman"/>
          <w:vanish/>
        </w:rPr>
        <w:t>2022-07-012022-09-300001404655srt:AmericasMember2022-01-012022-09-300001404655us-gaap:SubscriptionAndCirculationMember2022-07-012022-09-300001404655us-gaap:ConstructionInProgressMember2022-09-300001404655us-gaap:TreasuryStockMember2021-01-012021-06-3000014</w:t>
      </w:r>
      <w:r>
        <w:rPr>
          <w:rFonts w:eastAsia="Times New Roman"/>
          <w:vanish/>
        </w:rPr>
        <w:t>04655us-gaap:TreasuryStockMember2022-06-300001404655us-gaap:FairValueInputsLevel2Memberus-gaap:MoneyMarketFundsMember2021-12-310001404655hubs:ZeroPointTwoFivePercentConvertibleSeniorNotesDueTwoThousandTwentyTwoMember2022-09-300001404655us-gaap:AccumulatedT</w:t>
      </w:r>
      <w:r>
        <w:rPr>
          <w:rFonts w:eastAsia="Times New Roman"/>
          <w:vanish/>
        </w:rPr>
        <w:t>ranslationAdjustmentMember2022-01-012022-09-300001404655us-gaap:CommonStockMember2021-01-012021-06-300001404655us-gaap:CommonStockMemberhubs:ZeroPointTwoFivePercentConvertibleSeniorNotesDueTwoThousandTwentyTwoMember2022-09-300001404655us-gaap:ResearchAndDe</w:t>
      </w:r>
      <w:r>
        <w:rPr>
          <w:rFonts w:eastAsia="Times New Roman"/>
          <w:vanish/>
        </w:rPr>
        <w:t>velopmentExpenseMember2022-07-012022-09-300001404655us-gaap:AdditionalPaidInCapitalMember2022-06-300001404655us-gaap:TreasuryStockMember2021-12-310001404655us-gaap:CommonStockMember2022-07-012022-09-300001404655hubs:ConvertibleSeniorNotesDueTwoThousandTwen</w:t>
      </w:r>
      <w:r>
        <w:rPr>
          <w:rFonts w:eastAsia="Times New Roman"/>
          <w:vanish/>
        </w:rPr>
        <w:t>tyFiveMember2021-01-012021-09-300001404655us-gaap:GeographicConcentrationRiskMemberus-gaap:SalesRevenueNetMemberhubs:RestOfTheWorldMember2022-01-012022-09-300001404655us-gaap:SellingAndMarketingExpenseMember2021-01-012021-09-300001404655us-gaap:FairValueIn</w:t>
      </w:r>
      <w:r>
        <w:rPr>
          <w:rFonts w:eastAsia="Times New Roman"/>
          <w:vanish/>
        </w:rPr>
        <w:t>putsLevel2Memberus-gaap:CorporateBondSecuritiesMember2022-09-300001404655hubs:ZeroPointThreeSevenFivePercentConvertibleSeniorNotesDueTwoThousandTwentyFiveMemberhubs:CappedCallOptionsMember2020-06-012020-06-300001404655us-gaap:RetainedEarningsMember2022-07-</w:t>
      </w:r>
      <w:r>
        <w:rPr>
          <w:rFonts w:eastAsia="Times New Roman"/>
          <w:vanish/>
        </w:rPr>
        <w:t>012022-09-300001404655us-gaap:EmployeeStockOptionMember2022-01-012022-09-300001404655hubs:ZeroPointTwoFivePercentConvertibleSeniorNotesDueTwoThousandTwentyTwoAsLiabilityComponentMemberus-gaap:CommonStockMember2021-07-012021-09-300001404655us-gaap:FairValue</w:t>
      </w:r>
      <w:r>
        <w:rPr>
          <w:rFonts w:eastAsia="Times New Roman"/>
          <w:vanish/>
        </w:rPr>
        <w:t>InputsLevel2Memberus-gaap:USTreasurySecuritiesMember2021-12-310001404655hubs:ZeroPointThreeSevenFivePercentConvertibleSeniorNotesDueTwoThousandTwentyFiveAsLiabilityComponentMember2022-09-300001404655hubs:ZeroPointThreeSevenFivePercentConvertibleSeniorNotes</w:t>
      </w:r>
      <w:r>
        <w:rPr>
          <w:rFonts w:eastAsia="Times New Roman"/>
          <w:vanish/>
        </w:rPr>
        <w:t>DueTwoThousandTwentyFiveMember2021-07-012021-09-300001404655us-gaap:RetainedEarningsMember2021-07-012021-09-300001404655us-gaap:RestrictedStockUnitsRSUMember2021-01-012021-09-300001404655hubs:InboundEventObligationsMember2022-09-300001404655us-gaap:MoneyMa</w:t>
      </w:r>
      <w:r>
        <w:rPr>
          <w:rFonts w:eastAsia="Times New Roman"/>
          <w:vanish/>
        </w:rPr>
        <w:t>rketFundsMemberus-gaap:FairValueInputsLevel1Member2022-09-300001404655srt:EuropeMember2022-01-012022-09-300001404655us-gaap:TreasuryStockMember2022-09-300001404655us-gaap:AdditionalPaidInCapitalMember2021-07-012021-09-300001404655us-gaap:USTreasurySecuriti</w:t>
      </w:r>
      <w:r>
        <w:rPr>
          <w:rFonts w:eastAsia="Times New Roman"/>
          <w:vanish/>
        </w:rPr>
        <w:t>esMember2021-12-310001404655hubs:ZeroPointTwoFivePercentConvertibleSeniorNotesDueTwoThousandTwentyTwoMember2022-01-012022-09-3000014046552022-01-012022-09-300001404655us-gaap:AccumulatedOtherComprehensiveIncomeMember2021-09-300001404655hubs:ZeroPointTwoFiv</w:t>
      </w:r>
      <w:r>
        <w:rPr>
          <w:rFonts w:eastAsia="Times New Roman"/>
          <w:vanish/>
        </w:rPr>
        <w:t>ePercentConvertibleSeniorNotesDueTwoThousandTwentyTwoMember2017-05-310001404655hubs:CostOfRevenueProfessionalServicesAndOtherMember2021-07-012021-09-300001404655us-gaap:LeaseholdImprovementsMember2022-09-300001404655us-gaap:CommonStockMember2022-01-012022-</w:t>
      </w:r>
      <w:r>
        <w:rPr>
          <w:rFonts w:eastAsia="Times New Roman"/>
          <w:vanish/>
        </w:rPr>
        <w:t>06-300001404655us-gaap:ServiceMember2022-07-012022-09-300001404655us-gaap:AccumulatedOtherComprehensiveIncomeMember2022-06-300001404655us-gaap:RetainedEarningsMember2022-09-300001404655srt:EuropeMember2022-07-012022-09-300001404655srt:MaximumMember2022-01-</w:t>
      </w:r>
      <w:r>
        <w:rPr>
          <w:rFonts w:eastAsia="Times New Roman"/>
          <w:vanish/>
        </w:rPr>
        <w:t>012022-09-300001404655us-gaap:ConvertibleDebtSecuritiesMember2021-01-012021-09-300001404655stpr:MA2021-07-012021-09-300001404655srt:EuropeMember2021-07-012021-09-300001404655us-gaap:FairValueInputsLevel2Memberus-gaap:CommercialPaperMember2022-09-3000014046</w:t>
      </w:r>
      <w:r>
        <w:rPr>
          <w:rFonts w:eastAsia="Times New Roman"/>
          <w:vanish/>
        </w:rPr>
        <w:t>55us-gaap:EmployeeStockOptionMember2021-01-012021-09-3000014046552022-09-300001404655hubs:ConvertibleSeniorNotesDueTwoThousandTwentyFiveMember2022-01-012022-09-300001404655srt:AsiaPacificMember2022-09-300001404655srt:AmericasMember2021-07-012021-09-3000014</w:t>
      </w:r>
      <w:r>
        <w:rPr>
          <w:rFonts w:eastAsia="Times New Roman"/>
          <w:vanish/>
        </w:rPr>
        <w:t>04655hubs:USTreasurySecuritiesExcludingCashAndCashEquivalentsMember2022-09-3000014046552022-01-012022-06-3000014046552021-09-300001404655us-gaap:EmployeeStockMember2022-01-012022-09-300001404655us-gaap:FairValueInputsLevel2Member2021-12-310001404655hubs:Ze</w:t>
      </w:r>
      <w:r>
        <w:rPr>
          <w:rFonts w:eastAsia="Times New Roman"/>
          <w:vanish/>
        </w:rPr>
        <w:t>roPointTwoFivePercentConvertibleSeniorNotesDueTwoThousandTwentyTwoAsLiabilityComponentMember2021-01-012021-06-300001404655us-gaap:CommonStockMember2021-09-300001404655us-gaap:CorporateBondSecuritiesMember2022-09-300001404655us-gaap:ResearchAndDevelopmentEx</w:t>
      </w:r>
      <w:r>
        <w:rPr>
          <w:rFonts w:eastAsia="Times New Roman"/>
          <w:vanish/>
        </w:rPr>
        <w:t>penseMember2021-07-012021-09-300001404655us-gaap:AccumulatedOtherComprehensiveIncomeMember2021-12-310001404655srt:AsiaPacificMember2021-07-012021-09-300001404655us-gaap:USTreasurySecuritiesMember2022-09-300001404655us-gaap:AccumulatedOtherComprehensiveInco</w:t>
      </w:r>
      <w:r>
        <w:rPr>
          <w:rFonts w:eastAsia="Times New Roman"/>
          <w:vanish/>
        </w:rPr>
        <w:t>meMember2020-12-310001404655us-gaap:AdditionalPaidInCapitalMember2022-09-3000014046552020-12-310001404655hubs:ComputerEquipmentAndPurchasedSoftwareMember2021-12-310001404655us-gaap:AccumulatedOtherComprehensiveIncomeMember2021-01-012021-06-300001404655us-g</w:t>
      </w:r>
      <w:r>
        <w:rPr>
          <w:rFonts w:eastAsia="Times New Roman"/>
          <w:vanish/>
        </w:rPr>
        <w:t>aap:RetainedEarningsMember2021-09-300001404655us-gaap:GeneralAndAdministrativeExpenseMember2022-01-012022-09-300001404655us-gaap:USGovernmentAgenciesShorttermDebtSecuritiesMember2021-12-310001404655us-gaap:AdditionalPaidInCapitalMember2020-12-310001404655u</w:t>
      </w:r>
      <w:r>
        <w:rPr>
          <w:rFonts w:eastAsia="Times New Roman"/>
          <w:vanish/>
        </w:rPr>
        <w:t>s-gaap:AccumulatedNetUnrealizedInvestmentGainLossMember2022-09-300001404655us-gaap:GeographicConcentrationRiskMemberus-gaap:SalesRevenueNetMemberhubs:OutsideOfAmericasMember2022-07-012022-09-300001404655us-gaap:AdditionalPaidInCapitalMember2021-01-012021-0</w:t>
      </w:r>
      <w:r>
        <w:rPr>
          <w:rFonts w:eastAsia="Times New Roman"/>
          <w:vanish/>
        </w:rPr>
        <w:t>6-300001404655us-gaap:EmployeeStockOptionMember2021-01-012021-09-300001404655us-gaap:SellingAndMarketingExpenseMember2021-07-012021-09-300001404655hubs:ComputerEquipmentAndPurchasedSoftwareMember2022-09-300001404655us-gaap:FairValueInputsLevel2Memberus-gaa</w:t>
      </w:r>
      <w:r>
        <w:rPr>
          <w:rFonts w:eastAsia="Times New Roman"/>
          <w:vanish/>
        </w:rPr>
        <w:t>p:USTreasurySecuritiesMember2022-09-300001404655hubs:ZeroPointTwoFivePercentConvertibleSeniorNotesDueTwoThousandTwentyTwoMember2021-01-012021-09-300001404655us-gaap:ResearchAndDevelopmentExpenseMember2021-01-012021-09-300001404655srt:AsiaPacificMember2022-</w:t>
      </w:r>
      <w:r>
        <w:rPr>
          <w:rFonts w:eastAsia="Times New Roman"/>
          <w:vanish/>
        </w:rPr>
        <w:t>01-012022-09-300001404655hubs:AccruedExpensesAndOtherCurrentLiabilitiesMember2022-09-300001404655hubs:CostOfRevenueProfessionalServicesAndOtherMember2021-01-012021-09-300001404655us-gaap:CommonStockMember2022-09-300001404655us-gaap:TreasuryStockMember2021-</w:t>
      </w:r>
      <w:r>
        <w:rPr>
          <w:rFonts w:eastAsia="Times New Roman"/>
          <w:vanish/>
        </w:rPr>
        <w:t>06-300001404655us-gaap:AdditionalPaidInCapitalMember2021-06-300001404655srt:AmericasMember2021-01-012021-09-300001404655us-gaap:AccumulatedTranslationAdjustmentMember2022-09-300001404655hubs:CostOfSubscriptionRevenuesMember2021-01-012021-09-300001404655us-</w:t>
      </w:r>
      <w:r>
        <w:rPr>
          <w:rFonts w:eastAsia="Times New Roman"/>
          <w:vanish/>
        </w:rPr>
        <w:t>gaap:SubscriptionAndCirculationMember2021-07-012021-09-300001404655us-gaap:GeographicConcentrationRiskMemberus-gaap:SalesRevenueNetMemberhubs:RestOfTheWorldMember2021-07-012021-09-300001404655hubs:AccruedExpensesAndOtherCurrentLiabilitiesMember2021-12-3100</w:t>
      </w:r>
      <w:r>
        <w:rPr>
          <w:rFonts w:eastAsia="Times New Roman"/>
          <w:vanish/>
        </w:rPr>
        <w:t>01404655us-gaap:GeographicConcentrationRiskMemberhubs:OutsideOfAmericasMemberus-gaap:AssetsTotalMember2022-01-012022-09-300001404655us-gaap:AccumulatedOtherComprehensiveIncomeMember2021-07-012021-09-300001404655us-gaap:ResearchAndDevelopmentExpenseMember20</w:t>
      </w:r>
      <w:r>
        <w:rPr>
          <w:rFonts w:eastAsia="Times New Roman"/>
          <w:vanish/>
        </w:rPr>
        <w:t>22-01-012022-09-300001404655us-gaap:RestrictedStockUnitsRSUMember2022-01-012022-09-300001404655us-gaap:CommercialPaperNotIncludedWithCashAndCashEquivalentsMember2022-09-300001404655us-gaap:OverAllotmentOptionMemberhubs:ZeroPointTwoFivePercentConvertibleSen</w:t>
      </w:r>
      <w:r>
        <w:rPr>
          <w:rFonts w:eastAsia="Times New Roman"/>
          <w:vanish/>
        </w:rPr>
        <w:t>iorNotesDueTwoThousandTwentyTwoMember2017-05-310001404655us-gaap:RestrictedStockUnitsRSUMember2021-07-012021-09-300001404655us-gaap:RestrictedStockUnitsRSUMember2022-07-012022-09-300001404655us-gaap:GeographicConcentrationRiskMemberus-gaap:SalesRevenueNetM</w:t>
      </w:r>
      <w:r>
        <w:rPr>
          <w:rFonts w:eastAsia="Times New Roman"/>
          <w:vanish/>
        </w:rPr>
        <w:t>emberhubs:RestOfTheWorldMember2022-07-012022-09-300001404655us-gaap:CommercialPaperMember2022-09-300001404655us-gaap:AdditionalPaidInCapitalMember2021-09-300001404655us-gaap:RestrictedStockUnitsRSUMember2022-01-012022-09-300001404655us-gaap:RetainedEarning</w:t>
      </w:r>
      <w:r>
        <w:rPr>
          <w:rFonts w:eastAsia="Times New Roman"/>
          <w:vanish/>
        </w:rPr>
        <w:t>sMember2021-01-012021-06-300001404655hubs:ZeroPointTwoFivePercentConvertibleSeniorNotesDueTwoThousandTwentyTwoAsLiabilityComponentMemberus-gaap:AdditionalPaidInCapitalMember2022-01-012022-06-300001404655hubs:ZeroPointThreeSevenFivePercentConvertibleSeniorN</w:t>
      </w:r>
      <w:r>
        <w:rPr>
          <w:rFonts w:eastAsia="Times New Roman"/>
          <w:vanish/>
        </w:rPr>
        <w:t>otesDueTwoThousandTwentyFiveAsLiabilityComponentMember2021-12-310001404655us-gaap:WarrantMemberhubs:TwoThousandAndTwentyTwoNotesConvertibleNoteHedgesMember2022-01-012022-09-300001404655us-gaap:EmployeeStockOptionMember2022-07-012022-09-300001404655us-gaap:</w:t>
      </w:r>
      <w:r>
        <w:rPr>
          <w:rFonts w:eastAsia="Times New Roman"/>
          <w:vanish/>
        </w:rPr>
        <w:t>AccumulatedNetUnrealizedInvestmentGainLossMember2022-01-012022-09-300001404655us-gaap:RetainedEarningsMember2022-06-300001404655us-gaap:GeographicConcentrationRiskMemberhubs:OutsideOfAmericasMemberus-gaap:AssetsTotalMember2021-01-012021-12-310001404655us-g</w:t>
      </w:r>
      <w:r>
        <w:rPr>
          <w:rFonts w:eastAsia="Times New Roman"/>
          <w:vanish/>
        </w:rPr>
        <w:t>aap:PrivatePlacementMemberhubs:ZeroPointTwoFivePercentConvertibleSeniorNotesDueTwoThousandTwentyTwoMember2017-05-310001404655hubs:ZeroPointThreeSevenFivePercentConvertibleSeniorNotesDueTwoThousandTwentyFiveAsLiabilityComponentMember2022-01-012022-09-300001</w:t>
      </w:r>
      <w:r>
        <w:rPr>
          <w:rFonts w:eastAsia="Times New Roman"/>
          <w:vanish/>
        </w:rPr>
        <w:t>404655us-gaap:TreasuryStockMember2020-12-310001404655srt:AmericasMember2022-09-300001404655us-gaap:RetainedEarningsMember2021-12-310001404655us-gaap:CorporateBondSecuritiesMember2021-12-310001404655hubs:CostOfRevenueProfessionalServicesAndOtherMember2022-0</w:t>
      </w:r>
      <w:r>
        <w:rPr>
          <w:rFonts w:eastAsia="Times New Roman"/>
          <w:vanish/>
        </w:rPr>
        <w:t>7-012022-09-300001404655hubs:ZeroPointThreeSevenFivePercentConvertibleSeniorNotesDueTwoThousandTwentyFiveMemberhubs:CappedCallOptionsMember2020-06-300001404655us-gaap:MoneyMarketFundsMember2021-12-310001404655us-gaap:WarrantMemberhubs:ZeroPointTwoFivePerce</w:t>
      </w:r>
      <w:r>
        <w:rPr>
          <w:rFonts w:eastAsia="Times New Roman"/>
          <w:vanish/>
        </w:rPr>
        <w:t>ntConvertibleSeniorNotesDueTwoThousandTwentyTwoMember2022-07-012022-09-300001404655us-gaap:WarrantMemberhubs:ZeroPointTwoFivePercentConvertibleSeniorNotesDueTwoThousandTwentyTwoMember2022-01-012022-09-300001404655us-gaap:GeneralAndAdministrativeExpenseMemb</w:t>
      </w:r>
      <w:r>
        <w:rPr>
          <w:rFonts w:eastAsia="Times New Roman"/>
          <w:vanish/>
        </w:rPr>
        <w:t>er2022-07-012022-09-300001404655srt:EuropeMember2022-09-300001404655us-gaap:FairValueInputsLevel2Memberus-gaap:USGovernmentAgenciesShorttermDebtSecuritiesMember2021-12-310001404655hubs:ZeroPointThreeSevenFivePercentConvertibleSeniorNotesDueTwoThousandTwent</w:t>
      </w:r>
      <w:r>
        <w:rPr>
          <w:rFonts w:eastAsia="Times New Roman"/>
          <w:vanish/>
        </w:rPr>
        <w:t>yFiveMemberus-gaap:OverAllotmentOptionMember2020-06-300001404655srt:AsiaPacificMember2021-01-012021-09-30iso4217:USDxbrli:sharesxbrli:purexbrli:sharesiso4217:USDhubs:Segment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pBdr>
          <w:bottom w:val="double" w:sz="6" w:space="1" w:color="auto"/>
        </w:pBdr>
        <w:spacing w:before="0" w:beforeAutospacing="0" w:after="0" w:afterAutospacing="0"/>
        <w:rPr>
          <w:sz w:val="20"/>
          <w:szCs w:val="20"/>
        </w:rPr>
      </w:pPr>
      <w:r>
        <w:rPr>
          <w:sz w:val="20"/>
          <w:szCs w:val="20"/>
        </w:rPr>
        <w:t> </w:t>
      </w:r>
    </w:p>
    <w:p w:rsidR="00000000" w:rsidRDefault="00805FA0">
      <w:pPr>
        <w:pStyle w:val="a3"/>
        <w:spacing w:before="60" w:beforeAutospacing="0" w:after="0" w:afterAutospacing="0"/>
        <w:jc w:val="center"/>
        <w:rPr>
          <w:sz w:val="20"/>
          <w:szCs w:val="20"/>
        </w:rPr>
      </w:pPr>
      <w:r>
        <w:rPr>
          <w:b/>
          <w:bCs/>
          <w:sz w:val="18"/>
          <w:szCs w:val="18"/>
        </w:rPr>
        <w:t>UNITED STATE</w:t>
      </w:r>
      <w:r>
        <w:rPr>
          <w:b/>
          <w:bCs/>
          <w:sz w:val="18"/>
          <w:szCs w:val="18"/>
        </w:rPr>
        <w:t>S</w:t>
      </w:r>
    </w:p>
    <w:p w:rsidR="00000000" w:rsidRDefault="00805FA0">
      <w:pPr>
        <w:pStyle w:val="a3"/>
        <w:spacing w:before="0" w:beforeAutospacing="0" w:after="0" w:afterAutospacing="0"/>
        <w:jc w:val="center"/>
        <w:rPr>
          <w:sz w:val="20"/>
          <w:szCs w:val="20"/>
        </w:rPr>
      </w:pPr>
      <w:r>
        <w:rPr>
          <w:b/>
          <w:bCs/>
          <w:sz w:val="18"/>
          <w:szCs w:val="18"/>
        </w:rPr>
        <w:t>SECURITIES AND EXCHANGE COMMISSIO</w:t>
      </w:r>
      <w:r>
        <w:rPr>
          <w:b/>
          <w:bCs/>
          <w:sz w:val="18"/>
          <w:szCs w:val="18"/>
        </w:rPr>
        <w:t>N</w:t>
      </w:r>
    </w:p>
    <w:p w:rsidR="00000000" w:rsidRDefault="00805FA0">
      <w:pPr>
        <w:pStyle w:val="a3"/>
        <w:spacing w:before="0" w:beforeAutospacing="0" w:after="0" w:afterAutospacing="0"/>
        <w:jc w:val="center"/>
        <w:rPr>
          <w:sz w:val="20"/>
          <w:szCs w:val="20"/>
        </w:rPr>
      </w:pPr>
      <w:r>
        <w:rPr>
          <w:b/>
          <w:bCs/>
          <w:sz w:val="18"/>
          <w:szCs w:val="18"/>
        </w:rPr>
        <w:t>Washington, D.C. 2054</w:t>
      </w:r>
      <w:r>
        <w:rPr>
          <w:b/>
          <w:bCs/>
          <w:sz w:val="18"/>
          <w:szCs w:val="18"/>
        </w:rPr>
        <w:t>9</w:t>
      </w:r>
    </w:p>
    <w:p w:rsidR="00000000" w:rsidRDefault="00805FA0">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805FA0">
      <w:pPr>
        <w:pStyle w:val="a3"/>
        <w:spacing w:beforeAutospacing="0" w:after="0" w:afterAutospacing="0"/>
        <w:jc w:val="center"/>
        <w:rPr>
          <w:sz w:val="20"/>
          <w:szCs w:val="20"/>
        </w:rPr>
      </w:pPr>
      <w:r>
        <w:rPr>
          <w:b/>
          <w:bCs/>
          <w:sz w:val="18"/>
          <w:szCs w:val="18"/>
        </w:rPr>
        <w:t>FORM</w:t>
      </w:r>
      <w:r>
        <w:rPr>
          <w:b/>
          <w:bCs/>
          <w:sz w:val="18"/>
          <w:szCs w:val="18"/>
        </w:rPr>
        <w:t xml:space="preserve"> </w:t>
      </w:r>
      <w:r>
        <w:rPr>
          <w:b/>
          <w:bCs/>
          <w:sz w:val="18"/>
          <w:szCs w:val="18"/>
        </w:rPr>
        <w:t>10-</w:t>
      </w:r>
      <w:r>
        <w:rPr>
          <w:b/>
          <w:bCs/>
          <w:sz w:val="18"/>
          <w:szCs w:val="18"/>
        </w:rPr>
        <w:t>Q</w:t>
      </w:r>
    </w:p>
    <w:p w:rsidR="00000000" w:rsidRDefault="00805FA0">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805FA0">
      <w:pPr>
        <w:pStyle w:val="a3"/>
        <w:spacing w:beforeAutospacing="0" w:after="0" w:afterAutospacing="0"/>
        <w:rPr>
          <w:sz w:val="20"/>
          <w:szCs w:val="20"/>
        </w:rPr>
      </w:pPr>
      <w:r>
        <w:rPr>
          <w:b/>
          <w:bCs/>
          <w:sz w:val="18"/>
          <w:szCs w:val="18"/>
        </w:rPr>
        <w:t>(MARK ONE</w:t>
      </w:r>
      <w:r>
        <w:rPr>
          <w:b/>
          <w:bCs/>
          <w:sz w:val="18"/>
          <w:szCs w:val="18"/>
        </w:rPr>
        <w:t>)</w:t>
      </w:r>
    </w:p>
    <w:p w:rsidR="00000000" w:rsidRDefault="00805FA0">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trPr>
          <w:tblCellSpacing w:w="15" w:type="dxa"/>
        </w:trPr>
        <w:tc>
          <w:tcPr>
            <w:tcW w:w="222" w:type="pct"/>
            <w:vAlign w:val="center"/>
            <w:hideMark/>
          </w:tcPr>
          <w:p w:rsidR="00000000" w:rsidRDefault="00805FA0">
            <w:pPr>
              <w:rPr>
                <w:sz w:val="20"/>
                <w:szCs w:val="20"/>
              </w:rPr>
            </w:pPr>
          </w:p>
        </w:tc>
        <w:tc>
          <w:tcPr>
            <w:tcW w:w="4777" w:type="pct"/>
            <w:vAlign w:val="center"/>
            <w:hideMark/>
          </w:tcPr>
          <w:p w:rsidR="00000000" w:rsidRDefault="00805FA0">
            <w:pPr>
              <w:rPr>
                <w:rFonts w:eastAsia="Times New Roman"/>
                <w:sz w:val="20"/>
                <w:szCs w:val="20"/>
              </w:rPr>
            </w:pPr>
          </w:p>
        </w:tc>
      </w:tr>
      <w:tr w:rsidR="00000000">
        <w:trPr>
          <w:trHeight w:val="180"/>
          <w:tblCellSpacing w:w="15" w:type="dxa"/>
        </w:trPr>
        <w:tc>
          <w:tcPr>
            <w:tcW w:w="0" w:type="auto"/>
            <w:hideMark/>
          </w:tcPr>
          <w:p w:rsidR="00000000" w:rsidRDefault="00805FA0">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rsidR="00000000" w:rsidRDefault="00805FA0">
            <w:pPr>
              <w:pStyle w:val="a3"/>
              <w:spacing w:before="0" w:beforeAutospacing="0" w:after="0" w:afterAutospacing="0"/>
              <w:rPr>
                <w:sz w:val="18"/>
                <w:szCs w:val="18"/>
              </w:rPr>
            </w:pPr>
            <w:r>
              <w:rPr>
                <w:b/>
                <w:bCs/>
                <w:sz w:val="18"/>
                <w:szCs w:val="18"/>
              </w:rPr>
              <w:t>QUARTERLY REPORT PURSUANT TO SECTION 13 OR 15(d) OF THE SECURITIES EXCHANGE ACT OF 193</w:t>
            </w:r>
            <w:r>
              <w:rPr>
                <w:b/>
                <w:bCs/>
                <w:sz w:val="18"/>
                <w:szCs w:val="18"/>
              </w:rPr>
              <w:t>4</w:t>
            </w:r>
          </w:p>
        </w:tc>
      </w:tr>
    </w:tbl>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Autospacing="0" w:after="0" w:afterAutospacing="0"/>
        <w:jc w:val="center"/>
        <w:rPr>
          <w:sz w:val="20"/>
          <w:szCs w:val="20"/>
        </w:rPr>
      </w:pPr>
      <w:r>
        <w:rPr>
          <w:b/>
          <w:bCs/>
          <w:sz w:val="18"/>
          <w:szCs w:val="18"/>
        </w:rPr>
        <w:t>FOR THE QUARTERLY PERIOD ENDED</w:t>
      </w:r>
      <w:r>
        <w:rPr>
          <w:b/>
          <w:bCs/>
          <w:sz w:val="18"/>
          <w:szCs w:val="18"/>
        </w:rPr>
        <w:t xml:space="preserve"> </w:t>
      </w:r>
      <w:r>
        <w:rPr>
          <w:b/>
          <w:bCs/>
          <w:sz w:val="18"/>
          <w:szCs w:val="18"/>
        </w:rPr>
        <w:t>September 30,</w:t>
      </w:r>
      <w:r>
        <w:rPr>
          <w:b/>
          <w:bCs/>
          <w:sz w:val="18"/>
          <w:szCs w:val="18"/>
        </w:rPr>
        <w:t xml:space="preserve"> </w:t>
      </w:r>
      <w:r>
        <w:rPr>
          <w:b/>
          <w:bCs/>
          <w:sz w:val="18"/>
          <w:szCs w:val="18"/>
        </w:rPr>
        <w:t>202</w:t>
      </w:r>
      <w:r>
        <w:rPr>
          <w:b/>
          <w:bCs/>
          <w:sz w:val="18"/>
          <w:szCs w:val="18"/>
        </w:rPr>
        <w:t>2</w:t>
      </w:r>
    </w:p>
    <w:p w:rsidR="00000000" w:rsidRDefault="00805FA0">
      <w:pPr>
        <w:pStyle w:val="a3"/>
        <w:spacing w:beforeAutospacing="0" w:after="0" w:afterAutospacing="0"/>
        <w:jc w:val="center"/>
        <w:rPr>
          <w:sz w:val="20"/>
          <w:szCs w:val="20"/>
        </w:rPr>
      </w:pPr>
      <w:r>
        <w:rPr>
          <w:b/>
          <w:bCs/>
          <w:sz w:val="18"/>
          <w:szCs w:val="18"/>
        </w:rPr>
        <w:t>O</w:t>
      </w:r>
      <w:r>
        <w:rPr>
          <w:b/>
          <w:bCs/>
          <w:sz w:val="18"/>
          <w:szCs w:val="18"/>
        </w:rPr>
        <w:t>R</w:t>
      </w:r>
    </w:p>
    <w:p w:rsidR="00000000" w:rsidRDefault="00805FA0">
      <w:pPr>
        <w:pStyle w:val="a3"/>
        <w:spacing w:before="0" w:beforeAutospacing="0" w:after="0" w:afterAutospacing="0"/>
        <w:ind w:hanging="58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896"/>
      </w:tblGrid>
      <w:tr w:rsidR="00000000">
        <w:trPr>
          <w:tblCellSpacing w:w="15" w:type="dxa"/>
        </w:trPr>
        <w:tc>
          <w:tcPr>
            <w:tcW w:w="222" w:type="pct"/>
            <w:vAlign w:val="center"/>
            <w:hideMark/>
          </w:tcPr>
          <w:p w:rsidR="00000000" w:rsidRDefault="00805FA0">
            <w:pPr>
              <w:rPr>
                <w:sz w:val="20"/>
                <w:szCs w:val="20"/>
              </w:rPr>
            </w:pPr>
          </w:p>
        </w:tc>
        <w:tc>
          <w:tcPr>
            <w:tcW w:w="4777" w:type="pct"/>
            <w:vAlign w:val="center"/>
            <w:hideMark/>
          </w:tcPr>
          <w:p w:rsidR="00000000" w:rsidRDefault="00805FA0">
            <w:pPr>
              <w:rPr>
                <w:rFonts w:eastAsia="Times New Roman"/>
                <w:sz w:val="20"/>
                <w:szCs w:val="20"/>
              </w:rPr>
            </w:pPr>
          </w:p>
        </w:tc>
      </w:tr>
      <w:tr w:rsidR="00000000">
        <w:trPr>
          <w:trHeight w:val="180"/>
          <w:tblCellSpacing w:w="15" w:type="dxa"/>
        </w:trPr>
        <w:tc>
          <w:tcPr>
            <w:tcW w:w="0" w:type="auto"/>
            <w:hideMark/>
          </w:tcPr>
          <w:p w:rsidR="00000000" w:rsidRDefault="00805FA0">
            <w:pPr>
              <w:pStyle w:val="a3"/>
              <w:spacing w:before="0" w:beforeAutospacing="0" w:after="0" w:afterAutospacing="0"/>
              <w:rPr>
                <w:sz w:val="20"/>
                <w:szCs w:val="20"/>
              </w:rPr>
            </w:pPr>
            <w:r>
              <w:rPr>
                <w:rFonts w:ascii="Segoe UI Symbol" w:hAnsi="Segoe UI Symbol" w:cs="Segoe UI Symbol"/>
                <w:b/>
                <w:bCs/>
                <w:sz w:val="18"/>
                <w:szCs w:val="18"/>
              </w:rPr>
              <w:t>☐</w:t>
            </w:r>
          </w:p>
        </w:tc>
        <w:tc>
          <w:tcPr>
            <w:tcW w:w="0" w:type="auto"/>
            <w:hideMark/>
          </w:tcPr>
          <w:p w:rsidR="00000000" w:rsidRDefault="00805FA0">
            <w:pPr>
              <w:pStyle w:val="a3"/>
              <w:spacing w:before="0" w:beforeAutospacing="0" w:after="0" w:afterAutospacing="0"/>
              <w:rPr>
                <w:sz w:val="18"/>
                <w:szCs w:val="18"/>
              </w:rPr>
            </w:pPr>
            <w:r>
              <w:rPr>
                <w:b/>
                <w:bCs/>
                <w:sz w:val="18"/>
                <w:szCs w:val="18"/>
              </w:rPr>
              <w:t>TRANSITION REPORT PURSUANT TO SECTION 13 OR 15(d) OF THE SECURITIES EXCHANGE ACT OF 193</w:t>
            </w:r>
            <w:r>
              <w:rPr>
                <w:b/>
                <w:bCs/>
                <w:sz w:val="18"/>
                <w:szCs w:val="18"/>
              </w:rPr>
              <w:t>4</w:t>
            </w:r>
          </w:p>
        </w:tc>
      </w:tr>
    </w:tbl>
    <w:p w:rsidR="00000000" w:rsidRDefault="00805FA0">
      <w:pPr>
        <w:pStyle w:val="a3"/>
        <w:spacing w:before="0" w:beforeAutospacing="0" w:after="0" w:afterAutospacing="0"/>
        <w:ind w:hanging="581"/>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18"/>
          <w:szCs w:val="18"/>
        </w:rPr>
        <w:t>FOR THE TRANSITION PERIOD FROM</w:t>
      </w:r>
      <w:r>
        <w:rPr>
          <w:b/>
          <w:bCs/>
          <w:sz w:val="18"/>
          <w:szCs w:val="18"/>
        </w:rPr>
        <w:t xml:space="preserve"> </w:t>
      </w:r>
      <w:r>
        <w:rPr>
          <w:b/>
          <w:bCs/>
          <w:sz w:val="18"/>
          <w:szCs w:val="18"/>
        </w:rPr>
        <w:t>T</w:t>
      </w:r>
      <w:r>
        <w:rPr>
          <w:b/>
          <w:bCs/>
          <w:sz w:val="18"/>
          <w:szCs w:val="18"/>
        </w:rPr>
        <w:t>O</w:t>
      </w:r>
      <w:r>
        <w:rPr>
          <w:b/>
          <w:bCs/>
          <w:sz w:val="18"/>
          <w:szCs w:val="18"/>
        </w:rPr>
        <w:t xml:space="preserve"> </w:t>
      </w:r>
    </w:p>
    <w:p w:rsidR="00000000" w:rsidRDefault="00805FA0">
      <w:pPr>
        <w:pStyle w:val="a3"/>
        <w:spacing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001-3668</w:t>
      </w:r>
      <w:r>
        <w:rPr>
          <w:b/>
          <w:bCs/>
          <w:sz w:val="18"/>
          <w:szCs w:val="18"/>
        </w:rPr>
        <w:t>0</w:t>
      </w:r>
    </w:p>
    <w:p w:rsidR="00000000" w:rsidRDefault="00805FA0">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805FA0">
      <w:pPr>
        <w:pStyle w:val="a3"/>
        <w:spacing w:beforeAutospacing="0" w:after="0" w:afterAutospacing="0"/>
        <w:jc w:val="center"/>
        <w:rPr>
          <w:sz w:val="20"/>
          <w:szCs w:val="20"/>
        </w:rPr>
      </w:pPr>
      <w:r>
        <w:rPr>
          <w:b/>
          <w:bCs/>
          <w:sz w:val="44"/>
          <w:szCs w:val="44"/>
        </w:rPr>
        <w:t>HubSpot, Inc</w:t>
      </w:r>
      <w:r>
        <w:rPr>
          <w:b/>
          <w:bCs/>
          <w:sz w:val="44"/>
          <w:szCs w:val="44"/>
        </w:rPr>
        <w:t>.</w:t>
      </w:r>
    </w:p>
    <w:p w:rsidR="00000000" w:rsidRDefault="00805FA0">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rsidR="00000000" w:rsidRDefault="00805FA0">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4"/>
        <w:gridCol w:w="4056"/>
      </w:tblGrid>
      <w:tr w:rsidR="00000000">
        <w:trPr>
          <w:tblCellSpacing w:w="15" w:type="dxa"/>
        </w:trPr>
        <w:tc>
          <w:tcPr>
            <w:tcW w:w="2449" w:type="pct"/>
            <w:vAlign w:val="center"/>
            <w:hideMark/>
          </w:tcPr>
          <w:p w:rsidR="00000000" w:rsidRDefault="00805FA0">
            <w:pPr>
              <w:rPr>
                <w:sz w:val="20"/>
                <w:szCs w:val="20"/>
              </w:rPr>
            </w:pPr>
          </w:p>
        </w:tc>
        <w:tc>
          <w:tcPr>
            <w:tcW w:w="100" w:type="pct"/>
            <w:vAlign w:val="center"/>
            <w:hideMark/>
          </w:tcPr>
          <w:p w:rsidR="00000000" w:rsidRDefault="00805FA0">
            <w:pPr>
              <w:rPr>
                <w:rFonts w:eastAsia="Times New Roman"/>
                <w:sz w:val="20"/>
                <w:szCs w:val="20"/>
              </w:rPr>
            </w:pPr>
          </w:p>
        </w:tc>
        <w:tc>
          <w:tcPr>
            <w:tcW w:w="2449" w:type="pct"/>
            <w:vAlign w:val="center"/>
            <w:hideMark/>
          </w:tcPr>
          <w:p w:rsidR="00000000" w:rsidRDefault="00805FA0">
            <w:pPr>
              <w:rPr>
                <w:rFonts w:eastAsia="Times New Roman"/>
                <w:sz w:val="20"/>
                <w:szCs w:val="20"/>
              </w:rPr>
            </w:pPr>
          </w:p>
        </w:tc>
      </w:tr>
      <w:tr w:rsidR="00000000">
        <w:trPr>
          <w:trHeight w:val="180"/>
          <w:tblCellSpacing w:w="15" w:type="dxa"/>
        </w:trPr>
        <w:tc>
          <w:tcPr>
            <w:tcW w:w="0" w:type="auto"/>
            <w:hideMark/>
          </w:tcPr>
          <w:p w:rsidR="00000000" w:rsidRDefault="00805FA0">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hideMark/>
          </w:tcPr>
          <w:p w:rsidR="00000000" w:rsidRDefault="00805FA0">
            <w:pPr>
              <w:pStyle w:val="a3"/>
              <w:spacing w:before="0" w:beforeAutospacing="0" w:after="0" w:afterAutospacing="0"/>
              <w:jc w:val="center"/>
              <w:rPr>
                <w:sz w:val="20"/>
                <w:szCs w:val="20"/>
              </w:rPr>
            </w:pPr>
            <w:r>
              <w:rPr>
                <w:b/>
                <w:bCs/>
                <w:sz w:val="18"/>
                <w:szCs w:val="18"/>
              </w:rPr>
              <w:t>20-263279</w:t>
            </w:r>
            <w:r>
              <w:rPr>
                <w:b/>
                <w:bCs/>
                <w:sz w:val="18"/>
                <w:szCs w:val="18"/>
              </w:rPr>
              <w:t>1</w:t>
            </w:r>
          </w:p>
        </w:tc>
      </w:tr>
      <w:tr w:rsidR="00000000">
        <w:trPr>
          <w:trHeight w:val="58"/>
          <w:tblCellSpacing w:w="15" w:type="dxa"/>
        </w:trPr>
        <w:tc>
          <w:tcPr>
            <w:tcW w:w="0" w:type="auto"/>
            <w:hideMark/>
          </w:tcPr>
          <w:p w:rsidR="00000000" w:rsidRDefault="00805FA0">
            <w:pPr>
              <w:pStyle w:val="a3"/>
              <w:spacing w:before="0" w:beforeAutospacing="0" w:after="0" w:afterAutospacing="0"/>
              <w:jc w:val="center"/>
              <w:rPr>
                <w:sz w:val="18"/>
                <w:szCs w:val="18"/>
              </w:rPr>
            </w:pPr>
            <w:r>
              <w:rPr>
                <w:b/>
                <w:bCs/>
                <w:sz w:val="18"/>
                <w:szCs w:val="18"/>
              </w:rPr>
              <w:t>(State or other jurisdiction o</w:t>
            </w:r>
            <w:r>
              <w:rPr>
                <w:b/>
                <w:bCs/>
                <w:sz w:val="18"/>
                <w:szCs w:val="18"/>
              </w:rPr>
              <w:t>f</w:t>
            </w:r>
          </w:p>
          <w:p w:rsidR="00000000" w:rsidRDefault="00805FA0">
            <w:pPr>
              <w:pStyle w:val="a3"/>
              <w:spacing w:before="0" w:beforeAutospacing="0" w:after="0" w:afterAutospacing="0"/>
              <w:jc w:val="center"/>
              <w:rPr>
                <w:sz w:val="18"/>
                <w:szCs w:val="18"/>
              </w:rPr>
            </w:pPr>
            <w:r>
              <w:rPr>
                <w:b/>
                <w:bCs/>
                <w:sz w:val="18"/>
                <w:szCs w:val="18"/>
              </w:rPr>
              <w:t>incorporation or organization</w:t>
            </w:r>
            <w:r>
              <w:rPr>
                <w:b/>
                <w:bCs/>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hideMark/>
          </w:tcPr>
          <w:p w:rsidR="00000000" w:rsidRDefault="00805FA0">
            <w:pPr>
              <w:pStyle w:val="a3"/>
              <w:spacing w:before="0" w:beforeAutospacing="0" w:after="0" w:afterAutospacing="0"/>
              <w:jc w:val="center"/>
              <w:rPr>
                <w:sz w:val="18"/>
                <w:szCs w:val="18"/>
              </w:rPr>
            </w:pPr>
            <w:r>
              <w:rPr>
                <w:b/>
                <w:bCs/>
                <w:sz w:val="18"/>
                <w:szCs w:val="18"/>
              </w:rPr>
              <w:t>(I.R.S. Employe</w:t>
            </w:r>
            <w:r>
              <w:rPr>
                <w:b/>
                <w:bCs/>
                <w:sz w:val="18"/>
                <w:szCs w:val="18"/>
              </w:rPr>
              <w:t>r</w:t>
            </w:r>
          </w:p>
          <w:p w:rsidR="00000000" w:rsidRDefault="00805FA0">
            <w:pPr>
              <w:pStyle w:val="a3"/>
              <w:spacing w:before="0" w:beforeAutospacing="0" w:after="0" w:afterAutospacing="0"/>
              <w:jc w:val="center"/>
              <w:rPr>
                <w:sz w:val="18"/>
                <w:szCs w:val="18"/>
              </w:rPr>
            </w:pPr>
            <w:r>
              <w:rPr>
                <w:b/>
                <w:bCs/>
                <w:sz w:val="18"/>
                <w:szCs w:val="18"/>
              </w:rPr>
              <w:t>Identification No.</w:t>
            </w:r>
            <w:r>
              <w:rPr>
                <w:b/>
                <w:bCs/>
                <w:sz w:val="18"/>
                <w:szCs w:val="18"/>
              </w:rPr>
              <w:t>)</w:t>
            </w:r>
          </w:p>
        </w:tc>
      </w:tr>
    </w:tbl>
    <w:p w:rsidR="00000000" w:rsidRDefault="00805FA0">
      <w:pPr>
        <w:pStyle w:val="a3"/>
        <w:spacing w:beforeAutospacing="0" w:after="0" w:afterAutospacing="0"/>
        <w:ind w:left="1547" w:firstLine="94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6"/>
        <w:gridCol w:w="194"/>
        <w:gridCol w:w="4056"/>
      </w:tblGrid>
      <w:tr w:rsidR="00000000">
        <w:trPr>
          <w:tblCellSpacing w:w="15" w:type="dxa"/>
        </w:trPr>
        <w:tc>
          <w:tcPr>
            <w:tcW w:w="2449" w:type="pct"/>
            <w:vAlign w:val="center"/>
            <w:hideMark/>
          </w:tcPr>
          <w:p w:rsidR="00000000" w:rsidRDefault="00805FA0">
            <w:pPr>
              <w:rPr>
                <w:sz w:val="20"/>
                <w:szCs w:val="20"/>
              </w:rPr>
            </w:pPr>
          </w:p>
        </w:tc>
        <w:tc>
          <w:tcPr>
            <w:tcW w:w="100" w:type="pct"/>
            <w:vAlign w:val="center"/>
            <w:hideMark/>
          </w:tcPr>
          <w:p w:rsidR="00000000" w:rsidRDefault="00805FA0">
            <w:pPr>
              <w:rPr>
                <w:rFonts w:eastAsia="Times New Roman"/>
                <w:sz w:val="20"/>
                <w:szCs w:val="20"/>
              </w:rPr>
            </w:pPr>
          </w:p>
        </w:tc>
        <w:tc>
          <w:tcPr>
            <w:tcW w:w="2449" w:type="pct"/>
            <w:vAlign w:val="center"/>
            <w:hideMark/>
          </w:tcPr>
          <w:p w:rsidR="00000000" w:rsidRDefault="00805FA0">
            <w:pPr>
              <w:rPr>
                <w:rFonts w:eastAsia="Times New Roman"/>
                <w:sz w:val="20"/>
                <w:szCs w:val="20"/>
              </w:rPr>
            </w:pPr>
          </w:p>
        </w:tc>
      </w:tr>
      <w:tr w:rsidR="00000000">
        <w:trPr>
          <w:trHeight w:val="180"/>
          <w:tblCellSpacing w:w="15" w:type="dxa"/>
        </w:trPr>
        <w:tc>
          <w:tcPr>
            <w:tcW w:w="0" w:type="auto"/>
            <w:hideMark/>
          </w:tcPr>
          <w:p w:rsidR="00000000" w:rsidRDefault="00805FA0">
            <w:pPr>
              <w:pStyle w:val="a3"/>
              <w:spacing w:before="0" w:beforeAutospacing="0" w:after="0" w:afterAutospacing="0"/>
              <w:jc w:val="center"/>
              <w:rPr>
                <w:sz w:val="20"/>
                <w:szCs w:val="20"/>
              </w:rPr>
            </w:pPr>
            <w:r>
              <w:rPr>
                <w:b/>
                <w:bCs/>
                <w:sz w:val="18"/>
                <w:szCs w:val="18"/>
              </w:rPr>
              <w:t>25 First Stree</w:t>
            </w:r>
            <w:r>
              <w:rPr>
                <w:b/>
                <w:bCs/>
                <w:sz w:val="18"/>
                <w:szCs w:val="18"/>
              </w:rPr>
              <w:t>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hideMark/>
          </w:tcPr>
          <w:p w:rsidR="00000000" w:rsidRDefault="00805FA0">
            <w:pPr>
              <w:pStyle w:val="a3"/>
              <w:spacing w:before="0" w:beforeAutospacing="0" w:after="0" w:afterAutospacing="0"/>
              <w:jc w:val="center"/>
              <w:rPr>
                <w:sz w:val="20"/>
                <w:szCs w:val="20"/>
              </w:rPr>
            </w:pPr>
            <w:r>
              <w:rPr>
                <w:b/>
                <w:bCs/>
                <w:sz w:val="18"/>
                <w:szCs w:val="18"/>
              </w:rPr>
              <w:t>0214</w:t>
            </w:r>
            <w:r>
              <w:rPr>
                <w:b/>
                <w:bCs/>
                <w:sz w:val="18"/>
                <w:szCs w:val="18"/>
              </w:rPr>
              <w:t>1</w:t>
            </w:r>
          </w:p>
        </w:tc>
      </w:tr>
      <w:tr w:rsidR="00000000">
        <w:trPr>
          <w:trHeight w:val="58"/>
          <w:tblCellSpacing w:w="15" w:type="dxa"/>
        </w:trPr>
        <w:tc>
          <w:tcPr>
            <w:tcW w:w="0" w:type="auto"/>
            <w:hideMark/>
          </w:tcPr>
          <w:p w:rsidR="00000000" w:rsidRDefault="00805FA0">
            <w:pPr>
              <w:pStyle w:val="a3"/>
              <w:spacing w:before="0" w:beforeAutospacing="0" w:after="0" w:afterAutospacing="0"/>
              <w:jc w:val="center"/>
              <w:rPr>
                <w:sz w:val="20"/>
                <w:szCs w:val="20"/>
              </w:rPr>
            </w:pPr>
            <w:r>
              <w:rPr>
                <w:b/>
                <w:bCs/>
                <w:sz w:val="18"/>
                <w:szCs w:val="18"/>
              </w:rPr>
              <w:t>Cambridg</w:t>
            </w:r>
            <w:r>
              <w:rPr>
                <w:b/>
                <w:bCs/>
                <w:sz w:val="18"/>
                <w:szCs w:val="18"/>
              </w:rPr>
              <w:t>e</w:t>
            </w:r>
            <w:r>
              <w:rPr>
                <w:b/>
                <w:bCs/>
                <w:sz w:val="18"/>
                <w:szCs w:val="18"/>
              </w:rPr>
              <w:t>,</w:t>
            </w:r>
            <w:r>
              <w:rPr>
                <w:b/>
                <w:bCs/>
                <w:sz w:val="18"/>
                <w:szCs w:val="18"/>
              </w:rPr>
              <w:t xml:space="preserve"> </w:t>
            </w:r>
            <w:r>
              <w:rPr>
                <w:b/>
                <w:bCs/>
                <w:sz w:val="18"/>
                <w:szCs w:val="18"/>
              </w:rPr>
              <w:t>Massachusett</w:t>
            </w:r>
            <w:r>
              <w:rPr>
                <w:b/>
                <w:bCs/>
                <w:sz w:val="18"/>
                <w:szCs w:val="18"/>
              </w:rPr>
              <w:t>s</w:t>
            </w:r>
          </w:p>
          <w:p w:rsidR="00000000" w:rsidRDefault="00805FA0">
            <w:pPr>
              <w:pStyle w:val="a3"/>
              <w:spacing w:before="0" w:beforeAutospacing="0" w:after="0" w:afterAutospacing="0"/>
              <w:jc w:val="center"/>
              <w:rPr>
                <w:sz w:val="18"/>
                <w:szCs w:val="18"/>
              </w:rPr>
            </w:pPr>
            <w:r>
              <w:rPr>
                <w:b/>
                <w:bCs/>
                <w:sz w:val="18"/>
                <w:szCs w:val="18"/>
              </w:rPr>
              <w:t> (Address of principal executive offices</w:t>
            </w:r>
            <w:r>
              <w:rPr>
                <w:b/>
                <w:bCs/>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hideMark/>
          </w:tcPr>
          <w:p w:rsidR="00000000" w:rsidRDefault="00805FA0">
            <w:pPr>
              <w:pStyle w:val="a3"/>
              <w:spacing w:before="0" w:beforeAutospacing="0" w:after="0" w:afterAutospacing="0"/>
              <w:jc w:val="center"/>
              <w:rPr>
                <w:sz w:val="18"/>
                <w:szCs w:val="18"/>
              </w:rPr>
            </w:pPr>
            <w:r>
              <w:rPr>
                <w:b/>
                <w:bCs/>
                <w:sz w:val="18"/>
                <w:szCs w:val="18"/>
              </w:rPr>
              <w:t>(Zip Code</w:t>
            </w:r>
            <w:r>
              <w:rPr>
                <w:b/>
                <w:bCs/>
                <w:sz w:val="18"/>
                <w:szCs w:val="18"/>
              </w:rPr>
              <w:t>)</w:t>
            </w:r>
          </w:p>
        </w:tc>
      </w:tr>
    </w:tbl>
    <w:p w:rsidR="00000000" w:rsidRDefault="00805FA0">
      <w:pPr>
        <w:pStyle w:val="a3"/>
        <w:spacing w:beforeAutospacing="0" w:after="0" w:afterAutospacing="0"/>
        <w:jc w:val="center"/>
        <w:rPr>
          <w:sz w:val="20"/>
          <w:szCs w:val="20"/>
        </w:rPr>
      </w:pPr>
      <w:r>
        <w:rPr>
          <w:b/>
          <w:bCs/>
          <w:sz w:val="18"/>
          <w:szCs w:val="18"/>
        </w:rPr>
        <w:t>(</w:t>
      </w:r>
      <w:r>
        <w:rPr>
          <w:b/>
          <w:bCs/>
          <w:sz w:val="18"/>
          <w:szCs w:val="18"/>
        </w:rPr>
        <w:t>88</w:t>
      </w:r>
      <w:r>
        <w:rPr>
          <w:b/>
          <w:bCs/>
          <w:sz w:val="18"/>
          <w:szCs w:val="18"/>
        </w:rPr>
        <w:t>8</w:t>
      </w:r>
      <w:r>
        <w:rPr>
          <w:b/>
          <w:bCs/>
          <w:sz w:val="18"/>
          <w:szCs w:val="18"/>
        </w:rPr>
        <w:t>)</w:t>
      </w:r>
      <w:r>
        <w:rPr>
          <w:b/>
          <w:bCs/>
          <w:sz w:val="18"/>
          <w:szCs w:val="18"/>
        </w:rPr>
        <w:t xml:space="preserve"> </w:t>
      </w:r>
      <w:r>
        <w:rPr>
          <w:b/>
          <w:bCs/>
          <w:sz w:val="18"/>
          <w:szCs w:val="18"/>
        </w:rPr>
        <w:t>482-776</w:t>
      </w:r>
      <w:r>
        <w:rPr>
          <w:b/>
          <w:bCs/>
          <w:sz w:val="18"/>
          <w:szCs w:val="18"/>
        </w:rPr>
        <w:t>8</w:t>
      </w:r>
    </w:p>
    <w:p w:rsidR="00000000" w:rsidRDefault="00805FA0">
      <w:pPr>
        <w:pStyle w:val="a3"/>
        <w:spacing w:before="0" w:beforeAutospacing="0" w:after="0" w:afterAutospacing="0"/>
        <w:jc w:val="center"/>
        <w:rPr>
          <w:sz w:val="20"/>
          <w:szCs w:val="20"/>
        </w:rPr>
      </w:pPr>
      <w:r>
        <w:rPr>
          <w:b/>
          <w:bCs/>
          <w:sz w:val="18"/>
          <w:szCs w:val="18"/>
        </w:rPr>
        <w:t>(Registrant’s telephone number, including area code</w:t>
      </w:r>
      <w:r>
        <w:rPr>
          <w:b/>
          <w:bCs/>
          <w:sz w:val="18"/>
          <w:szCs w:val="18"/>
        </w:rPr>
        <w:t>)</w:t>
      </w:r>
    </w:p>
    <w:p w:rsidR="00000000" w:rsidRDefault="00805FA0">
      <w:pPr>
        <w:pStyle w:val="a3"/>
        <w:spacing w:before="60" w:beforeAutospacing="0" w:after="0" w:afterAutospacing="0"/>
        <w:jc w:val="center"/>
        <w:rPr>
          <w:sz w:val="20"/>
          <w:szCs w:val="20"/>
        </w:rPr>
      </w:pPr>
      <w:r>
        <w:rPr>
          <w:b/>
          <w:bCs/>
          <w:sz w:val="18"/>
          <w:szCs w:val="18"/>
        </w:rPr>
        <w:t>Securities registered pursuant to Section 12(b) of the Act</w:t>
      </w:r>
      <w:r>
        <w:rPr>
          <w:b/>
          <w:bCs/>
          <w:sz w:val="18"/>
          <w:szCs w:val="18"/>
        </w:rPr>
        <w:t>:</w:t>
      </w:r>
    </w:p>
    <w:p w:rsidR="00000000" w:rsidRDefault="00805FA0">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0"/>
        <w:gridCol w:w="112"/>
        <w:gridCol w:w="2304"/>
        <w:gridCol w:w="111"/>
        <w:gridCol w:w="2889"/>
      </w:tblGrid>
      <w:tr w:rsidR="00000000">
        <w:trPr>
          <w:tblCellSpacing w:w="15" w:type="dxa"/>
        </w:trPr>
        <w:tc>
          <w:tcPr>
            <w:tcW w:w="1750"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139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750" w:type="pct"/>
            <w:vAlign w:val="center"/>
            <w:hideMark/>
          </w:tcPr>
          <w:p w:rsidR="00000000" w:rsidRDefault="00805FA0">
            <w:pPr>
              <w:rPr>
                <w:rFonts w:eastAsia="Times New Roman"/>
                <w:sz w:val="20"/>
                <w:szCs w:val="20"/>
              </w:rPr>
            </w:pPr>
          </w:p>
        </w:tc>
      </w:tr>
      <w:tr w:rsidR="00000000">
        <w:trPr>
          <w:trHeight w:val="259"/>
          <w:tblCellSpacing w:w="15" w:type="dxa"/>
        </w:trPr>
        <w:tc>
          <w:tcPr>
            <w:tcW w:w="0" w:type="auto"/>
            <w:tcBorders>
              <w:bottom w:val="single" w:sz="4" w:space="0" w:color="auto"/>
            </w:tcBorders>
            <w:vAlign w:val="bottom"/>
            <w:hideMark/>
          </w:tcPr>
          <w:p w:rsidR="00000000" w:rsidRDefault="00805FA0">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hideMark/>
          </w:tcPr>
          <w:p w:rsidR="00000000" w:rsidRDefault="00805FA0">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805FA0">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hideMark/>
          </w:tcPr>
          <w:p w:rsidR="00000000" w:rsidRDefault="00805FA0">
            <w:pPr>
              <w:pStyle w:val="a3"/>
              <w:spacing w:before="0" w:beforeAutospacing="0" w:after="0" w:afterAutospacing="0"/>
              <w:jc w:val="center"/>
              <w:rPr>
                <w:sz w:val="18"/>
                <w:szCs w:val="18"/>
              </w:rPr>
            </w:pPr>
            <w:r>
              <w:rPr>
                <w:sz w:val="18"/>
                <w:szCs w:val="18"/>
              </w:rPr>
              <w:t> </w:t>
            </w:r>
          </w:p>
        </w:tc>
        <w:tc>
          <w:tcPr>
            <w:tcW w:w="0" w:type="auto"/>
            <w:tcBorders>
              <w:bottom w:val="single" w:sz="4" w:space="0" w:color="auto"/>
            </w:tcBorders>
            <w:vAlign w:val="bottom"/>
            <w:hideMark/>
          </w:tcPr>
          <w:p w:rsidR="00000000" w:rsidRDefault="00805FA0">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trPr>
          <w:trHeight w:val="144"/>
          <w:tblCellSpacing w:w="15" w:type="dxa"/>
        </w:trPr>
        <w:tc>
          <w:tcPr>
            <w:tcW w:w="0" w:type="auto"/>
            <w:hideMark/>
          </w:tcPr>
          <w:p w:rsidR="00000000" w:rsidRDefault="00805FA0">
            <w:pPr>
              <w:pStyle w:val="a3"/>
              <w:spacing w:before="0" w:beforeAutospacing="0" w:after="0" w:afterAutospacing="0"/>
              <w:jc w:val="center"/>
              <w:rPr>
                <w:sz w:val="20"/>
                <w:szCs w:val="20"/>
              </w:rPr>
            </w:pPr>
            <w:r>
              <w:rPr>
                <w:b/>
                <w:bCs/>
                <w:sz w:val="18"/>
                <w:szCs w:val="18"/>
              </w:rPr>
              <w:t>Common Stock, par value $0.001 per shar</w:t>
            </w:r>
            <w:r>
              <w:rPr>
                <w:b/>
                <w:bCs/>
                <w:sz w:val="18"/>
                <w:szCs w:val="18"/>
              </w:rPr>
              <w:t>e</w:t>
            </w:r>
          </w:p>
        </w:tc>
        <w:tc>
          <w:tcPr>
            <w:tcW w:w="0" w:type="auto"/>
            <w:hideMark/>
          </w:tcPr>
          <w:p w:rsidR="00000000" w:rsidRDefault="00805FA0">
            <w:pPr>
              <w:pStyle w:val="a3"/>
              <w:spacing w:before="0" w:beforeAutospacing="0" w:after="0" w:afterAutospacing="0"/>
              <w:jc w:val="center"/>
              <w:rPr>
                <w:sz w:val="18"/>
                <w:szCs w:val="18"/>
              </w:rPr>
            </w:pPr>
            <w:r>
              <w:rPr>
                <w:sz w:val="18"/>
                <w:szCs w:val="18"/>
              </w:rPr>
              <w:t> </w:t>
            </w:r>
          </w:p>
        </w:tc>
        <w:tc>
          <w:tcPr>
            <w:tcW w:w="0" w:type="auto"/>
            <w:hideMark/>
          </w:tcPr>
          <w:p w:rsidR="00000000" w:rsidRDefault="00805FA0">
            <w:pPr>
              <w:pStyle w:val="a3"/>
              <w:spacing w:before="0" w:beforeAutospacing="0" w:after="0" w:afterAutospacing="0"/>
              <w:jc w:val="center"/>
              <w:rPr>
                <w:sz w:val="20"/>
                <w:szCs w:val="20"/>
              </w:rPr>
            </w:pPr>
            <w:r>
              <w:rPr>
                <w:b/>
                <w:bCs/>
                <w:sz w:val="18"/>
                <w:szCs w:val="18"/>
              </w:rPr>
              <w:t>HUB</w:t>
            </w:r>
            <w:r>
              <w:rPr>
                <w:b/>
                <w:bCs/>
                <w:sz w:val="18"/>
                <w:szCs w:val="18"/>
              </w:rPr>
              <w:t>S</w:t>
            </w:r>
          </w:p>
        </w:tc>
        <w:tc>
          <w:tcPr>
            <w:tcW w:w="0" w:type="auto"/>
            <w:hideMark/>
          </w:tcPr>
          <w:p w:rsidR="00000000" w:rsidRDefault="00805FA0">
            <w:pPr>
              <w:pStyle w:val="a3"/>
              <w:spacing w:before="0" w:beforeAutospacing="0" w:after="0" w:afterAutospacing="0"/>
              <w:jc w:val="center"/>
              <w:rPr>
                <w:sz w:val="18"/>
                <w:szCs w:val="18"/>
              </w:rPr>
            </w:pPr>
            <w:r>
              <w:rPr>
                <w:sz w:val="18"/>
                <w:szCs w:val="18"/>
              </w:rPr>
              <w:t> </w:t>
            </w:r>
          </w:p>
        </w:tc>
        <w:tc>
          <w:tcPr>
            <w:tcW w:w="0" w:type="auto"/>
            <w:hideMark/>
          </w:tcPr>
          <w:p w:rsidR="00000000" w:rsidRDefault="00805FA0">
            <w:pPr>
              <w:pStyle w:val="a3"/>
              <w:spacing w:before="0" w:beforeAutospacing="0" w:after="0" w:afterAutospacing="0"/>
              <w:jc w:val="center"/>
              <w:rPr>
                <w:sz w:val="20"/>
                <w:szCs w:val="20"/>
              </w:rPr>
            </w:pPr>
            <w:r>
              <w:rPr>
                <w:b/>
                <w:bCs/>
                <w:sz w:val="18"/>
                <w:szCs w:val="18"/>
              </w:rPr>
              <w:t>New York Stock Exchang</w:t>
            </w:r>
            <w:r>
              <w:rPr>
                <w:b/>
                <w:bCs/>
                <w:sz w:val="18"/>
                <w:szCs w:val="18"/>
              </w:rPr>
              <w:t>e</w:t>
            </w:r>
          </w:p>
        </w:tc>
      </w:tr>
    </w:tbl>
    <w:p w:rsidR="00000000" w:rsidRDefault="00805FA0">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805FA0">
      <w:pPr>
        <w:pStyle w:val="a3"/>
        <w:spacing w:before="6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805FA0">
      <w:pPr>
        <w:pStyle w:val="a3"/>
        <w:spacing w:before="0" w:beforeAutospacing="0" w:after="0" w:afterAutospacing="0"/>
        <w:ind w:firstLine="555"/>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w:t>
      </w:r>
      <w:r>
        <w:rPr>
          <w:sz w:val="18"/>
          <w:szCs w:val="18"/>
        </w:rPr>
        <w:t xml:space="preserve"> </w:t>
      </w:r>
      <w:r>
        <w:rPr>
          <w:caps/>
          <w:sz w:val="18"/>
          <w:szCs w:val="18"/>
        </w:rPr>
        <w:t>Ye</w:t>
      </w:r>
      <w:r>
        <w:rPr>
          <w:caps/>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805FA0">
      <w:pPr>
        <w:pStyle w:val="a3"/>
        <w:spacing w:before="0" w:beforeAutospacing="0" w:after="0" w:afterAutospacing="0"/>
        <w:ind w:firstLine="555"/>
        <w:rPr>
          <w:sz w:val="20"/>
          <w:szCs w:val="20"/>
        </w:rPr>
      </w:pPr>
      <w:r>
        <w:rPr>
          <w:sz w:val="18"/>
          <w:szCs w:val="18"/>
        </w:rPr>
        <w:t>Indicate by check mark whether the registrant is a large accelerated filer, an accelerated f</w:t>
      </w:r>
      <w:r>
        <w:rPr>
          <w:sz w:val="18"/>
          <w:szCs w:val="18"/>
        </w:rPr>
        <w:t>iler, a non-accelerated filer, smaller reporting company, or an emerging growth company. See the definitions of “large accelerated filer,” “accelerated filer,” “smaller reporting company,” and “emerging growth company” in Rule 12b-2 of the Exchange Act</w:t>
      </w:r>
      <w:r>
        <w:rPr>
          <w:sz w:val="18"/>
          <w:szCs w:val="18"/>
        </w:rPr>
        <w:t>.</w:t>
      </w:r>
      <w:r>
        <w:rPr>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8"/>
        <w:gridCol w:w="106"/>
        <w:gridCol w:w="3333"/>
        <w:gridCol w:w="107"/>
        <w:gridCol w:w="2204"/>
        <w:gridCol w:w="107"/>
        <w:gridCol w:w="231"/>
      </w:tblGrid>
      <w:tr w:rsidR="00000000">
        <w:trPr>
          <w:tblCellSpacing w:w="15" w:type="dxa"/>
        </w:trPr>
        <w:tc>
          <w:tcPr>
            <w:tcW w:w="1349"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20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3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00" w:type="pct"/>
            <w:vAlign w:val="center"/>
            <w:hideMark/>
          </w:tcPr>
          <w:p w:rsidR="00000000" w:rsidRDefault="00805FA0">
            <w:pPr>
              <w:rPr>
                <w:rFonts w:eastAsia="Times New Roman"/>
                <w:sz w:val="20"/>
                <w:szCs w:val="20"/>
              </w:rPr>
            </w:pP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18"/>
                <w:szCs w:val="18"/>
              </w:rPr>
              <w:lastRenderedPageBreak/>
              <w:t>Large accelerated file</w:t>
            </w:r>
            <w:r>
              <w:rPr>
                <w:sz w:val="18"/>
                <w:szCs w:val="18"/>
              </w:rPr>
              <w:t>r</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rFonts w:ascii="Segoe UI Symbol" w:hAnsi="Segoe UI Symbol" w:cs="Segoe UI Symbol"/>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Accelerated file</w:t>
            </w:r>
            <w:r>
              <w:rPr>
                <w:sz w:val="18"/>
                <w:szCs w:val="18"/>
              </w:rPr>
              <w:t>r</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8"/>
                <w:szCs w:val="18"/>
              </w:rPr>
            </w:pPr>
            <w:r>
              <w:rPr>
                <w:sz w:val="18"/>
                <w:szCs w:val="18"/>
              </w:rPr>
              <w:t>Non-accelerated file</w:t>
            </w:r>
            <w:r>
              <w:rPr>
                <w:sz w:val="18"/>
                <w:szCs w:val="18"/>
              </w:rPr>
              <w:t>r</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rFonts w:ascii="Segoe UI Symbol" w:hAnsi="Segoe UI Symbol" w:cs="Segoe UI Symbol"/>
                <w:sz w:val="18"/>
                <w:szCs w:val="18"/>
              </w:rPr>
              <w:t>☐</w:t>
            </w:r>
            <w:r>
              <w:rPr>
                <w:sz w:val="18"/>
                <w:szCs w:val="18"/>
              </w:rPr>
              <w:t xml:space="preserve">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Smaller reporting compan</w:t>
            </w:r>
            <w:r>
              <w:rPr>
                <w:sz w:val="18"/>
                <w:szCs w:val="18"/>
              </w:rPr>
              <w:t>y</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20"/>
                <w:szCs w:val="20"/>
              </w:rPr>
            </w:pPr>
            <w:r>
              <w:rPr>
                <w:rFonts w:ascii="Segoe UI Symbol" w:hAnsi="Segoe UI Symbol" w:cs="Segoe UI Symbol"/>
                <w:sz w:val="18"/>
                <w:szCs w:val="18"/>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8"/>
                <w:szCs w:val="18"/>
              </w:rPr>
            </w:pPr>
            <w:r>
              <w:rPr>
                <w:sz w:val="18"/>
                <w:szCs w:val="18"/>
              </w:rPr>
              <w:t>Emerging growth compan</w:t>
            </w:r>
            <w:r>
              <w:rPr>
                <w:sz w:val="18"/>
                <w:szCs w:val="18"/>
              </w:rPr>
              <w:t>y</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20"/>
                <w:szCs w:val="20"/>
              </w:rPr>
            </w:pPr>
            <w:r>
              <w:rPr>
                <w:rFonts w:ascii="Segoe UI Symbol" w:hAnsi="Segoe UI Symbol" w:cs="Segoe UI Symbol"/>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r>
    </w:tbl>
    <w:p w:rsidR="00000000" w:rsidRDefault="00805FA0">
      <w:pPr>
        <w:pStyle w:val="a3"/>
        <w:spacing w:before="0" w:beforeAutospacing="0" w:after="0" w:afterAutospacing="0"/>
        <w:ind w:firstLine="555"/>
        <w:rPr>
          <w:sz w:val="20"/>
          <w:szCs w:val="20"/>
        </w:rPr>
      </w:pPr>
      <w:r>
        <w:rPr>
          <w:sz w:val="20"/>
          <w:szCs w:val="20"/>
        </w:rPr>
        <w:t> </w:t>
      </w:r>
    </w:p>
    <w:p w:rsidR="00000000" w:rsidRDefault="00805FA0">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YES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805FA0">
      <w:pPr>
        <w:pStyle w:val="a3"/>
        <w:spacing w:beforeAutospacing="0" w:after="0" w:afterAutospacing="0"/>
        <w:ind w:firstLine="555"/>
        <w:rPr>
          <w:sz w:val="20"/>
          <w:szCs w:val="20"/>
        </w:rPr>
      </w:pPr>
      <w:r>
        <w:rPr>
          <w:sz w:val="18"/>
          <w:szCs w:val="18"/>
        </w:rPr>
        <w:t xml:space="preserve">Indicate by check mark whether the registrant is a shell company (as defined in Rule 12b-2 of the Exchange Act). YES </w:t>
      </w:r>
      <w:r>
        <w:rPr>
          <w:rFonts w:ascii="Segoe UI Symbol" w:hAnsi="Segoe UI Symbol" w:cs="Segoe UI Symbol"/>
          <w:sz w:val="18"/>
          <w:szCs w:val="18"/>
        </w:rPr>
        <w:t>☐</w:t>
      </w:r>
      <w:r>
        <w:rPr>
          <w:sz w:val="18"/>
          <w:szCs w:val="18"/>
        </w:rPr>
        <w:t xml:space="preserve"> NO</w:t>
      </w:r>
      <w:r>
        <w:rPr>
          <w:sz w:val="18"/>
          <w:szCs w:val="18"/>
        </w:rPr>
        <w:t xml:space="preserve"> </w:t>
      </w:r>
      <w:r>
        <w:rPr>
          <w:rFonts w:ascii="Segoe UI Symbol" w:hAnsi="Segoe UI Symbol" w:cs="Segoe UI Symbol"/>
          <w:sz w:val="18"/>
          <w:szCs w:val="18"/>
        </w:rPr>
        <w:t>☒</w:t>
      </w:r>
    </w:p>
    <w:p w:rsidR="00000000" w:rsidRDefault="00805FA0">
      <w:pPr>
        <w:pStyle w:val="a3"/>
        <w:spacing w:beforeAutospacing="0" w:after="0" w:afterAutospacing="0"/>
        <w:ind w:firstLine="555"/>
        <w:rPr>
          <w:sz w:val="20"/>
          <w:szCs w:val="20"/>
        </w:rPr>
      </w:pPr>
      <w:r>
        <w:rPr>
          <w:sz w:val="18"/>
          <w:szCs w:val="18"/>
        </w:rPr>
        <w:t>There were</w:t>
      </w:r>
      <w:r>
        <w:rPr>
          <w:sz w:val="18"/>
          <w:szCs w:val="18"/>
        </w:rPr>
        <w:t xml:space="preserve"> </w:t>
      </w:r>
      <w:r>
        <w:rPr>
          <w:sz w:val="18"/>
          <w:szCs w:val="18"/>
        </w:rPr>
        <w:t>48,576,18</w:t>
      </w:r>
      <w:r>
        <w:rPr>
          <w:sz w:val="18"/>
          <w:szCs w:val="18"/>
        </w:rPr>
        <w:t>8</w:t>
      </w:r>
      <w:r>
        <w:rPr>
          <w:sz w:val="18"/>
          <w:szCs w:val="18"/>
        </w:rPr>
        <w:t xml:space="preserve"> </w:t>
      </w:r>
      <w:r>
        <w:rPr>
          <w:sz w:val="18"/>
          <w:szCs w:val="18"/>
        </w:rPr>
        <w:t>shares of the registrant’s Common Stock issued and outstanding as of October 28, 2022</w:t>
      </w:r>
      <w:r>
        <w:rPr>
          <w:sz w:val="18"/>
          <w:szCs w:val="18"/>
        </w:rPr>
        <w:t>.</w:t>
      </w:r>
    </w:p>
    <w:p w:rsidR="00000000" w:rsidRDefault="00805FA0">
      <w:pPr>
        <w:pStyle w:val="a3"/>
        <w:spacing w:before="240" w:beforeAutospacing="0" w:after="0" w:afterAutospacing="0"/>
        <w:jc w:val="center"/>
        <w:rPr>
          <w:sz w:val="20"/>
          <w:szCs w:val="20"/>
        </w:rPr>
      </w:pPr>
      <w:r>
        <w:rPr>
          <w:sz w:val="20"/>
          <w:szCs w:val="20"/>
        </w:rPr>
        <w:t> </w:t>
      </w:r>
    </w:p>
    <w:p w:rsidR="00000000" w:rsidRDefault="00805FA0">
      <w:pPr>
        <w:rPr>
          <w:rFonts w:eastAsia="Times New Roman"/>
        </w:rPr>
      </w:pPr>
      <w:r>
        <w:rPr>
          <w:rFonts w:eastAsia="Times New Roman"/>
        </w:rPr>
        <w:pict>
          <v:rect id="_x0000_i1025"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05FA0">
      <w:pPr>
        <w:pStyle w:val="a3"/>
        <w:spacing w:before="240" w:beforeAutospacing="0" w:after="0" w:afterAutospacing="0"/>
        <w:jc w:val="center"/>
        <w:rPr>
          <w:sz w:val="20"/>
          <w:szCs w:val="20"/>
        </w:rPr>
      </w:pPr>
      <w:r>
        <w:rPr>
          <w:b/>
          <w:bCs/>
          <w:sz w:val="20"/>
          <w:szCs w:val="20"/>
        </w:rPr>
        <w:t>Table of Content</w:t>
      </w:r>
      <w:r>
        <w:rPr>
          <w:b/>
          <w:bCs/>
          <w:sz w:val="20"/>
          <w:szCs w:val="20"/>
        </w:rPr>
        <w:t>s</w:t>
      </w:r>
    </w:p>
    <w:p w:rsidR="00000000" w:rsidRDefault="00805FA0">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9"/>
        <w:gridCol w:w="109"/>
        <w:gridCol w:w="6986"/>
        <w:gridCol w:w="292"/>
      </w:tblGrid>
      <w:tr w:rsidR="00000000">
        <w:trPr>
          <w:tblCellSpacing w:w="15" w:type="dxa"/>
        </w:trPr>
        <w:tc>
          <w:tcPr>
            <w:tcW w:w="447"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4320" w:type="pct"/>
            <w:vAlign w:val="center"/>
            <w:hideMark/>
          </w:tcPr>
          <w:p w:rsidR="00000000" w:rsidRDefault="00805FA0">
            <w:pPr>
              <w:rPr>
                <w:rFonts w:eastAsia="Times New Roman"/>
                <w:sz w:val="20"/>
                <w:szCs w:val="20"/>
              </w:rPr>
            </w:pPr>
          </w:p>
        </w:tc>
        <w:tc>
          <w:tcPr>
            <w:tcW w:w="181" w:type="pct"/>
            <w:vAlign w:val="center"/>
            <w:hideMark/>
          </w:tcPr>
          <w:p w:rsidR="00000000" w:rsidRDefault="00805FA0">
            <w:pPr>
              <w:rPr>
                <w:rFonts w:eastAsia="Times New Roman"/>
                <w:sz w:val="20"/>
                <w:szCs w:val="20"/>
              </w:rPr>
            </w:pPr>
          </w:p>
        </w:tc>
      </w:tr>
      <w:tr w:rsidR="00000000">
        <w:trPr>
          <w:trHeight w:val="200"/>
          <w:tblCellSpacing w:w="15" w:type="dxa"/>
        </w:trPr>
        <w:tc>
          <w:tcPr>
            <w:tcW w:w="0" w:type="auto"/>
            <w:gridSpan w:val="4"/>
            <w:tcMar>
              <w:top w:w="14" w:type="dxa"/>
              <w:left w:w="15" w:type="dxa"/>
              <w:bottom w:w="15" w:type="dxa"/>
              <w:right w:w="14" w:type="dxa"/>
            </w:tcMar>
            <w:vAlign w:val="bottom"/>
            <w:hideMark/>
          </w:tcPr>
          <w:p w:rsidR="00000000" w:rsidRDefault="00805FA0">
            <w:pPr>
              <w:pStyle w:val="a3"/>
              <w:spacing w:before="0" w:beforeAutospacing="0" w:after="0" w:afterAutospacing="0"/>
              <w:jc w:val="center"/>
              <w:rPr>
                <w:sz w:val="20"/>
                <w:szCs w:val="20"/>
              </w:rPr>
            </w:pPr>
            <w:hyperlink w:anchor="part_i_financial_information" w:history="1">
              <w:r>
                <w:rPr>
                  <w:rStyle w:val="a4"/>
                  <w:b/>
                  <w:bCs/>
                  <w:sz w:val="20"/>
                  <w:szCs w:val="20"/>
                </w:rPr>
                <w:t>Part I — Financial Informatio</w:t>
              </w:r>
              <w:r>
                <w:rPr>
                  <w:rStyle w:val="a4"/>
                  <w:b/>
                  <w:bCs/>
                  <w:sz w:val="20"/>
                  <w:szCs w:val="20"/>
                </w:rPr>
                <w:t>n</w:t>
              </w:r>
            </w:hyperlink>
          </w:p>
        </w:tc>
      </w:tr>
      <w:tr w:rsidR="00000000">
        <w:trPr>
          <w:tblCellSpacing w:w="15" w:type="dxa"/>
        </w:trPr>
        <w:tc>
          <w:tcPr>
            <w:tcW w:w="0" w:type="auto"/>
            <w:tcMar>
              <w:top w:w="14" w:type="dxa"/>
              <w:left w:w="15" w:type="dxa"/>
              <w:bottom w:w="15" w:type="dxa"/>
              <w:right w:w="14" w:type="dxa"/>
            </w:tcMar>
            <w:vAlign w:val="center"/>
            <w:hideMark/>
          </w:tcPr>
          <w:p w:rsidR="00000000" w:rsidRDefault="00805FA0">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1_financial_statements" w:history="1">
              <w:r>
                <w:rPr>
                  <w:rStyle w:val="a4"/>
                  <w:sz w:val="20"/>
                  <w:szCs w:val="20"/>
                </w:rPr>
                <w:t>Unaudited Consolidated Financial Statements</w:t>
              </w:r>
              <w:r>
                <w:rPr>
                  <w:rStyle w:val="a4"/>
                  <w:sz w:val="20"/>
                  <w:szCs w:val="20"/>
                </w:rPr>
                <w:t>:</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unaudited_consolidated_balance_sheets" w:history="1">
              <w:r>
                <w:rPr>
                  <w:rStyle w:val="a4"/>
                  <w:sz w:val="20"/>
                  <w:szCs w:val="20"/>
                </w:rPr>
                <w:t>Unaudited Consolidated Balance Sheets as of September 30, 2022 and December 31,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unaudited_consolidated_statements_opera" w:history="1">
              <w:r>
                <w:rPr>
                  <w:rStyle w:val="a4"/>
                  <w:sz w:val="20"/>
                  <w:szCs w:val="20"/>
                </w:rPr>
                <w:t>Unaudited Consolidated Statements of Operations for the Three and Nine Months Ended September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unaudited_consolidated_statements_compr" w:history="1">
              <w:r>
                <w:rPr>
                  <w:rStyle w:val="a4"/>
                  <w:sz w:val="20"/>
                  <w:szCs w:val="20"/>
                </w:rPr>
                <w:t>Unaudited Consolidated Statements of Comprehensive Loss for the Three and N</w:t>
              </w:r>
              <w:r>
                <w:rPr>
                  <w:rStyle w:val="a4"/>
                  <w:sz w:val="20"/>
                  <w:szCs w:val="20"/>
                </w:rPr>
                <w:t>ine Months Ended September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unaudited_consolidated_statements_cash_" w:history="1">
              <w:r>
                <w:rPr>
                  <w:rStyle w:val="a4"/>
                  <w:sz w:val="20"/>
                  <w:szCs w:val="20"/>
                </w:rPr>
                <w:t>Unaudited Consolidated Statements of Cash Flows for the Three and Nine Months Ended September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notes_to_unaudited_consolida_ted_financ" w:history="1">
              <w:r>
                <w:rPr>
                  <w:rStyle w:val="a4"/>
                  <w:sz w:val="20"/>
                  <w:szCs w:val="20"/>
                </w:rPr>
                <w:t>Notes to Unaudited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w:t>
              </w:r>
              <w:r>
                <w:rPr>
                  <w:rStyle w:val="a4"/>
                  <w:sz w:val="20"/>
                  <w:szCs w:val="20"/>
                </w:rPr>
                <w:t>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3</w:t>
            </w:r>
          </w:p>
        </w:tc>
      </w:tr>
      <w:tr w:rsidR="00000000">
        <w:trPr>
          <w:trHeight w:val="120"/>
          <w:tblCellSpacing w:w="15" w:type="dxa"/>
        </w:trPr>
        <w:tc>
          <w:tcPr>
            <w:tcW w:w="0" w:type="auto"/>
            <w:gridSpan w:val="4"/>
            <w:tcMar>
              <w:top w:w="14" w:type="dxa"/>
              <w:left w:w="15" w:type="dxa"/>
              <w:bottom w:w="15" w:type="dxa"/>
              <w:right w:w="14" w:type="dxa"/>
            </w:tcMar>
            <w:vAlign w:val="center"/>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gridSpan w:val="4"/>
            <w:tcMar>
              <w:top w:w="14" w:type="dxa"/>
              <w:left w:w="15" w:type="dxa"/>
              <w:bottom w:w="15" w:type="dxa"/>
              <w:right w:w="14" w:type="dxa"/>
            </w:tcMar>
            <w:vAlign w:val="bottom"/>
            <w:hideMark/>
          </w:tcPr>
          <w:p w:rsidR="00000000" w:rsidRDefault="00805FA0">
            <w:pPr>
              <w:pStyle w:val="a3"/>
              <w:spacing w:before="0" w:beforeAutospacing="0" w:after="0" w:afterAutospacing="0"/>
              <w:jc w:val="center"/>
              <w:rPr>
                <w:sz w:val="20"/>
                <w:szCs w:val="20"/>
              </w:rPr>
            </w:pPr>
            <w:hyperlink w:anchor="part_ii" w:history="1">
              <w:r>
                <w:rPr>
                  <w:rStyle w:val="a4"/>
                  <w:b/>
                  <w:bCs/>
                  <w:sz w:val="20"/>
                  <w:szCs w:val="20"/>
                </w:rPr>
                <w:t>Part II — Other Informatio</w:t>
              </w:r>
              <w:r>
                <w:rPr>
                  <w:rStyle w:val="a4"/>
                  <w:b/>
                  <w:bCs/>
                  <w:sz w:val="20"/>
                  <w:szCs w:val="20"/>
                </w:rPr>
                <w:t>n</w:t>
              </w:r>
            </w:hyperlink>
          </w:p>
        </w:tc>
      </w:tr>
      <w:tr w:rsidR="00000000">
        <w:trPr>
          <w:tblCellSpacing w:w="15" w:type="dxa"/>
        </w:trPr>
        <w:tc>
          <w:tcPr>
            <w:tcW w:w="0" w:type="auto"/>
            <w:tcMar>
              <w:top w:w="14" w:type="dxa"/>
              <w:left w:w="15" w:type="dxa"/>
              <w:bottom w:w="15" w:type="dxa"/>
              <w:right w:w="14" w:type="dxa"/>
            </w:tcMar>
            <w:vAlign w:val="center"/>
            <w:hideMark/>
          </w:tcPr>
          <w:p w:rsidR="00000000" w:rsidRDefault="00805FA0">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5</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6</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3_defaults_on_senior_securities" w:history="1">
              <w:r>
                <w:rPr>
                  <w:rStyle w:val="a4"/>
                  <w:sz w:val="20"/>
                  <w:szCs w:val="20"/>
                </w:rPr>
                <w:t>Default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6</w:t>
            </w:r>
            <w:r>
              <w:rPr>
                <w:sz w:val="20"/>
                <w:szCs w:val="20"/>
              </w:rPr>
              <w:t>0</w:t>
            </w:r>
          </w:p>
        </w:tc>
      </w:tr>
      <w:tr w:rsidR="00000000">
        <w:trPr>
          <w:trHeight w:val="173"/>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6</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6</w:t>
            </w:r>
            <w:r>
              <w:rPr>
                <w:sz w:val="20"/>
                <w:szCs w:val="20"/>
              </w:rPr>
              <w:t>0</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6</w:t>
            </w:r>
            <w:r>
              <w:rPr>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6</w:t>
            </w:r>
            <w:r>
              <w:rPr>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EX-31.</w:t>
            </w:r>
            <w:r>
              <w:rPr>
                <w:sz w:val="20"/>
                <w:szCs w:val="20"/>
              </w:rPr>
              <w:t>1</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r>
              <w:rPr>
                <w:sz w:val="20"/>
                <w:szCs w:val="20"/>
              </w:rPr>
              <w:t>CERTIFICATION OF THE CEO PURSUANT TO SECTION 30</w:t>
            </w:r>
            <w:r>
              <w:rPr>
                <w:sz w:val="20"/>
                <w:szCs w:val="20"/>
              </w:rPr>
              <w:t>2</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EX-31.</w:t>
            </w:r>
            <w:r>
              <w:rPr>
                <w:sz w:val="20"/>
                <w:szCs w:val="20"/>
              </w:rPr>
              <w:t>2</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r>
              <w:rPr>
                <w:sz w:val="20"/>
                <w:szCs w:val="20"/>
              </w:rPr>
              <w:t>CERTIFICATION OF THE CFO PURSUANT TO SECTION 30</w:t>
            </w:r>
            <w:r>
              <w:rPr>
                <w:sz w:val="20"/>
                <w:szCs w:val="20"/>
              </w:rPr>
              <w:t>2</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EX-32.</w:t>
            </w:r>
            <w:r>
              <w:rPr>
                <w:sz w:val="20"/>
                <w:szCs w:val="20"/>
              </w:rPr>
              <w:t>1</w:t>
            </w:r>
          </w:p>
        </w:tc>
        <w:tc>
          <w:tcPr>
            <w:tcW w:w="0" w:type="auto"/>
            <w:tcMar>
              <w:top w:w="14" w:type="dxa"/>
              <w:left w:w="15" w:type="dxa"/>
              <w:bottom w:w="15" w:type="dxa"/>
              <w:right w:w="14" w:type="dxa"/>
            </w:tcMar>
            <w:hideMark/>
          </w:tcPr>
          <w:p w:rsidR="00000000" w:rsidRDefault="00805FA0">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rPr>
                <w:sz w:val="20"/>
                <w:szCs w:val="20"/>
              </w:rPr>
            </w:pPr>
            <w:r>
              <w:rPr>
                <w:sz w:val="20"/>
                <w:szCs w:val="20"/>
              </w:rPr>
              <w:t>CERTIFICATION OF THE CEO AND CFO PURSUANT TO SECTION 90</w:t>
            </w:r>
            <w:r>
              <w:rPr>
                <w:sz w:val="20"/>
                <w:szCs w:val="20"/>
              </w:rPr>
              <w:t>6</w:t>
            </w:r>
          </w:p>
        </w:tc>
        <w:tc>
          <w:tcPr>
            <w:tcW w:w="0" w:type="auto"/>
            <w:tcMar>
              <w:top w:w="14" w:type="dxa"/>
              <w:left w:w="15" w:type="dxa"/>
              <w:bottom w:w="15" w:type="dxa"/>
              <w:right w:w="14" w:type="dxa"/>
            </w:tcMar>
            <w:vAlign w:val="bottom"/>
            <w:hideMark/>
          </w:tcPr>
          <w:p w:rsidR="00000000" w:rsidRDefault="00805FA0">
            <w:pPr>
              <w:pStyle w:val="a3"/>
              <w:spacing w:before="0" w:beforeAutospacing="0" w:after="0" w:afterAutospacing="0"/>
              <w:jc w:val="right"/>
              <w:rPr>
                <w:sz w:val="20"/>
                <w:szCs w:val="20"/>
              </w:rPr>
            </w:pPr>
            <w:r>
              <w:rPr>
                <w:sz w:val="20"/>
                <w:szCs w:val="20"/>
              </w:rPr>
              <w:t> </w:t>
            </w:r>
          </w:p>
        </w:tc>
      </w:tr>
    </w:tbl>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lastRenderedPageBreak/>
        <w:t> </w:t>
      </w:r>
    </w:p>
    <w:p w:rsidR="00000000" w:rsidRDefault="00805FA0">
      <w:pPr>
        <w:rPr>
          <w:rFonts w:eastAsia="Times New Roman"/>
        </w:rPr>
      </w:pPr>
      <w:r>
        <w:rPr>
          <w:rFonts w:eastAsia="Times New Roman"/>
        </w:rPr>
        <w:pict>
          <v:rect id="_x0000_i1026"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jc w:val="center"/>
        <w:rPr>
          <w:sz w:val="20"/>
          <w:szCs w:val="20"/>
        </w:rPr>
      </w:pPr>
      <w:r>
        <w:rPr>
          <w:b/>
          <w:bCs/>
          <w:sz w:val="20"/>
          <w:szCs w:val="20"/>
        </w:rPr>
        <w:t>SPECIAL NOTE REGARDING FORWARD-LOOKING STATEMENT</w:t>
      </w:r>
      <w:r>
        <w:rPr>
          <w:b/>
          <w:bCs/>
          <w:sz w:val="20"/>
          <w:szCs w:val="20"/>
        </w:rPr>
        <w:t>S</w:t>
      </w:r>
    </w:p>
    <w:p w:rsidR="00000000" w:rsidRDefault="00805FA0">
      <w:pPr>
        <w:pStyle w:val="a3"/>
        <w:spacing w:before="120" w:beforeAutospacing="0" w:after="0" w:afterAutospacing="0"/>
        <w:ind w:firstLine="555"/>
        <w:rPr>
          <w:sz w:val="20"/>
          <w:szCs w:val="20"/>
        </w:rPr>
      </w:pPr>
      <w:r>
        <w:rPr>
          <w:sz w:val="20"/>
          <w:szCs w:val="20"/>
        </w:rPr>
        <w:t>This Quarterly Report on Form 10-Q contains forward-looking statements within the meaning of Section 27A of the Securities Act of 1933, as amended, and Section 21E of</w:t>
      </w:r>
      <w:r>
        <w:rPr>
          <w:sz w:val="20"/>
          <w:szCs w:val="20"/>
        </w:rPr>
        <w:t xml:space="preserve"> the Securities Exchange Act of 1934, as amended, and these statements involve substantial risks and uncertainties. All statements other than statements of historical fact contained in this Quarterly Report on Form 10-Q are forward-looking statements. Forw</w:t>
      </w:r>
      <w:r>
        <w:rPr>
          <w:sz w:val="20"/>
          <w:szCs w:val="20"/>
        </w:rPr>
        <w:t>ard-looking statements generally relate to future events or our future financial or operating performance. In some cases, you can identify forward-looking statements because they contain words such as “may,” “should,” “expects,” “plans,” “anticipates,” “co</w:t>
      </w:r>
      <w:r>
        <w:rPr>
          <w:sz w:val="20"/>
          <w:szCs w:val="20"/>
        </w:rPr>
        <w:t>uld,” “intends,” “target,” “projects,” “contemplates,” “believes,” “estimates,” “predicts,” “potential” or “continue” or the negative of these words or other similar terms or expressions that concern our expectations, strategy, plans or intentions. Forward</w:t>
      </w:r>
      <w:r>
        <w:rPr>
          <w:sz w:val="20"/>
          <w:szCs w:val="20"/>
        </w:rPr>
        <w:t>-looking statements contained in this Quarterly Report on Form 10-Q include, but are not limited to, statements about</w:t>
      </w:r>
      <w:r>
        <w:rPr>
          <w:sz w:val="20"/>
          <w:szCs w:val="20"/>
        </w:rPr>
        <w:t>:</w:t>
      </w:r>
      <w:r>
        <w:rPr>
          <w:sz w:val="20"/>
          <w:szCs w:val="20"/>
        </w:rPr>
        <w:t xml:space="preserve"> </w:t>
      </w:r>
    </w:p>
    <w:p w:rsidR="00000000" w:rsidRDefault="00805FA0">
      <w:pPr>
        <w:divId w:val="535125799"/>
        <w:rPr>
          <w:rFonts w:eastAsia="Times New Roman"/>
        </w:rPr>
      </w:pPr>
      <w:r>
        <w:rPr>
          <w:rFonts w:eastAsia="Times New Roman"/>
          <w:sz w:val="20"/>
          <w:szCs w:val="20"/>
        </w:rPr>
        <w:t>•</w:t>
      </w:r>
    </w:p>
    <w:p w:rsidR="00000000" w:rsidRDefault="00805FA0">
      <w:pPr>
        <w:divId w:val="1651010575"/>
        <w:rPr>
          <w:rFonts w:eastAsia="Times New Roman"/>
        </w:rPr>
      </w:pPr>
      <w:r>
        <w:rPr>
          <w:rFonts w:eastAsia="Times New Roman"/>
          <w:sz w:val="20"/>
          <w:szCs w:val="20"/>
        </w:rPr>
        <w:t>our future financial and operational performance and operational expenditures, including our expectations regarding our revenue, cost of revenue, gross margin and operating expenses</w:t>
      </w:r>
      <w:r>
        <w:rPr>
          <w:rFonts w:eastAsia="Times New Roman"/>
          <w:sz w:val="20"/>
          <w:szCs w:val="20"/>
        </w:rPr>
        <w:t>;</w:t>
      </w:r>
    </w:p>
    <w:p w:rsidR="00000000" w:rsidRDefault="00805FA0">
      <w:pPr>
        <w:divId w:val="1715496624"/>
        <w:rPr>
          <w:rFonts w:eastAsia="Times New Roman"/>
        </w:rPr>
      </w:pPr>
      <w:r>
        <w:rPr>
          <w:rFonts w:eastAsia="Times New Roman"/>
          <w:sz w:val="20"/>
          <w:szCs w:val="20"/>
        </w:rPr>
        <w:t>•</w:t>
      </w:r>
    </w:p>
    <w:p w:rsidR="00000000" w:rsidRDefault="00805FA0">
      <w:pPr>
        <w:divId w:val="1943994938"/>
        <w:rPr>
          <w:rFonts w:eastAsia="Times New Roman"/>
        </w:rPr>
      </w:pPr>
      <w:r>
        <w:rPr>
          <w:rFonts w:eastAsia="Times New Roman"/>
          <w:sz w:val="20"/>
          <w:szCs w:val="20"/>
        </w:rPr>
        <w:t xml:space="preserve">maintaining and expanding our customer base and increasing our average </w:t>
      </w:r>
      <w:r>
        <w:rPr>
          <w:rFonts w:eastAsia="Times New Roman"/>
          <w:sz w:val="20"/>
          <w:szCs w:val="20"/>
        </w:rPr>
        <w:t>subscription revenue per customer</w:t>
      </w:r>
      <w:r>
        <w:rPr>
          <w:rFonts w:eastAsia="Times New Roman"/>
          <w:sz w:val="20"/>
          <w:szCs w:val="20"/>
        </w:rPr>
        <w:t>;</w:t>
      </w:r>
    </w:p>
    <w:p w:rsidR="00000000" w:rsidRDefault="00805FA0">
      <w:pPr>
        <w:divId w:val="2003698988"/>
        <w:rPr>
          <w:rFonts w:eastAsia="Times New Roman"/>
        </w:rPr>
      </w:pPr>
      <w:r>
        <w:rPr>
          <w:rFonts w:eastAsia="Times New Roman"/>
          <w:sz w:val="20"/>
          <w:szCs w:val="20"/>
        </w:rPr>
        <w:t>•</w:t>
      </w:r>
    </w:p>
    <w:p w:rsidR="00000000" w:rsidRDefault="00805FA0">
      <w:pPr>
        <w:divId w:val="492910839"/>
        <w:rPr>
          <w:rFonts w:eastAsia="Times New Roman"/>
        </w:rPr>
      </w:pPr>
      <w:r>
        <w:rPr>
          <w:rFonts w:eastAsia="Times New Roman"/>
          <w:sz w:val="20"/>
          <w:szCs w:val="20"/>
        </w:rPr>
        <w:t>the impact of competition in our industry and innovation by our competitors</w:t>
      </w:r>
      <w:r>
        <w:rPr>
          <w:rFonts w:eastAsia="Times New Roman"/>
          <w:sz w:val="20"/>
          <w:szCs w:val="20"/>
        </w:rPr>
        <w:t>;</w:t>
      </w:r>
    </w:p>
    <w:p w:rsidR="00000000" w:rsidRDefault="00805FA0">
      <w:pPr>
        <w:divId w:val="190991687"/>
        <w:rPr>
          <w:rFonts w:eastAsia="Times New Roman"/>
        </w:rPr>
      </w:pPr>
      <w:r>
        <w:rPr>
          <w:rFonts w:eastAsia="Times New Roman"/>
          <w:sz w:val="20"/>
          <w:szCs w:val="20"/>
        </w:rPr>
        <w:t>•</w:t>
      </w:r>
    </w:p>
    <w:p w:rsidR="00000000" w:rsidRDefault="00805FA0">
      <w:pPr>
        <w:divId w:val="1681617888"/>
        <w:rPr>
          <w:rFonts w:eastAsia="Times New Roman"/>
        </w:rPr>
      </w:pPr>
      <w:r>
        <w:rPr>
          <w:rFonts w:eastAsia="Times New Roman"/>
          <w:sz w:val="20"/>
          <w:szCs w:val="20"/>
        </w:rPr>
        <w:t>our anticipated growth and expectations regarding our ability to manage our future growth</w:t>
      </w:r>
      <w:r>
        <w:rPr>
          <w:rFonts w:eastAsia="Times New Roman"/>
          <w:sz w:val="20"/>
          <w:szCs w:val="20"/>
        </w:rPr>
        <w:t>;</w:t>
      </w:r>
    </w:p>
    <w:p w:rsidR="00000000" w:rsidRDefault="00805FA0">
      <w:pPr>
        <w:divId w:val="1560822467"/>
        <w:rPr>
          <w:rFonts w:eastAsia="Times New Roman"/>
        </w:rPr>
      </w:pPr>
      <w:r>
        <w:rPr>
          <w:rFonts w:eastAsia="Times New Roman"/>
          <w:sz w:val="20"/>
          <w:szCs w:val="20"/>
        </w:rPr>
        <w:t>•</w:t>
      </w:r>
    </w:p>
    <w:p w:rsidR="00000000" w:rsidRDefault="00805FA0">
      <w:pPr>
        <w:divId w:val="725029675"/>
        <w:rPr>
          <w:rFonts w:eastAsia="Times New Roman"/>
        </w:rPr>
      </w:pPr>
      <w:r>
        <w:rPr>
          <w:rFonts w:eastAsia="Times New Roman"/>
          <w:sz w:val="20"/>
          <w:szCs w:val="20"/>
        </w:rPr>
        <w:t>our expectations regarding the potential impact</w:t>
      </w:r>
      <w:r>
        <w:rPr>
          <w:rFonts w:eastAsia="Times New Roman"/>
          <w:sz w:val="20"/>
          <w:szCs w:val="20"/>
        </w:rPr>
        <w:t xml:space="preserve"> geo-political conflicts, inflationary pressures, foreign currency movement, macroeconomic stability, and the COVID-19 pandemic on our business, the broader economy, our workforce and operations, the markets in which we and our partners and customers opera</w:t>
      </w:r>
      <w:r>
        <w:rPr>
          <w:rFonts w:eastAsia="Times New Roman"/>
          <w:sz w:val="20"/>
          <w:szCs w:val="20"/>
        </w:rPr>
        <w:t>te, and our ability to forecast future financial performance;</w:t>
      </w:r>
      <w:r>
        <w:rPr>
          <w:rFonts w:eastAsia="Times New Roman"/>
          <w:sz w:val="20"/>
          <w:szCs w:val="20"/>
        </w:rPr>
        <w:t xml:space="preserve"> </w:t>
      </w:r>
    </w:p>
    <w:p w:rsidR="00000000" w:rsidRDefault="00805FA0">
      <w:pPr>
        <w:divId w:val="2017875724"/>
        <w:rPr>
          <w:rFonts w:eastAsia="Times New Roman"/>
        </w:rPr>
      </w:pPr>
      <w:r>
        <w:rPr>
          <w:rFonts w:eastAsia="Times New Roman"/>
          <w:sz w:val="20"/>
          <w:szCs w:val="20"/>
        </w:rPr>
        <w:t>•</w:t>
      </w:r>
    </w:p>
    <w:p w:rsidR="00000000" w:rsidRDefault="00805FA0">
      <w:pPr>
        <w:divId w:val="1394230997"/>
        <w:rPr>
          <w:rFonts w:eastAsia="Times New Roman"/>
        </w:rPr>
      </w:pPr>
      <w:r>
        <w:rPr>
          <w:rFonts w:eastAsia="Times New Roman"/>
          <w:sz w:val="20"/>
          <w:szCs w:val="20"/>
        </w:rPr>
        <w:t>our anticipated areas of investments, including sales and marketing, research and development, customer service and support, data center infrastructure and service capabilities, and expectati</w:t>
      </w:r>
      <w:r>
        <w:rPr>
          <w:rFonts w:eastAsia="Times New Roman"/>
          <w:sz w:val="20"/>
          <w:szCs w:val="20"/>
        </w:rPr>
        <w:t>ons relating to such investments</w:t>
      </w:r>
      <w:r>
        <w:rPr>
          <w:rFonts w:eastAsia="Times New Roman"/>
          <w:sz w:val="20"/>
          <w:szCs w:val="20"/>
        </w:rPr>
        <w:t>;</w:t>
      </w:r>
    </w:p>
    <w:p w:rsidR="00000000" w:rsidRDefault="00805FA0">
      <w:pPr>
        <w:divId w:val="383649317"/>
        <w:rPr>
          <w:rFonts w:eastAsia="Times New Roman"/>
        </w:rPr>
      </w:pPr>
      <w:r>
        <w:rPr>
          <w:rFonts w:eastAsia="Times New Roman"/>
          <w:sz w:val="20"/>
          <w:szCs w:val="20"/>
        </w:rPr>
        <w:t>•</w:t>
      </w:r>
    </w:p>
    <w:p w:rsidR="00000000" w:rsidRDefault="00805FA0">
      <w:pPr>
        <w:divId w:val="441538613"/>
        <w:rPr>
          <w:rFonts w:eastAsia="Times New Roman"/>
        </w:rPr>
      </w:pPr>
      <w:r>
        <w:rPr>
          <w:rFonts w:eastAsia="Times New Roman"/>
          <w:sz w:val="20"/>
          <w:szCs w:val="20"/>
        </w:rPr>
        <w:t>our predictions about industry and market trends</w:t>
      </w:r>
      <w:r>
        <w:rPr>
          <w:rFonts w:eastAsia="Times New Roman"/>
          <w:sz w:val="20"/>
          <w:szCs w:val="20"/>
        </w:rPr>
        <w:t>;</w:t>
      </w:r>
    </w:p>
    <w:p w:rsidR="00000000" w:rsidRDefault="00805FA0">
      <w:pPr>
        <w:divId w:val="1707220903"/>
        <w:rPr>
          <w:rFonts w:eastAsia="Times New Roman"/>
        </w:rPr>
      </w:pPr>
      <w:r>
        <w:rPr>
          <w:rFonts w:eastAsia="Times New Roman"/>
          <w:sz w:val="20"/>
          <w:szCs w:val="20"/>
        </w:rPr>
        <w:t>•</w:t>
      </w:r>
    </w:p>
    <w:p w:rsidR="00000000" w:rsidRDefault="00805FA0">
      <w:pPr>
        <w:divId w:val="1007903166"/>
        <w:rPr>
          <w:rFonts w:eastAsia="Times New Roman"/>
        </w:rPr>
      </w:pPr>
      <w:r>
        <w:rPr>
          <w:rFonts w:eastAsia="Times New Roman"/>
          <w:sz w:val="20"/>
          <w:szCs w:val="20"/>
        </w:rPr>
        <w:t>our ability to anticipate and address the evolution of technology and the technological needs of our customers, to roll-out upgrades to our existing software platform a</w:t>
      </w:r>
      <w:r>
        <w:rPr>
          <w:rFonts w:eastAsia="Times New Roman"/>
          <w:sz w:val="20"/>
          <w:szCs w:val="20"/>
        </w:rPr>
        <w:t>nd to develop new and enhanced applications to meet the needs of our customers</w:t>
      </w:r>
      <w:r>
        <w:rPr>
          <w:rFonts w:eastAsia="Times New Roman"/>
          <w:sz w:val="20"/>
          <w:szCs w:val="20"/>
        </w:rPr>
        <w:t>;</w:t>
      </w:r>
    </w:p>
    <w:p w:rsidR="00000000" w:rsidRDefault="00805FA0">
      <w:pPr>
        <w:divId w:val="2014069984"/>
        <w:rPr>
          <w:rFonts w:eastAsia="Times New Roman"/>
        </w:rPr>
      </w:pPr>
      <w:r>
        <w:rPr>
          <w:rFonts w:eastAsia="Times New Roman"/>
          <w:sz w:val="20"/>
          <w:szCs w:val="20"/>
        </w:rPr>
        <w:t>•</w:t>
      </w:r>
    </w:p>
    <w:p w:rsidR="00000000" w:rsidRDefault="00805FA0">
      <w:pPr>
        <w:divId w:val="1392194016"/>
        <w:rPr>
          <w:rFonts w:eastAsia="Times New Roman"/>
        </w:rPr>
      </w:pPr>
      <w:r>
        <w:rPr>
          <w:rFonts w:eastAsia="Times New Roman"/>
          <w:sz w:val="20"/>
          <w:szCs w:val="20"/>
        </w:rPr>
        <w:t>our ability to maintain our brand and inbound marketing, selling and servicing thought leadership position</w:t>
      </w:r>
      <w:r>
        <w:rPr>
          <w:rFonts w:eastAsia="Times New Roman"/>
          <w:sz w:val="20"/>
          <w:szCs w:val="20"/>
        </w:rPr>
        <w:t>;</w:t>
      </w:r>
    </w:p>
    <w:p w:rsidR="00000000" w:rsidRDefault="00805FA0">
      <w:pPr>
        <w:divId w:val="416632012"/>
        <w:rPr>
          <w:rFonts w:eastAsia="Times New Roman"/>
        </w:rPr>
      </w:pPr>
      <w:r>
        <w:rPr>
          <w:rFonts w:eastAsia="Times New Roman"/>
          <w:sz w:val="20"/>
          <w:szCs w:val="20"/>
        </w:rPr>
        <w:t>•</w:t>
      </w:r>
    </w:p>
    <w:p w:rsidR="00000000" w:rsidRDefault="00805FA0">
      <w:pPr>
        <w:divId w:val="1787574977"/>
        <w:rPr>
          <w:rFonts w:eastAsia="Times New Roman"/>
        </w:rPr>
      </w:pPr>
      <w:r>
        <w:rPr>
          <w:rFonts w:eastAsia="Times New Roman"/>
          <w:sz w:val="20"/>
          <w:szCs w:val="20"/>
        </w:rPr>
        <w:t xml:space="preserve">the impact of our corporate culture and our ability to attract, </w:t>
      </w:r>
      <w:r>
        <w:rPr>
          <w:rFonts w:eastAsia="Times New Roman"/>
          <w:sz w:val="20"/>
          <w:szCs w:val="20"/>
        </w:rPr>
        <w:t>hire and retain necessary qualified employees to expand our operations</w:t>
      </w:r>
      <w:r>
        <w:rPr>
          <w:rFonts w:eastAsia="Times New Roman"/>
          <w:sz w:val="20"/>
          <w:szCs w:val="20"/>
        </w:rPr>
        <w:t>;</w:t>
      </w:r>
    </w:p>
    <w:p w:rsidR="00000000" w:rsidRDefault="00805FA0">
      <w:pPr>
        <w:divId w:val="1665548218"/>
        <w:rPr>
          <w:rFonts w:eastAsia="Times New Roman"/>
        </w:rPr>
      </w:pPr>
      <w:r>
        <w:rPr>
          <w:rFonts w:eastAsia="Times New Roman"/>
          <w:sz w:val="20"/>
          <w:szCs w:val="20"/>
        </w:rPr>
        <w:t>•</w:t>
      </w:r>
    </w:p>
    <w:p w:rsidR="00000000" w:rsidRDefault="00805FA0">
      <w:pPr>
        <w:divId w:val="1501578884"/>
        <w:rPr>
          <w:rFonts w:eastAsia="Times New Roman"/>
        </w:rPr>
      </w:pPr>
      <w:r>
        <w:rPr>
          <w:rFonts w:eastAsia="Times New Roman"/>
          <w:sz w:val="20"/>
          <w:szCs w:val="20"/>
        </w:rPr>
        <w:t>the anticipated effect on our business of litigation to which we are or may become a party</w:t>
      </w:r>
      <w:r>
        <w:rPr>
          <w:rFonts w:eastAsia="Times New Roman"/>
          <w:sz w:val="20"/>
          <w:szCs w:val="20"/>
        </w:rPr>
        <w:t>;</w:t>
      </w:r>
    </w:p>
    <w:p w:rsidR="00000000" w:rsidRDefault="00805FA0">
      <w:pPr>
        <w:divId w:val="1717003204"/>
        <w:rPr>
          <w:rFonts w:eastAsia="Times New Roman"/>
        </w:rPr>
      </w:pPr>
      <w:r>
        <w:rPr>
          <w:rFonts w:eastAsia="Times New Roman"/>
          <w:sz w:val="20"/>
          <w:szCs w:val="20"/>
        </w:rPr>
        <w:t>•</w:t>
      </w:r>
    </w:p>
    <w:p w:rsidR="00000000" w:rsidRDefault="00805FA0">
      <w:pPr>
        <w:divId w:val="1707174935"/>
        <w:rPr>
          <w:rFonts w:eastAsia="Times New Roman"/>
        </w:rPr>
      </w:pPr>
      <w:r>
        <w:rPr>
          <w:rFonts w:eastAsia="Times New Roman"/>
          <w:sz w:val="20"/>
          <w:szCs w:val="20"/>
        </w:rPr>
        <w:t>our ability to successfully acquire and integrate companies and assets</w:t>
      </w:r>
      <w:r>
        <w:rPr>
          <w:rFonts w:eastAsia="Times New Roman"/>
          <w:sz w:val="20"/>
          <w:szCs w:val="20"/>
        </w:rPr>
        <w:t>;</w:t>
      </w:r>
    </w:p>
    <w:p w:rsidR="00000000" w:rsidRDefault="00805FA0">
      <w:pPr>
        <w:divId w:val="831682698"/>
        <w:rPr>
          <w:rFonts w:eastAsia="Times New Roman"/>
        </w:rPr>
      </w:pPr>
      <w:r>
        <w:rPr>
          <w:rFonts w:eastAsia="Times New Roman"/>
          <w:sz w:val="20"/>
          <w:szCs w:val="20"/>
        </w:rPr>
        <w:lastRenderedPageBreak/>
        <w:t>•</w:t>
      </w:r>
    </w:p>
    <w:p w:rsidR="00000000" w:rsidRDefault="00805FA0">
      <w:pPr>
        <w:divId w:val="207183336"/>
        <w:rPr>
          <w:rFonts w:eastAsia="Times New Roman"/>
        </w:rPr>
      </w:pPr>
      <w:r>
        <w:rPr>
          <w:rFonts w:eastAsia="Times New Roman"/>
          <w:sz w:val="20"/>
          <w:szCs w:val="20"/>
        </w:rPr>
        <w:t>our plans regarding declaring or paying cash dividends in the foreseeable future; an</w:t>
      </w:r>
      <w:r>
        <w:rPr>
          <w:rFonts w:eastAsia="Times New Roman"/>
          <w:sz w:val="20"/>
          <w:szCs w:val="20"/>
        </w:rPr>
        <w:t>d</w:t>
      </w:r>
    </w:p>
    <w:p w:rsidR="00000000" w:rsidRDefault="00805FA0">
      <w:pPr>
        <w:divId w:val="486094408"/>
        <w:rPr>
          <w:rFonts w:eastAsia="Times New Roman"/>
        </w:rPr>
      </w:pPr>
      <w:r>
        <w:rPr>
          <w:rFonts w:eastAsia="Times New Roman"/>
          <w:sz w:val="20"/>
          <w:szCs w:val="20"/>
        </w:rPr>
        <w:t>•</w:t>
      </w:r>
    </w:p>
    <w:p w:rsidR="00000000" w:rsidRDefault="00805FA0">
      <w:pPr>
        <w:divId w:val="1710301827"/>
        <w:rPr>
          <w:rFonts w:eastAsia="Times New Roman"/>
        </w:rPr>
      </w:pPr>
      <w:r>
        <w:rPr>
          <w:rFonts w:eastAsia="Times New Roman"/>
          <w:sz w:val="20"/>
          <w:szCs w:val="20"/>
        </w:rPr>
        <w:t>our ability to stay abreast of new or modified laws and regulations that currently apply or be</w:t>
      </w:r>
      <w:r>
        <w:rPr>
          <w:rFonts w:eastAsia="Times New Roman"/>
          <w:sz w:val="20"/>
          <w:szCs w:val="20"/>
        </w:rPr>
        <w:t>come applicable to our business both in the United States and internationally</w:t>
      </w:r>
      <w:r>
        <w:rPr>
          <w:rFonts w:eastAsia="Times New Roman"/>
          <w:sz w:val="20"/>
          <w:szCs w:val="20"/>
        </w:rPr>
        <w:t>.</w:t>
      </w:r>
    </w:p>
    <w:p w:rsidR="00000000" w:rsidRDefault="00805FA0">
      <w:pPr>
        <w:pStyle w:val="a3"/>
        <w:spacing w:before="200" w:beforeAutospacing="0" w:after="120" w:afterAutospacing="0"/>
        <w:ind w:firstLine="555"/>
        <w:rPr>
          <w:sz w:val="20"/>
          <w:szCs w:val="20"/>
        </w:rPr>
      </w:pPr>
      <w:r>
        <w:rPr>
          <w:sz w:val="20"/>
          <w:szCs w:val="20"/>
        </w:rPr>
        <w:t>We caution you that the foregoing list may not contain all of the forward-looking statements made in this Quarterly Report on Form 10-Q</w:t>
      </w:r>
      <w:r>
        <w:rPr>
          <w:sz w:val="20"/>
          <w:szCs w:val="20"/>
        </w:rPr>
        <w:t>.</w:t>
      </w:r>
    </w:p>
    <w:p w:rsidR="00000000" w:rsidRDefault="00805FA0">
      <w:pPr>
        <w:pStyle w:val="a3"/>
        <w:spacing w:before="200" w:beforeAutospacing="0" w:after="120" w:afterAutospacing="0"/>
        <w:ind w:firstLine="555"/>
        <w:rPr>
          <w:sz w:val="20"/>
          <w:szCs w:val="20"/>
        </w:rPr>
      </w:pPr>
      <w:r>
        <w:rPr>
          <w:sz w:val="20"/>
          <w:szCs w:val="20"/>
        </w:rPr>
        <w:t xml:space="preserve">You should not rely upon forward-looking statements as predictions of future events. We have based the forward-looking </w:t>
      </w:r>
      <w:r>
        <w:rPr>
          <w:sz w:val="20"/>
          <w:szCs w:val="20"/>
        </w:rPr>
        <w:t>statements contained in this Quarterly Report on Form 10-Q primarily on our current expectations and projections about future events and trends that we believe may affect our business, financial condition, results of operations and prospects. The outcome o</w:t>
      </w:r>
      <w:r>
        <w:rPr>
          <w:sz w:val="20"/>
          <w:szCs w:val="20"/>
        </w:rPr>
        <w:t>f the events described in these forward-looking statements is subject to risks, uncertainties and other factors described in “Risk Factors” and elsewhere in this Quarterly Report on Form 10-Q. Moreover, we operate in a very competitive and rapidly changing</w:t>
      </w:r>
      <w:r>
        <w:rPr>
          <w:sz w:val="20"/>
          <w:szCs w:val="20"/>
        </w:rPr>
        <w:t xml:space="preserve"> environment. New risks and uncertainties emerge from time to time, and it is not possible for us to predict all risks and uncertainties that could have an impact on the forward-looking statements contained in this Quarterly Report on Form 10-Q. The result</w:t>
      </w:r>
      <w:r>
        <w:rPr>
          <w:sz w:val="20"/>
          <w:szCs w:val="20"/>
        </w:rPr>
        <w:t>s, events and circumstances reflected in the forward-looking statements may not be achieved or occur, and actual results, events or circumstances could differ materially from those described in the forward-looking statements</w:t>
      </w:r>
      <w:r>
        <w:rPr>
          <w:sz w:val="20"/>
          <w:szCs w:val="20"/>
        </w:rPr>
        <w:t>.</w:t>
      </w:r>
    </w:p>
    <w:p w:rsidR="00000000" w:rsidRDefault="00805FA0">
      <w:pPr>
        <w:pStyle w:val="a3"/>
        <w:spacing w:before="240" w:beforeAutospacing="0" w:after="0" w:afterAutospacing="0"/>
        <w:jc w:val="center"/>
        <w:rPr>
          <w:sz w:val="20"/>
          <w:szCs w:val="20"/>
        </w:rPr>
      </w:pPr>
      <w:r>
        <w:rPr>
          <w:sz w:val="20"/>
          <w:szCs w:val="20"/>
        </w:rPr>
        <w:t>3</w:t>
      </w:r>
    </w:p>
    <w:p w:rsidR="00000000" w:rsidRDefault="00805FA0">
      <w:pPr>
        <w:rPr>
          <w:rFonts w:eastAsia="Times New Roman"/>
        </w:rPr>
      </w:pPr>
      <w:r>
        <w:rPr>
          <w:rFonts w:eastAsia="Times New Roman"/>
        </w:rPr>
        <w:pict>
          <v:rect id="_x0000_i1027"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120" w:afterAutospacing="0"/>
        <w:ind w:firstLine="555"/>
        <w:rPr>
          <w:sz w:val="20"/>
          <w:szCs w:val="20"/>
        </w:rPr>
      </w:pPr>
      <w:r>
        <w:rPr>
          <w:sz w:val="20"/>
          <w:szCs w:val="20"/>
        </w:rPr>
        <w:t xml:space="preserve">The forward-looking statements made in this Quarterly Report on Form 10-Q relate only to events as of the date on which the statements are made. We undertake no obligation to update any forward-looking statements made in this Quarterly Report on </w:t>
      </w:r>
      <w:r>
        <w:rPr>
          <w:sz w:val="20"/>
          <w:szCs w:val="20"/>
        </w:rPr>
        <w:t>Form 10-Q to reflect events or circumstances after the date of this Quarterly Report on Form 10-Q or to reflect new information or the occurrence of unanticipated events, except as required by law</w:t>
      </w:r>
      <w:r>
        <w:rPr>
          <w:sz w:val="20"/>
          <w:szCs w:val="20"/>
        </w:rPr>
        <w:t>.</w:t>
      </w:r>
    </w:p>
    <w:p w:rsidR="00000000" w:rsidRDefault="00805FA0">
      <w:pPr>
        <w:pStyle w:val="a3"/>
        <w:spacing w:before="200" w:beforeAutospacing="0" w:after="120" w:afterAutospacing="0"/>
        <w:ind w:firstLine="555"/>
        <w:rPr>
          <w:sz w:val="20"/>
          <w:szCs w:val="20"/>
        </w:rPr>
      </w:pPr>
      <w:r>
        <w:rPr>
          <w:sz w:val="20"/>
          <w:szCs w:val="20"/>
        </w:rPr>
        <w:t>We may not actually achieve the plans, intentions or expec</w:t>
      </w:r>
      <w:r>
        <w:rPr>
          <w:sz w:val="20"/>
          <w:szCs w:val="20"/>
        </w:rPr>
        <w:t>tations disclosed in our forward-looking statements and you should not place undue reliance on our forward-looking statements. Our forward-looking statements do not reflect the potential impact of any future acquisitions, mergers, dispositions, joint ventu</w:t>
      </w:r>
      <w:r>
        <w:rPr>
          <w:sz w:val="20"/>
          <w:szCs w:val="20"/>
        </w:rPr>
        <w:t>res or investments we may make</w:t>
      </w:r>
      <w:r>
        <w:rPr>
          <w:sz w:val="20"/>
          <w:szCs w:val="20"/>
        </w:rPr>
        <w:t>.</w:t>
      </w:r>
    </w:p>
    <w:p w:rsidR="00000000" w:rsidRDefault="00805FA0">
      <w:pPr>
        <w:pStyle w:val="a3"/>
        <w:spacing w:before="200" w:beforeAutospacing="0" w:after="0" w:afterAutospacing="0"/>
        <w:ind w:firstLine="555"/>
        <w:rPr>
          <w:sz w:val="20"/>
          <w:szCs w:val="20"/>
        </w:rPr>
      </w:pPr>
      <w:r>
        <w:rPr>
          <w:sz w:val="20"/>
          <w:szCs w:val="20"/>
        </w:rPr>
        <w:t>In this Quarterly Report on Form 10-Q, the terms “HubSpot,” “we,” “us,” and “our” refer to HubSpot, Inc. and its subsidiaries, unless the context indicates otherwise</w:t>
      </w:r>
      <w:r>
        <w:rPr>
          <w:sz w:val="20"/>
          <w:szCs w:val="20"/>
        </w:rPr>
        <w:t>.</w:t>
      </w:r>
    </w:p>
    <w:p w:rsidR="00000000" w:rsidRDefault="00805FA0">
      <w:pPr>
        <w:pStyle w:val="a3"/>
        <w:spacing w:before="200" w:beforeAutospacing="0" w:after="0" w:afterAutospacing="0"/>
        <w:ind w:hanging="1220"/>
        <w:rPr>
          <w:sz w:val="20"/>
          <w:szCs w:val="20"/>
        </w:rPr>
      </w:pPr>
      <w:r>
        <w:rPr>
          <w:b/>
          <w:bCs/>
          <w:sz w:val="20"/>
          <w:szCs w:val="20"/>
        </w:rPr>
        <w:t>Risk Factor Summar</w:t>
      </w:r>
      <w:r>
        <w:rPr>
          <w:b/>
          <w:bCs/>
          <w:sz w:val="20"/>
          <w:szCs w:val="20"/>
        </w:rPr>
        <w:t>y</w:t>
      </w:r>
      <w:r>
        <w:rPr>
          <w:b/>
          <w:bCs/>
          <w:sz w:val="20"/>
          <w:szCs w:val="20"/>
        </w:rPr>
        <w:t xml:space="preserve"> </w:t>
      </w:r>
    </w:p>
    <w:p w:rsidR="00000000" w:rsidRDefault="00805FA0">
      <w:pPr>
        <w:pStyle w:val="a3"/>
        <w:spacing w:before="200" w:beforeAutospacing="0" w:after="0" w:afterAutospacing="0"/>
        <w:ind w:firstLine="816"/>
        <w:rPr>
          <w:sz w:val="20"/>
          <w:szCs w:val="20"/>
        </w:rPr>
      </w:pPr>
      <w:r>
        <w:rPr>
          <w:i/>
          <w:iCs/>
          <w:sz w:val="20"/>
          <w:szCs w:val="20"/>
        </w:rPr>
        <w:t>The risk factors detailed in Item 1A</w:t>
      </w:r>
      <w:r>
        <w:rPr>
          <w:i/>
          <w:iCs/>
          <w:sz w:val="20"/>
          <w:szCs w:val="20"/>
        </w:rPr>
        <w:t xml:space="preserve"> entitled “Risk Factors” in this Quarterly Report on Form 10-Q are the risks that we believe are material to our investors and a reader should carefully consider them. Those risks are not all of the risks we face and other factors not presently known to us</w:t>
      </w:r>
      <w:r>
        <w:rPr>
          <w:i/>
          <w:iCs/>
          <w:sz w:val="20"/>
          <w:szCs w:val="20"/>
        </w:rPr>
        <w:t xml:space="preserve"> or that we currently believe are immaterial may also affect our business if they occur. The following is a summary of the risk factors detailed in Item 1A</w:t>
      </w:r>
      <w:r>
        <w:rPr>
          <w:i/>
          <w:iCs/>
          <w:sz w:val="20"/>
          <w:szCs w:val="20"/>
        </w:rPr>
        <w:t>:</w:t>
      </w:r>
    </w:p>
    <w:p w:rsidR="00000000" w:rsidRDefault="00805FA0">
      <w:pPr>
        <w:divId w:val="1988902022"/>
        <w:rPr>
          <w:rFonts w:eastAsia="Times New Roman"/>
        </w:rPr>
      </w:pPr>
      <w:r>
        <w:rPr>
          <w:rFonts w:eastAsia="Times New Roman"/>
          <w:sz w:val="20"/>
          <w:szCs w:val="20"/>
        </w:rPr>
        <w:t>•</w:t>
      </w:r>
    </w:p>
    <w:p w:rsidR="00000000" w:rsidRDefault="00805FA0">
      <w:pPr>
        <w:divId w:val="1889102552"/>
        <w:rPr>
          <w:rFonts w:eastAsia="Times New Roman"/>
        </w:rPr>
      </w:pPr>
      <w:r>
        <w:rPr>
          <w:rFonts w:eastAsia="Times New Roman"/>
          <w:sz w:val="20"/>
          <w:szCs w:val="20"/>
        </w:rPr>
        <w:t>We are dependent upon customer renewals, the addition of new customers, increased revenue from ex</w:t>
      </w:r>
      <w:r>
        <w:rPr>
          <w:rFonts w:eastAsia="Times New Roman"/>
          <w:sz w:val="20"/>
          <w:szCs w:val="20"/>
        </w:rPr>
        <w:t>isting customers and the continued growth of the market for a CRM Platform</w:t>
      </w:r>
      <w:r>
        <w:rPr>
          <w:rFonts w:eastAsia="Times New Roman"/>
          <w:sz w:val="20"/>
          <w:szCs w:val="20"/>
        </w:rPr>
        <w:t>.</w:t>
      </w:r>
    </w:p>
    <w:p w:rsidR="00000000" w:rsidRDefault="00805FA0">
      <w:pPr>
        <w:divId w:val="12196296"/>
        <w:rPr>
          <w:rFonts w:eastAsia="Times New Roman"/>
        </w:rPr>
      </w:pPr>
      <w:r>
        <w:rPr>
          <w:rFonts w:eastAsia="Times New Roman"/>
          <w:sz w:val="20"/>
          <w:szCs w:val="20"/>
        </w:rPr>
        <w:t>•</w:t>
      </w:r>
    </w:p>
    <w:p w:rsidR="00000000" w:rsidRDefault="00805FA0">
      <w:pPr>
        <w:divId w:val="2100439386"/>
        <w:rPr>
          <w:rFonts w:eastAsia="Times New Roman"/>
        </w:rPr>
      </w:pPr>
      <w:r>
        <w:rPr>
          <w:rFonts w:eastAsia="Times New Roman"/>
          <w:sz w:val="20"/>
          <w:szCs w:val="20"/>
        </w:rPr>
        <w:t>We face significant competition from both established and new companies offering marketing, sales and customer service software and other related applications, as well as interna</w:t>
      </w:r>
      <w:r>
        <w:rPr>
          <w:rFonts w:eastAsia="Times New Roman"/>
          <w:sz w:val="20"/>
          <w:szCs w:val="20"/>
        </w:rPr>
        <w:t>lly developed software, which may harm our ability to add new customers, retain existing customers and grow our business</w:t>
      </w:r>
      <w:r>
        <w:rPr>
          <w:rFonts w:eastAsia="Times New Roman"/>
          <w:sz w:val="20"/>
          <w:szCs w:val="20"/>
        </w:rPr>
        <w:t>.</w:t>
      </w:r>
    </w:p>
    <w:p w:rsidR="00000000" w:rsidRDefault="00805FA0">
      <w:pPr>
        <w:divId w:val="501311756"/>
        <w:rPr>
          <w:rFonts w:eastAsia="Times New Roman"/>
        </w:rPr>
      </w:pPr>
      <w:r>
        <w:rPr>
          <w:rFonts w:eastAsia="Times New Roman"/>
          <w:sz w:val="20"/>
          <w:szCs w:val="20"/>
        </w:rPr>
        <w:t>•</w:t>
      </w:r>
    </w:p>
    <w:p w:rsidR="00000000" w:rsidRDefault="00805FA0">
      <w:pPr>
        <w:divId w:val="310796028"/>
        <w:rPr>
          <w:rFonts w:eastAsia="Times New Roman"/>
        </w:rPr>
      </w:pPr>
      <w:r>
        <w:rPr>
          <w:rFonts w:eastAsia="Times New Roman"/>
          <w:sz w:val="20"/>
          <w:szCs w:val="20"/>
        </w:rPr>
        <w:t>Failure to effectively develop and expand our marketing, sales, customer service, operations, and content management capabilities co</w:t>
      </w:r>
      <w:r>
        <w:rPr>
          <w:rFonts w:eastAsia="Times New Roman"/>
          <w:sz w:val="20"/>
          <w:szCs w:val="20"/>
        </w:rPr>
        <w:t>uld harm our ability to increase our customer base and achieve broader market acceptance of our platform</w:t>
      </w:r>
      <w:r>
        <w:rPr>
          <w:rFonts w:eastAsia="Times New Roman"/>
          <w:sz w:val="20"/>
          <w:szCs w:val="20"/>
        </w:rPr>
        <w:t>.</w:t>
      </w:r>
    </w:p>
    <w:p w:rsidR="00000000" w:rsidRDefault="00805FA0">
      <w:pPr>
        <w:divId w:val="315645858"/>
        <w:rPr>
          <w:rFonts w:eastAsia="Times New Roman"/>
        </w:rPr>
      </w:pPr>
      <w:r>
        <w:rPr>
          <w:rFonts w:eastAsia="Times New Roman"/>
          <w:sz w:val="20"/>
          <w:szCs w:val="20"/>
        </w:rPr>
        <w:lastRenderedPageBreak/>
        <w:t>•</w:t>
      </w:r>
    </w:p>
    <w:p w:rsidR="00000000" w:rsidRDefault="00805FA0">
      <w:pPr>
        <w:divId w:val="167840866"/>
        <w:rPr>
          <w:rFonts w:eastAsia="Times New Roman"/>
        </w:rPr>
      </w:pPr>
      <w:r>
        <w:rPr>
          <w:rFonts w:eastAsia="Times New Roman"/>
          <w:sz w:val="20"/>
          <w:szCs w:val="20"/>
        </w:rPr>
        <w:t>If we fail to adapt and respond effectively to rapidly changing technology, evolving industry standards and changing customer needs or requirements,</w:t>
      </w:r>
      <w:r>
        <w:rPr>
          <w:rFonts w:eastAsia="Times New Roman"/>
          <w:sz w:val="20"/>
          <w:szCs w:val="20"/>
        </w:rPr>
        <w:t xml:space="preserve"> our CRM Platform may become less competitive</w:t>
      </w:r>
      <w:r>
        <w:rPr>
          <w:rFonts w:eastAsia="Times New Roman"/>
          <w:sz w:val="20"/>
          <w:szCs w:val="20"/>
        </w:rPr>
        <w:t>.</w:t>
      </w:r>
    </w:p>
    <w:p w:rsidR="00000000" w:rsidRDefault="00805FA0">
      <w:pPr>
        <w:divId w:val="1174876083"/>
        <w:rPr>
          <w:rFonts w:eastAsia="Times New Roman"/>
        </w:rPr>
      </w:pPr>
      <w:r>
        <w:rPr>
          <w:rFonts w:eastAsia="Times New Roman"/>
          <w:sz w:val="20"/>
          <w:szCs w:val="20"/>
        </w:rPr>
        <w:t>•</w:t>
      </w:r>
    </w:p>
    <w:p w:rsidR="00000000" w:rsidRDefault="00805FA0">
      <w:pPr>
        <w:divId w:val="2025740269"/>
        <w:rPr>
          <w:rFonts w:eastAsia="Times New Roman"/>
        </w:rPr>
      </w:pPr>
      <w:r>
        <w:rPr>
          <w:rFonts w:eastAsia="Times New Roman"/>
          <w:sz w:val="20"/>
          <w:szCs w:val="20"/>
        </w:rPr>
        <w:t>Our ability to introduce new products and features is dependent on adequate research and development resources. If we do not adequately fund our research and development efforts, we may not be able to compet</w:t>
      </w:r>
      <w:r>
        <w:rPr>
          <w:rFonts w:eastAsia="Times New Roman"/>
          <w:sz w:val="20"/>
          <w:szCs w:val="20"/>
        </w:rPr>
        <w:t>e effectively and our business and operating results may be harmed</w:t>
      </w:r>
      <w:r>
        <w:rPr>
          <w:rFonts w:eastAsia="Times New Roman"/>
          <w:sz w:val="20"/>
          <w:szCs w:val="20"/>
        </w:rPr>
        <w:t>.</w:t>
      </w:r>
    </w:p>
    <w:p w:rsidR="00000000" w:rsidRDefault="00805FA0">
      <w:pPr>
        <w:divId w:val="721758037"/>
        <w:rPr>
          <w:rFonts w:eastAsia="Times New Roman"/>
        </w:rPr>
      </w:pPr>
      <w:r>
        <w:rPr>
          <w:rFonts w:eastAsia="Times New Roman"/>
          <w:sz w:val="20"/>
          <w:szCs w:val="20"/>
        </w:rPr>
        <w:t>•</w:t>
      </w:r>
    </w:p>
    <w:p w:rsidR="00000000" w:rsidRDefault="00805FA0">
      <w:pPr>
        <w:divId w:val="138155891"/>
        <w:rPr>
          <w:rFonts w:eastAsia="Times New Roman"/>
        </w:rPr>
      </w:pPr>
      <w:r>
        <w:rPr>
          <w:rFonts w:eastAsia="Times New Roman"/>
          <w:sz w:val="20"/>
          <w:szCs w:val="20"/>
        </w:rPr>
        <w:t>We are exposed to fluctuations in currency exchange rates that could adversely affect our financial results</w:t>
      </w:r>
      <w:r>
        <w:rPr>
          <w:rFonts w:eastAsia="Times New Roman"/>
          <w:sz w:val="20"/>
          <w:szCs w:val="20"/>
        </w:rPr>
        <w:t>.</w:t>
      </w:r>
    </w:p>
    <w:p w:rsidR="00000000" w:rsidRDefault="00805FA0">
      <w:pPr>
        <w:divId w:val="270207478"/>
        <w:rPr>
          <w:rFonts w:eastAsia="Times New Roman"/>
        </w:rPr>
      </w:pPr>
      <w:r>
        <w:rPr>
          <w:rFonts w:eastAsia="Times New Roman"/>
          <w:sz w:val="20"/>
          <w:szCs w:val="20"/>
        </w:rPr>
        <w:t>•</w:t>
      </w:r>
    </w:p>
    <w:p w:rsidR="00000000" w:rsidRDefault="00805FA0">
      <w:pPr>
        <w:divId w:val="34504233"/>
        <w:rPr>
          <w:rFonts w:eastAsia="Times New Roman"/>
        </w:rPr>
      </w:pPr>
      <w:r>
        <w:rPr>
          <w:rFonts w:eastAsia="Times New Roman"/>
          <w:sz w:val="20"/>
          <w:szCs w:val="20"/>
        </w:rPr>
        <w:t>The current economic downturn may lead to decreased demand for our products and services and otherwise harm our business and results of operation</w:t>
      </w:r>
      <w:r>
        <w:rPr>
          <w:rFonts w:eastAsia="Times New Roman"/>
          <w:sz w:val="20"/>
          <w:szCs w:val="20"/>
        </w:rPr>
        <w:t>s</w:t>
      </w:r>
      <w:r>
        <w:rPr>
          <w:rFonts w:eastAsia="Times New Roman"/>
          <w:sz w:val="20"/>
          <w:szCs w:val="20"/>
        </w:rPr>
        <w:t>.</w:t>
      </w:r>
    </w:p>
    <w:p w:rsidR="00000000" w:rsidRDefault="00805FA0">
      <w:pPr>
        <w:divId w:val="1136992611"/>
        <w:rPr>
          <w:rFonts w:eastAsia="Times New Roman"/>
        </w:rPr>
      </w:pPr>
      <w:r>
        <w:rPr>
          <w:rFonts w:eastAsia="Times New Roman"/>
          <w:sz w:val="20"/>
          <w:szCs w:val="20"/>
        </w:rPr>
        <w:t>•</w:t>
      </w:r>
    </w:p>
    <w:p w:rsidR="00000000" w:rsidRDefault="00805FA0">
      <w:pPr>
        <w:divId w:val="1049381311"/>
        <w:rPr>
          <w:rFonts w:eastAsia="Times New Roman"/>
        </w:rPr>
      </w:pPr>
      <w:r>
        <w:rPr>
          <w:rFonts w:eastAsia="Times New Roman"/>
          <w:sz w:val="20"/>
          <w:szCs w:val="20"/>
        </w:rPr>
        <w:t>Interruptions or delays in service from our third-party data center providers could impair our ability to deliver our platform to our customers, resulting in customer dissatisfaction, damage to our reputation, loss of customers, limited growth, and re</w:t>
      </w:r>
      <w:r>
        <w:rPr>
          <w:rFonts w:eastAsia="Times New Roman"/>
          <w:sz w:val="20"/>
          <w:szCs w:val="20"/>
        </w:rPr>
        <w:t>duction in revenue</w:t>
      </w:r>
      <w:r>
        <w:rPr>
          <w:rFonts w:eastAsia="Times New Roman"/>
          <w:sz w:val="20"/>
          <w:szCs w:val="20"/>
        </w:rPr>
        <w:t>.</w:t>
      </w:r>
    </w:p>
    <w:p w:rsidR="00000000" w:rsidRDefault="00805FA0">
      <w:pPr>
        <w:divId w:val="1269122110"/>
        <w:rPr>
          <w:rFonts w:eastAsia="Times New Roman"/>
        </w:rPr>
      </w:pPr>
      <w:r>
        <w:rPr>
          <w:rFonts w:eastAsia="Times New Roman"/>
          <w:sz w:val="20"/>
          <w:szCs w:val="20"/>
        </w:rPr>
        <w:t>•</w:t>
      </w:r>
    </w:p>
    <w:p w:rsidR="00000000" w:rsidRDefault="00805FA0">
      <w:pPr>
        <w:divId w:val="1671832253"/>
        <w:rPr>
          <w:rFonts w:eastAsia="Times New Roman"/>
        </w:rPr>
      </w:pPr>
      <w:r>
        <w:rPr>
          <w:rFonts w:eastAsia="Times New Roman"/>
          <w:sz w:val="20"/>
          <w:szCs w:val="20"/>
        </w:rPr>
        <w:t>If our CRM Platform has outages or fails due to defects or similar problems, and if we fail to correct any defect or other software problems, we could lose customers, become subject to service performance or warranty claims or incur s</w:t>
      </w:r>
      <w:r>
        <w:rPr>
          <w:rFonts w:eastAsia="Times New Roman"/>
          <w:sz w:val="20"/>
          <w:szCs w:val="20"/>
        </w:rPr>
        <w:t>ignificant costs</w:t>
      </w:r>
      <w:r>
        <w:rPr>
          <w:rFonts w:eastAsia="Times New Roman"/>
          <w:sz w:val="20"/>
          <w:szCs w:val="20"/>
        </w:rPr>
        <w:t>.</w:t>
      </w:r>
    </w:p>
    <w:p w:rsidR="00000000" w:rsidRDefault="00805FA0">
      <w:pPr>
        <w:divId w:val="267588371"/>
        <w:rPr>
          <w:rFonts w:eastAsia="Times New Roman"/>
        </w:rPr>
      </w:pPr>
      <w:r>
        <w:rPr>
          <w:rFonts w:eastAsia="Times New Roman"/>
          <w:sz w:val="20"/>
          <w:szCs w:val="20"/>
        </w:rPr>
        <w:t>•</w:t>
      </w:r>
    </w:p>
    <w:p w:rsidR="00000000" w:rsidRDefault="00805FA0">
      <w:pPr>
        <w:divId w:val="422459076"/>
        <w:rPr>
          <w:rFonts w:eastAsia="Times New Roman"/>
        </w:rPr>
      </w:pPr>
      <w:r>
        <w:rPr>
          <w:rFonts w:eastAsia="Times New Roman"/>
          <w:sz w:val="20"/>
          <w:szCs w:val="20"/>
        </w:rPr>
        <w:t xml:space="preserve">If our or our customers’ security measures are compromised or unauthorized access to data of our customers or their customers is otherwise obtained, our CRM Platform may be perceived as not being secure, our customers may be harmed and </w:t>
      </w:r>
      <w:r>
        <w:rPr>
          <w:rFonts w:eastAsia="Times New Roman"/>
          <w:sz w:val="20"/>
          <w:szCs w:val="20"/>
        </w:rPr>
        <w:t>may curtail or cease their use of our platform, our reputation may be damaged and we may incur significant liabilities</w:t>
      </w:r>
      <w:r>
        <w:rPr>
          <w:rFonts w:eastAsia="Times New Roman"/>
          <w:sz w:val="20"/>
          <w:szCs w:val="20"/>
        </w:rPr>
        <w:t>.</w:t>
      </w:r>
    </w:p>
    <w:p w:rsidR="00000000" w:rsidRDefault="00805FA0">
      <w:pPr>
        <w:divId w:val="129444985"/>
        <w:rPr>
          <w:rFonts w:eastAsia="Times New Roman"/>
        </w:rPr>
      </w:pPr>
      <w:r>
        <w:rPr>
          <w:rFonts w:eastAsia="Times New Roman"/>
          <w:sz w:val="20"/>
          <w:szCs w:val="20"/>
        </w:rPr>
        <w:t>•</w:t>
      </w:r>
    </w:p>
    <w:p w:rsidR="00000000" w:rsidRDefault="00805FA0">
      <w:pPr>
        <w:divId w:val="1526285003"/>
        <w:rPr>
          <w:rFonts w:eastAsia="Times New Roman"/>
        </w:rPr>
      </w:pPr>
      <w:r>
        <w:rPr>
          <w:rFonts w:eastAsia="Times New Roman"/>
          <w:sz w:val="20"/>
          <w:szCs w:val="20"/>
        </w:rPr>
        <w:t>We have a history of losses and may not achieve profitability in the future</w:t>
      </w:r>
      <w:r>
        <w:rPr>
          <w:rFonts w:eastAsia="Times New Roman"/>
          <w:sz w:val="20"/>
          <w:szCs w:val="20"/>
        </w:rPr>
        <w:t>.</w:t>
      </w:r>
    </w:p>
    <w:p w:rsidR="00000000" w:rsidRDefault="00805FA0">
      <w:pPr>
        <w:divId w:val="1501120056"/>
        <w:rPr>
          <w:rFonts w:eastAsia="Times New Roman"/>
        </w:rPr>
      </w:pPr>
      <w:r>
        <w:rPr>
          <w:rFonts w:eastAsia="Times New Roman"/>
          <w:sz w:val="20"/>
          <w:szCs w:val="20"/>
        </w:rPr>
        <w:t>•</w:t>
      </w:r>
    </w:p>
    <w:p w:rsidR="00000000" w:rsidRDefault="00805FA0">
      <w:pPr>
        <w:divId w:val="1170683416"/>
        <w:rPr>
          <w:rFonts w:eastAsia="Times New Roman"/>
        </w:rPr>
      </w:pPr>
      <w:r>
        <w:rPr>
          <w:rFonts w:eastAsia="Times New Roman"/>
          <w:sz w:val="20"/>
          <w:szCs w:val="20"/>
        </w:rPr>
        <w:t>We may experience quarterly fluctuations in our operati</w:t>
      </w:r>
      <w:r>
        <w:rPr>
          <w:rFonts w:eastAsia="Times New Roman"/>
          <w:sz w:val="20"/>
          <w:szCs w:val="20"/>
        </w:rPr>
        <w:t>ng results due to a number of factors, which makes our future results difficult to predict and could cause our operating results to fall below expectations or our guidance</w:t>
      </w:r>
      <w:r>
        <w:rPr>
          <w:rFonts w:eastAsia="Times New Roman"/>
          <w:sz w:val="20"/>
          <w:szCs w:val="20"/>
        </w:rPr>
        <w:t>.</w:t>
      </w:r>
    </w:p>
    <w:p w:rsidR="00000000" w:rsidRDefault="00805FA0">
      <w:pPr>
        <w:divId w:val="79720945"/>
        <w:rPr>
          <w:rFonts w:eastAsia="Times New Roman"/>
        </w:rPr>
      </w:pPr>
      <w:r>
        <w:rPr>
          <w:rFonts w:eastAsia="Times New Roman"/>
          <w:sz w:val="20"/>
          <w:szCs w:val="20"/>
        </w:rPr>
        <w:t>•</w:t>
      </w:r>
    </w:p>
    <w:p w:rsidR="00000000" w:rsidRDefault="00805FA0">
      <w:pPr>
        <w:divId w:val="1658999727"/>
        <w:rPr>
          <w:rFonts w:eastAsia="Times New Roman"/>
        </w:rPr>
      </w:pPr>
      <w:r>
        <w:rPr>
          <w:rFonts w:eastAsia="Times New Roman"/>
          <w:sz w:val="20"/>
          <w:szCs w:val="20"/>
        </w:rPr>
        <w:t>If we do not accurately predict subscription renewal rates or otherwise fail to f</w:t>
      </w:r>
      <w:r>
        <w:rPr>
          <w:rFonts w:eastAsia="Times New Roman"/>
          <w:sz w:val="20"/>
          <w:szCs w:val="20"/>
        </w:rPr>
        <w:t>orecast our revenue accurately, or if we fail to match our expenditures with corresponding revenue, our operating results could be adversely affected</w:t>
      </w:r>
      <w:r>
        <w:rPr>
          <w:rFonts w:eastAsia="Times New Roman"/>
          <w:sz w:val="20"/>
          <w:szCs w:val="20"/>
        </w:rPr>
        <w:t>.</w:t>
      </w:r>
    </w:p>
    <w:p w:rsidR="00000000" w:rsidRDefault="00805FA0">
      <w:pPr>
        <w:divId w:val="775684214"/>
        <w:rPr>
          <w:rFonts w:eastAsia="Times New Roman"/>
        </w:rPr>
      </w:pPr>
      <w:r>
        <w:rPr>
          <w:rFonts w:eastAsia="Times New Roman"/>
          <w:sz w:val="20"/>
          <w:szCs w:val="20"/>
        </w:rPr>
        <w:t>•</w:t>
      </w:r>
    </w:p>
    <w:p w:rsidR="00000000" w:rsidRDefault="00805FA0">
      <w:pPr>
        <w:divId w:val="1168792794"/>
        <w:rPr>
          <w:rFonts w:eastAsia="Times New Roman"/>
        </w:rPr>
      </w:pPr>
      <w:r>
        <w:rPr>
          <w:rFonts w:eastAsia="Times New Roman"/>
          <w:sz w:val="20"/>
          <w:szCs w:val="20"/>
        </w:rPr>
        <w:t>Our ability to raise capital in the future may be limited, and our failure to raise capital when needed</w:t>
      </w:r>
      <w:r>
        <w:rPr>
          <w:rFonts w:eastAsia="Times New Roman"/>
          <w:sz w:val="20"/>
          <w:szCs w:val="20"/>
        </w:rPr>
        <w:t xml:space="preserve"> could prevent us from growing</w:t>
      </w:r>
      <w:r>
        <w:rPr>
          <w:rFonts w:eastAsia="Times New Roman"/>
          <w:sz w:val="20"/>
          <w:szCs w:val="20"/>
        </w:rPr>
        <w:t>.</w:t>
      </w:r>
    </w:p>
    <w:p w:rsidR="00000000" w:rsidRDefault="00805FA0">
      <w:pPr>
        <w:pStyle w:val="a3"/>
        <w:spacing w:before="240" w:beforeAutospacing="0" w:after="0" w:afterAutospacing="0"/>
        <w:jc w:val="center"/>
        <w:rPr>
          <w:sz w:val="20"/>
          <w:szCs w:val="20"/>
        </w:rPr>
      </w:pPr>
      <w:r>
        <w:rPr>
          <w:sz w:val="20"/>
          <w:szCs w:val="20"/>
        </w:rPr>
        <w:t>4</w:t>
      </w:r>
    </w:p>
    <w:p w:rsidR="00000000" w:rsidRDefault="00805FA0">
      <w:pPr>
        <w:rPr>
          <w:rFonts w:eastAsia="Times New Roman"/>
        </w:rPr>
      </w:pPr>
      <w:r>
        <w:rPr>
          <w:rFonts w:eastAsia="Times New Roman"/>
        </w:rPr>
        <w:pict>
          <v:rect id="_x0000_i1028"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20"/>
          <w:szCs w:val="20"/>
        </w:rPr>
        <w:t>PART I — Financ</w:t>
      </w:r>
      <w:r>
        <w:rPr>
          <w:b/>
          <w:bCs/>
          <w:sz w:val="20"/>
          <w:szCs w:val="20"/>
        </w:rPr>
        <w:t>i</w:t>
      </w:r>
      <w:r>
        <w:rPr>
          <w:b/>
          <w:bCs/>
          <w:sz w:val="20"/>
          <w:szCs w:val="20"/>
        </w:rPr>
        <w:t>al Informatio</w:t>
      </w:r>
      <w:r>
        <w:rPr>
          <w:b/>
          <w:bCs/>
          <w:sz w:val="20"/>
          <w:szCs w:val="20"/>
        </w:rPr>
        <w:t>n</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ind w:hanging="1220"/>
        <w:rPr>
          <w:sz w:val="20"/>
          <w:szCs w:val="20"/>
        </w:rPr>
      </w:pPr>
      <w:r>
        <w:rPr>
          <w:b/>
          <w:bCs/>
          <w:sz w:val="20"/>
          <w:szCs w:val="20"/>
        </w:rPr>
        <w:t>Item 1. Financ</w:t>
      </w:r>
      <w:r>
        <w:rPr>
          <w:b/>
          <w:bCs/>
          <w:sz w:val="20"/>
          <w:szCs w:val="20"/>
        </w:rPr>
        <w:t>i</w:t>
      </w:r>
      <w:r>
        <w:rPr>
          <w:b/>
          <w:bCs/>
          <w:sz w:val="20"/>
          <w:szCs w:val="20"/>
        </w:rPr>
        <w:t>al Statement</w:t>
      </w:r>
      <w:r>
        <w:rPr>
          <w:b/>
          <w:bCs/>
          <w:sz w:val="20"/>
          <w:szCs w:val="20"/>
        </w:rPr>
        <w:t>s</w:t>
      </w:r>
    </w:p>
    <w:p w:rsidR="00000000" w:rsidRDefault="00805FA0">
      <w:pPr>
        <w:pStyle w:val="a3"/>
        <w:spacing w:before="240" w:beforeAutospacing="0" w:after="0" w:afterAutospacing="0"/>
        <w:jc w:val="center"/>
        <w:rPr>
          <w:sz w:val="20"/>
          <w:szCs w:val="20"/>
        </w:rPr>
      </w:pPr>
      <w:r>
        <w:rPr>
          <w:b/>
          <w:bCs/>
          <w:sz w:val="20"/>
          <w:szCs w:val="20"/>
        </w:rPr>
        <w:t>HubSpot, Inc</w:t>
      </w:r>
      <w:r>
        <w:rPr>
          <w:b/>
          <w:bCs/>
          <w:sz w:val="20"/>
          <w:szCs w:val="20"/>
        </w:rPr>
        <w:t>.</w:t>
      </w:r>
    </w:p>
    <w:p w:rsidR="00000000" w:rsidRDefault="00805FA0">
      <w:pPr>
        <w:pStyle w:val="a3"/>
        <w:spacing w:before="0" w:beforeAutospacing="0" w:after="0" w:afterAutospacing="0"/>
        <w:jc w:val="center"/>
        <w:rPr>
          <w:sz w:val="20"/>
          <w:szCs w:val="20"/>
        </w:rPr>
      </w:pPr>
      <w:r>
        <w:rPr>
          <w:b/>
          <w:bCs/>
          <w:sz w:val="20"/>
          <w:szCs w:val="20"/>
        </w:rPr>
        <w:t>Unaudited Consolid</w:t>
      </w:r>
      <w:r>
        <w:rPr>
          <w:b/>
          <w:bCs/>
          <w:sz w:val="20"/>
          <w:szCs w:val="20"/>
        </w:rPr>
        <w:t>a</w:t>
      </w:r>
      <w:r>
        <w:rPr>
          <w:b/>
          <w:bCs/>
          <w:sz w:val="20"/>
          <w:szCs w:val="20"/>
        </w:rPr>
        <w:t>ted Balance Sheet</w:t>
      </w:r>
      <w:r>
        <w:rPr>
          <w:b/>
          <w:bCs/>
          <w:sz w:val="20"/>
          <w:szCs w:val="20"/>
        </w:rPr>
        <w:t>s</w:t>
      </w:r>
    </w:p>
    <w:p w:rsidR="00000000" w:rsidRDefault="00805FA0">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805FA0">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3"/>
        <w:gridCol w:w="128"/>
        <w:gridCol w:w="160"/>
        <w:gridCol w:w="1039"/>
        <w:gridCol w:w="127"/>
        <w:gridCol w:w="128"/>
        <w:gridCol w:w="160"/>
        <w:gridCol w:w="1039"/>
        <w:gridCol w:w="142"/>
      </w:tblGrid>
      <w:tr w:rsidR="00000000">
        <w:trPr>
          <w:tblCellSpacing w:w="15" w:type="dxa"/>
        </w:trPr>
        <w:tc>
          <w:tcPr>
            <w:tcW w:w="3348" w:type="pct"/>
            <w:vAlign w:val="center"/>
            <w:hideMark/>
          </w:tcPr>
          <w:p w:rsidR="00000000" w:rsidRDefault="00805FA0">
            <w:pPr>
              <w:rPr>
                <w:sz w:val="20"/>
                <w:szCs w:val="20"/>
              </w:rPr>
            </w:pPr>
          </w:p>
        </w:tc>
        <w:tc>
          <w:tcPr>
            <w:tcW w:w="7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4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4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lastRenderedPageBreak/>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331,65</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377,01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Short-term investment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952,69</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820,96</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 xml:space="preserve">Accounts receivable — </w:t>
            </w:r>
            <w:r>
              <w:rPr>
                <w:sz w:val="20"/>
                <w:szCs w:val="20"/>
              </w:rPr>
              <w:t xml:space="preserve">net of allowance for doubtful accounts of </w:t>
            </w:r>
            <w:r>
              <w:rPr>
                <w:sz w:val="20"/>
                <w:szCs w:val="20"/>
              </w:rPr>
              <w:t>$</w:t>
            </w:r>
            <w:r>
              <w:rPr>
                <w:sz w:val="20"/>
                <w:szCs w:val="20"/>
              </w:rPr>
              <w:t>2,51</w:t>
            </w:r>
            <w:r>
              <w:rPr>
                <w:sz w:val="20"/>
                <w:szCs w:val="20"/>
              </w:rPr>
              <w:t>2</w:t>
            </w:r>
            <w:r>
              <w:rPr>
                <w:sz w:val="20"/>
                <w:szCs w:val="20"/>
              </w:rPr>
              <w:t> and</w:t>
            </w:r>
            <w:r>
              <w:rPr>
                <w:sz w:val="20"/>
                <w:szCs w:val="20"/>
              </w:rPr>
              <w:br/>
              <w:t>   </w:t>
            </w:r>
            <w:r>
              <w:rPr>
                <w:sz w:val="20"/>
                <w:szCs w:val="20"/>
              </w:rPr>
              <w:t>$</w:t>
            </w:r>
            <w:r>
              <w:rPr>
                <w:sz w:val="20"/>
                <w:szCs w:val="20"/>
              </w:rPr>
              <w:t>1,76</w:t>
            </w:r>
            <w:r>
              <w:rPr>
                <w:sz w:val="20"/>
                <w:szCs w:val="20"/>
              </w:rPr>
              <w:t>8</w:t>
            </w:r>
            <w:r>
              <w:rPr>
                <w:sz w:val="20"/>
                <w:szCs w:val="20"/>
              </w:rPr>
              <w:t> at September 30, 2022 and December 31, 2021, respectivel</w:t>
            </w:r>
            <w:r>
              <w:rPr>
                <w:sz w:val="20"/>
                <w:szCs w:val="20"/>
              </w:rPr>
              <w:t>y</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166,66</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157,36</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Deferred commission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65,01</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59,84</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Prepaid expenses and other current asset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45,06</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38,38</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Total current asset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1,561,09</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1,453,57</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Long-term investment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152,72</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174,89</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102,62</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96,13</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Capitalized software development costs, ne</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56,80</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39,85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Right-of-use asset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251,42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280,82</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Deferred commission expense, net of current portio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53,24</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42,68</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56,40</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29,24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17,59</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10,56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45,01</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47,07</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b/>
                <w:bCs/>
                <w:sz w:val="20"/>
                <w:szCs w:val="20"/>
              </w:rPr>
              <w:t>Total asset</w:t>
            </w:r>
            <w:r>
              <w:rPr>
                <w:b/>
                <w:bCs/>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2,296,91</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2,174,85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13,31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2,77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Accrued compensation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63,37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63,83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90,82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74,45</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Convertible senior note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19,63</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32,15</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26,36</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Deferred revenu</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468,53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430,41</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Total current liabilitie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668,20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617,47</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Operating lease liabilities, net of current portio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250,67</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283,87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5,18</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4,47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12,42</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12,13</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Convertible senior notes, net of current portio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453,72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383,10</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1,390,22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1,301,05</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Commitments and contingencies (Note 10</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Common stoc</w:t>
            </w:r>
            <w:r>
              <w:rPr>
                <w:sz w:val="20"/>
                <w:szCs w:val="20"/>
              </w:rPr>
              <w:t>k</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1,550,90</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1,436,08</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17,51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1,33</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626,74</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560,99</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Total stockholders’ equit</w:t>
            </w:r>
            <w:r>
              <w:rPr>
                <w:sz w:val="20"/>
                <w:szCs w:val="20"/>
              </w:rPr>
              <w:t>y</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906,69</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873,79</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b/>
                <w:bCs/>
                <w:sz w:val="20"/>
                <w:szCs w:val="20"/>
              </w:rPr>
              <w:t>Total liabilities and stockholders’ equit</w:t>
            </w:r>
            <w:r>
              <w:rPr>
                <w:b/>
                <w:bCs/>
                <w:sz w:val="20"/>
                <w:szCs w:val="20"/>
              </w:rPr>
              <w:t>y</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2,296,91</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2,174,85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805FA0">
      <w:pPr>
        <w:pStyle w:val="a3"/>
        <w:spacing w:before="240" w:beforeAutospacing="0" w:after="0" w:afterAutospacing="0"/>
        <w:jc w:val="center"/>
        <w:rPr>
          <w:sz w:val="20"/>
          <w:szCs w:val="20"/>
        </w:rPr>
      </w:pPr>
      <w:r>
        <w:rPr>
          <w:sz w:val="20"/>
          <w:szCs w:val="20"/>
        </w:rPr>
        <w:t>5</w:t>
      </w:r>
    </w:p>
    <w:p w:rsidR="00000000" w:rsidRDefault="00805FA0">
      <w:pPr>
        <w:rPr>
          <w:rFonts w:eastAsia="Times New Roman"/>
        </w:rPr>
      </w:pPr>
      <w:r>
        <w:rPr>
          <w:rFonts w:eastAsia="Times New Roman"/>
        </w:rPr>
        <w:pict>
          <v:rect id="_x0000_i1029"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05FA0">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Operation</w:t>
      </w:r>
      <w:r>
        <w:rPr>
          <w:b/>
          <w:bCs/>
          <w:sz w:val="20"/>
          <w:szCs w:val="20"/>
        </w:rPr>
        <w:t>s</w:t>
      </w:r>
    </w:p>
    <w:p w:rsidR="00000000" w:rsidRDefault="00805FA0">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805FA0">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3"/>
        <w:gridCol w:w="160"/>
        <w:gridCol w:w="710"/>
        <w:gridCol w:w="127"/>
        <w:gridCol w:w="110"/>
        <w:gridCol w:w="160"/>
        <w:gridCol w:w="710"/>
        <w:gridCol w:w="127"/>
        <w:gridCol w:w="110"/>
        <w:gridCol w:w="160"/>
        <w:gridCol w:w="860"/>
        <w:gridCol w:w="127"/>
        <w:gridCol w:w="110"/>
        <w:gridCol w:w="160"/>
        <w:gridCol w:w="710"/>
        <w:gridCol w:w="142"/>
      </w:tblGrid>
      <w:tr w:rsidR="00000000">
        <w:trPr>
          <w:tblCellSpacing w:w="15" w:type="dxa"/>
        </w:trPr>
        <w:tc>
          <w:tcPr>
            <w:tcW w:w="2714"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42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3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2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3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For the 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Revenues</w:t>
            </w:r>
            <w:r>
              <w:rPr>
                <w:sz w:val="20"/>
                <w:szCs w:val="20"/>
              </w:rPr>
              <w:t>:</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Subscriptio</w:t>
            </w:r>
            <w:r>
              <w:rPr>
                <w:sz w:val="20"/>
                <w:szCs w:val="20"/>
              </w:rPr>
              <w:t>n</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435,03</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328,97</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1,232,38</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899,66</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8,92</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10,22</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28,92</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31,68</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600"/>
              <w:rPr>
                <w:sz w:val="20"/>
                <w:szCs w:val="20"/>
              </w:rPr>
            </w:pPr>
            <w:r>
              <w:rPr>
                <w:sz w:val="20"/>
                <w:szCs w:val="20"/>
              </w:rPr>
              <w:t>Total revenu</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443,95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339,19</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1,261,31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931,34</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Cost of revenues</w:t>
            </w:r>
            <w:r>
              <w:rPr>
                <w:sz w:val="20"/>
                <w:szCs w:val="20"/>
              </w:rPr>
              <w:t>:</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Subscriptio</w:t>
            </w:r>
            <w:r>
              <w:rPr>
                <w:sz w:val="20"/>
                <w:szCs w:val="20"/>
              </w:rPr>
              <w:t>n</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67,64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57,54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191,46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152,53</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14,47</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12,05</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42,53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34,68</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600"/>
              <w:rPr>
                <w:sz w:val="20"/>
                <w:szCs w:val="20"/>
              </w:rPr>
            </w:pPr>
            <w:r>
              <w:rPr>
                <w:sz w:val="20"/>
                <w:szCs w:val="20"/>
              </w:rPr>
              <w:t>Total cost of revenue</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82,12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69,60</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233,99</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187,21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Gross profi</w:t>
            </w:r>
            <w:r>
              <w:rPr>
                <w:sz w:val="20"/>
                <w:szCs w:val="20"/>
              </w:rPr>
              <w:t>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361,83</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269,58</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1,027,31</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744,13</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114,03</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78,47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325,68</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218,97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229,54</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170,01</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650,93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468,83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50,46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36,02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146,30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102,88</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394,04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284,51</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1,122,93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790,69</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Loss from operation</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32,21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14,92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95,61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46,56</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Other expense</w:t>
            </w:r>
            <w:r>
              <w:rPr>
                <w:sz w:val="20"/>
                <w:szCs w:val="20"/>
              </w:rPr>
              <w:t>:</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7,22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92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7,79</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2,82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24,37</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Other (expense) incom</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1,18</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9,87</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58</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11,06</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12,26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29,66</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12,61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91,80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58,82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1,74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1,11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5,31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2,63</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los</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31,41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13,73</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97,11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61,46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2.0</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1.3</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xml:space="preserve">Weighted average common shares used in </w:t>
            </w:r>
            <w:r>
              <w:rPr>
                <w:sz w:val="20"/>
                <w:szCs w:val="20"/>
              </w:rPr>
              <w:br/>
              <w:t>  computing basic and diluted net loss per share</w:t>
            </w: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48,06</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47,04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47,82</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46,75</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805FA0">
      <w:pPr>
        <w:pStyle w:val="a3"/>
        <w:spacing w:before="0" w:beforeAutospacing="0" w:after="0" w:afterAutospacing="0"/>
        <w:jc w:val="center"/>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6</w:t>
      </w:r>
    </w:p>
    <w:p w:rsidR="00000000" w:rsidRDefault="00805FA0">
      <w:pPr>
        <w:rPr>
          <w:rFonts w:eastAsia="Times New Roman"/>
        </w:rPr>
      </w:pPr>
      <w:r>
        <w:rPr>
          <w:rFonts w:eastAsia="Times New Roman"/>
        </w:rPr>
        <w:pict>
          <v:rect id="_x0000_i1030"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05FA0">
      <w:pPr>
        <w:pStyle w:val="a3"/>
        <w:spacing w:before="0" w:beforeAutospacing="0" w:after="0" w:afterAutospacing="0"/>
        <w:jc w:val="center"/>
        <w:rPr>
          <w:sz w:val="20"/>
          <w:szCs w:val="20"/>
        </w:rPr>
      </w:pPr>
      <w:r>
        <w:rPr>
          <w:b/>
          <w:bCs/>
          <w:sz w:val="20"/>
          <w:szCs w:val="20"/>
        </w:rPr>
        <w:t>Unaudited Consolidated Stat</w:t>
      </w:r>
      <w:r>
        <w:rPr>
          <w:b/>
          <w:bCs/>
          <w:sz w:val="20"/>
          <w:szCs w:val="20"/>
        </w:rPr>
        <w:t>e</w:t>
      </w:r>
      <w:r>
        <w:rPr>
          <w:b/>
          <w:bCs/>
          <w:sz w:val="20"/>
          <w:szCs w:val="20"/>
        </w:rPr>
        <w:t>ments of Comprehensive Los</w:t>
      </w:r>
      <w:r>
        <w:rPr>
          <w:b/>
          <w:bCs/>
          <w:sz w:val="20"/>
          <w:szCs w:val="20"/>
        </w:rPr>
        <w:t>s</w:t>
      </w:r>
    </w:p>
    <w:p w:rsidR="00000000" w:rsidRDefault="00805FA0">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805FA0">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5"/>
        <w:gridCol w:w="160"/>
        <w:gridCol w:w="677"/>
        <w:gridCol w:w="127"/>
        <w:gridCol w:w="110"/>
        <w:gridCol w:w="160"/>
        <w:gridCol w:w="677"/>
        <w:gridCol w:w="127"/>
        <w:gridCol w:w="110"/>
        <w:gridCol w:w="160"/>
        <w:gridCol w:w="777"/>
        <w:gridCol w:w="127"/>
        <w:gridCol w:w="110"/>
        <w:gridCol w:w="160"/>
        <w:gridCol w:w="677"/>
        <w:gridCol w:w="142"/>
      </w:tblGrid>
      <w:tr w:rsidR="00000000">
        <w:trPr>
          <w:tblCellSpacing w:w="15" w:type="dxa"/>
        </w:trPr>
        <w:tc>
          <w:tcPr>
            <w:tcW w:w="2874"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37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8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7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8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For the 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los</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31,41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13,73</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97,11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61,46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Other comprehensive loss</w:t>
            </w:r>
            <w:r>
              <w:rPr>
                <w:sz w:val="20"/>
                <w:szCs w:val="20"/>
              </w:rPr>
              <w:t>:</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Foreign currency translation adjustmen</w:t>
            </w:r>
            <w:r>
              <w:rPr>
                <w:sz w:val="20"/>
                <w:szCs w:val="20"/>
              </w:rPr>
              <w:t>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2,79</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1,60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5,81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3,55</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05FA0">
            <w:pPr>
              <w:pStyle w:val="a3"/>
              <w:spacing w:before="0" w:beforeAutospacing="0" w:after="0" w:afterAutospacing="0"/>
              <w:ind w:left="200"/>
              <w:rPr>
                <w:sz w:val="20"/>
                <w:szCs w:val="20"/>
              </w:rPr>
            </w:pPr>
            <w:r>
              <w:rPr>
                <w:sz w:val="20"/>
                <w:szCs w:val="20"/>
              </w:rPr>
              <w:t xml:space="preserve">Changes in unrealized loss on investments, net of income taxes </w:t>
            </w:r>
            <w:r>
              <w:rPr>
                <w:sz w:val="20"/>
                <w:szCs w:val="20"/>
              </w:rPr>
              <w:br/>
              <w:t xml:space="preserve">  of </w:t>
            </w:r>
            <w:r>
              <w:rPr>
                <w:sz w:val="20"/>
                <w:szCs w:val="20"/>
              </w:rPr>
              <w:t>$</w:t>
            </w:r>
            <w:r>
              <w:rPr>
                <w:sz w:val="20"/>
                <w:szCs w:val="20"/>
              </w:rPr>
              <w:t>0</w:t>
            </w:r>
            <w:r>
              <w:rPr>
                <w:sz w:val="20"/>
                <w:szCs w:val="20"/>
              </w:rPr>
              <w:t> </w:t>
            </w:r>
            <w:r>
              <w:rPr>
                <w:sz w:val="20"/>
                <w:szCs w:val="20"/>
              </w:rPr>
              <w:t xml:space="preserve">for the three and nine months ended September 30, 2022, </w:t>
            </w:r>
            <w:r>
              <w:rPr>
                <w:sz w:val="20"/>
                <w:szCs w:val="20"/>
              </w:rPr>
              <w:br/>
              <w:t>  (</w:t>
            </w:r>
            <w:r>
              <w:rPr>
                <w:sz w:val="20"/>
                <w:szCs w:val="20"/>
              </w:rPr>
              <w:t>$</w:t>
            </w:r>
            <w:r>
              <w:rPr>
                <w:sz w:val="20"/>
                <w:szCs w:val="20"/>
              </w:rPr>
              <w:t>1</w:t>
            </w:r>
            <w:r>
              <w:rPr>
                <w:sz w:val="20"/>
                <w:szCs w:val="20"/>
              </w:rPr>
              <w:t>) and (</w:t>
            </w:r>
            <w:r>
              <w:rPr>
                <w:sz w:val="20"/>
                <w:szCs w:val="20"/>
              </w:rPr>
              <w:t>$</w:t>
            </w:r>
            <w:r>
              <w:rPr>
                <w:sz w:val="20"/>
                <w:szCs w:val="20"/>
              </w:rPr>
              <w:t>4</w:t>
            </w:r>
            <w:r>
              <w:rPr>
                <w:sz w:val="20"/>
                <w:szCs w:val="20"/>
              </w:rPr>
              <w:t>4</w:t>
            </w:r>
            <w:r>
              <w:rPr>
                <w:sz w:val="20"/>
                <w:szCs w:val="20"/>
              </w:rPr>
              <w:t>) for the three and nine months ended September 30, 202</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3,70</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10,35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45</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Comprehensive los</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37,90</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15,37</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113,28</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65,47</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805FA0">
      <w:pPr>
        <w:pStyle w:val="a3"/>
        <w:spacing w:before="4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7</w:t>
      </w:r>
    </w:p>
    <w:p w:rsidR="00000000" w:rsidRDefault="00805FA0">
      <w:pPr>
        <w:rPr>
          <w:rFonts w:eastAsia="Times New Roman"/>
        </w:rPr>
      </w:pPr>
      <w:r>
        <w:rPr>
          <w:rFonts w:eastAsia="Times New Roman"/>
        </w:rPr>
        <w:pict>
          <v:rect id="_x0000_i1031"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05FA0">
      <w:pPr>
        <w:pStyle w:val="a3"/>
        <w:spacing w:before="0" w:beforeAutospacing="0" w:after="0" w:afterAutospacing="0"/>
        <w:jc w:val="center"/>
        <w:rPr>
          <w:sz w:val="20"/>
          <w:szCs w:val="20"/>
        </w:rPr>
      </w:pPr>
      <w:r>
        <w:rPr>
          <w:b/>
          <w:bCs/>
          <w:sz w:val="20"/>
          <w:szCs w:val="20"/>
        </w:rPr>
        <w:t>Unaudited Consolidated Statements of Stockholders' Equit</w:t>
      </w:r>
      <w:r>
        <w:rPr>
          <w:b/>
          <w:bCs/>
          <w:sz w:val="20"/>
          <w:szCs w:val="20"/>
        </w:rPr>
        <w:t>y</w:t>
      </w:r>
    </w:p>
    <w:p w:rsidR="00000000" w:rsidRDefault="00805FA0">
      <w:pPr>
        <w:pStyle w:val="a3"/>
        <w:spacing w:before="0" w:beforeAutospacing="0" w:after="0" w:afterAutospacing="0"/>
        <w:jc w:val="center"/>
        <w:rPr>
          <w:sz w:val="20"/>
          <w:szCs w:val="20"/>
        </w:rPr>
      </w:pPr>
      <w:r>
        <w:rPr>
          <w:b/>
          <w:bCs/>
          <w:sz w:val="20"/>
          <w:szCs w:val="20"/>
        </w:rPr>
        <w:t>(in thousands, except per share amounts</w:t>
      </w:r>
      <w:r>
        <w:rPr>
          <w:b/>
          <w:bCs/>
          <w:sz w:val="20"/>
          <w:szCs w:val="20"/>
        </w:rPr>
        <w:t>)</w:t>
      </w:r>
    </w:p>
    <w:p w:rsidR="00000000" w:rsidRDefault="00805FA0">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108"/>
        <w:gridCol w:w="583"/>
        <w:gridCol w:w="108"/>
        <w:gridCol w:w="108"/>
        <w:gridCol w:w="155"/>
        <w:gridCol w:w="250"/>
        <w:gridCol w:w="108"/>
        <w:gridCol w:w="108"/>
        <w:gridCol w:w="120"/>
        <w:gridCol w:w="346"/>
        <w:gridCol w:w="108"/>
        <w:gridCol w:w="108"/>
        <w:gridCol w:w="155"/>
        <w:gridCol w:w="250"/>
        <w:gridCol w:w="108"/>
        <w:gridCol w:w="108"/>
        <w:gridCol w:w="155"/>
        <w:gridCol w:w="820"/>
        <w:gridCol w:w="124"/>
        <w:gridCol w:w="108"/>
        <w:gridCol w:w="156"/>
        <w:gridCol w:w="873"/>
        <w:gridCol w:w="124"/>
        <w:gridCol w:w="108"/>
        <w:gridCol w:w="155"/>
        <w:gridCol w:w="741"/>
        <w:gridCol w:w="124"/>
        <w:gridCol w:w="108"/>
        <w:gridCol w:w="155"/>
        <w:gridCol w:w="678"/>
        <w:gridCol w:w="139"/>
      </w:tblGrid>
      <w:tr w:rsidR="00000000">
        <w:trPr>
          <w:tblCellSpacing w:w="15" w:type="dxa"/>
        </w:trPr>
        <w:tc>
          <w:tcPr>
            <w:tcW w:w="1476"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30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2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7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2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8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6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8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0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jc w:val="right"/>
              <w:rPr>
                <w:sz w:val="14"/>
                <w:szCs w:val="14"/>
              </w:rPr>
            </w:pPr>
            <w:r>
              <w:rPr>
                <w:sz w:val="14"/>
                <w:szCs w:val="14"/>
              </w:rPr>
              <w:t> </w:t>
            </w:r>
          </w:p>
        </w:tc>
        <w:tc>
          <w:tcPr>
            <w:tcW w:w="0" w:type="auto"/>
            <w:gridSpan w:val="6"/>
            <w:vAlign w:val="bottom"/>
            <w:hideMark/>
          </w:tcPr>
          <w:p w:rsidR="00000000" w:rsidRDefault="00805FA0">
            <w:pPr>
              <w:pStyle w:val="a3"/>
              <w:spacing w:before="0" w:beforeAutospacing="0" w:after="0" w:afterAutospacing="0"/>
              <w:jc w:val="center"/>
              <w:rPr>
                <w:sz w:val="14"/>
                <w:szCs w:val="14"/>
              </w:rPr>
            </w:pPr>
            <w:r>
              <w:rPr>
                <w:b/>
                <w:bCs/>
                <w:sz w:val="14"/>
                <w:szCs w:val="14"/>
              </w:rPr>
              <w:t>Common</w:t>
            </w:r>
            <w:r>
              <w:rPr>
                <w:b/>
                <w:bCs/>
                <w:sz w:val="14"/>
                <w:szCs w:val="14"/>
              </w:rPr>
              <w:br/>
              <w:t>Stock, $0.001</w:t>
            </w:r>
            <w:r>
              <w:rPr>
                <w:b/>
                <w:bCs/>
                <w:sz w:val="14"/>
                <w:szCs w:val="14"/>
              </w:rPr>
              <w:br/>
              <w:t>Par Valu</w:t>
            </w:r>
            <w:r>
              <w:rPr>
                <w:b/>
                <w:bCs/>
                <w:sz w:val="14"/>
                <w:szCs w:val="14"/>
              </w:rPr>
              <w:t>e</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805FA0">
            <w:pPr>
              <w:pStyle w:val="a3"/>
              <w:spacing w:before="0" w:beforeAutospacing="0" w:after="0" w:afterAutospacing="0"/>
              <w:jc w:val="center"/>
              <w:rPr>
                <w:sz w:val="14"/>
                <w:szCs w:val="14"/>
              </w:rPr>
            </w:pPr>
            <w:r>
              <w:rPr>
                <w:b/>
                <w:bCs/>
                <w:sz w:val="14"/>
                <w:szCs w:val="14"/>
              </w:rPr>
              <w:t>Treasury Stock, $0.001</w:t>
            </w:r>
            <w:r>
              <w:rPr>
                <w:b/>
                <w:bCs/>
                <w:sz w:val="14"/>
                <w:szCs w:val="14"/>
              </w:rPr>
              <w:br/>
              <w:t>Par Valu</w:t>
            </w:r>
            <w:r>
              <w:rPr>
                <w:b/>
                <w:bCs/>
                <w:sz w:val="14"/>
                <w:szCs w:val="14"/>
              </w:rPr>
              <w:t>e</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Additional</w:t>
            </w:r>
            <w:r>
              <w:rPr>
                <w:b/>
                <w:bCs/>
                <w:sz w:val="14"/>
                <w:szCs w:val="14"/>
              </w:rPr>
              <w:br/>
              <w:t>Paid-I</w:t>
            </w:r>
            <w:r>
              <w:rPr>
                <w:b/>
                <w:bCs/>
                <w:sz w:val="14"/>
                <w:szCs w:val="14"/>
              </w:rPr>
              <w:t>n</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b/>
                <w:bCs/>
                <w:sz w:val="14"/>
                <w:szCs w:val="14"/>
              </w:rPr>
              <w:t>Capita</w:t>
            </w:r>
            <w:r>
              <w:rPr>
                <w:b/>
                <w:bCs/>
                <w:sz w:val="14"/>
                <w:szCs w:val="14"/>
              </w:rPr>
              <w:t>l</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b/>
                <w:bCs/>
                <w:sz w:val="14"/>
                <w:szCs w:val="14"/>
              </w:rPr>
              <w:t>Los</w:t>
            </w:r>
            <w:r>
              <w:rPr>
                <w:b/>
                <w:bCs/>
                <w:sz w:val="14"/>
                <w:szCs w:val="14"/>
              </w:rPr>
              <w:t>s</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Balances at December 31, 202</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47,39</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91</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1,436,08</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1,33</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560,99</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873,79</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 xml:space="preserve">Issuance of common stock under stock </w:t>
            </w:r>
            <w:r>
              <w:rPr>
                <w:sz w:val="19"/>
                <w:szCs w:val="19"/>
              </w:rPr>
              <w:br/>
              <w:t>  plan</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50</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20,69</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20,69</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Restricted stock units taxes paid in cas</w:t>
            </w:r>
            <w:r>
              <w:rPr>
                <w:sz w:val="19"/>
                <w:szCs w:val="19"/>
              </w:rPr>
              <w:t>h</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7,76</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7,76</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130,54</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130,54</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Conversion of the 2025 Note</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69</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69</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Conversion of the 2022 Note</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60,42</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60,42</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60,48</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60,48</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 xml:space="preserve">Cumulative adjustment from adoption of </w:t>
            </w:r>
            <w:r>
              <w:rPr>
                <w:sz w:val="19"/>
                <w:szCs w:val="19"/>
              </w:rPr>
              <w:br/>
              <w:t>  convertible debt standard (Note 8</w:t>
            </w: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101,16</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31,36</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69,80</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3,02</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3,02</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19"/>
                <w:szCs w:val="19"/>
              </w:rPr>
              <w:t>Unrealized loss on investments, net of</w:t>
            </w:r>
            <w:r>
              <w:rPr>
                <w:sz w:val="19"/>
                <w:szCs w:val="19"/>
              </w:rPr>
              <w:br/>
              <w:t xml:space="preserve">  income taxes of </w:t>
            </w:r>
            <w:r>
              <w:rPr>
                <w:sz w:val="19"/>
                <w:szCs w:val="19"/>
              </w:rPr>
              <w:t>$</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6,65</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6,65</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65,70</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65,70</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Balances at June 30, 202</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47,89</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91</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1,477,77</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11,01</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595,33</w:t>
            </w:r>
            <w:r>
              <w:rPr>
                <w:sz w:val="19"/>
                <w:szCs w:val="19"/>
              </w:rPr>
              <w:t>4</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871,46</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 xml:space="preserve">Issuance of common stock under stock </w:t>
            </w:r>
            <w:r>
              <w:rPr>
                <w:sz w:val="19"/>
                <w:szCs w:val="19"/>
              </w:rPr>
              <w:br/>
              <w:t>  plan</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19</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79</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79</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Restricted stock units taxes paid in cas</w:t>
            </w:r>
            <w:r>
              <w:rPr>
                <w:sz w:val="19"/>
                <w:szCs w:val="19"/>
              </w:rPr>
              <w:t>h</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2,19</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2,19</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74,52</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74,52</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Settlement of Warrant</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16</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2,79</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2,79</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19"/>
                <w:szCs w:val="19"/>
              </w:rPr>
              <w:t>Unrealized loss on investments, net of</w:t>
            </w:r>
            <w:r>
              <w:rPr>
                <w:sz w:val="19"/>
                <w:szCs w:val="19"/>
              </w:rPr>
              <w:br/>
              <w:t xml:space="preserve">  income taxes of </w:t>
            </w:r>
            <w:r>
              <w:rPr>
                <w:sz w:val="19"/>
                <w:szCs w:val="19"/>
              </w:rPr>
              <w:t>$</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3,70</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3,70</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31,41</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31,41</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Balances at September 30, 202</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48,25</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91</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1,550,90</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17,51</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626,74</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906,69</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bl>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8</w:t>
      </w:r>
    </w:p>
    <w:p w:rsidR="00000000" w:rsidRDefault="00805FA0">
      <w:pPr>
        <w:rPr>
          <w:rFonts w:eastAsia="Times New Roman"/>
        </w:rPr>
      </w:pPr>
      <w:r>
        <w:rPr>
          <w:rFonts w:eastAsia="Times New Roman"/>
        </w:rPr>
        <w:pict>
          <v:rect id="_x0000_i1032"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1"/>
        <w:gridCol w:w="108"/>
        <w:gridCol w:w="583"/>
        <w:gridCol w:w="124"/>
        <w:gridCol w:w="108"/>
        <w:gridCol w:w="155"/>
        <w:gridCol w:w="250"/>
        <w:gridCol w:w="124"/>
        <w:gridCol w:w="108"/>
        <w:gridCol w:w="109"/>
        <w:gridCol w:w="369"/>
        <w:gridCol w:w="108"/>
        <w:gridCol w:w="108"/>
        <w:gridCol w:w="155"/>
        <w:gridCol w:w="250"/>
        <w:gridCol w:w="124"/>
        <w:gridCol w:w="155"/>
        <w:gridCol w:w="820"/>
        <w:gridCol w:w="124"/>
        <w:gridCol w:w="108"/>
        <w:gridCol w:w="156"/>
        <w:gridCol w:w="877"/>
        <w:gridCol w:w="124"/>
        <w:gridCol w:w="108"/>
        <w:gridCol w:w="155"/>
        <w:gridCol w:w="741"/>
        <w:gridCol w:w="124"/>
        <w:gridCol w:w="108"/>
        <w:gridCol w:w="155"/>
        <w:gridCol w:w="678"/>
        <w:gridCol w:w="139"/>
      </w:tblGrid>
      <w:tr w:rsidR="00000000">
        <w:trPr>
          <w:tblCellSpacing w:w="15" w:type="dxa"/>
        </w:trPr>
        <w:tc>
          <w:tcPr>
            <w:tcW w:w="1429"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26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5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5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8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3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jc w:val="right"/>
              <w:rPr>
                <w:sz w:val="14"/>
                <w:szCs w:val="14"/>
              </w:rPr>
            </w:pPr>
            <w:r>
              <w:rPr>
                <w:sz w:val="14"/>
                <w:szCs w:val="14"/>
              </w:rPr>
              <w:t> </w:t>
            </w:r>
          </w:p>
        </w:tc>
        <w:tc>
          <w:tcPr>
            <w:tcW w:w="0" w:type="auto"/>
            <w:gridSpan w:val="6"/>
            <w:vAlign w:val="bottom"/>
            <w:hideMark/>
          </w:tcPr>
          <w:p w:rsidR="00000000" w:rsidRDefault="00805FA0">
            <w:pPr>
              <w:pStyle w:val="a3"/>
              <w:spacing w:before="0" w:beforeAutospacing="0" w:after="0" w:afterAutospacing="0"/>
              <w:jc w:val="center"/>
              <w:rPr>
                <w:sz w:val="14"/>
                <w:szCs w:val="14"/>
              </w:rPr>
            </w:pPr>
            <w:r>
              <w:rPr>
                <w:b/>
                <w:bCs/>
                <w:sz w:val="14"/>
                <w:szCs w:val="14"/>
              </w:rPr>
              <w:t>Common</w:t>
            </w:r>
            <w:r>
              <w:rPr>
                <w:b/>
                <w:bCs/>
                <w:sz w:val="14"/>
                <w:szCs w:val="14"/>
              </w:rPr>
              <w:br/>
              <w:t>Stock, $0.001</w:t>
            </w:r>
            <w:r>
              <w:rPr>
                <w:b/>
                <w:bCs/>
                <w:sz w:val="14"/>
                <w:szCs w:val="14"/>
              </w:rPr>
              <w:br/>
              <w:t>Par Valu</w:t>
            </w:r>
            <w:r>
              <w:rPr>
                <w:b/>
                <w:bCs/>
                <w:sz w:val="14"/>
                <w:szCs w:val="14"/>
              </w:rPr>
              <w:t>e</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805FA0">
            <w:pPr>
              <w:pStyle w:val="a3"/>
              <w:spacing w:before="0" w:beforeAutospacing="0" w:after="0" w:afterAutospacing="0"/>
              <w:jc w:val="center"/>
              <w:rPr>
                <w:sz w:val="14"/>
                <w:szCs w:val="14"/>
              </w:rPr>
            </w:pPr>
            <w:r>
              <w:rPr>
                <w:b/>
                <w:bCs/>
                <w:sz w:val="14"/>
                <w:szCs w:val="14"/>
              </w:rPr>
              <w:t>Treasury Stock, $0.001</w:t>
            </w:r>
            <w:r>
              <w:rPr>
                <w:b/>
                <w:bCs/>
                <w:sz w:val="14"/>
                <w:szCs w:val="14"/>
              </w:rPr>
              <w:br/>
              <w:t>Par Valu</w:t>
            </w:r>
            <w:r>
              <w:rPr>
                <w:b/>
                <w:bCs/>
                <w:sz w:val="14"/>
                <w:szCs w:val="14"/>
              </w:rPr>
              <w:t>e</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Additional</w:t>
            </w:r>
            <w:r>
              <w:rPr>
                <w:b/>
                <w:bCs/>
                <w:sz w:val="14"/>
                <w:szCs w:val="14"/>
              </w:rPr>
              <w:br/>
              <w:t>Paid-I</w:t>
            </w:r>
            <w:r>
              <w:rPr>
                <w:b/>
                <w:bCs/>
                <w:sz w:val="14"/>
                <w:szCs w:val="14"/>
              </w:rPr>
              <w:t>n</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b/>
                <w:bCs/>
                <w:sz w:val="14"/>
                <w:szCs w:val="14"/>
              </w:rPr>
              <w:t>Accumulated</w:t>
            </w:r>
            <w:r>
              <w:rPr>
                <w:b/>
                <w:bCs/>
                <w:sz w:val="14"/>
                <w:szCs w:val="14"/>
              </w:rPr>
              <w:br/>
              <w:t>Other</w:t>
            </w:r>
            <w:r>
              <w:rPr>
                <w:b/>
                <w:bCs/>
                <w:sz w:val="14"/>
                <w:szCs w:val="14"/>
              </w:rPr>
              <w:br/>
              <w:t>Comprehensiv</w:t>
            </w:r>
            <w:r>
              <w:rPr>
                <w:b/>
                <w:bCs/>
                <w:sz w:val="14"/>
                <w:szCs w:val="14"/>
              </w:rPr>
              <w:t>e</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805FA0">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b/>
                <w:bCs/>
                <w:sz w:val="14"/>
                <w:szCs w:val="14"/>
              </w:rPr>
              <w:t>Capita</w:t>
            </w:r>
            <w:r>
              <w:rPr>
                <w:b/>
                <w:bCs/>
                <w:sz w:val="14"/>
                <w:szCs w:val="14"/>
              </w:rPr>
              <w:t>l</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b/>
                <w:bCs/>
                <w:sz w:val="14"/>
                <w:szCs w:val="14"/>
              </w:rPr>
              <w:t>Incom</w:t>
            </w:r>
            <w:r>
              <w:rPr>
                <w:b/>
                <w:bCs/>
                <w:sz w:val="14"/>
                <w:szCs w:val="14"/>
              </w:rPr>
              <w:t>e</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center"/>
            <w:hideMark/>
          </w:tcPr>
          <w:p w:rsidR="00000000" w:rsidRDefault="00805FA0">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vAlign w:val="center"/>
            <w:hideMark/>
          </w:tcPr>
          <w:p w:rsidR="00000000" w:rsidRDefault="00805FA0">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805FA0">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805FA0">
            <w:pPr>
              <w:pStyle w:val="a3"/>
              <w:spacing w:before="0" w:beforeAutospacing="0" w:after="0" w:afterAutospacing="0"/>
              <w:jc w:val="center"/>
              <w:rPr>
                <w:sz w:val="14"/>
                <w:szCs w:val="14"/>
              </w:rPr>
            </w:pPr>
            <w:r>
              <w:rPr>
                <w:sz w:val="14"/>
                <w:szCs w:val="14"/>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Balances at December 31, 202</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46,11</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1,241,16</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4,60</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483,16</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762,65</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 xml:space="preserve">Issuance of common stock under stock </w:t>
            </w:r>
            <w:r>
              <w:rPr>
                <w:sz w:val="19"/>
                <w:szCs w:val="19"/>
              </w:rPr>
              <w:br/>
              <w:t xml:space="preserve">  plans, net of shares withheld </w:t>
            </w:r>
            <w:r>
              <w:rPr>
                <w:sz w:val="19"/>
                <w:szCs w:val="19"/>
              </w:rPr>
              <w:br/>
              <w:t>  for employee taxe</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74</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17,25</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17,26</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77,60</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77,60</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Equity component of the 2022</w:t>
            </w:r>
            <w:r>
              <w:rPr>
                <w:sz w:val="19"/>
                <w:szCs w:val="19"/>
              </w:rPr>
              <w:br/>
              <w:t>  Notes conversion</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47</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2,45</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2,45</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47</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47</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72</w:t>
            </w:r>
            <w:r>
              <w:rPr>
                <w:sz w:val="19"/>
                <w:szCs w:val="19"/>
              </w:rPr>
              <w:t>4</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72</w:t>
            </w:r>
            <w:r>
              <w:rPr>
                <w:sz w:val="19"/>
                <w:szCs w:val="19"/>
              </w:rPr>
              <w:t>4</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1,95</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1,95</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19"/>
                <w:szCs w:val="19"/>
              </w:rPr>
              <w:t>Unrealized gain on investments, net of</w:t>
            </w:r>
            <w:r>
              <w:rPr>
                <w:sz w:val="19"/>
                <w:szCs w:val="19"/>
              </w:rPr>
              <w:br/>
              <w:t>  income taxes of (</w:t>
            </w:r>
            <w:r>
              <w:rPr>
                <w:sz w:val="19"/>
                <w:szCs w:val="19"/>
              </w:rPr>
              <w:t>$</w:t>
            </w:r>
            <w:r>
              <w:rPr>
                <w:sz w:val="19"/>
                <w:szCs w:val="19"/>
              </w:rPr>
              <w:t>4</w:t>
            </w:r>
            <w:r>
              <w:rPr>
                <w:sz w:val="19"/>
                <w:szCs w:val="19"/>
              </w:rPr>
              <w:t>3</w:t>
            </w: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42</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42</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47,73</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47,73</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Balances at June 30, 202</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46,85</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48</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1,334,30</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2,22</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530,89</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805,68</w:t>
            </w:r>
            <w:r>
              <w:rPr>
                <w:sz w:val="19"/>
                <w:szCs w:val="19"/>
              </w:rPr>
              <w:t>4</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 xml:space="preserve">Issuance of common stock under stock </w:t>
            </w:r>
            <w:r>
              <w:rPr>
                <w:sz w:val="19"/>
                <w:szCs w:val="19"/>
              </w:rPr>
              <w:br/>
              <w:t>  </w:t>
            </w:r>
            <w:r>
              <w:rPr>
                <w:sz w:val="19"/>
                <w:szCs w:val="19"/>
              </w:rPr>
              <w:t xml:space="preserve">plans, net of shares withheld </w:t>
            </w:r>
            <w:r>
              <w:rPr>
                <w:sz w:val="19"/>
                <w:szCs w:val="19"/>
              </w:rPr>
              <w:br/>
              <w:t>  for employee taxe</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24</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1,23</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1,23</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Restricted stock units taxes paid in cas</w:t>
            </w:r>
            <w:r>
              <w:rPr>
                <w:sz w:val="19"/>
                <w:szCs w:val="19"/>
              </w:rPr>
              <w:t>h</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4,81</w:t>
            </w:r>
            <w:r>
              <w:rPr>
                <w:sz w:val="19"/>
                <w:szCs w:val="19"/>
              </w:rPr>
              <w:t>4</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4,81</w:t>
            </w:r>
            <w:r>
              <w:rPr>
                <w:sz w:val="19"/>
                <w:szCs w:val="19"/>
              </w:rPr>
              <w:t>4</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Equity component of the 2022</w:t>
            </w:r>
            <w:r>
              <w:rPr>
                <w:sz w:val="19"/>
                <w:szCs w:val="19"/>
              </w:rPr>
              <w:br/>
              <w:t>  Notes conversion</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41</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55</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55</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Settlement of Convertible Note Hedge</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41</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41</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Stock-based compensatio</w:t>
            </w:r>
            <w:r>
              <w:rPr>
                <w:sz w:val="19"/>
                <w:szCs w:val="19"/>
              </w:rPr>
              <w:t>n</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45,81</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45,81</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Cumulative translation adjustmen</w:t>
            </w:r>
            <w:r>
              <w:rPr>
                <w:sz w:val="19"/>
                <w:szCs w:val="19"/>
              </w:rPr>
              <w:t>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1,60</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1,60</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19"/>
                <w:szCs w:val="19"/>
              </w:rPr>
              <w:t>Unrealized loss on investments, net of</w:t>
            </w:r>
            <w:r>
              <w:rPr>
                <w:sz w:val="19"/>
                <w:szCs w:val="19"/>
              </w:rPr>
              <w:br/>
              <w:t>  income taxes of (</w:t>
            </w:r>
            <w:r>
              <w:rPr>
                <w:sz w:val="19"/>
                <w:szCs w:val="19"/>
              </w:rPr>
              <w:t>$</w:t>
            </w:r>
            <w:r>
              <w:rPr>
                <w:sz w:val="19"/>
                <w:szCs w:val="19"/>
              </w:rPr>
              <w:t>1</w:t>
            </w: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3</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3</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Net los</w:t>
            </w:r>
            <w:r>
              <w:rPr>
                <w:sz w:val="19"/>
                <w:szCs w:val="19"/>
              </w:rPr>
              <w:t>s</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13,73</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13,73</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Balances at September 30, 202</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47,10</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4</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89</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1,375,98</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59</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w:t>
            </w:r>
            <w:r>
              <w:rPr>
                <w:sz w:val="19"/>
                <w:szCs w:val="19"/>
              </w:rPr>
              <w:t>544,62</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831,99</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bl>
    <w:p w:rsidR="00000000" w:rsidRDefault="00805FA0">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805FA0">
      <w:pPr>
        <w:pStyle w:val="a3"/>
        <w:spacing w:before="4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9</w:t>
      </w:r>
    </w:p>
    <w:p w:rsidR="00000000" w:rsidRDefault="00805FA0">
      <w:pPr>
        <w:rPr>
          <w:rFonts w:eastAsia="Times New Roman"/>
        </w:rPr>
      </w:pPr>
      <w:r>
        <w:rPr>
          <w:rFonts w:eastAsia="Times New Roman"/>
        </w:rPr>
        <w:pict>
          <v:rect id="_x0000_i1033"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05FA0">
      <w:pPr>
        <w:pStyle w:val="a3"/>
        <w:spacing w:before="0" w:beforeAutospacing="0" w:after="0" w:afterAutospacing="0"/>
        <w:jc w:val="center"/>
        <w:rPr>
          <w:sz w:val="20"/>
          <w:szCs w:val="20"/>
        </w:rPr>
      </w:pPr>
      <w:r>
        <w:rPr>
          <w:b/>
          <w:bCs/>
          <w:sz w:val="20"/>
          <w:szCs w:val="20"/>
        </w:rPr>
        <w:t xml:space="preserve">Unaudited Consolidated </w:t>
      </w:r>
      <w:r>
        <w:rPr>
          <w:b/>
          <w:bCs/>
          <w:sz w:val="20"/>
          <w:szCs w:val="20"/>
        </w:rPr>
        <w:t>S</w:t>
      </w:r>
      <w:r>
        <w:rPr>
          <w:b/>
          <w:bCs/>
          <w:sz w:val="20"/>
          <w:szCs w:val="20"/>
        </w:rPr>
        <w:t>tatements of Cash Flow</w:t>
      </w:r>
      <w:r>
        <w:rPr>
          <w:b/>
          <w:bCs/>
          <w:sz w:val="20"/>
          <w:szCs w:val="20"/>
        </w:rPr>
        <w:t>s</w:t>
      </w:r>
    </w:p>
    <w:p w:rsidR="00000000" w:rsidRDefault="00805FA0">
      <w:pPr>
        <w:pStyle w:val="a3"/>
        <w:spacing w:before="40" w:beforeAutospacing="0" w:after="0" w:afterAutospacing="0"/>
        <w:jc w:val="center"/>
        <w:rPr>
          <w:sz w:val="20"/>
          <w:szCs w:val="20"/>
        </w:rPr>
      </w:pPr>
      <w:r>
        <w:rPr>
          <w:b/>
          <w:bCs/>
          <w:sz w:val="20"/>
          <w:szCs w:val="20"/>
        </w:rPr>
        <w:t>(in thousands</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1"/>
        <w:gridCol w:w="100"/>
        <w:gridCol w:w="140"/>
        <w:gridCol w:w="971"/>
        <w:gridCol w:w="114"/>
        <w:gridCol w:w="123"/>
        <w:gridCol w:w="140"/>
        <w:gridCol w:w="928"/>
        <w:gridCol w:w="129"/>
      </w:tblGrid>
      <w:tr w:rsidR="00000000">
        <w:trPr>
          <w:tblCellSpacing w:w="15" w:type="dxa"/>
        </w:trPr>
        <w:tc>
          <w:tcPr>
            <w:tcW w:w="3515"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9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Operating Activities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Net los</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97,11</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61,46</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Adjustments to reconcile net loss to net cash and cash equivalents provided</w:t>
            </w:r>
            <w:r>
              <w:rPr>
                <w:sz w:val="16"/>
                <w:szCs w:val="16"/>
              </w:rPr>
              <w:br/>
              <w:t>   by operating activities, net of acquisition</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Depreciation and amortizatio</w:t>
            </w:r>
            <w:r>
              <w:rPr>
                <w:sz w:val="16"/>
                <w:szCs w:val="16"/>
              </w:rPr>
              <w:t>n</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42,62</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33,18</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Stock-based compensatio</w:t>
            </w:r>
            <w:r>
              <w:rPr>
                <w:sz w:val="16"/>
                <w:szCs w:val="16"/>
              </w:rPr>
              <w:t>n</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199,08</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120,84</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Loss on early extinguishment of 2022 Convertible Note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4,82</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Repayment of 2022 Convertible Notes attributable to the debt discoun</w:t>
            </w:r>
            <w:r>
              <w:rPr>
                <w:sz w:val="16"/>
                <w:szCs w:val="16"/>
              </w:rPr>
              <w:t>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24,45</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Gain on strategic investment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4,20</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11,73</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Gain on termination of operating lease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4,27</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Loss on disposal of fixed asset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6,46</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Benefit from deferred income taxe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58</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1,32</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Amortization of debt discount and issuance cost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1,50</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18,11</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(Accretion) amortization of bond discoun</w:t>
            </w:r>
            <w:r>
              <w:rPr>
                <w:sz w:val="16"/>
                <w:szCs w:val="16"/>
              </w:rPr>
              <w:t>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3,26</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2,94</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Unrealized currency translatio</w:t>
            </w:r>
            <w:r>
              <w:rPr>
                <w:sz w:val="16"/>
                <w:szCs w:val="16"/>
              </w:rPr>
              <w:t>n</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48</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60</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Changes in assets and liabilitie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600"/>
              <w:rPr>
                <w:sz w:val="16"/>
                <w:szCs w:val="16"/>
              </w:rPr>
            </w:pPr>
            <w:r>
              <w:rPr>
                <w:sz w:val="16"/>
                <w:szCs w:val="16"/>
              </w:rPr>
              <w:t>Accounts receivabl</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20,13</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2,24</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600"/>
              <w:rPr>
                <w:sz w:val="16"/>
                <w:szCs w:val="16"/>
              </w:rPr>
            </w:pPr>
            <w:r>
              <w:rPr>
                <w:sz w:val="16"/>
                <w:szCs w:val="16"/>
              </w:rPr>
              <w:t>Prepaid expenses and other asset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8,86</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7,14</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600"/>
              <w:rPr>
                <w:sz w:val="16"/>
                <w:szCs w:val="16"/>
              </w:rPr>
            </w:pPr>
            <w:r>
              <w:rPr>
                <w:sz w:val="16"/>
                <w:szCs w:val="16"/>
              </w:rPr>
              <w:t>Deferred commission expens</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22,21</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24,37</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600"/>
              <w:rPr>
                <w:sz w:val="16"/>
                <w:szCs w:val="16"/>
              </w:rPr>
            </w:pPr>
            <w:r>
              <w:rPr>
                <w:sz w:val="16"/>
                <w:szCs w:val="16"/>
              </w:rPr>
              <w:t>Right-of-use asset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19,62</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26,94</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600"/>
              <w:rPr>
                <w:sz w:val="16"/>
                <w:szCs w:val="16"/>
              </w:rPr>
            </w:pPr>
            <w:r>
              <w:rPr>
                <w:sz w:val="16"/>
                <w:szCs w:val="16"/>
              </w:rPr>
              <w:t>Accounts payabl</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10,66</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11,95</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600"/>
              <w:rPr>
                <w:sz w:val="16"/>
                <w:szCs w:val="16"/>
              </w:rPr>
            </w:pPr>
            <w:r>
              <w:rPr>
                <w:sz w:val="16"/>
                <w:szCs w:val="16"/>
              </w:rPr>
              <w:t>Accrued expenses and other liabilitie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16,45</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38,18</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600"/>
              <w:rPr>
                <w:sz w:val="16"/>
                <w:szCs w:val="16"/>
              </w:rPr>
            </w:pPr>
            <w:r>
              <w:rPr>
                <w:sz w:val="16"/>
                <w:szCs w:val="16"/>
              </w:rPr>
              <w:t>Operating lease liabilitie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14,58</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26,42</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600"/>
              <w:rPr>
                <w:sz w:val="16"/>
                <w:szCs w:val="16"/>
              </w:rPr>
            </w:pPr>
            <w:r>
              <w:rPr>
                <w:sz w:val="16"/>
                <w:szCs w:val="16"/>
              </w:rPr>
              <w:t>Deferred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63,74</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66,82</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800"/>
              <w:rPr>
                <w:sz w:val="16"/>
                <w:szCs w:val="16"/>
              </w:rPr>
            </w:pPr>
            <w:r>
              <w:rPr>
                <w:sz w:val="16"/>
                <w:szCs w:val="16"/>
              </w:rPr>
              <w:t>Net cash and cash equivalents provided by operating activitie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183,20</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143,54</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Investing Activities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Purchases of investment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1,258,91</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1,037,33</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Maturities of investment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1,017,30</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940,77</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Sale of investment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124,99</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Purchases of property and equipmen</w:t>
            </w:r>
            <w:r>
              <w:rPr>
                <w:sz w:val="16"/>
                <w:szCs w:val="16"/>
              </w:rPr>
              <w:t>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31,38</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17,39</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Purchases of intangible asset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10,00</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Acquisition of a business, net of cash acquire</w:t>
            </w:r>
            <w:r>
              <w:rPr>
                <w:sz w:val="16"/>
                <w:szCs w:val="16"/>
              </w:rPr>
              <w:t>d</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16,81</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Purchases of strategic investment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19,87</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10,20</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Equity method investmen</w:t>
            </w:r>
            <w:r>
              <w:rPr>
                <w:sz w:val="16"/>
                <w:szCs w:val="16"/>
              </w:rPr>
              <w:t>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1,90</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3,10</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Capitalization of software development cost</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31,35</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25,63</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800"/>
              <w:rPr>
                <w:sz w:val="16"/>
                <w:szCs w:val="16"/>
              </w:rPr>
            </w:pPr>
            <w:r>
              <w:rPr>
                <w:sz w:val="16"/>
                <w:szCs w:val="16"/>
              </w:rPr>
              <w:t>Net cash and cash equivalents used in investing activitie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211,12</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169,70</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Financing Activities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Proceeds from settlement of Convertible Note Hedges related to the 2022 Convertible Note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60,48</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72</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Payment for settlement of 2022 Convertible Note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79,80</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80,42</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Repayment of 2025 Convertible Notes attributable to the principa</w:t>
            </w:r>
            <w:r>
              <w:rPr>
                <w:sz w:val="16"/>
                <w:szCs w:val="16"/>
              </w:rPr>
              <w:t>l</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1,61</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Employee taxes paid related to the net share settlement of stock-based award</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9,95</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11,72</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Proceeds related to the issuance of common stock under stock plan</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29,71</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34,12</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800"/>
              <w:rPr>
                <w:sz w:val="16"/>
                <w:szCs w:val="16"/>
              </w:rPr>
            </w:pPr>
            <w:r>
              <w:rPr>
                <w:sz w:val="16"/>
                <w:szCs w:val="16"/>
              </w:rPr>
              <w:t>Net cash and cash equivalents used in financing activitie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1,17</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57,30</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Effect of exchange rate changes on cash, cash equivalents, and restricted cas</w:t>
            </w:r>
            <w:r>
              <w:rPr>
                <w:sz w:val="16"/>
                <w:szCs w:val="16"/>
              </w:rPr>
              <w:t>h</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16,26</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6,32</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Net decrease in cash, cash equivalents and restricted cas</w:t>
            </w:r>
            <w:r>
              <w:rPr>
                <w:sz w:val="16"/>
                <w:szCs w:val="16"/>
              </w:rPr>
              <w:t>h</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45,35</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89,78</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Cash, cash equivalents and restricted cash, beginning of perio</w:t>
            </w:r>
            <w:r>
              <w:rPr>
                <w:sz w:val="16"/>
                <w:szCs w:val="16"/>
              </w:rPr>
              <w:t>d</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380,04</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381,15</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Cash, cash equivalents and restricted cash, end of perio</w:t>
            </w:r>
            <w:r>
              <w:rPr>
                <w:sz w:val="16"/>
                <w:szCs w:val="16"/>
              </w:rPr>
              <w:t>d</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334,68</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291,36</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Supplemental cash flow disclosure</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Cash paid for interes</w:t>
            </w:r>
            <w:r>
              <w:rPr>
                <w:sz w:val="16"/>
                <w:szCs w:val="16"/>
              </w:rPr>
              <w:t>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88</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94</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Cash paid for income taxe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3,88</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5,34</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Right-of-use assets obtained in exchange for operating lease liabilitie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5,13</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89,69</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Right-of-use asset reductions related to operating lease termination</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w:t>
            </w:r>
            <w:r>
              <w:rPr>
                <w:sz w:val="16"/>
                <w:szCs w:val="16"/>
              </w:rPr>
              <w:t>46,58</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Non-cash investing and financing activities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Issuance of common stock for repayment of 2022 Convertible Note</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480,95</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Capital expenditures incurred but not yet pai</w:t>
            </w:r>
            <w:r>
              <w:rPr>
                <w:sz w:val="16"/>
                <w:szCs w:val="16"/>
              </w:rPr>
              <w:t>d</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1,11</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3,68</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Asset retirement obligation</w:t>
            </w:r>
            <w:r>
              <w:rPr>
                <w:sz w:val="16"/>
                <w:szCs w:val="16"/>
              </w:rPr>
              <w:t>s</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1,13</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6"/>
                <w:szCs w:val="16"/>
              </w:rPr>
              <w:t>7</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bl>
    <w:p w:rsidR="00000000" w:rsidRDefault="00805FA0">
      <w:pPr>
        <w:pStyle w:val="a3"/>
        <w:spacing w:before="40" w:beforeAutospacing="0" w:after="0" w:afterAutospacing="0"/>
        <w:rPr>
          <w:sz w:val="20"/>
          <w:szCs w:val="20"/>
        </w:rPr>
      </w:pPr>
      <w:r>
        <w:rPr>
          <w:sz w:val="20"/>
          <w:szCs w:val="20"/>
        </w:rPr>
        <w:t>The accompanying notes are an integral part of the consolidated financial statements</w:t>
      </w:r>
      <w:r>
        <w:rPr>
          <w:sz w:val="20"/>
          <w:szCs w:val="20"/>
        </w:rPr>
        <w:t>.</w:t>
      </w:r>
    </w:p>
    <w:p w:rsidR="00000000" w:rsidRDefault="00805FA0">
      <w:pPr>
        <w:pStyle w:val="a3"/>
        <w:spacing w:before="240" w:beforeAutospacing="0" w:after="0" w:afterAutospacing="0"/>
        <w:jc w:val="center"/>
        <w:rPr>
          <w:sz w:val="20"/>
          <w:szCs w:val="20"/>
        </w:rPr>
      </w:pPr>
      <w:r>
        <w:rPr>
          <w:sz w:val="20"/>
          <w:szCs w:val="20"/>
        </w:rPr>
        <w:t>1</w:t>
      </w:r>
      <w:r>
        <w:rPr>
          <w:sz w:val="20"/>
          <w:szCs w:val="20"/>
        </w:rPr>
        <w:t>0</w:t>
      </w:r>
    </w:p>
    <w:p w:rsidR="00000000" w:rsidRDefault="00805FA0">
      <w:pPr>
        <w:rPr>
          <w:rFonts w:eastAsia="Times New Roman"/>
        </w:rPr>
      </w:pPr>
      <w:r>
        <w:rPr>
          <w:rFonts w:eastAsia="Times New Roman"/>
        </w:rPr>
        <w:pict>
          <v:rect id="_x0000_i1034"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20"/>
          <w:szCs w:val="20"/>
        </w:rPr>
        <w:t>HubSpot, Inc</w:t>
      </w:r>
      <w:r>
        <w:rPr>
          <w:b/>
          <w:bCs/>
          <w:sz w:val="20"/>
          <w:szCs w:val="20"/>
        </w:rPr>
        <w:t>.</w:t>
      </w:r>
    </w:p>
    <w:p w:rsidR="00000000" w:rsidRDefault="00805FA0">
      <w:pPr>
        <w:pStyle w:val="a3"/>
        <w:spacing w:before="0" w:beforeAutospacing="0" w:after="0" w:afterAutospacing="0"/>
        <w:jc w:val="center"/>
        <w:rPr>
          <w:sz w:val="20"/>
          <w:szCs w:val="20"/>
        </w:rPr>
      </w:pPr>
      <w:r>
        <w:rPr>
          <w:b/>
          <w:bCs/>
          <w:sz w:val="20"/>
          <w:szCs w:val="20"/>
        </w:rPr>
        <w:t>Notes to Unaudited Consoli</w:t>
      </w:r>
      <w:r>
        <w:rPr>
          <w:b/>
          <w:bCs/>
          <w:sz w:val="20"/>
          <w:szCs w:val="20"/>
        </w:rPr>
        <w:t>d</w:t>
      </w:r>
      <w:r>
        <w:rPr>
          <w:b/>
          <w:bCs/>
          <w:sz w:val="20"/>
          <w:szCs w:val="20"/>
        </w:rPr>
        <w:t>ated Financial Statement</w:t>
      </w:r>
      <w:r>
        <w:rPr>
          <w:b/>
          <w:bCs/>
          <w:sz w:val="20"/>
          <w:szCs w:val="20"/>
        </w:rPr>
        <w:t>s</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divId w:val="1704478728"/>
        <w:rPr>
          <w:sz w:val="20"/>
          <w:szCs w:val="20"/>
        </w:rPr>
      </w:pPr>
      <w:r>
        <w:rPr>
          <w:b/>
          <w:bCs/>
          <w:sz w:val="20"/>
          <w:szCs w:val="20"/>
        </w:rPr>
        <w:t>1. Organization and Operation</w:t>
      </w:r>
      <w:r>
        <w:rPr>
          <w:b/>
          <w:bCs/>
          <w:sz w:val="20"/>
          <w:szCs w:val="20"/>
        </w:rPr>
        <w:t>s</w:t>
      </w:r>
    </w:p>
    <w:p w:rsidR="00000000" w:rsidRDefault="00805FA0">
      <w:pPr>
        <w:pStyle w:val="a3"/>
        <w:spacing w:before="200" w:beforeAutospacing="0" w:after="0" w:afterAutospacing="0"/>
        <w:ind w:firstLine="555"/>
        <w:divId w:val="1704478728"/>
        <w:rPr>
          <w:sz w:val="20"/>
          <w:szCs w:val="20"/>
        </w:rPr>
      </w:pPr>
      <w:r>
        <w:rPr>
          <w:sz w:val="20"/>
          <w:szCs w:val="20"/>
        </w:rPr>
        <w:t>HubSpot, Inc. (the “Company”) provides a cloud-based customer relationship management (“CRM”) Platform, that enables companies to attract, engage, and delight customers throughout the customer experience. The Company’s CRM Pl</w:t>
      </w:r>
      <w:r>
        <w:rPr>
          <w:sz w:val="20"/>
          <w:szCs w:val="20"/>
        </w:rPr>
        <w:t>atform, comprised of Marketing Hub, Sales Hub, Service Hub, content management system ("CMS") Hub and Operations Hub, features integrated applications, tools, and a native payment solution, that enable businesses to create a cohesive and adaptable customer</w:t>
      </w:r>
      <w:r>
        <w:rPr>
          <w:sz w:val="20"/>
          <w:szCs w:val="20"/>
        </w:rPr>
        <w:t xml:space="preserve"> experience</w:t>
      </w:r>
      <w:r>
        <w:rPr>
          <w:sz w:val="20"/>
          <w:szCs w:val="20"/>
        </w:rPr>
        <w:t>.</w:t>
      </w:r>
      <w:r>
        <w:rPr>
          <w:sz w:val="20"/>
          <w:szCs w:val="20"/>
        </w:rPr>
        <w:t xml:space="preserve"> </w:t>
      </w:r>
    </w:p>
    <w:p w:rsidR="00000000" w:rsidRDefault="00805FA0">
      <w:pPr>
        <w:pStyle w:val="a3"/>
        <w:spacing w:before="200" w:beforeAutospacing="0" w:after="0" w:afterAutospacing="0"/>
        <w:ind w:firstLine="555"/>
        <w:divId w:val="1704478728"/>
        <w:rPr>
          <w:sz w:val="20"/>
          <w:szCs w:val="20"/>
        </w:rPr>
      </w:pPr>
      <w:r>
        <w:rPr>
          <w:sz w:val="20"/>
          <w:szCs w:val="20"/>
        </w:rPr>
        <w:t>The accompanying unaudited consolidated</w:t>
      </w:r>
      <w:r>
        <w:rPr>
          <w:sz w:val="20"/>
          <w:szCs w:val="20"/>
        </w:rPr>
        <w:t xml:space="preserve"> </w:t>
      </w:r>
      <w:r>
        <w:rPr>
          <w:sz w:val="20"/>
          <w:szCs w:val="20"/>
        </w:rPr>
        <w:t>financial statements have been prepared in accordance with generally accepted accounting principles in the United States (“GAAP”) applicable to interim periods, under the rules and regulations of the Un</w:t>
      </w:r>
      <w:r>
        <w:rPr>
          <w:sz w:val="20"/>
          <w:szCs w:val="20"/>
        </w:rPr>
        <w:t>ited States Securities and Exchange Commission (“SEC”). In the opinion of management, the Company has prepared the accompanying unaudited consolidated financial statements on a basis substantially consistent with the audited consolidated financial statemen</w:t>
      </w:r>
      <w:r>
        <w:rPr>
          <w:sz w:val="20"/>
          <w:szCs w:val="20"/>
        </w:rPr>
        <w:t>ts of the Company as of and for the year ended</w:t>
      </w:r>
      <w:r>
        <w:rPr>
          <w:sz w:val="20"/>
          <w:szCs w:val="20"/>
        </w:rPr>
        <w:t xml:space="preserve"> </w:t>
      </w:r>
      <w:r>
        <w:rPr>
          <w:sz w:val="20"/>
          <w:szCs w:val="20"/>
        </w:rPr>
        <w:t>December 31, 2021, and these consolidated financial statements include all adjustments, consisting only of normal recurring adjustments, necessary for a fair statement of the results of the interim periods pre</w:t>
      </w:r>
      <w:r>
        <w:rPr>
          <w:sz w:val="20"/>
          <w:szCs w:val="20"/>
        </w:rPr>
        <w:t>sented. All intercompany balances and transactions have been eliminated in consolidation</w:t>
      </w:r>
      <w:r>
        <w:rPr>
          <w:sz w:val="20"/>
          <w:szCs w:val="20"/>
        </w:rPr>
        <w:t>.</w:t>
      </w:r>
      <w:r>
        <w:rPr>
          <w:sz w:val="20"/>
          <w:szCs w:val="20"/>
        </w:rPr>
        <w:t xml:space="preserve"> </w:t>
      </w:r>
    </w:p>
    <w:p w:rsidR="00000000" w:rsidRDefault="00805FA0">
      <w:pPr>
        <w:pStyle w:val="a3"/>
        <w:spacing w:before="200" w:beforeAutospacing="0" w:after="0" w:afterAutospacing="0"/>
        <w:ind w:firstLine="555"/>
        <w:divId w:val="1704478728"/>
        <w:rPr>
          <w:sz w:val="20"/>
          <w:szCs w:val="20"/>
        </w:rPr>
      </w:pPr>
      <w:r>
        <w:rPr>
          <w:sz w:val="20"/>
          <w:szCs w:val="20"/>
        </w:rPr>
        <w:t>The results of operations for the interim periods presented are not necessarily indicative of the results to be expected for any subsequent quarter or for the entire</w:t>
      </w:r>
      <w:r>
        <w:rPr>
          <w:sz w:val="20"/>
          <w:szCs w:val="20"/>
        </w:rPr>
        <w:t xml:space="preserve"> year ending December 31, 2022. The year-end balance sheet data was derived from audited financial statements, but this Form 10-Q does not include all disclosures required under GAAP. Certain information and note disclosures normally included in annual fin</w:t>
      </w:r>
      <w:r>
        <w:rPr>
          <w:sz w:val="20"/>
          <w:szCs w:val="20"/>
        </w:rPr>
        <w:t>ancial statements prepared in accordance with GAAP have been omitted under the rules and regulations of the SEC</w:t>
      </w:r>
      <w:r>
        <w:rPr>
          <w:sz w:val="20"/>
          <w:szCs w:val="20"/>
        </w:rPr>
        <w:t>.</w:t>
      </w:r>
    </w:p>
    <w:p w:rsidR="00000000" w:rsidRDefault="00805FA0">
      <w:pPr>
        <w:pStyle w:val="a3"/>
        <w:spacing w:before="200" w:beforeAutospacing="0" w:after="0" w:afterAutospacing="0"/>
        <w:ind w:firstLine="555"/>
        <w:divId w:val="1704478728"/>
        <w:rPr>
          <w:sz w:val="20"/>
          <w:szCs w:val="20"/>
        </w:rPr>
      </w:pPr>
      <w:r>
        <w:rPr>
          <w:sz w:val="20"/>
          <w:szCs w:val="20"/>
        </w:rPr>
        <w:t>These interim financial statements should be read in conjunction with the audited consolidated financial statements and related notes contained</w:t>
      </w:r>
      <w:r>
        <w:rPr>
          <w:sz w:val="20"/>
          <w:szCs w:val="20"/>
        </w:rPr>
        <w:t xml:space="preserve"> in the Company’s Annual Report on Form 10-K filed with the SEC on February 14, 2022. There have been no changes in the Company’s significant accounting policies from those that were disclosed in the Company’s Annual Report on Form 10-K that have had a mat</w:t>
      </w:r>
      <w:r>
        <w:rPr>
          <w:sz w:val="20"/>
          <w:szCs w:val="20"/>
        </w:rPr>
        <w:t>erial impact on our consolidated financial statements and related notes, except the adoption of updated guidance related to accounting for convertible debt as described within Note 2 of these consolidated financial statements</w:t>
      </w:r>
      <w:r>
        <w:rPr>
          <w:sz w:val="20"/>
          <w:szCs w:val="20"/>
        </w:rPr>
        <w:t>.</w:t>
      </w:r>
    </w:p>
    <w:p w:rsidR="00000000" w:rsidRDefault="00805FA0">
      <w:pPr>
        <w:pStyle w:val="a3"/>
        <w:spacing w:before="200" w:beforeAutospacing="0" w:after="0" w:afterAutospacing="0"/>
        <w:ind w:firstLine="555"/>
        <w:divId w:val="1704478728"/>
        <w:rPr>
          <w:sz w:val="20"/>
          <w:szCs w:val="20"/>
        </w:rPr>
      </w:pPr>
      <w:r>
        <w:rPr>
          <w:sz w:val="20"/>
          <w:szCs w:val="20"/>
        </w:rPr>
        <w:t>In February 2022, Russian for</w:t>
      </w:r>
      <w:r>
        <w:rPr>
          <w:sz w:val="20"/>
          <w:szCs w:val="20"/>
        </w:rPr>
        <w:t>ces launched a military invasion of Ukraine. While the broader implications of the conflict on the Company's results of operations and overall financial performance remain uncertain, the Company assessed the potential impact on the September 30, 2022 finan</w:t>
      </w:r>
      <w:r>
        <w:rPr>
          <w:sz w:val="20"/>
          <w:szCs w:val="20"/>
        </w:rPr>
        <w:t>cial statements and determined there were no material adjustments necessary with respect to these consolidated financial statements</w:t>
      </w:r>
      <w:r>
        <w:rPr>
          <w:sz w:val="20"/>
          <w:szCs w:val="20"/>
        </w:rPr>
        <w:t>.</w:t>
      </w:r>
    </w:p>
    <w:p w:rsidR="00000000" w:rsidRDefault="00805FA0">
      <w:pPr>
        <w:pStyle w:val="a3"/>
        <w:spacing w:before="200" w:beforeAutospacing="0" w:after="0" w:afterAutospacing="0"/>
        <w:ind w:firstLine="555"/>
        <w:divId w:val="1459376737"/>
        <w:rPr>
          <w:sz w:val="20"/>
          <w:szCs w:val="20"/>
        </w:rPr>
      </w:pPr>
      <w:r>
        <w:rPr>
          <w:b/>
          <w:bCs/>
          <w:i/>
          <w:iCs/>
          <w:sz w:val="20"/>
          <w:szCs w:val="20"/>
        </w:rPr>
        <w:t>Recent Accounting Pronouncement</w:t>
      </w:r>
      <w:r>
        <w:rPr>
          <w:b/>
          <w:bCs/>
          <w:i/>
          <w:iCs/>
          <w:sz w:val="20"/>
          <w:szCs w:val="20"/>
        </w:rPr>
        <w:t>s</w:t>
      </w:r>
    </w:p>
    <w:p w:rsidR="00000000" w:rsidRDefault="00805FA0">
      <w:pPr>
        <w:pStyle w:val="a3"/>
        <w:spacing w:before="200" w:beforeAutospacing="0" w:after="0" w:afterAutospacing="0"/>
        <w:ind w:firstLine="555"/>
        <w:divId w:val="1459376737"/>
        <w:rPr>
          <w:sz w:val="20"/>
          <w:szCs w:val="20"/>
        </w:rPr>
      </w:pPr>
      <w:r>
        <w:rPr>
          <w:sz w:val="20"/>
          <w:szCs w:val="20"/>
        </w:rPr>
        <w:t>Recent accounting standards not included below are not expected to have a material impact on our consolidated financial position and results of operations</w:t>
      </w:r>
      <w:r>
        <w:rPr>
          <w:sz w:val="20"/>
          <w:szCs w:val="20"/>
        </w:rPr>
        <w:t>.</w:t>
      </w:r>
    </w:p>
    <w:p w:rsidR="00000000" w:rsidRDefault="00805FA0">
      <w:pPr>
        <w:pStyle w:val="a3"/>
        <w:spacing w:before="200" w:beforeAutospacing="0" w:after="0" w:afterAutospacing="0"/>
        <w:ind w:firstLine="555"/>
        <w:divId w:val="1459376737"/>
        <w:rPr>
          <w:sz w:val="20"/>
          <w:szCs w:val="20"/>
        </w:rPr>
      </w:pPr>
      <w:r>
        <w:rPr>
          <w:sz w:val="20"/>
          <w:szCs w:val="20"/>
        </w:rPr>
        <w:t>In August 2020, the FASB issued guidance simplifying the accounting for convertible instruments by r</w:t>
      </w:r>
      <w:r>
        <w:rPr>
          <w:sz w:val="20"/>
          <w:szCs w:val="20"/>
        </w:rPr>
        <w:t>educing the number of accounting models for convertible debt instruments and convertible preferred stock. Limiting the accounting models results in fewer embedded conversion features being bifurcated from the host contract and separately recognized as comp</w:t>
      </w:r>
      <w:r>
        <w:rPr>
          <w:sz w:val="20"/>
          <w:szCs w:val="20"/>
        </w:rPr>
        <w:t>ared with current GAAP. In addition, it eliminates the treasury stock method for calculating diluted earnings per share for convertible instruments and requires the use of the if-converted method. The Company adopted the updated guidance as of January 1, 2</w:t>
      </w:r>
      <w:r>
        <w:rPr>
          <w:sz w:val="20"/>
          <w:szCs w:val="20"/>
        </w:rPr>
        <w:t>022 using a modified retrospective method with a cumulative-effect adjustment as of the adoption date. Comparative periods are not adjusted. See Note 8 of these consolidated financial statements for further details</w:t>
      </w:r>
      <w:r>
        <w:rPr>
          <w:sz w:val="20"/>
          <w:szCs w:val="20"/>
        </w:rPr>
        <w:t>.</w:t>
      </w:r>
    </w:p>
    <w:p w:rsidR="00000000" w:rsidRDefault="00805FA0">
      <w:pPr>
        <w:pStyle w:val="a3"/>
        <w:spacing w:before="200" w:beforeAutospacing="0" w:after="0" w:afterAutospacing="0"/>
        <w:ind w:firstLine="555"/>
        <w:divId w:val="1459376737"/>
        <w:rPr>
          <w:sz w:val="20"/>
          <w:szCs w:val="20"/>
        </w:rPr>
      </w:pPr>
      <w:r>
        <w:rPr>
          <w:sz w:val="20"/>
          <w:szCs w:val="20"/>
        </w:rPr>
        <w:t>In October 2021, the FASB issued guidanc</w:t>
      </w:r>
      <w:r>
        <w:rPr>
          <w:sz w:val="20"/>
          <w:szCs w:val="20"/>
        </w:rPr>
        <w:t xml:space="preserve">e that requires companies to recognize and measure contract assets and contract liabilities acquired in a business combination, in accordance with the revenue recognition guidance, as if the acquirer had entered into the original contract at the same time </w:t>
      </w:r>
      <w:r>
        <w:rPr>
          <w:sz w:val="20"/>
          <w:szCs w:val="20"/>
        </w:rPr>
        <w:t>and on the same terms as the acquiree. Generally, this will result in the acquirer recognizing contract assets and liabilities at the same amounts recorded by the acquiree as of the acquisition date. Under the previous standard, an acquirer generally recog</w:t>
      </w:r>
      <w:r>
        <w:rPr>
          <w:sz w:val="20"/>
          <w:szCs w:val="20"/>
        </w:rPr>
        <w:t>nizes such items at fair value on the acquisition date. The Company adopted the updated guidance as of January 1, 2022 and the ongoing impact of this guidance will depend on the contract assets and liabilities acquired in future business combinations.</w:t>
      </w:r>
      <w:r>
        <w:rPr>
          <w:sz w:val="20"/>
          <w:szCs w:val="20"/>
        </w:rPr>
        <w:t xml:space="preserve"> </w:t>
      </w:r>
      <w:r>
        <w:rPr>
          <w:sz w:val="20"/>
          <w:szCs w:val="20"/>
        </w:rPr>
        <w:br/>
      </w:r>
      <w:r>
        <w:rPr>
          <w:sz w:val="20"/>
          <w:szCs w:val="20"/>
        </w:rPr>
        <w:t> </w:t>
      </w:r>
    </w:p>
    <w:p w:rsidR="00000000" w:rsidRDefault="00805FA0">
      <w:pPr>
        <w:pStyle w:val="a3"/>
        <w:spacing w:before="240" w:beforeAutospacing="0" w:after="0" w:afterAutospacing="0"/>
        <w:jc w:val="center"/>
        <w:rPr>
          <w:sz w:val="20"/>
          <w:szCs w:val="20"/>
        </w:rPr>
      </w:pPr>
      <w:r>
        <w:rPr>
          <w:sz w:val="20"/>
          <w:szCs w:val="20"/>
        </w:rPr>
        <w:t>1</w:t>
      </w:r>
      <w:r>
        <w:rPr>
          <w:sz w:val="20"/>
          <w:szCs w:val="20"/>
        </w:rPr>
        <w:t>1</w:t>
      </w:r>
    </w:p>
    <w:p w:rsidR="00000000" w:rsidRDefault="00805FA0">
      <w:pPr>
        <w:rPr>
          <w:rFonts w:eastAsia="Times New Roman"/>
        </w:rPr>
      </w:pPr>
      <w:r>
        <w:rPr>
          <w:rFonts w:eastAsia="Times New Roman"/>
        </w:rPr>
        <w:pict>
          <v:rect id="_x0000_i1035"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both"/>
        <w:divId w:val="897856868"/>
        <w:rPr>
          <w:sz w:val="20"/>
          <w:szCs w:val="20"/>
        </w:rPr>
      </w:pPr>
      <w:r>
        <w:rPr>
          <w:b/>
          <w:bCs/>
          <w:sz w:val="20"/>
          <w:szCs w:val="20"/>
        </w:rPr>
        <w:t>2. Revenue</w:t>
      </w:r>
      <w:r>
        <w:rPr>
          <w:b/>
          <w:bCs/>
          <w:sz w:val="20"/>
          <w:szCs w:val="20"/>
        </w:rPr>
        <w:t>s</w:t>
      </w:r>
    </w:p>
    <w:p w:rsidR="00000000" w:rsidRDefault="00805FA0">
      <w:pPr>
        <w:pStyle w:val="a3"/>
        <w:spacing w:before="240" w:beforeAutospacing="0" w:after="0" w:afterAutospacing="0"/>
        <w:ind w:left="476"/>
        <w:jc w:val="both"/>
        <w:divId w:val="897856868"/>
        <w:rPr>
          <w:sz w:val="20"/>
          <w:szCs w:val="20"/>
        </w:rPr>
      </w:pPr>
      <w:r>
        <w:rPr>
          <w:b/>
          <w:bCs/>
          <w:i/>
          <w:iCs/>
          <w:sz w:val="20"/>
          <w:szCs w:val="20"/>
        </w:rPr>
        <w:t>D</w:t>
      </w:r>
      <w:r>
        <w:rPr>
          <w:b/>
          <w:bCs/>
          <w:i/>
          <w:iCs/>
          <w:sz w:val="20"/>
          <w:szCs w:val="20"/>
        </w:rPr>
        <w:t>isaggregation of Revenue</w:t>
      </w:r>
      <w:r>
        <w:rPr>
          <w:b/>
          <w:bCs/>
          <w:i/>
          <w:iCs/>
          <w:sz w:val="20"/>
          <w:szCs w:val="20"/>
        </w:rPr>
        <w:t xml:space="preserve"> </w:t>
      </w:r>
    </w:p>
    <w:p w:rsidR="00000000" w:rsidRDefault="00805FA0">
      <w:pPr>
        <w:pStyle w:val="a3"/>
        <w:spacing w:before="240" w:beforeAutospacing="0" w:after="0" w:afterAutospacing="0"/>
        <w:ind w:firstLine="555"/>
        <w:divId w:val="27534907"/>
        <w:rPr>
          <w:sz w:val="20"/>
          <w:szCs w:val="20"/>
        </w:rPr>
      </w:pPr>
      <w:r>
        <w:rPr>
          <w:sz w:val="20"/>
          <w:szCs w:val="20"/>
        </w:rPr>
        <w:t>The Company provides disaggregation of revenue based on geographic region (Note 14) and based on the subscription versus professional services and other classification on the co</w:t>
      </w:r>
      <w:r>
        <w:rPr>
          <w:sz w:val="20"/>
          <w:szCs w:val="20"/>
        </w:rPr>
        <w:t>nsolidated statements of operations as it believes these best depict how the nature, amount, timing and uncertainty of revenue and cash flows are affected by economic factors</w:t>
      </w:r>
      <w:r>
        <w:rPr>
          <w:sz w:val="20"/>
          <w:szCs w:val="20"/>
        </w:rPr>
        <w:t>.</w:t>
      </w:r>
    </w:p>
    <w:p w:rsidR="00000000" w:rsidRDefault="00805FA0">
      <w:pPr>
        <w:pStyle w:val="a3"/>
        <w:spacing w:before="240" w:beforeAutospacing="0" w:after="0" w:afterAutospacing="0"/>
        <w:ind w:firstLine="555"/>
        <w:divId w:val="27534907"/>
        <w:rPr>
          <w:sz w:val="20"/>
          <w:szCs w:val="20"/>
        </w:rPr>
      </w:pPr>
      <w:r>
        <w:rPr>
          <w:b/>
          <w:bCs/>
          <w:i/>
          <w:iCs/>
          <w:sz w:val="20"/>
          <w:szCs w:val="20"/>
        </w:rPr>
        <w:t>Deferred Revenue and Deferred Commission Expens</w:t>
      </w:r>
      <w:r>
        <w:rPr>
          <w:b/>
          <w:bCs/>
          <w:i/>
          <w:iCs/>
          <w:sz w:val="20"/>
          <w:szCs w:val="20"/>
        </w:rPr>
        <w:t>e</w:t>
      </w:r>
    </w:p>
    <w:p w:rsidR="00000000" w:rsidRDefault="00805FA0">
      <w:pPr>
        <w:pStyle w:val="a3"/>
        <w:spacing w:before="240" w:beforeAutospacing="0" w:after="0" w:afterAutospacing="0"/>
        <w:ind w:firstLine="555"/>
        <w:divId w:val="27534907"/>
        <w:rPr>
          <w:sz w:val="20"/>
          <w:szCs w:val="20"/>
        </w:rPr>
      </w:pPr>
      <w:r>
        <w:rPr>
          <w:sz w:val="20"/>
          <w:szCs w:val="20"/>
        </w:rPr>
        <w:t>Amounts that have been invoiced</w:t>
      </w:r>
      <w:r>
        <w:rPr>
          <w:sz w:val="20"/>
          <w:szCs w:val="20"/>
        </w:rPr>
        <w:t xml:space="preserve"> are recorded in accounts receivable and deferred revenue or revenue, depending on whether the revenue recognition criteria have been met. Deferred revenue represents amounts billed for which revenue has not yet been recognized. Deferred revenue that will </w:t>
      </w:r>
      <w:r>
        <w:rPr>
          <w:sz w:val="20"/>
          <w:szCs w:val="20"/>
        </w:rPr>
        <w:t>be recognized during the succeeding 12-month period is recorded as current deferred revenue, and the remaining portion is recorded as long-term deferred revenue. Deferred revenue during the nine months ended September 30, 2022 increased by</w:t>
      </w:r>
      <w:r>
        <w:rPr>
          <w:sz w:val="20"/>
          <w:szCs w:val="20"/>
        </w:rPr>
        <w:t xml:space="preserve"> </w:t>
      </w:r>
      <w:r>
        <w:rPr>
          <w:sz w:val="20"/>
          <w:szCs w:val="20"/>
        </w:rPr>
        <w:t>$</w:t>
      </w:r>
      <w:r>
        <w:rPr>
          <w:sz w:val="20"/>
          <w:szCs w:val="20"/>
        </w:rPr>
        <w:t>38.</w:t>
      </w:r>
      <w:r>
        <w:rPr>
          <w:sz w:val="20"/>
          <w:szCs w:val="20"/>
        </w:rPr>
        <w:t>8</w:t>
      </w:r>
      <w:r>
        <w:rPr>
          <w:sz w:val="20"/>
          <w:szCs w:val="20"/>
        </w:rPr>
        <w:t xml:space="preserve"> million re</w:t>
      </w:r>
      <w:r>
        <w:rPr>
          <w:sz w:val="20"/>
          <w:szCs w:val="20"/>
        </w:rPr>
        <w:t>sulting from</w:t>
      </w:r>
      <w:r>
        <w:rPr>
          <w:sz w:val="20"/>
          <w:szCs w:val="20"/>
        </w:rPr>
        <w:t xml:space="preserve"> </w:t>
      </w:r>
      <w:r>
        <w:rPr>
          <w:sz w:val="20"/>
          <w:szCs w:val="20"/>
        </w:rPr>
        <w:t>$</w:t>
      </w:r>
      <w:r>
        <w:rPr>
          <w:sz w:val="20"/>
          <w:szCs w:val="20"/>
        </w:rPr>
        <w:t>482.</w:t>
      </w:r>
      <w:r>
        <w:rPr>
          <w:sz w:val="20"/>
          <w:szCs w:val="20"/>
        </w:rPr>
        <w:t>8</w:t>
      </w:r>
      <w:r>
        <w:rPr>
          <w:sz w:val="20"/>
          <w:szCs w:val="20"/>
        </w:rPr>
        <w:t xml:space="preserve"> million of additional invoicing and was offset by revenue recognized of </w:t>
      </w:r>
      <w:r>
        <w:rPr>
          <w:sz w:val="20"/>
          <w:szCs w:val="20"/>
        </w:rPr>
        <w:t>$</w:t>
      </w:r>
      <w:r>
        <w:rPr>
          <w:sz w:val="20"/>
          <w:szCs w:val="20"/>
        </w:rPr>
        <w:t>444.</w:t>
      </w:r>
      <w:r>
        <w:rPr>
          <w:sz w:val="20"/>
          <w:szCs w:val="20"/>
        </w:rPr>
        <w:t>0</w:t>
      </w:r>
      <w:r>
        <w:rPr>
          <w:sz w:val="20"/>
          <w:szCs w:val="20"/>
        </w:rPr>
        <w:t xml:space="preserve"> million during the same period.</w:t>
      </w:r>
      <w:r>
        <w:rPr>
          <w:sz w:val="20"/>
          <w:szCs w:val="20"/>
        </w:rPr>
        <w:t xml:space="preserve"> </w:t>
      </w:r>
      <w:r>
        <w:rPr>
          <w:sz w:val="20"/>
          <w:szCs w:val="20"/>
        </w:rPr>
        <w:t>$</w:t>
      </w:r>
      <w:r>
        <w:rPr>
          <w:sz w:val="20"/>
          <w:szCs w:val="20"/>
        </w:rPr>
        <w:t>261.</w:t>
      </w:r>
      <w:r>
        <w:rPr>
          <w:sz w:val="20"/>
          <w:szCs w:val="20"/>
        </w:rPr>
        <w:t>2</w:t>
      </w:r>
      <w:r>
        <w:rPr>
          <w:sz w:val="20"/>
          <w:szCs w:val="20"/>
        </w:rPr>
        <w:t xml:space="preserve"> million of revenue was recognized during the three months ended September 30, 2022 that was included in deferred reven</w:t>
      </w:r>
      <w:r>
        <w:rPr>
          <w:sz w:val="20"/>
          <w:szCs w:val="20"/>
        </w:rPr>
        <w:t>ue at the beginning of the period.</w:t>
      </w:r>
      <w:r>
        <w:rPr>
          <w:sz w:val="20"/>
          <w:szCs w:val="20"/>
        </w:rPr>
        <w:t xml:space="preserve"> </w:t>
      </w:r>
      <w:r>
        <w:rPr>
          <w:sz w:val="20"/>
          <w:szCs w:val="20"/>
        </w:rPr>
        <w:t>$</w:t>
      </w:r>
      <w:r>
        <w:rPr>
          <w:sz w:val="20"/>
          <w:szCs w:val="20"/>
        </w:rPr>
        <w:t>398.</w:t>
      </w:r>
      <w:r>
        <w:rPr>
          <w:sz w:val="20"/>
          <w:szCs w:val="20"/>
        </w:rPr>
        <w:t>2</w:t>
      </w:r>
      <w:r>
        <w:rPr>
          <w:sz w:val="20"/>
          <w:szCs w:val="20"/>
        </w:rPr>
        <w:t xml:space="preserve"> million of revenue was recognized during the nine months ended September 30, 2022 that was included in deferred revenue at the beginning of the period. As of September 30, 2022, approximately </w:t>
      </w:r>
      <w:r>
        <w:rPr>
          <w:sz w:val="20"/>
          <w:szCs w:val="20"/>
        </w:rPr>
        <w:t>$</w:t>
      </w:r>
      <w:r>
        <w:rPr>
          <w:sz w:val="20"/>
          <w:szCs w:val="20"/>
        </w:rPr>
        <w:t>465.</w:t>
      </w:r>
      <w:r>
        <w:rPr>
          <w:sz w:val="20"/>
          <w:szCs w:val="20"/>
        </w:rPr>
        <w:t>0</w:t>
      </w:r>
      <w:r>
        <w:rPr>
          <w:sz w:val="20"/>
          <w:szCs w:val="20"/>
        </w:rPr>
        <w:t xml:space="preserve"> million of reve</w:t>
      </w:r>
      <w:r>
        <w:rPr>
          <w:sz w:val="20"/>
          <w:szCs w:val="20"/>
        </w:rPr>
        <w:t>nue is expected to be recognized from remaining performance obligations for contracts with original performance obligations that exceed</w:t>
      </w:r>
      <w:r>
        <w:rPr>
          <w:sz w:val="20"/>
          <w:szCs w:val="20"/>
        </w:rPr>
        <w:t xml:space="preserve"> </w:t>
      </w:r>
      <w:r>
        <w:rPr>
          <w:sz w:val="20"/>
          <w:szCs w:val="20"/>
        </w:rPr>
        <w:t>one yea</w:t>
      </w:r>
      <w:r>
        <w:rPr>
          <w:sz w:val="20"/>
          <w:szCs w:val="20"/>
        </w:rPr>
        <w:t>r</w:t>
      </w:r>
      <w:r>
        <w:rPr>
          <w:sz w:val="20"/>
          <w:szCs w:val="20"/>
        </w:rPr>
        <w:t>. The Company expects to recognize revenue on approximately</w:t>
      </w:r>
      <w:r>
        <w:rPr>
          <w:sz w:val="20"/>
          <w:szCs w:val="20"/>
        </w:rPr>
        <w:t xml:space="preserve"> </w:t>
      </w:r>
      <w:r>
        <w:rPr>
          <w:sz w:val="20"/>
          <w:szCs w:val="20"/>
        </w:rPr>
        <w:t>9</w:t>
      </w:r>
      <w:r>
        <w:rPr>
          <w:sz w:val="20"/>
          <w:szCs w:val="20"/>
        </w:rPr>
        <w:t>1</w:t>
      </w:r>
      <w:r>
        <w:rPr>
          <w:sz w:val="20"/>
          <w:szCs w:val="20"/>
        </w:rPr>
        <w:t>%</w:t>
      </w:r>
      <w:r>
        <w:rPr>
          <w:sz w:val="20"/>
          <w:szCs w:val="20"/>
        </w:rPr>
        <w:t xml:space="preserve"> of these remaining performance obligations over </w:t>
      </w:r>
      <w:r>
        <w:rPr>
          <w:sz w:val="20"/>
          <w:szCs w:val="20"/>
        </w:rPr>
        <w:t>the next</w:t>
      </w:r>
      <w:r>
        <w:rPr>
          <w:sz w:val="20"/>
          <w:szCs w:val="20"/>
        </w:rPr>
        <w:t xml:space="preserve"> </w:t>
      </w:r>
      <w:r>
        <w:rPr>
          <w:sz w:val="20"/>
          <w:szCs w:val="20"/>
        </w:rPr>
        <w:t>24 month</w:t>
      </w:r>
      <w:r>
        <w:rPr>
          <w:sz w:val="20"/>
          <w:szCs w:val="20"/>
        </w:rPr>
        <w:t>s</w:t>
      </w:r>
      <w:r>
        <w:rPr>
          <w:sz w:val="20"/>
          <w:szCs w:val="20"/>
        </w:rPr>
        <w:t>, with the balance recognized thereafter</w:t>
      </w:r>
      <w:r>
        <w:rPr>
          <w:sz w:val="20"/>
          <w:szCs w:val="20"/>
        </w:rPr>
        <w:t>.</w:t>
      </w:r>
      <w:r>
        <w:rPr>
          <w:sz w:val="20"/>
          <w:szCs w:val="20"/>
        </w:rPr>
        <w:t xml:space="preserve"> </w:t>
      </w:r>
    </w:p>
    <w:p w:rsidR="00000000" w:rsidRDefault="00805FA0">
      <w:pPr>
        <w:pStyle w:val="a3"/>
        <w:spacing w:before="240" w:beforeAutospacing="0" w:after="0" w:afterAutospacing="0"/>
        <w:ind w:firstLine="555"/>
        <w:divId w:val="27534907"/>
        <w:rPr>
          <w:sz w:val="20"/>
          <w:szCs w:val="20"/>
        </w:rPr>
      </w:pPr>
      <w:r>
        <w:rPr>
          <w:sz w:val="20"/>
          <w:szCs w:val="20"/>
        </w:rPr>
        <w:t xml:space="preserve">Additional contract liabilities of </w:t>
      </w:r>
      <w:r>
        <w:rPr>
          <w:sz w:val="20"/>
          <w:szCs w:val="20"/>
        </w:rPr>
        <w:t>$</w:t>
      </w:r>
      <w:r>
        <w:rPr>
          <w:sz w:val="20"/>
          <w:szCs w:val="20"/>
        </w:rPr>
        <w:t>2.</w:t>
      </w:r>
      <w:r>
        <w:rPr>
          <w:sz w:val="20"/>
          <w:szCs w:val="20"/>
        </w:rPr>
        <w:t>5</w:t>
      </w:r>
      <w:r>
        <w:rPr>
          <w:sz w:val="20"/>
          <w:szCs w:val="20"/>
        </w:rPr>
        <w:t xml:space="preserve"> million were included in accrued expenses and other current liabilities on the consolidated balance sheet as of September 30, 2022 and December 31, 2021</w:t>
      </w:r>
      <w:r>
        <w:rPr>
          <w:sz w:val="20"/>
          <w:szCs w:val="20"/>
        </w:rPr>
        <w:t>.</w:t>
      </w:r>
      <w:r>
        <w:rPr>
          <w:sz w:val="20"/>
          <w:szCs w:val="20"/>
        </w:rPr>
        <w:t xml:space="preserve"> </w:t>
      </w:r>
    </w:p>
    <w:p w:rsidR="00000000" w:rsidRDefault="00805FA0">
      <w:pPr>
        <w:pStyle w:val="a3"/>
        <w:spacing w:before="240" w:beforeAutospacing="0" w:after="0" w:afterAutospacing="0"/>
        <w:ind w:firstLine="555"/>
        <w:divId w:val="27534907"/>
        <w:rPr>
          <w:sz w:val="20"/>
          <w:szCs w:val="20"/>
        </w:rPr>
      </w:pPr>
      <w:r>
        <w:rPr>
          <w:sz w:val="20"/>
          <w:szCs w:val="20"/>
        </w:rPr>
        <w:t>The incremental direct costs of obtaining a contract, which primarily consist of sales commissions paid for new subscription contracts, are deferred and amortized on a straight-line basis over a period of approximately one to three years. The</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three-</w:t>
      </w:r>
      <w:r>
        <w:rPr>
          <w:sz w:val="20"/>
          <w:szCs w:val="20"/>
        </w:rPr>
        <w:t>yea</w:t>
      </w:r>
      <w:r>
        <w:rPr>
          <w:sz w:val="20"/>
          <w:szCs w:val="20"/>
        </w:rPr>
        <w:t>r</w:t>
      </w:r>
      <w:r>
        <w:rPr>
          <w:sz w:val="20"/>
          <w:szCs w:val="20"/>
        </w:rPr>
        <w:t xml:space="preserve"> period has been determined by taking into consideration the type of product sold, the commitment term of the customer contract, the nature of the Company’s technology development life-cycle, and an estimated customer relationship period. Sales commiss</w:t>
      </w:r>
      <w:r>
        <w:rPr>
          <w:sz w:val="20"/>
          <w:szCs w:val="20"/>
        </w:rPr>
        <w:t>ions for upgrade contracts are deferred and amortized on a straight-line basis over the remaining estimated customer relationship period of the related customer. Deferred commission expense that will be recorded as expense during the succeeding 12-month pe</w:t>
      </w:r>
      <w:r>
        <w:rPr>
          <w:sz w:val="20"/>
          <w:szCs w:val="20"/>
        </w:rPr>
        <w:t>riod is recorded as current deferred commission expense, and the remaining portion is recorded as long-term deferred commission expense</w:t>
      </w:r>
      <w:r>
        <w:rPr>
          <w:sz w:val="20"/>
          <w:szCs w:val="20"/>
        </w:rPr>
        <w:t>.</w:t>
      </w:r>
      <w:r>
        <w:rPr>
          <w:sz w:val="20"/>
          <w:szCs w:val="20"/>
        </w:rPr>
        <w:t xml:space="preserve"> </w:t>
      </w:r>
    </w:p>
    <w:p w:rsidR="00000000" w:rsidRDefault="00805FA0">
      <w:pPr>
        <w:pStyle w:val="a3"/>
        <w:spacing w:before="240" w:beforeAutospacing="0" w:after="0" w:afterAutospacing="0"/>
        <w:ind w:firstLine="555"/>
        <w:divId w:val="27534907"/>
        <w:rPr>
          <w:sz w:val="20"/>
          <w:szCs w:val="20"/>
        </w:rPr>
      </w:pPr>
      <w:r>
        <w:rPr>
          <w:sz w:val="20"/>
          <w:szCs w:val="20"/>
        </w:rPr>
        <w:t xml:space="preserve">Deferred commission expense during the three months ended September 30, 2022 increased by </w:t>
      </w:r>
      <w:r>
        <w:rPr>
          <w:sz w:val="20"/>
          <w:szCs w:val="20"/>
        </w:rPr>
        <w:t>$</w:t>
      </w:r>
      <w:r>
        <w:rPr>
          <w:sz w:val="20"/>
          <w:szCs w:val="20"/>
        </w:rPr>
        <w:t>5.</w:t>
      </w:r>
      <w:r>
        <w:rPr>
          <w:sz w:val="20"/>
          <w:szCs w:val="20"/>
        </w:rPr>
        <w:t>5</w:t>
      </w:r>
      <w:r>
        <w:rPr>
          <w:sz w:val="20"/>
          <w:szCs w:val="20"/>
        </w:rPr>
        <w:t xml:space="preserve"> million as a result of </w:t>
      </w:r>
      <w:r>
        <w:rPr>
          <w:sz w:val="20"/>
          <w:szCs w:val="20"/>
        </w:rPr>
        <w:t xml:space="preserve">deferring incremental costs of obtaining a contract of </w:t>
      </w:r>
      <w:r>
        <w:rPr>
          <w:sz w:val="20"/>
          <w:szCs w:val="20"/>
        </w:rPr>
        <w:t>$</w:t>
      </w:r>
      <w:r>
        <w:rPr>
          <w:sz w:val="20"/>
          <w:szCs w:val="20"/>
        </w:rPr>
        <w:t>27.</w:t>
      </w:r>
      <w:r>
        <w:rPr>
          <w:sz w:val="20"/>
          <w:szCs w:val="20"/>
        </w:rPr>
        <w:t>9</w:t>
      </w:r>
      <w:r>
        <w:rPr>
          <w:sz w:val="20"/>
          <w:szCs w:val="20"/>
        </w:rPr>
        <w:t xml:space="preserve"> million and was offset by amortization of </w:t>
      </w:r>
      <w:r>
        <w:rPr>
          <w:sz w:val="20"/>
          <w:szCs w:val="20"/>
        </w:rPr>
        <w:t>$</w:t>
      </w:r>
      <w:r>
        <w:rPr>
          <w:sz w:val="20"/>
          <w:szCs w:val="20"/>
        </w:rPr>
        <w:t>22.</w:t>
      </w:r>
      <w:r>
        <w:rPr>
          <w:sz w:val="20"/>
          <w:szCs w:val="20"/>
        </w:rPr>
        <w:t>4</w:t>
      </w:r>
      <w:r>
        <w:rPr>
          <w:sz w:val="20"/>
          <w:szCs w:val="20"/>
        </w:rPr>
        <w:t xml:space="preserve"> million during the same period. Deferred commission expense during the nine months ended September 30, 2022 increased by </w:t>
      </w:r>
      <w:r>
        <w:rPr>
          <w:sz w:val="20"/>
          <w:szCs w:val="20"/>
        </w:rPr>
        <w:t>$</w:t>
      </w:r>
      <w:r>
        <w:rPr>
          <w:sz w:val="20"/>
          <w:szCs w:val="20"/>
        </w:rPr>
        <w:t>15.</w:t>
      </w:r>
      <w:r>
        <w:rPr>
          <w:sz w:val="20"/>
          <w:szCs w:val="20"/>
        </w:rPr>
        <w:t>8</w:t>
      </w:r>
      <w:r>
        <w:rPr>
          <w:sz w:val="20"/>
          <w:szCs w:val="20"/>
        </w:rPr>
        <w:t xml:space="preserve"> million as a result </w:t>
      </w:r>
      <w:r>
        <w:rPr>
          <w:sz w:val="20"/>
          <w:szCs w:val="20"/>
        </w:rPr>
        <w:t xml:space="preserve">of deferring incremental costs of obtaining a contract of </w:t>
      </w:r>
      <w:r>
        <w:rPr>
          <w:sz w:val="20"/>
          <w:szCs w:val="20"/>
        </w:rPr>
        <w:t>$</w:t>
      </w:r>
      <w:r>
        <w:rPr>
          <w:sz w:val="20"/>
          <w:szCs w:val="20"/>
        </w:rPr>
        <w:t>79.</w:t>
      </w:r>
      <w:r>
        <w:rPr>
          <w:sz w:val="20"/>
          <w:szCs w:val="20"/>
        </w:rPr>
        <w:t>1</w:t>
      </w:r>
      <w:r>
        <w:rPr>
          <w:sz w:val="20"/>
          <w:szCs w:val="20"/>
        </w:rPr>
        <w:t xml:space="preserve"> million and was offset by amortization of </w:t>
      </w:r>
      <w:r>
        <w:rPr>
          <w:sz w:val="20"/>
          <w:szCs w:val="20"/>
        </w:rPr>
        <w:t>$</w:t>
      </w:r>
      <w:r>
        <w:rPr>
          <w:sz w:val="20"/>
          <w:szCs w:val="20"/>
        </w:rPr>
        <w:t>63.</w:t>
      </w:r>
      <w:r>
        <w:rPr>
          <w:sz w:val="20"/>
          <w:szCs w:val="20"/>
        </w:rPr>
        <w:t>3</w:t>
      </w:r>
      <w:r>
        <w:rPr>
          <w:sz w:val="20"/>
          <w:szCs w:val="20"/>
        </w:rPr>
        <w:t xml:space="preserve"> million during the same period</w:t>
      </w:r>
      <w:r>
        <w:rPr>
          <w:sz w:val="20"/>
          <w:szCs w:val="20"/>
        </w:rPr>
        <w:t>.</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1</w:t>
      </w:r>
      <w:r>
        <w:rPr>
          <w:sz w:val="20"/>
          <w:szCs w:val="20"/>
        </w:rPr>
        <w:t>2</w:t>
      </w:r>
    </w:p>
    <w:p w:rsidR="00000000" w:rsidRDefault="00805FA0">
      <w:pPr>
        <w:rPr>
          <w:rFonts w:eastAsia="Times New Roman"/>
        </w:rPr>
      </w:pPr>
      <w:r>
        <w:rPr>
          <w:rFonts w:eastAsia="Times New Roman"/>
        </w:rPr>
        <w:pict>
          <v:rect id="_x0000_i1036"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divId w:val="85275821"/>
        <w:rPr>
          <w:sz w:val="20"/>
          <w:szCs w:val="20"/>
        </w:rPr>
      </w:pPr>
      <w:r>
        <w:rPr>
          <w:b/>
          <w:bCs/>
          <w:sz w:val="20"/>
          <w:szCs w:val="20"/>
        </w:rPr>
        <w:t>3. Net Loss per Shar</w:t>
      </w:r>
      <w:r>
        <w:rPr>
          <w:b/>
          <w:bCs/>
          <w:sz w:val="20"/>
          <w:szCs w:val="20"/>
        </w:rPr>
        <w:t>e</w:t>
      </w:r>
    </w:p>
    <w:p w:rsidR="00000000" w:rsidRDefault="00805FA0">
      <w:pPr>
        <w:pStyle w:val="a3"/>
        <w:spacing w:before="240" w:beforeAutospacing="0" w:after="0" w:afterAutospacing="0"/>
        <w:ind w:firstLine="555"/>
        <w:divId w:val="85275821"/>
        <w:rPr>
          <w:sz w:val="20"/>
          <w:szCs w:val="20"/>
        </w:rPr>
      </w:pPr>
      <w:r>
        <w:rPr>
          <w:sz w:val="20"/>
          <w:szCs w:val="20"/>
        </w:rPr>
        <w:t>Basic net loss per share is computed by dividing net loss by the weighted average number of common shares outstanding for the period. Diluted net loss per share is computed by giving effect to all potential dilutive common stock equivalents outstanding for</w:t>
      </w:r>
      <w:r>
        <w:rPr>
          <w:sz w:val="20"/>
          <w:szCs w:val="20"/>
        </w:rPr>
        <w:t xml:space="preserve"> the period. For purposes of this calculation, options to purchase common stock, restricted stock units (“RSUs”), shares issued pursuant to the Employee Stock Purchase Plan (“ESPP”), the Warrants (defined in Note 8), the Conversion Option of the 2022 Notes</w:t>
      </w:r>
      <w:r>
        <w:rPr>
          <w:sz w:val="20"/>
          <w:szCs w:val="20"/>
        </w:rPr>
        <w:t>, and the Conversion Option of the 2025 Notes (the “Conversion Options”) (Note 8) are considered to be potential common stock equivalents</w:t>
      </w:r>
      <w:r>
        <w:rPr>
          <w:sz w:val="20"/>
          <w:szCs w:val="20"/>
        </w:rPr>
        <w:t>.</w:t>
      </w:r>
      <w:r>
        <w:rPr>
          <w:sz w:val="20"/>
          <w:szCs w:val="20"/>
        </w:rPr>
        <w:t xml:space="preserve"> </w:t>
      </w:r>
    </w:p>
    <w:p w:rsidR="00000000" w:rsidRDefault="00805FA0">
      <w:pPr>
        <w:pStyle w:val="a3"/>
        <w:spacing w:before="240" w:beforeAutospacing="0" w:after="0" w:afterAutospacing="0"/>
        <w:ind w:firstLine="555"/>
        <w:divId w:val="2029017069"/>
        <w:rPr>
          <w:sz w:val="20"/>
          <w:szCs w:val="20"/>
        </w:rPr>
      </w:pPr>
      <w:r>
        <w:rPr>
          <w:sz w:val="20"/>
          <w:szCs w:val="20"/>
        </w:rPr>
        <w:t>A reconciliation of the denominator used in the calculation of basic and diluted net loss per share is as follows</w:t>
      </w:r>
      <w:r>
        <w:rPr>
          <w:sz w:val="20"/>
          <w:szCs w:val="20"/>
        </w:rPr>
        <w:t>:</w:t>
      </w:r>
    </w:p>
    <w:p w:rsidR="00000000" w:rsidRDefault="00805FA0">
      <w:pPr>
        <w:pStyle w:val="a3"/>
        <w:spacing w:before="0" w:beforeAutospacing="0" w:after="0" w:afterAutospacing="0"/>
        <w:ind w:firstLine="555"/>
        <w:divId w:val="2029017069"/>
        <w:rPr>
          <w:sz w:val="20"/>
          <w:szCs w:val="20"/>
        </w:rPr>
      </w:pPr>
      <w:r>
        <w:rPr>
          <w:sz w:val="20"/>
          <w:szCs w:val="20"/>
        </w:rPr>
        <w:t> </w:t>
      </w: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3288"/>
        <w:gridCol w:w="160"/>
        <w:gridCol w:w="813"/>
        <w:gridCol w:w="127"/>
        <w:gridCol w:w="115"/>
        <w:gridCol w:w="160"/>
        <w:gridCol w:w="810"/>
        <w:gridCol w:w="127"/>
        <w:gridCol w:w="110"/>
        <w:gridCol w:w="160"/>
        <w:gridCol w:w="813"/>
        <w:gridCol w:w="127"/>
        <w:gridCol w:w="115"/>
        <w:gridCol w:w="160"/>
        <w:gridCol w:w="830"/>
        <w:gridCol w:w="142"/>
      </w:tblGrid>
      <w:tr w:rsidR="00000000">
        <w:trPr>
          <w:divId w:val="2029017069"/>
          <w:tblCellSpacing w:w="15" w:type="dxa"/>
        </w:trPr>
        <w:tc>
          <w:tcPr>
            <w:tcW w:w="2189"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56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7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2029017069"/>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2029017069"/>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2029017069"/>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los</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31,41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13,73</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97,11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61,46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divId w:val="2029017069"/>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Weighted-average common shares outstanding — basi</w:t>
            </w:r>
            <w:r>
              <w:rPr>
                <w:sz w:val="20"/>
                <w:szCs w:val="20"/>
              </w:rPr>
              <w:t>c</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48,06</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47,04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47,82</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46,75</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029017069"/>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xml:space="preserve">Dilutive effect of share equivalents resulting from stock </w:t>
            </w:r>
            <w:r>
              <w:rPr>
                <w:sz w:val="20"/>
                <w:szCs w:val="20"/>
              </w:rPr>
              <w:br/>
              <w:t>   </w:t>
            </w:r>
            <w:r>
              <w:rPr>
                <w:sz w:val="20"/>
                <w:szCs w:val="20"/>
              </w:rPr>
              <w:t>options, RSUs, ESPP, Warrants and the Conversion</w:t>
            </w:r>
            <w:r>
              <w:rPr>
                <w:sz w:val="20"/>
                <w:szCs w:val="20"/>
              </w:rPr>
              <w:br/>
              <w:t>   Option</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029017069"/>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Weighted-average common shares, outstanding — dilute</w:t>
            </w:r>
            <w:r>
              <w:rPr>
                <w:sz w:val="20"/>
                <w:szCs w:val="20"/>
              </w:rPr>
              <w:t>d</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48,06</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47,04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47,82</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46,75</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029017069"/>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loss per share, basic and dilute</w:t>
            </w:r>
            <w:r>
              <w:rPr>
                <w:sz w:val="20"/>
                <w:szCs w:val="20"/>
              </w:rPr>
              <w:t>d</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2.0</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1.3</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240" w:beforeAutospacing="0" w:after="0" w:afterAutospacing="0"/>
        <w:ind w:firstLine="555"/>
        <w:divId w:val="85275821"/>
        <w:rPr>
          <w:sz w:val="20"/>
          <w:szCs w:val="20"/>
        </w:rPr>
      </w:pPr>
      <w:r>
        <w:rPr>
          <w:sz w:val="20"/>
          <w:szCs w:val="20"/>
        </w:rPr>
        <w:t>Since the Company incurred net losses for each of the periods presented, diluted net loss per share is the same as basic net loss per share. All of the Company’s outstanding stock options, RSUs, and shares issuable under the ESPP, as well as the Warrants a</w:t>
      </w:r>
      <w:r>
        <w:rPr>
          <w:sz w:val="20"/>
          <w:szCs w:val="20"/>
        </w:rPr>
        <w:t>nd Conversion Options were excluded in the calculation of diluted net loss per share as the effect would be anti-dilutive</w:t>
      </w:r>
      <w:r>
        <w:rPr>
          <w:sz w:val="20"/>
          <w:szCs w:val="20"/>
        </w:rPr>
        <w:t>.</w:t>
      </w:r>
    </w:p>
    <w:p w:rsidR="00000000" w:rsidRDefault="00805FA0">
      <w:pPr>
        <w:pStyle w:val="a3"/>
        <w:spacing w:before="240" w:beforeAutospacing="0" w:after="0" w:afterAutospacing="0"/>
        <w:ind w:firstLine="555"/>
        <w:divId w:val="85275821"/>
        <w:rPr>
          <w:sz w:val="20"/>
          <w:szCs w:val="20"/>
        </w:rPr>
      </w:pPr>
      <w:r>
        <w:rPr>
          <w:sz w:val="20"/>
          <w:szCs w:val="20"/>
        </w:rPr>
        <w:t>The Company uses the treasury stock method and the average market price per share during the period for calculating any potential dil</w:t>
      </w:r>
      <w:r>
        <w:rPr>
          <w:sz w:val="20"/>
          <w:szCs w:val="20"/>
        </w:rPr>
        <w:t>utive effect of the Warrants. The average stock price for the three months ended September 30, 202</w:t>
      </w:r>
      <w:r>
        <w:rPr>
          <w:sz w:val="20"/>
          <w:szCs w:val="20"/>
        </w:rPr>
        <w:t>2</w:t>
      </w:r>
      <w:r>
        <w:rPr>
          <w:sz w:val="20"/>
          <w:szCs w:val="20"/>
        </w:rPr>
        <w:t xml:space="preserve"> was </w:t>
      </w:r>
      <w:r>
        <w:rPr>
          <w:sz w:val="20"/>
          <w:szCs w:val="20"/>
        </w:rPr>
        <w:t>$</w:t>
      </w:r>
      <w:r>
        <w:rPr>
          <w:sz w:val="20"/>
          <w:szCs w:val="20"/>
        </w:rPr>
        <w:t>317.6</w:t>
      </w:r>
      <w:r>
        <w:rPr>
          <w:sz w:val="20"/>
          <w:szCs w:val="20"/>
        </w:rPr>
        <w:t>0</w:t>
      </w:r>
      <w:r>
        <w:rPr>
          <w:sz w:val="20"/>
          <w:szCs w:val="20"/>
        </w:rPr>
        <w:t xml:space="preserve"> and for the</w:t>
      </w:r>
      <w:r>
        <w:rPr>
          <w:sz w:val="20"/>
          <w:szCs w:val="20"/>
        </w:rPr>
        <w:t xml:space="preserve"> </w:t>
      </w:r>
      <w:r>
        <w:rPr>
          <w:sz w:val="20"/>
          <w:szCs w:val="20"/>
        </w:rPr>
        <w:t>nine months ended September 30, 202</w:t>
      </w:r>
      <w:r>
        <w:rPr>
          <w:sz w:val="20"/>
          <w:szCs w:val="20"/>
        </w:rPr>
        <w:t>2</w:t>
      </w:r>
      <w:r>
        <w:rPr>
          <w:sz w:val="20"/>
          <w:szCs w:val="20"/>
        </w:rPr>
        <w:t xml:space="preserve"> was </w:t>
      </w:r>
      <w:r>
        <w:rPr>
          <w:sz w:val="20"/>
          <w:szCs w:val="20"/>
        </w:rPr>
        <w:t>$</w:t>
      </w:r>
      <w:r>
        <w:rPr>
          <w:sz w:val="20"/>
          <w:szCs w:val="20"/>
        </w:rPr>
        <w:t>388.3</w:t>
      </w:r>
      <w:r>
        <w:rPr>
          <w:sz w:val="20"/>
          <w:szCs w:val="20"/>
        </w:rPr>
        <w:t>3</w:t>
      </w:r>
      <w:r>
        <w:rPr>
          <w:sz w:val="20"/>
          <w:szCs w:val="20"/>
        </w:rPr>
        <w:t>. The Company uses the if-converted method when calculating any potential dilutive e</w:t>
      </w:r>
      <w:r>
        <w:rPr>
          <w:sz w:val="20"/>
          <w:szCs w:val="20"/>
        </w:rPr>
        <w:t>ffect of the Conversion Options, which assumes conversion of outstanding convertible securities at the beginning of the reporting period or date of issuance, if the convertible security was issued during the period</w:t>
      </w:r>
      <w:r>
        <w:rPr>
          <w:sz w:val="20"/>
          <w:szCs w:val="20"/>
        </w:rPr>
        <w:t>.</w:t>
      </w:r>
    </w:p>
    <w:p w:rsidR="00000000" w:rsidRDefault="00805FA0">
      <w:pPr>
        <w:pStyle w:val="a3"/>
        <w:spacing w:before="240" w:beforeAutospacing="0" w:after="0" w:afterAutospacing="0"/>
        <w:ind w:firstLine="555"/>
        <w:divId w:val="1556045250"/>
        <w:rPr>
          <w:sz w:val="20"/>
          <w:szCs w:val="20"/>
        </w:rPr>
      </w:pPr>
      <w:r>
        <w:rPr>
          <w:sz w:val="20"/>
          <w:szCs w:val="20"/>
        </w:rPr>
        <w:t>The following table contains all potenti</w:t>
      </w:r>
      <w:r>
        <w:rPr>
          <w:sz w:val="20"/>
          <w:szCs w:val="20"/>
        </w:rPr>
        <w:t>ally dilutive common stock equivalents</w:t>
      </w:r>
      <w:r>
        <w:rPr>
          <w:sz w:val="20"/>
          <w:szCs w:val="20"/>
        </w:rPr>
        <w:t>.</w:t>
      </w:r>
      <w:r>
        <w:rPr>
          <w:sz w:val="20"/>
          <w:szCs w:val="20"/>
        </w:rPr>
        <w:t xml:space="preserve"> </w:t>
      </w:r>
    </w:p>
    <w:p w:rsidR="00000000" w:rsidRDefault="00805FA0">
      <w:pPr>
        <w:pStyle w:val="a3"/>
        <w:spacing w:before="40" w:beforeAutospacing="0" w:after="0" w:afterAutospacing="0"/>
        <w:ind w:firstLine="555"/>
        <w:divId w:val="1556045250"/>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53"/>
        <w:gridCol w:w="112"/>
        <w:gridCol w:w="110"/>
        <w:gridCol w:w="1049"/>
        <w:gridCol w:w="110"/>
        <w:gridCol w:w="112"/>
        <w:gridCol w:w="110"/>
        <w:gridCol w:w="1064"/>
        <w:gridCol w:w="125"/>
      </w:tblGrid>
      <w:tr w:rsidR="00000000">
        <w:trPr>
          <w:divId w:val="1556045250"/>
          <w:tblCellSpacing w:w="15" w:type="dxa"/>
        </w:trPr>
        <w:tc>
          <w:tcPr>
            <w:tcW w:w="3009" w:type="pct"/>
            <w:vAlign w:val="center"/>
            <w:hideMark/>
          </w:tcPr>
          <w:p w:rsidR="00000000" w:rsidRDefault="00805FA0">
            <w:pPr>
              <w:rPr>
                <w:sz w:val="20"/>
                <w:szCs w:val="20"/>
              </w:rPr>
            </w:pPr>
          </w:p>
        </w:tc>
        <w:tc>
          <w:tcPr>
            <w:tcW w:w="7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1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2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55604525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As of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55604525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55604525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55604525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Options to purchase common share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55604525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1,60</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55604525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Conversion Option of the 2022 Notes and Warrant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1,72</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55604525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Conversion Option of the 2025 Note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1,62</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55604525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ESP</w:t>
            </w:r>
            <w:r>
              <w:rPr>
                <w:sz w:val="20"/>
                <w:szCs w:val="20"/>
              </w:rPr>
              <w:t>P</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0" w:beforeAutospacing="0" w:after="0" w:afterAutospacing="0"/>
        <w:ind w:firstLine="726"/>
        <w:rPr>
          <w:sz w:val="20"/>
          <w:szCs w:val="20"/>
        </w:rPr>
      </w:pPr>
      <w:r>
        <w:rPr>
          <w:sz w:val="20"/>
          <w:szCs w:val="20"/>
        </w:rPr>
        <w:t> </w:t>
      </w:r>
    </w:p>
    <w:p w:rsidR="00000000" w:rsidRDefault="00805FA0">
      <w:pPr>
        <w:pStyle w:val="a3"/>
        <w:spacing w:before="200" w:beforeAutospacing="0" w:after="0" w:afterAutospacing="0"/>
        <w:divId w:val="1827475351"/>
        <w:rPr>
          <w:sz w:val="20"/>
          <w:szCs w:val="20"/>
        </w:rPr>
      </w:pPr>
      <w:r>
        <w:rPr>
          <w:b/>
          <w:bCs/>
          <w:sz w:val="20"/>
          <w:szCs w:val="20"/>
        </w:rPr>
        <w:t>4. Fair Value of Financial Instrument</w:t>
      </w:r>
      <w:r>
        <w:rPr>
          <w:b/>
          <w:bCs/>
          <w:sz w:val="20"/>
          <w:szCs w:val="20"/>
        </w:rPr>
        <w:t>s</w:t>
      </w:r>
    </w:p>
    <w:p w:rsidR="00000000" w:rsidRDefault="00805FA0">
      <w:pPr>
        <w:pStyle w:val="a3"/>
        <w:spacing w:before="200" w:beforeAutospacing="0" w:after="0" w:afterAutospacing="0"/>
        <w:ind w:firstLine="555"/>
        <w:divId w:val="1827475351"/>
        <w:rPr>
          <w:sz w:val="20"/>
          <w:szCs w:val="20"/>
        </w:rPr>
      </w:pPr>
      <w:r>
        <w:rPr>
          <w:sz w:val="20"/>
          <w:szCs w:val="20"/>
        </w:rPr>
        <w:t xml:space="preserve">The Company measures certain financial assets at fair value. Fair value is determined based upon the exit price that would be received to sell an asset or paid to transfer a liability in an orderly transaction between market participants, as determined by </w:t>
      </w:r>
      <w:r>
        <w:rPr>
          <w:sz w:val="20"/>
          <w:szCs w:val="20"/>
        </w:rPr>
        <w:t>either the principal market or the most advantageous market. Inputs used in the valuation techniques to derive fair values are classified based on a three-level hierarchy, as follows</w:t>
      </w:r>
      <w:r>
        <w:rPr>
          <w:sz w:val="20"/>
          <w:szCs w:val="20"/>
        </w:rPr>
        <w:t>:</w:t>
      </w:r>
    </w:p>
    <w:p w:rsidR="00000000" w:rsidRDefault="00805FA0">
      <w:pPr>
        <w:divId w:val="1204321893"/>
        <w:rPr>
          <w:rFonts w:eastAsia="Times New Roman"/>
          <w:sz w:val="20"/>
          <w:szCs w:val="20"/>
        </w:rPr>
      </w:pPr>
      <w:r>
        <w:rPr>
          <w:rFonts w:eastAsia="Times New Roman"/>
          <w:sz w:val="20"/>
          <w:szCs w:val="20"/>
        </w:rPr>
        <w:t>•</w:t>
      </w:r>
    </w:p>
    <w:p w:rsidR="00000000" w:rsidRDefault="00805FA0">
      <w:pPr>
        <w:divId w:val="1877620792"/>
        <w:rPr>
          <w:rFonts w:eastAsia="Times New Roman"/>
          <w:sz w:val="20"/>
          <w:szCs w:val="20"/>
        </w:rPr>
      </w:pPr>
      <w:r>
        <w:rPr>
          <w:rFonts w:eastAsia="Times New Roman"/>
          <w:sz w:val="20"/>
          <w:szCs w:val="20"/>
        </w:rPr>
        <w:t>Level 1 — Quoted prices in active markets for identical assets or liab</w:t>
      </w:r>
      <w:r>
        <w:rPr>
          <w:rFonts w:eastAsia="Times New Roman"/>
          <w:sz w:val="20"/>
          <w:szCs w:val="20"/>
        </w:rPr>
        <w:t>ilities</w:t>
      </w:r>
      <w:r>
        <w:rPr>
          <w:rFonts w:eastAsia="Times New Roman"/>
          <w:sz w:val="20"/>
          <w:szCs w:val="20"/>
        </w:rPr>
        <w:t>.</w:t>
      </w:r>
    </w:p>
    <w:p w:rsidR="00000000" w:rsidRDefault="00805FA0">
      <w:pPr>
        <w:divId w:val="207037779"/>
        <w:rPr>
          <w:rFonts w:eastAsia="Times New Roman"/>
          <w:sz w:val="20"/>
          <w:szCs w:val="20"/>
        </w:rPr>
      </w:pPr>
      <w:r>
        <w:rPr>
          <w:rFonts w:eastAsia="Times New Roman"/>
          <w:sz w:val="20"/>
          <w:szCs w:val="20"/>
        </w:rPr>
        <w:t>•</w:t>
      </w:r>
    </w:p>
    <w:p w:rsidR="00000000" w:rsidRDefault="00805FA0">
      <w:pPr>
        <w:divId w:val="378435666"/>
        <w:rPr>
          <w:rFonts w:eastAsia="Times New Roman"/>
          <w:sz w:val="20"/>
          <w:szCs w:val="20"/>
        </w:rPr>
      </w:pPr>
      <w:r>
        <w:rPr>
          <w:rFonts w:eastAsia="Times New Roman"/>
          <w:sz w:val="20"/>
          <w:szCs w:val="20"/>
        </w:rPr>
        <w:t>Level 2 — Observable inputs other than Level 1 prices such as quoted prices for similar assets or liabilities; quoted prices in markets with insufficient volume or infrequent transactions (less active markets); or model-derived valuations in whi</w:t>
      </w:r>
      <w:r>
        <w:rPr>
          <w:rFonts w:eastAsia="Times New Roman"/>
          <w:sz w:val="20"/>
          <w:szCs w:val="20"/>
        </w:rPr>
        <w:t>ch all significant inputs are observable or can be derived principally from or corroborated by observable market data for substantially the full term of the assets or liabilities</w:t>
      </w:r>
      <w:r>
        <w:rPr>
          <w:rFonts w:eastAsia="Times New Roman"/>
          <w:sz w:val="20"/>
          <w:szCs w:val="20"/>
        </w:rPr>
        <w:t>.</w:t>
      </w:r>
    </w:p>
    <w:p w:rsidR="00000000" w:rsidRDefault="00805FA0">
      <w:pPr>
        <w:divId w:val="913975548"/>
        <w:rPr>
          <w:rFonts w:eastAsia="Times New Roman"/>
          <w:sz w:val="20"/>
          <w:szCs w:val="20"/>
        </w:rPr>
      </w:pPr>
      <w:r>
        <w:rPr>
          <w:rFonts w:eastAsia="Times New Roman"/>
          <w:sz w:val="20"/>
          <w:szCs w:val="20"/>
        </w:rPr>
        <w:t>•</w:t>
      </w:r>
    </w:p>
    <w:p w:rsidR="00000000" w:rsidRDefault="00805FA0">
      <w:pPr>
        <w:divId w:val="1819103065"/>
        <w:rPr>
          <w:rFonts w:eastAsia="Times New Roman"/>
          <w:sz w:val="20"/>
          <w:szCs w:val="20"/>
        </w:rPr>
      </w:pPr>
      <w:r>
        <w:rPr>
          <w:rFonts w:eastAsia="Times New Roman"/>
          <w:sz w:val="20"/>
          <w:szCs w:val="20"/>
        </w:rPr>
        <w:t xml:space="preserve">Level 3 — </w:t>
      </w:r>
      <w:r>
        <w:rPr>
          <w:rFonts w:eastAsia="Times New Roman"/>
          <w:sz w:val="20"/>
          <w:szCs w:val="20"/>
        </w:rPr>
        <w:t>Unobservable inputs to the valuation methodology that are significant to the measurement of fair value of assets or liabilities</w:t>
      </w:r>
      <w:r>
        <w:rPr>
          <w:rFonts w:eastAsia="Times New Roman"/>
          <w:sz w:val="20"/>
          <w:szCs w:val="20"/>
        </w:rPr>
        <w:t>.</w:t>
      </w:r>
    </w:p>
    <w:p w:rsidR="00000000" w:rsidRDefault="00805FA0">
      <w:pPr>
        <w:pStyle w:val="a3"/>
        <w:spacing w:before="240" w:beforeAutospacing="0" w:after="0" w:afterAutospacing="0"/>
        <w:jc w:val="center"/>
        <w:divId w:val="1827475351"/>
        <w:rPr>
          <w:sz w:val="20"/>
          <w:szCs w:val="20"/>
        </w:rPr>
      </w:pPr>
      <w:r>
        <w:rPr>
          <w:sz w:val="20"/>
          <w:szCs w:val="20"/>
        </w:rPr>
        <w:t>1</w:t>
      </w:r>
      <w:r>
        <w:rPr>
          <w:sz w:val="20"/>
          <w:szCs w:val="20"/>
        </w:rPr>
        <w:t>3</w:t>
      </w:r>
    </w:p>
    <w:p w:rsidR="00000000" w:rsidRDefault="00805FA0">
      <w:pPr>
        <w:divId w:val="1827475351"/>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805FA0">
      <w:pPr>
        <w:pStyle w:val="a3"/>
        <w:spacing w:before="0" w:beforeAutospacing="0" w:after="0" w:afterAutospacing="0"/>
        <w:divId w:val="1827475351"/>
        <w:rPr>
          <w:sz w:val="20"/>
          <w:szCs w:val="20"/>
        </w:rPr>
      </w:pPr>
      <w:r>
        <w:rPr>
          <w:sz w:val="20"/>
          <w:szCs w:val="20"/>
        </w:rPr>
        <w:t> </w:t>
      </w:r>
    </w:p>
    <w:p w:rsidR="00000000" w:rsidRDefault="00805FA0">
      <w:pPr>
        <w:pStyle w:val="a3"/>
        <w:spacing w:before="200" w:beforeAutospacing="0" w:after="0" w:afterAutospacing="0"/>
        <w:ind w:firstLine="555"/>
        <w:divId w:val="494423562"/>
        <w:rPr>
          <w:sz w:val="20"/>
          <w:szCs w:val="20"/>
        </w:rPr>
      </w:pPr>
      <w:r>
        <w:rPr>
          <w:sz w:val="20"/>
          <w:szCs w:val="20"/>
        </w:rPr>
        <w:t>The following table details the fair value measurements within the fair value hierarch</w:t>
      </w:r>
      <w:r>
        <w:rPr>
          <w:sz w:val="20"/>
          <w:szCs w:val="20"/>
        </w:rPr>
        <w:t>y of the Company’s financial assets and liabilities at</w:t>
      </w:r>
      <w:r>
        <w:rPr>
          <w:sz w:val="20"/>
          <w:szCs w:val="20"/>
        </w:rPr>
        <w:t xml:space="preserve"> </w:t>
      </w:r>
      <w:r>
        <w:rPr>
          <w:sz w:val="20"/>
          <w:szCs w:val="20"/>
        </w:rPr>
        <w:t>September 30, 2022 and December 31, 2021:</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240"/>
        <w:gridCol w:w="110"/>
        <w:gridCol w:w="160"/>
        <w:gridCol w:w="610"/>
        <w:gridCol w:w="110"/>
        <w:gridCol w:w="110"/>
        <w:gridCol w:w="160"/>
        <w:gridCol w:w="860"/>
        <w:gridCol w:w="110"/>
        <w:gridCol w:w="110"/>
        <w:gridCol w:w="161"/>
        <w:gridCol w:w="369"/>
        <w:gridCol w:w="110"/>
        <w:gridCol w:w="110"/>
        <w:gridCol w:w="160"/>
        <w:gridCol w:w="860"/>
        <w:gridCol w:w="125"/>
      </w:tblGrid>
      <w:tr w:rsidR="00000000">
        <w:trPr>
          <w:divId w:val="494423562"/>
          <w:tblCellSpacing w:w="15" w:type="dxa"/>
        </w:trPr>
        <w:tc>
          <w:tcPr>
            <w:tcW w:w="2429" w:type="pct"/>
            <w:vAlign w:val="center"/>
            <w:hideMark/>
          </w:tcPr>
          <w:p w:rsidR="00000000" w:rsidRDefault="00805FA0">
            <w:pPr>
              <w:rPr>
                <w:sz w:val="20"/>
                <w:szCs w:val="20"/>
              </w:rPr>
            </w:pPr>
          </w:p>
        </w:tc>
        <w:tc>
          <w:tcPr>
            <w:tcW w:w="6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6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6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49442356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49442356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49442356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14,74</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14,74</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19,51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19,51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255,33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255,33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39,15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39,15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793,41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793,41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14,74</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1,110,45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1,125,19</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divId w:val="49442356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40"/>
        <w:gridCol w:w="110"/>
        <w:gridCol w:w="160"/>
        <w:gridCol w:w="710"/>
        <w:gridCol w:w="110"/>
        <w:gridCol w:w="110"/>
        <w:gridCol w:w="160"/>
        <w:gridCol w:w="860"/>
        <w:gridCol w:w="110"/>
        <w:gridCol w:w="110"/>
        <w:gridCol w:w="161"/>
        <w:gridCol w:w="369"/>
        <w:gridCol w:w="110"/>
        <w:gridCol w:w="110"/>
        <w:gridCol w:w="160"/>
        <w:gridCol w:w="860"/>
        <w:gridCol w:w="125"/>
      </w:tblGrid>
      <w:tr w:rsidR="00000000">
        <w:trPr>
          <w:divId w:val="494423562"/>
          <w:tblCellSpacing w:w="15" w:type="dxa"/>
        </w:trPr>
        <w:tc>
          <w:tcPr>
            <w:tcW w:w="2429" w:type="pct"/>
            <w:vAlign w:val="center"/>
            <w:hideMark/>
          </w:tcPr>
          <w:p w:rsidR="00000000" w:rsidRDefault="00805FA0">
            <w:pPr>
              <w:rPr>
                <w:sz w:val="20"/>
                <w:szCs w:val="20"/>
              </w:rPr>
            </w:pPr>
          </w:p>
        </w:tc>
        <w:tc>
          <w:tcPr>
            <w:tcW w:w="6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6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6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49442356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49442356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49442356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Cash equivalents and investments</w:t>
            </w: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Commercial pape</w:t>
            </w:r>
            <w:r>
              <w:rPr>
                <w:sz w:val="20"/>
                <w:szCs w:val="20"/>
              </w:rPr>
              <w:t>r</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28,33</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28,33</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Corporate bond</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U.S. Government agency securitie</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U.S. Treasury securitie</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Restricted cash</w:t>
            </w: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Money market fund</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49442356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125,94</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1,001,97</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1,127,91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1827475351"/>
        <w:rPr>
          <w:sz w:val="20"/>
          <w:szCs w:val="20"/>
        </w:rPr>
      </w:pPr>
      <w:r>
        <w:rPr>
          <w:sz w:val="20"/>
          <w:szCs w:val="20"/>
        </w:rPr>
        <w:t>The Company considers all highly liquid investments purchased with an original maturity of three months or less to be cash equivalents. The fair value of the Company’s investments in certain money market funds is their face value and such instruments are c</w:t>
      </w:r>
      <w:r>
        <w:rPr>
          <w:sz w:val="20"/>
          <w:szCs w:val="20"/>
        </w:rPr>
        <w:t xml:space="preserve">lassified as Level 1 and are included in cash and cash equivalents on the consolidated balance sheets. At September 30, 2022 and December 31, 2021, Level 2 securities were priced by pricing vendors. These pricing vendors utilize the most recent observable </w:t>
      </w:r>
      <w:r>
        <w:rPr>
          <w:sz w:val="20"/>
          <w:szCs w:val="20"/>
        </w:rPr>
        <w:t>market information in pricing these securities or, if specific prices are not available for these securities, use other observable inputs like market transactions involving identical or comparable securities</w:t>
      </w:r>
      <w:r>
        <w:rPr>
          <w:sz w:val="20"/>
          <w:szCs w:val="20"/>
        </w:rPr>
        <w:t>.</w:t>
      </w:r>
      <w:r>
        <w:rPr>
          <w:sz w:val="20"/>
          <w:szCs w:val="20"/>
        </w:rPr>
        <w:t xml:space="preserve"> </w:t>
      </w:r>
    </w:p>
    <w:p w:rsidR="00000000" w:rsidRDefault="00805FA0">
      <w:pPr>
        <w:pStyle w:val="a3"/>
        <w:spacing w:before="200" w:beforeAutospacing="0" w:after="0" w:afterAutospacing="0"/>
        <w:ind w:firstLine="555"/>
        <w:divId w:val="1827475351"/>
        <w:rPr>
          <w:sz w:val="20"/>
          <w:szCs w:val="20"/>
        </w:rPr>
      </w:pPr>
      <w:r>
        <w:rPr>
          <w:sz w:val="20"/>
          <w:szCs w:val="20"/>
        </w:rPr>
        <w:t>As of September 30, 2022, the fair value of th</w:t>
      </w:r>
      <w:r>
        <w:rPr>
          <w:sz w:val="20"/>
          <w:szCs w:val="20"/>
        </w:rPr>
        <w:t>e 2025 Notes was</w:t>
      </w:r>
      <w:r>
        <w:rPr>
          <w:sz w:val="20"/>
          <w:szCs w:val="20"/>
        </w:rPr>
        <w:t xml:space="preserve"> </w:t>
      </w:r>
      <w:r>
        <w:rPr>
          <w:sz w:val="20"/>
          <w:szCs w:val="20"/>
        </w:rPr>
        <w:t>$</w:t>
      </w:r>
      <w:r>
        <w:rPr>
          <w:sz w:val="20"/>
          <w:szCs w:val="20"/>
        </w:rPr>
        <w:t>513.</w:t>
      </w:r>
      <w:r>
        <w:rPr>
          <w:sz w:val="20"/>
          <w:szCs w:val="20"/>
        </w:rPr>
        <w:t>8</w:t>
      </w:r>
      <w:r>
        <w:rPr>
          <w:sz w:val="20"/>
          <w:szCs w:val="20"/>
        </w:rPr>
        <w:t xml:space="preserve"> millio</w:t>
      </w:r>
      <w:r>
        <w:rPr>
          <w:sz w:val="20"/>
          <w:szCs w:val="20"/>
        </w:rPr>
        <w:t>n</w:t>
      </w:r>
      <w:r>
        <w:rPr>
          <w:sz w:val="20"/>
          <w:szCs w:val="20"/>
        </w:rPr>
        <w:t>. The fair value was determined based on the quoted price of the 2025 Notes in an inactive market on the last trading day of the reporting period and has been classified as Level 2 within the fair value hierarchy. Upon maturi</w:t>
      </w:r>
      <w:r>
        <w:rPr>
          <w:sz w:val="20"/>
          <w:szCs w:val="20"/>
        </w:rPr>
        <w:t>ty and settlement of the 2022 Notes on</w:t>
      </w:r>
      <w:r>
        <w:rPr>
          <w:sz w:val="20"/>
          <w:szCs w:val="20"/>
        </w:rPr>
        <w:t xml:space="preserve"> </w:t>
      </w:r>
      <w:r>
        <w:rPr>
          <w:sz w:val="20"/>
          <w:szCs w:val="20"/>
        </w:rPr>
        <w:t>June 1, 202</w:t>
      </w:r>
      <w:r>
        <w:rPr>
          <w:sz w:val="20"/>
          <w:szCs w:val="20"/>
        </w:rPr>
        <w:t>2</w:t>
      </w:r>
      <w:r>
        <w:rPr>
          <w:sz w:val="20"/>
          <w:szCs w:val="20"/>
        </w:rPr>
        <w:t>, the 2022 Notes are</w:t>
      </w:r>
      <w:r>
        <w:rPr>
          <w:sz w:val="20"/>
          <w:szCs w:val="20"/>
        </w:rPr>
        <w:t xml:space="preserve"> </w:t>
      </w:r>
      <w:r>
        <w:rPr>
          <w:sz w:val="20"/>
          <w:szCs w:val="20"/>
        </w:rPr>
        <w:t>n</w:t>
      </w:r>
      <w:r>
        <w:rPr>
          <w:sz w:val="20"/>
          <w:szCs w:val="20"/>
        </w:rPr>
        <w:t>o</w:t>
      </w:r>
      <w:r>
        <w:rPr>
          <w:sz w:val="20"/>
          <w:szCs w:val="20"/>
        </w:rPr>
        <w:t xml:space="preserve"> longer outstanding as of</w:t>
      </w:r>
      <w:r>
        <w:rPr>
          <w:sz w:val="20"/>
          <w:szCs w:val="20"/>
        </w:rPr>
        <w:t xml:space="preserve"> </w:t>
      </w:r>
      <w:r>
        <w:rPr>
          <w:sz w:val="20"/>
          <w:szCs w:val="20"/>
        </w:rPr>
        <w:t>September 30, 2022</w:t>
      </w:r>
      <w:r>
        <w:rPr>
          <w:sz w:val="20"/>
          <w:szCs w:val="20"/>
        </w:rPr>
        <w:t>.</w:t>
      </w:r>
      <w:r>
        <w:rPr>
          <w:sz w:val="20"/>
          <w:szCs w:val="20"/>
        </w:rPr>
        <w:t xml:space="preserve"> </w:t>
      </w:r>
    </w:p>
    <w:p w:rsidR="00000000" w:rsidRDefault="00805FA0">
      <w:pPr>
        <w:pStyle w:val="a3"/>
        <w:spacing w:before="200" w:beforeAutospacing="0" w:after="0" w:afterAutospacing="0"/>
        <w:ind w:firstLine="555"/>
        <w:divId w:val="1827475351"/>
        <w:rPr>
          <w:sz w:val="20"/>
          <w:szCs w:val="20"/>
        </w:rPr>
      </w:pPr>
      <w:r>
        <w:rPr>
          <w:sz w:val="20"/>
          <w:szCs w:val="20"/>
        </w:rPr>
        <w:t>For certain other financial instruments, including accounts receivable, accounts payable, and other current liabilities, the carrying a</w:t>
      </w:r>
      <w:r>
        <w:rPr>
          <w:sz w:val="20"/>
          <w:szCs w:val="20"/>
        </w:rPr>
        <w:t>mounts approximate their fair value due to the relatively short maturity of these balances</w:t>
      </w:r>
      <w:r>
        <w:rPr>
          <w:sz w:val="20"/>
          <w:szCs w:val="20"/>
        </w:rPr>
        <w:t>.</w:t>
      </w:r>
    </w:p>
    <w:p w:rsidR="00000000" w:rsidRDefault="00805FA0">
      <w:pPr>
        <w:pStyle w:val="a3"/>
        <w:spacing w:before="200" w:beforeAutospacing="0" w:after="0" w:afterAutospacing="0"/>
        <w:ind w:firstLine="555"/>
        <w:divId w:val="1827475351"/>
        <w:rPr>
          <w:sz w:val="20"/>
          <w:szCs w:val="20"/>
        </w:rPr>
      </w:pPr>
      <w:r>
        <w:rPr>
          <w:sz w:val="20"/>
          <w:szCs w:val="20"/>
        </w:rPr>
        <w:t xml:space="preserve">Restricted cash is comprised of money market funds related to landlord guarantees for leased facilities. These restricted cash balances have been excluded from our </w:t>
      </w:r>
      <w:r>
        <w:rPr>
          <w:sz w:val="20"/>
          <w:szCs w:val="20"/>
        </w:rPr>
        <w:t>cash and cash equivalents balance on our consolidated balance sheets</w:t>
      </w:r>
      <w:r>
        <w:rPr>
          <w:sz w:val="20"/>
          <w:szCs w:val="20"/>
        </w:rPr>
        <w:t>.</w:t>
      </w:r>
    </w:p>
    <w:p w:rsidR="00000000" w:rsidRDefault="00805FA0">
      <w:pPr>
        <w:pStyle w:val="a3"/>
        <w:spacing w:before="200" w:beforeAutospacing="0" w:after="0" w:afterAutospacing="0"/>
        <w:ind w:firstLine="555"/>
        <w:divId w:val="1827475351"/>
        <w:rPr>
          <w:sz w:val="20"/>
          <w:szCs w:val="20"/>
        </w:rPr>
      </w:pPr>
      <w:r>
        <w:rPr>
          <w:sz w:val="20"/>
          <w:szCs w:val="20"/>
        </w:rPr>
        <w:t>Strategic investments consist of non-controlling equity investments in privately held companies. The Company elected the measurement alternative for these investments without readily det</w:t>
      </w:r>
      <w:r>
        <w:rPr>
          <w:sz w:val="20"/>
          <w:szCs w:val="20"/>
        </w:rPr>
        <w:t xml:space="preserve">erminable fair values and for which the Company does not have the ability to exercise significant influence. These investments are accounted for under the cost method of accounting. Under the cost method of accounting, the non-marketable equity securities </w:t>
      </w:r>
      <w:r>
        <w:rPr>
          <w:sz w:val="20"/>
          <w:szCs w:val="20"/>
        </w:rPr>
        <w:t>are carried at cost less any impairment, plus or minus adjustments resulting from observable price changes in orderly transactions for the identical or a similar investment of the same issuer, which is recorded within the statement of operations. The Compa</w:t>
      </w:r>
      <w:r>
        <w:rPr>
          <w:sz w:val="20"/>
          <w:szCs w:val="20"/>
        </w:rPr>
        <w:t>ny holds</w:t>
      </w:r>
      <w:r>
        <w:rPr>
          <w:sz w:val="20"/>
          <w:szCs w:val="20"/>
        </w:rPr>
        <w:t xml:space="preserve"> </w:t>
      </w:r>
      <w:r>
        <w:rPr>
          <w:sz w:val="20"/>
          <w:szCs w:val="20"/>
        </w:rPr>
        <w:t>$</w:t>
      </w:r>
      <w:r>
        <w:rPr>
          <w:sz w:val="20"/>
          <w:szCs w:val="20"/>
        </w:rPr>
        <w:t>43.</w:t>
      </w:r>
      <w:r>
        <w:rPr>
          <w:sz w:val="20"/>
          <w:szCs w:val="20"/>
        </w:rPr>
        <w:t>0</w:t>
      </w:r>
      <w:r>
        <w:rPr>
          <w:sz w:val="20"/>
          <w:szCs w:val="20"/>
        </w:rPr>
        <w:t xml:space="preserve"> million of strategic investments without readily determinable fair values at September 30, 2022 and</w:t>
      </w:r>
      <w:r>
        <w:rPr>
          <w:sz w:val="20"/>
          <w:szCs w:val="20"/>
        </w:rPr>
        <w:t xml:space="preserve"> </w:t>
      </w:r>
      <w:r>
        <w:rPr>
          <w:sz w:val="20"/>
          <w:szCs w:val="20"/>
        </w:rPr>
        <w:t>$</w:t>
      </w:r>
      <w:r>
        <w:rPr>
          <w:sz w:val="20"/>
          <w:szCs w:val="20"/>
        </w:rPr>
        <w:t>17.</w:t>
      </w:r>
      <w:r>
        <w:rPr>
          <w:sz w:val="20"/>
          <w:szCs w:val="20"/>
        </w:rPr>
        <w:t>8</w:t>
      </w:r>
      <w:r>
        <w:rPr>
          <w:sz w:val="20"/>
          <w:szCs w:val="20"/>
        </w:rPr>
        <w:t xml:space="preserve"> million of strategic investments without readily determinable fair values at December 31, 2021. These investments are included in prepa</w:t>
      </w:r>
      <w:r>
        <w:rPr>
          <w:sz w:val="20"/>
          <w:szCs w:val="20"/>
        </w:rPr>
        <w:t>id and other current assets and other assets on the consolidated balance sheets</w:t>
      </w:r>
      <w:r>
        <w:rPr>
          <w:sz w:val="20"/>
          <w:szCs w:val="20"/>
        </w:rPr>
        <w:t>.</w:t>
      </w:r>
      <w:r>
        <w:rPr>
          <w:sz w:val="20"/>
          <w:szCs w:val="20"/>
        </w:rPr>
        <w:t xml:space="preserve"> </w:t>
      </w:r>
    </w:p>
    <w:p w:rsidR="00000000" w:rsidRDefault="00805FA0">
      <w:pPr>
        <w:pStyle w:val="a3"/>
        <w:spacing w:before="200" w:beforeAutospacing="0" w:after="0" w:afterAutospacing="0"/>
        <w:ind w:firstLine="555"/>
        <w:divId w:val="1827475351"/>
        <w:rPr>
          <w:sz w:val="20"/>
          <w:szCs w:val="20"/>
        </w:rPr>
      </w:pPr>
      <w:r>
        <w:rPr>
          <w:sz w:val="20"/>
          <w:szCs w:val="20"/>
        </w:rPr>
        <w:t>During the nine months ended September 30, 202</w:t>
      </w:r>
      <w:r>
        <w:rPr>
          <w:sz w:val="20"/>
          <w:szCs w:val="20"/>
        </w:rPr>
        <w:t>2</w:t>
      </w:r>
      <w:r>
        <w:rPr>
          <w:sz w:val="20"/>
          <w:szCs w:val="20"/>
        </w:rPr>
        <w:t>, an acquisition of an entity in which the Company held a strategic investment was completed, which resulted in an observable p</w:t>
      </w:r>
      <w:r>
        <w:rPr>
          <w:sz w:val="20"/>
          <w:szCs w:val="20"/>
        </w:rPr>
        <w:t xml:space="preserve">rice change. In the first quarter of 2022, the Company adjusted the fair value of its investment and recognized a gain of </w:t>
      </w:r>
      <w:r>
        <w:rPr>
          <w:sz w:val="20"/>
          <w:szCs w:val="20"/>
        </w:rPr>
        <w:t>$</w:t>
      </w:r>
      <w:r>
        <w:rPr>
          <w:sz w:val="20"/>
          <w:szCs w:val="20"/>
        </w:rPr>
        <w:t>4.</w:t>
      </w:r>
      <w:r>
        <w:rPr>
          <w:sz w:val="20"/>
          <w:szCs w:val="20"/>
        </w:rPr>
        <w:t>2</w:t>
      </w:r>
      <w:r>
        <w:rPr>
          <w:sz w:val="20"/>
          <w:szCs w:val="20"/>
        </w:rPr>
        <w:t xml:space="preserve"> million reported in the consolidated statements of operations as other income. There were no other adjustments to the carrying va</w:t>
      </w:r>
      <w:r>
        <w:rPr>
          <w:sz w:val="20"/>
          <w:szCs w:val="20"/>
        </w:rPr>
        <w:t>lue of the strategic investments resulting from impairments or observable price changes in the</w:t>
      </w:r>
      <w:r>
        <w:rPr>
          <w:sz w:val="20"/>
          <w:szCs w:val="20"/>
        </w:rPr>
        <w:t xml:space="preserve"> </w:t>
      </w:r>
      <w:r>
        <w:rPr>
          <w:sz w:val="20"/>
          <w:szCs w:val="20"/>
        </w:rPr>
        <w:t>nin</w:t>
      </w:r>
      <w:r>
        <w:rPr>
          <w:sz w:val="20"/>
          <w:szCs w:val="20"/>
        </w:rPr>
        <w:t>e</w:t>
      </w:r>
      <w:r>
        <w:rPr>
          <w:sz w:val="20"/>
          <w:szCs w:val="20"/>
        </w:rPr>
        <w:t xml:space="preserve"> </w:t>
      </w:r>
    </w:p>
    <w:p w:rsidR="00000000" w:rsidRDefault="00805FA0">
      <w:pPr>
        <w:pStyle w:val="a3"/>
        <w:spacing w:before="240" w:beforeAutospacing="0" w:after="0" w:afterAutospacing="0"/>
        <w:jc w:val="center"/>
        <w:divId w:val="1827475351"/>
        <w:rPr>
          <w:sz w:val="20"/>
          <w:szCs w:val="20"/>
        </w:rPr>
      </w:pPr>
      <w:r>
        <w:rPr>
          <w:sz w:val="20"/>
          <w:szCs w:val="20"/>
        </w:rPr>
        <w:t>1</w:t>
      </w:r>
      <w:r>
        <w:rPr>
          <w:sz w:val="20"/>
          <w:szCs w:val="20"/>
        </w:rPr>
        <w:t>4</w:t>
      </w:r>
    </w:p>
    <w:p w:rsidR="00000000" w:rsidRDefault="00805FA0">
      <w:pPr>
        <w:divId w:val="1827475351"/>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805FA0">
      <w:pPr>
        <w:pStyle w:val="a3"/>
        <w:spacing w:before="0" w:beforeAutospacing="0" w:after="0" w:afterAutospacing="0"/>
        <w:divId w:val="1827475351"/>
        <w:rPr>
          <w:sz w:val="20"/>
          <w:szCs w:val="20"/>
        </w:rPr>
      </w:pPr>
      <w:r>
        <w:rPr>
          <w:sz w:val="20"/>
          <w:szCs w:val="20"/>
        </w:rPr>
        <w:t> </w:t>
      </w:r>
    </w:p>
    <w:p w:rsidR="00000000" w:rsidRDefault="00805FA0">
      <w:pPr>
        <w:pStyle w:val="a3"/>
        <w:spacing w:before="200" w:beforeAutospacing="0" w:after="0" w:afterAutospacing="0"/>
        <w:divId w:val="1827475351"/>
        <w:rPr>
          <w:sz w:val="20"/>
          <w:szCs w:val="20"/>
        </w:rPr>
      </w:pPr>
      <w:r>
        <w:rPr>
          <w:sz w:val="20"/>
          <w:szCs w:val="20"/>
        </w:rPr>
        <w:t>months ended September 30, 2022.</w:t>
      </w:r>
      <w:r>
        <w:rPr>
          <w:sz w:val="20"/>
          <w:szCs w:val="20"/>
        </w:rPr>
        <w:t xml:space="preserve"> </w:t>
      </w:r>
      <w:r>
        <w:rPr>
          <w:sz w:val="20"/>
          <w:szCs w:val="20"/>
        </w:rPr>
        <w:t>During the nine months ended September 30, 2021, two strategic investments had ob</w:t>
      </w:r>
      <w:r>
        <w:rPr>
          <w:sz w:val="20"/>
          <w:szCs w:val="20"/>
        </w:rPr>
        <w:t xml:space="preserve">servable price changes and the fair value of these investments was accordingly adjusted. The Company recognized a gain of </w:t>
      </w:r>
      <w:r>
        <w:rPr>
          <w:sz w:val="20"/>
          <w:szCs w:val="20"/>
        </w:rPr>
        <w:t>$</w:t>
      </w:r>
      <w:r>
        <w:rPr>
          <w:sz w:val="20"/>
          <w:szCs w:val="20"/>
        </w:rPr>
        <w:t>10.</w:t>
      </w:r>
      <w:r>
        <w:rPr>
          <w:sz w:val="20"/>
          <w:szCs w:val="20"/>
        </w:rPr>
        <w:t>7</w:t>
      </w:r>
      <w:r>
        <w:rPr>
          <w:sz w:val="20"/>
          <w:szCs w:val="20"/>
        </w:rPr>
        <w:t xml:space="preserve"> million in the three months ended September 30, 2021 and </w:t>
      </w:r>
      <w:r>
        <w:rPr>
          <w:sz w:val="20"/>
          <w:szCs w:val="20"/>
        </w:rPr>
        <w:t>$</w:t>
      </w:r>
      <w:r>
        <w:rPr>
          <w:sz w:val="20"/>
          <w:szCs w:val="20"/>
        </w:rPr>
        <w:t>11.</w:t>
      </w:r>
      <w:r>
        <w:rPr>
          <w:sz w:val="20"/>
          <w:szCs w:val="20"/>
        </w:rPr>
        <w:t>7</w:t>
      </w:r>
      <w:r>
        <w:rPr>
          <w:sz w:val="20"/>
          <w:szCs w:val="20"/>
        </w:rPr>
        <w:t xml:space="preserve"> million in the nine months ended September 30, 2021. The gains ar</w:t>
      </w:r>
      <w:r>
        <w:rPr>
          <w:sz w:val="20"/>
          <w:szCs w:val="20"/>
        </w:rPr>
        <w:t>e reported in the consolidated statements of operations as other income</w:t>
      </w:r>
      <w:r>
        <w:rPr>
          <w:sz w:val="20"/>
          <w:szCs w:val="20"/>
        </w:rPr>
        <w:t>.</w:t>
      </w:r>
      <w:r>
        <w:rPr>
          <w:sz w:val="20"/>
          <w:szCs w:val="20"/>
        </w:rPr>
        <w:t xml:space="preserve"> </w:t>
      </w:r>
    </w:p>
    <w:p w:rsidR="00000000" w:rsidRDefault="00805FA0">
      <w:pPr>
        <w:pStyle w:val="a3"/>
        <w:spacing w:before="200" w:beforeAutospacing="0" w:after="0" w:afterAutospacing="0"/>
        <w:ind w:firstLine="555"/>
        <w:divId w:val="1263757606"/>
        <w:rPr>
          <w:sz w:val="20"/>
          <w:szCs w:val="20"/>
        </w:rPr>
      </w:pPr>
      <w:r>
        <w:rPr>
          <w:sz w:val="20"/>
          <w:szCs w:val="20"/>
        </w:rPr>
        <w:t>The following tables summarize the composition of our short- and long-term investments at</w:t>
      </w:r>
      <w:r>
        <w:rPr>
          <w:sz w:val="20"/>
          <w:szCs w:val="20"/>
        </w:rPr>
        <w:t xml:space="preserve"> </w:t>
      </w:r>
      <w:r>
        <w:rPr>
          <w:sz w:val="20"/>
          <w:szCs w:val="20"/>
        </w:rPr>
        <w:t>September 30, 2022 and December 31, 2021</w:t>
      </w:r>
      <w:r>
        <w:rPr>
          <w:sz w:val="20"/>
          <w:szCs w:val="20"/>
        </w:rPr>
        <w:t>.</w:t>
      </w:r>
      <w:r>
        <w:rPr>
          <w:sz w:val="20"/>
          <w:szCs w:val="20"/>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16"/>
        <w:gridCol w:w="310"/>
        <w:gridCol w:w="160"/>
        <w:gridCol w:w="860"/>
        <w:gridCol w:w="110"/>
        <w:gridCol w:w="110"/>
        <w:gridCol w:w="161"/>
        <w:gridCol w:w="709"/>
        <w:gridCol w:w="110"/>
        <w:gridCol w:w="110"/>
        <w:gridCol w:w="160"/>
        <w:gridCol w:w="677"/>
        <w:gridCol w:w="127"/>
        <w:gridCol w:w="110"/>
        <w:gridCol w:w="160"/>
        <w:gridCol w:w="860"/>
        <w:gridCol w:w="125"/>
      </w:tblGrid>
      <w:tr w:rsidR="00000000">
        <w:trPr>
          <w:divId w:val="1263757606"/>
          <w:tblCellSpacing w:w="15" w:type="dxa"/>
        </w:trPr>
        <w:tc>
          <w:tcPr>
            <w:tcW w:w="2483" w:type="pct"/>
            <w:vAlign w:val="center"/>
            <w:hideMark/>
          </w:tcPr>
          <w:p w:rsidR="00000000" w:rsidRDefault="00805FA0">
            <w:pPr>
              <w:rPr>
                <w:sz w:val="20"/>
                <w:szCs w:val="20"/>
              </w:rPr>
            </w:pPr>
          </w:p>
        </w:tc>
        <w:tc>
          <w:tcPr>
            <w:tcW w:w="10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0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4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263757606"/>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63757606"/>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63757606"/>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17,51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17,51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260,51</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5,18</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255,33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40,15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99</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39,15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798,37</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4,97</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793,41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05FA0">
            <w:pPr>
              <w:pStyle w:val="a3"/>
              <w:spacing w:before="0" w:beforeAutospacing="0" w:after="0" w:afterAutospacing="0"/>
              <w:ind w:left="20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1,116,55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11,15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1,105,42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divId w:val="126375760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86"/>
        <w:gridCol w:w="310"/>
        <w:gridCol w:w="160"/>
        <w:gridCol w:w="710"/>
        <w:gridCol w:w="110"/>
        <w:gridCol w:w="110"/>
        <w:gridCol w:w="161"/>
        <w:gridCol w:w="709"/>
        <w:gridCol w:w="110"/>
        <w:gridCol w:w="110"/>
        <w:gridCol w:w="161"/>
        <w:gridCol w:w="706"/>
        <w:gridCol w:w="127"/>
        <w:gridCol w:w="110"/>
        <w:gridCol w:w="160"/>
        <w:gridCol w:w="710"/>
        <w:gridCol w:w="125"/>
      </w:tblGrid>
      <w:tr w:rsidR="00000000">
        <w:trPr>
          <w:divId w:val="1263757606"/>
          <w:tblCellSpacing w:w="15" w:type="dxa"/>
        </w:trPr>
        <w:tc>
          <w:tcPr>
            <w:tcW w:w="2425" w:type="pct"/>
            <w:vAlign w:val="center"/>
            <w:hideMark/>
          </w:tcPr>
          <w:p w:rsidR="00000000" w:rsidRDefault="00805FA0">
            <w:pPr>
              <w:rPr>
                <w:sz w:val="20"/>
                <w:szCs w:val="20"/>
              </w:rPr>
            </w:pPr>
          </w:p>
        </w:tc>
        <w:tc>
          <w:tcPr>
            <w:tcW w:w="10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0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263757606"/>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63757606"/>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Amortized</w:t>
            </w:r>
            <w:r>
              <w:rPr>
                <w:b/>
                <w:bCs/>
                <w:sz w:val="16"/>
                <w:szCs w:val="16"/>
              </w:rPr>
              <w:br/>
              <w:t>Cos</w:t>
            </w:r>
            <w:r>
              <w:rPr>
                <w:b/>
                <w:bCs/>
                <w:sz w:val="16"/>
                <w:szCs w:val="16"/>
              </w:rPr>
              <w:t>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63757606"/>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Commercial pape</w:t>
            </w:r>
            <w:r>
              <w:rPr>
                <w:sz w:val="20"/>
                <w:szCs w:val="20"/>
              </w:rPr>
              <w:t>r</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25,24</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25,24</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Corporate bond</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250,44</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60</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249,84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U.S. Government agency securitie</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22,50</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3</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U.S. Treasury securitie</w:t>
            </w:r>
            <w:r>
              <w:rPr>
                <w:sz w:val="20"/>
                <w:szCs w:val="20"/>
              </w:rPr>
              <w:t>s</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698,44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698,30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63757606"/>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05FA0">
            <w:pPr>
              <w:pStyle w:val="a3"/>
              <w:spacing w:before="0" w:beforeAutospacing="0" w:after="0" w:afterAutospacing="0"/>
              <w:ind w:left="20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996,63</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79</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995,85</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1827475351"/>
        <w:rPr>
          <w:sz w:val="20"/>
          <w:szCs w:val="20"/>
        </w:rPr>
      </w:pPr>
      <w:r>
        <w:rPr>
          <w:sz w:val="20"/>
          <w:szCs w:val="20"/>
        </w:rPr>
        <w:t>For all of our securities for which the amortized cost basis was greater than the fair value at September 30, 2022, the Company has concluded that there is no plan to sell the security nor is it more likely than not that the Company would be required to se</w:t>
      </w:r>
      <w:r>
        <w:rPr>
          <w:sz w:val="20"/>
          <w:szCs w:val="20"/>
        </w:rPr>
        <w:t>ll the security before its anticipated recovery. In making the determination as to whether the unrealized loss is other-than-temporary, the Company considered the length of time and extent the investment has been in an unrealized loss position, the financi</w:t>
      </w:r>
      <w:r>
        <w:rPr>
          <w:sz w:val="20"/>
          <w:szCs w:val="20"/>
        </w:rPr>
        <w:t>al condition and near-term prospects of the issuers, the issuers’ credit rating and the time to maturity</w:t>
      </w:r>
      <w:r>
        <w:rPr>
          <w:sz w:val="20"/>
          <w:szCs w:val="20"/>
        </w:rPr>
        <w:t>.</w:t>
      </w:r>
    </w:p>
    <w:p w:rsidR="00000000" w:rsidRDefault="00805FA0">
      <w:pPr>
        <w:pStyle w:val="a3"/>
        <w:spacing w:before="200" w:beforeAutospacing="0" w:after="0" w:afterAutospacing="0"/>
        <w:ind w:left="476"/>
        <w:divId w:val="1827475351"/>
        <w:rPr>
          <w:sz w:val="20"/>
          <w:szCs w:val="20"/>
        </w:rPr>
      </w:pPr>
      <w:r>
        <w:rPr>
          <w:b/>
          <w:bCs/>
          <w:i/>
          <w:iCs/>
          <w:sz w:val="20"/>
          <w:szCs w:val="20"/>
        </w:rPr>
        <w:t>Contractual Maturitie</w:t>
      </w:r>
      <w:r>
        <w:rPr>
          <w:b/>
          <w:bCs/>
          <w:i/>
          <w:iCs/>
          <w:sz w:val="20"/>
          <w:szCs w:val="20"/>
        </w:rPr>
        <w:t>s</w:t>
      </w:r>
    </w:p>
    <w:p w:rsidR="00000000" w:rsidRDefault="00805FA0">
      <w:pPr>
        <w:pStyle w:val="a3"/>
        <w:spacing w:before="200" w:beforeAutospacing="0" w:after="0" w:afterAutospacing="0"/>
        <w:ind w:firstLine="555"/>
        <w:divId w:val="604656475"/>
        <w:rPr>
          <w:sz w:val="20"/>
          <w:szCs w:val="20"/>
        </w:rPr>
      </w:pPr>
      <w:r>
        <w:rPr>
          <w:sz w:val="20"/>
          <w:szCs w:val="20"/>
        </w:rPr>
        <w:t>The contractual maturities of short-term and long-term investments held at</w:t>
      </w:r>
      <w:r>
        <w:rPr>
          <w:sz w:val="20"/>
          <w:szCs w:val="20"/>
        </w:rPr>
        <w:t xml:space="preserve"> </w:t>
      </w:r>
      <w:r>
        <w:rPr>
          <w:sz w:val="20"/>
          <w:szCs w:val="20"/>
        </w:rPr>
        <w:t>September 30, 2022 and December 31, 2021 are as foll</w:t>
      </w:r>
      <w:r>
        <w:rPr>
          <w:sz w:val="20"/>
          <w:szCs w:val="20"/>
        </w:rPr>
        <w:t>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00"/>
        <w:gridCol w:w="110"/>
        <w:gridCol w:w="160"/>
        <w:gridCol w:w="860"/>
        <w:gridCol w:w="110"/>
        <w:gridCol w:w="110"/>
        <w:gridCol w:w="160"/>
        <w:gridCol w:w="860"/>
        <w:gridCol w:w="110"/>
        <w:gridCol w:w="110"/>
        <w:gridCol w:w="160"/>
        <w:gridCol w:w="710"/>
        <w:gridCol w:w="110"/>
        <w:gridCol w:w="110"/>
        <w:gridCol w:w="160"/>
        <w:gridCol w:w="710"/>
        <w:gridCol w:w="125"/>
      </w:tblGrid>
      <w:tr w:rsidR="00000000">
        <w:trPr>
          <w:divId w:val="604656475"/>
          <w:tblCellSpacing w:w="15" w:type="dxa"/>
        </w:trPr>
        <w:tc>
          <w:tcPr>
            <w:tcW w:w="2205" w:type="pct"/>
            <w:vAlign w:val="center"/>
            <w:hideMark/>
          </w:tcPr>
          <w:p w:rsidR="00000000" w:rsidRDefault="00805FA0">
            <w:pPr>
              <w:rPr>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1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1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1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604656475"/>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604656475"/>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604656475"/>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604656475"/>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Due within one yea</w:t>
            </w:r>
            <w:r>
              <w:rPr>
                <w:sz w:val="20"/>
                <w:szCs w:val="20"/>
              </w:rPr>
              <w:t>r</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959,49</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952,69</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821,10</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820,96</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604656475"/>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Due after 1 year through 2 year</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157,06</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152,72</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175,53</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174,89</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604656475"/>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1,116,55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1,105,42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996,63</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995,85</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divId w:val="1827475351"/>
        <w:rPr>
          <w:sz w:val="20"/>
          <w:szCs w:val="20"/>
        </w:rPr>
      </w:pPr>
      <w:r>
        <w:rPr>
          <w:sz w:val="20"/>
          <w:szCs w:val="20"/>
        </w:rPr>
        <w:t> </w:t>
      </w:r>
    </w:p>
    <w:p w:rsidR="00000000" w:rsidRDefault="00805FA0">
      <w:pPr>
        <w:pStyle w:val="a3"/>
        <w:spacing w:before="200" w:beforeAutospacing="0" w:after="0" w:afterAutospacing="0"/>
        <w:ind w:firstLine="816"/>
        <w:rPr>
          <w:sz w:val="20"/>
          <w:szCs w:val="20"/>
        </w:rPr>
      </w:pPr>
      <w:r>
        <w:rPr>
          <w:sz w:val="20"/>
          <w:szCs w:val="20"/>
        </w:rPr>
        <w:t> </w:t>
      </w:r>
    </w:p>
    <w:p w:rsidR="00000000" w:rsidRDefault="00805FA0">
      <w:pPr>
        <w:pStyle w:val="a3"/>
        <w:spacing w:before="200" w:beforeAutospacing="0" w:after="0" w:afterAutospacing="0"/>
        <w:divId w:val="2110857443"/>
        <w:rPr>
          <w:sz w:val="20"/>
          <w:szCs w:val="20"/>
        </w:rPr>
      </w:pPr>
      <w:r>
        <w:rPr>
          <w:b/>
          <w:bCs/>
          <w:sz w:val="20"/>
          <w:szCs w:val="20"/>
        </w:rPr>
        <w:t>5. Restricted cas</w:t>
      </w:r>
      <w:r>
        <w:rPr>
          <w:b/>
          <w:bCs/>
          <w:sz w:val="20"/>
          <w:szCs w:val="20"/>
        </w:rPr>
        <w:t>h</w:t>
      </w:r>
    </w:p>
    <w:p w:rsidR="00000000" w:rsidRDefault="00805FA0">
      <w:pPr>
        <w:pStyle w:val="a3"/>
        <w:spacing w:before="200" w:beforeAutospacing="0" w:after="0" w:afterAutospacing="0"/>
        <w:ind w:firstLine="555"/>
        <w:divId w:val="1132862476"/>
        <w:rPr>
          <w:sz w:val="20"/>
          <w:szCs w:val="20"/>
        </w:rPr>
      </w:pPr>
      <w:r>
        <w:rPr>
          <w:sz w:val="20"/>
          <w:szCs w:val="20"/>
        </w:rPr>
        <w:t>The following table provides a reconciliation of cash, cash equivalents, and restricted cash reported within the consolidated balance sheets that sum to the total of the same such amounts shown in the statement of cash flows for the nine</w:t>
      </w:r>
      <w:r>
        <w:rPr>
          <w:sz w:val="20"/>
          <w:szCs w:val="20"/>
        </w:rPr>
        <w:t xml:space="preserve"> months ended</w:t>
      </w:r>
      <w:r>
        <w:rPr>
          <w:sz w:val="20"/>
          <w:szCs w:val="20"/>
        </w:rPr>
        <w:t xml:space="preserve"> </w:t>
      </w:r>
      <w:r>
        <w:rPr>
          <w:sz w:val="20"/>
          <w:szCs w:val="20"/>
        </w:rPr>
        <w:t>September 30, 2022 and 2021</w:t>
      </w:r>
      <w:r>
        <w:rPr>
          <w:sz w:val="20"/>
          <w:szCs w:val="20"/>
        </w:rPr>
        <w:t>.</w:t>
      </w:r>
    </w:p>
    <w:p w:rsidR="00000000" w:rsidRDefault="00805FA0">
      <w:pPr>
        <w:pStyle w:val="a3"/>
        <w:spacing w:before="0" w:beforeAutospacing="0" w:after="0" w:afterAutospacing="0"/>
        <w:divId w:val="1132862476"/>
        <w:rPr>
          <w:sz w:val="20"/>
          <w:szCs w:val="20"/>
        </w:rPr>
      </w:pPr>
      <w:r>
        <w:rPr>
          <w:sz w:val="20"/>
          <w:szCs w:val="20"/>
        </w:rPr>
        <w:t> </w:t>
      </w:r>
    </w:p>
    <w:tbl>
      <w:tblPr>
        <w:tblW w:w="4600" w:type="pct"/>
        <w:tblCellSpacing w:w="15" w:type="dxa"/>
        <w:tblCellMar>
          <w:top w:w="15" w:type="dxa"/>
          <w:left w:w="15" w:type="dxa"/>
          <w:bottom w:w="15" w:type="dxa"/>
          <w:right w:w="15" w:type="dxa"/>
        </w:tblCellMar>
        <w:tblLook w:val="04A0" w:firstRow="1" w:lastRow="0" w:firstColumn="1" w:lastColumn="0" w:noHBand="0" w:noVBand="1"/>
      </w:tblPr>
      <w:tblGrid>
        <w:gridCol w:w="3735"/>
        <w:gridCol w:w="110"/>
        <w:gridCol w:w="160"/>
        <w:gridCol w:w="877"/>
        <w:gridCol w:w="110"/>
        <w:gridCol w:w="110"/>
        <w:gridCol w:w="160"/>
        <w:gridCol w:w="930"/>
        <w:gridCol w:w="110"/>
        <w:gridCol w:w="110"/>
        <w:gridCol w:w="160"/>
        <w:gridCol w:w="945"/>
        <w:gridCol w:w="125"/>
      </w:tblGrid>
      <w:tr w:rsidR="00000000">
        <w:trPr>
          <w:divId w:val="1132862476"/>
          <w:tblCellSpacing w:w="15" w:type="dxa"/>
        </w:trPr>
        <w:tc>
          <w:tcPr>
            <w:tcW w:w="2588" w:type="pct"/>
            <w:vAlign w:val="center"/>
            <w:hideMark/>
          </w:tcPr>
          <w:p w:rsidR="00000000" w:rsidRDefault="00805FA0">
            <w:pPr>
              <w:rPr>
                <w:sz w:val="20"/>
                <w:szCs w:val="20"/>
              </w:rPr>
            </w:pPr>
          </w:p>
        </w:tc>
        <w:tc>
          <w:tcPr>
            <w:tcW w:w="5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2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6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132862476"/>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132862476"/>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13286247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331,65</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288,33</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377,01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13286247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Restricted cash, included in</w:t>
            </w:r>
            <w:r>
              <w:rPr>
                <w:sz w:val="20"/>
                <w:szCs w:val="20"/>
              </w:rPr>
              <w:t xml:space="preserve"> </w:t>
            </w:r>
            <w:r>
              <w:rPr>
                <w:sz w:val="20"/>
                <w:szCs w:val="20"/>
              </w:rPr>
              <w:t>other asset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3,02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132862476"/>
          <w:trHeight w:val="200"/>
          <w:tblCellSpacing w:w="15" w:type="dxa"/>
        </w:trPr>
        <w:tc>
          <w:tcPr>
            <w:tcW w:w="0" w:type="auto"/>
            <w:vAlign w:val="bottom"/>
            <w:hideMark/>
          </w:tcPr>
          <w:p w:rsidR="00000000" w:rsidRDefault="00805FA0">
            <w:pPr>
              <w:pStyle w:val="a3"/>
              <w:spacing w:before="0" w:beforeAutospacing="0" w:after="0" w:afterAutospacing="0"/>
              <w:ind w:left="100"/>
              <w:rPr>
                <w:sz w:val="20"/>
                <w:szCs w:val="20"/>
              </w:rPr>
            </w:pPr>
            <w:r>
              <w:rPr>
                <w:sz w:val="20"/>
                <w:szCs w:val="20"/>
              </w:rPr>
              <w:t>Total cash, cash equivalents, and restricted cas</w:t>
            </w:r>
            <w:r>
              <w:rPr>
                <w:sz w:val="20"/>
                <w:szCs w:val="20"/>
              </w:rPr>
              <w:t>h</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334,68</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291,36</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380,04</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0" w:beforeAutospacing="0" w:after="0" w:afterAutospacing="0"/>
        <w:divId w:val="1132862476"/>
        <w:rPr>
          <w:sz w:val="20"/>
          <w:szCs w:val="20"/>
        </w:rPr>
      </w:pPr>
      <w:r>
        <w:rPr>
          <w:sz w:val="20"/>
          <w:szCs w:val="20"/>
        </w:rPr>
        <w:t> </w:t>
      </w:r>
    </w:p>
    <w:p w:rsidR="00000000" w:rsidRDefault="00805FA0">
      <w:pPr>
        <w:pStyle w:val="a3"/>
        <w:spacing w:before="240" w:beforeAutospacing="0" w:after="0" w:afterAutospacing="0"/>
        <w:jc w:val="center"/>
        <w:divId w:val="1132862476"/>
        <w:rPr>
          <w:sz w:val="20"/>
          <w:szCs w:val="20"/>
        </w:rPr>
      </w:pPr>
      <w:r>
        <w:rPr>
          <w:sz w:val="20"/>
          <w:szCs w:val="20"/>
        </w:rPr>
        <w:t>1</w:t>
      </w:r>
      <w:r>
        <w:rPr>
          <w:sz w:val="20"/>
          <w:szCs w:val="20"/>
        </w:rPr>
        <w:t>5</w:t>
      </w:r>
    </w:p>
    <w:p w:rsidR="00000000" w:rsidRDefault="00805FA0">
      <w:pPr>
        <w:divId w:val="1132862476"/>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805FA0">
      <w:pPr>
        <w:pStyle w:val="a3"/>
        <w:spacing w:before="0" w:beforeAutospacing="0" w:after="0" w:afterAutospacing="0"/>
        <w:divId w:val="1132862476"/>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divId w:val="1463306881"/>
        <w:rPr>
          <w:sz w:val="20"/>
          <w:szCs w:val="20"/>
        </w:rPr>
      </w:pPr>
      <w:r>
        <w:rPr>
          <w:b/>
          <w:bCs/>
          <w:sz w:val="20"/>
          <w:szCs w:val="20"/>
        </w:rPr>
        <w:t>6. Property and Equipment, Ne</w:t>
      </w:r>
      <w:r>
        <w:rPr>
          <w:b/>
          <w:bCs/>
          <w:sz w:val="20"/>
          <w:szCs w:val="20"/>
        </w:rPr>
        <w:t>t</w:t>
      </w:r>
    </w:p>
    <w:p w:rsidR="00000000" w:rsidRDefault="00805FA0">
      <w:pPr>
        <w:pStyle w:val="a3"/>
        <w:spacing w:before="200" w:beforeAutospacing="0" w:after="0" w:afterAutospacing="0"/>
        <w:ind w:left="476"/>
        <w:divId w:val="1046562686"/>
        <w:rPr>
          <w:sz w:val="20"/>
          <w:szCs w:val="20"/>
        </w:rPr>
      </w:pPr>
      <w:r>
        <w:rPr>
          <w:sz w:val="20"/>
          <w:szCs w:val="20"/>
        </w:rPr>
        <w:t>Property and equipment, net consists of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85"/>
        <w:gridCol w:w="110"/>
        <w:gridCol w:w="160"/>
        <w:gridCol w:w="1059"/>
        <w:gridCol w:w="127"/>
        <w:gridCol w:w="110"/>
        <w:gridCol w:w="160"/>
        <w:gridCol w:w="1092"/>
        <w:gridCol w:w="142"/>
      </w:tblGrid>
      <w:tr w:rsidR="00000000">
        <w:trPr>
          <w:divId w:val="1046562686"/>
          <w:tblCellSpacing w:w="15" w:type="dxa"/>
        </w:trPr>
        <w:tc>
          <w:tcPr>
            <w:tcW w:w="2899" w:type="pct"/>
            <w:vAlign w:val="center"/>
            <w:hideMark/>
          </w:tcPr>
          <w:p w:rsidR="00000000" w:rsidRDefault="00805FA0">
            <w:pPr>
              <w:rPr>
                <w:sz w:val="20"/>
                <w:szCs w:val="20"/>
              </w:rPr>
            </w:pPr>
          </w:p>
        </w:tc>
        <w:tc>
          <w:tcPr>
            <w:tcW w:w="7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6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8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046562686"/>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046562686"/>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Computer equipment and purchased softwar</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16,56</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15,52</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Employee related computer equipmen</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43,50</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32,23</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20,35</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20,18</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93,62</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90,07</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Internal-use softwar</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29,16</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20,61</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Construction in progres</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1,81</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4,14</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Total property and equipmen</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205,02</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182,76</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102,39</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86,62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divId w:val="1046562686"/>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102,62</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96,13</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1463306881"/>
        <w:rPr>
          <w:sz w:val="20"/>
          <w:szCs w:val="20"/>
        </w:rPr>
      </w:pPr>
      <w:r>
        <w:rPr>
          <w:sz w:val="20"/>
          <w:szCs w:val="20"/>
        </w:rPr>
        <w:t>Depreciation and amortization expense on property and equipment was</w:t>
      </w:r>
      <w:r>
        <w:rPr>
          <w:sz w:val="20"/>
          <w:szCs w:val="20"/>
        </w:rPr>
        <w:t xml:space="preserve"> </w:t>
      </w:r>
      <w:r>
        <w:rPr>
          <w:sz w:val="20"/>
          <w:szCs w:val="20"/>
        </w:rPr>
        <w:t>$</w:t>
      </w:r>
      <w:r>
        <w:rPr>
          <w:sz w:val="20"/>
          <w:szCs w:val="20"/>
        </w:rPr>
        <w:t>7.</w:t>
      </w:r>
      <w:r>
        <w:rPr>
          <w:sz w:val="20"/>
          <w:szCs w:val="20"/>
        </w:rPr>
        <w:t>4</w:t>
      </w:r>
      <w:r>
        <w:rPr>
          <w:sz w:val="20"/>
          <w:szCs w:val="20"/>
        </w:rPr>
        <w:t xml:space="preserve"> million for the three months ended September 30, 2022,</w:t>
      </w:r>
      <w:r>
        <w:rPr>
          <w:sz w:val="20"/>
          <w:szCs w:val="20"/>
        </w:rPr>
        <w:t xml:space="preserve"> </w:t>
      </w:r>
      <w:r>
        <w:rPr>
          <w:sz w:val="20"/>
          <w:szCs w:val="20"/>
        </w:rPr>
        <w:t>$</w:t>
      </w:r>
      <w:r>
        <w:rPr>
          <w:sz w:val="20"/>
          <w:szCs w:val="20"/>
        </w:rPr>
        <w:t>20.</w:t>
      </w:r>
      <w:r>
        <w:rPr>
          <w:sz w:val="20"/>
          <w:szCs w:val="20"/>
        </w:rPr>
        <w:t>6</w:t>
      </w:r>
      <w:r>
        <w:rPr>
          <w:sz w:val="20"/>
          <w:szCs w:val="20"/>
        </w:rPr>
        <w:t xml:space="preserve"> millio</w:t>
      </w:r>
      <w:r>
        <w:rPr>
          <w:sz w:val="20"/>
          <w:szCs w:val="20"/>
        </w:rPr>
        <w:t>n</w:t>
      </w:r>
      <w:r>
        <w:rPr>
          <w:sz w:val="20"/>
          <w:szCs w:val="20"/>
        </w:rPr>
        <w:t xml:space="preserve"> </w:t>
      </w:r>
      <w:r>
        <w:rPr>
          <w:sz w:val="20"/>
          <w:szCs w:val="20"/>
        </w:rPr>
        <w:t>for the nine months ended September 30, 2022,</w:t>
      </w:r>
      <w:r>
        <w:rPr>
          <w:sz w:val="20"/>
          <w:szCs w:val="20"/>
        </w:rPr>
        <w:t xml:space="preserve"> </w:t>
      </w:r>
      <w:r>
        <w:rPr>
          <w:sz w:val="20"/>
          <w:szCs w:val="20"/>
        </w:rPr>
        <w:t>$</w:t>
      </w:r>
      <w:r>
        <w:rPr>
          <w:sz w:val="20"/>
          <w:szCs w:val="20"/>
        </w:rPr>
        <w:t>5.</w:t>
      </w:r>
      <w:r>
        <w:rPr>
          <w:sz w:val="20"/>
          <w:szCs w:val="20"/>
        </w:rPr>
        <w:t>9</w:t>
      </w:r>
      <w:r>
        <w:rPr>
          <w:sz w:val="20"/>
          <w:szCs w:val="20"/>
        </w:rPr>
        <w:t xml:space="preserve"> million for the three months ended September 30, 2021, and</w:t>
      </w:r>
      <w:r>
        <w:rPr>
          <w:sz w:val="20"/>
          <w:szCs w:val="20"/>
        </w:rPr>
        <w:t xml:space="preserve"> </w:t>
      </w:r>
      <w:r>
        <w:rPr>
          <w:sz w:val="20"/>
          <w:szCs w:val="20"/>
        </w:rPr>
        <w:t>$</w:t>
      </w:r>
      <w:r>
        <w:rPr>
          <w:sz w:val="20"/>
          <w:szCs w:val="20"/>
        </w:rPr>
        <w:t>17.</w:t>
      </w:r>
      <w:r>
        <w:rPr>
          <w:sz w:val="20"/>
          <w:szCs w:val="20"/>
        </w:rPr>
        <w:t>9</w:t>
      </w:r>
      <w:r>
        <w:rPr>
          <w:sz w:val="20"/>
          <w:szCs w:val="20"/>
        </w:rPr>
        <w:t xml:space="preserve"> million for the nine months ended September 30, 2021</w:t>
      </w:r>
      <w:r>
        <w:rPr>
          <w:sz w:val="20"/>
          <w:szCs w:val="20"/>
        </w:rPr>
        <w:t>.</w:t>
      </w:r>
    </w:p>
    <w:p w:rsidR="00000000" w:rsidRDefault="00805FA0">
      <w:pPr>
        <w:pStyle w:val="a3"/>
        <w:spacing w:before="200" w:beforeAutospacing="0" w:after="0" w:afterAutospacing="0"/>
        <w:ind w:firstLine="555"/>
        <w:divId w:val="1463306881"/>
        <w:rPr>
          <w:sz w:val="20"/>
          <w:szCs w:val="20"/>
        </w:rPr>
      </w:pPr>
      <w:r>
        <w:rPr>
          <w:sz w:val="20"/>
          <w:szCs w:val="20"/>
        </w:rPr>
        <w:t>Refer to Note 9 regarding the disposal of certain property and equipment associated wi</w:t>
      </w:r>
      <w:r>
        <w:rPr>
          <w:sz w:val="20"/>
          <w:szCs w:val="20"/>
        </w:rPr>
        <w:t>th a lease termination</w:t>
      </w:r>
      <w:r>
        <w:rPr>
          <w:sz w:val="20"/>
          <w:szCs w:val="20"/>
        </w:rPr>
        <w:t>.</w:t>
      </w:r>
      <w:r>
        <w:rPr>
          <w:sz w:val="20"/>
          <w:szCs w:val="20"/>
        </w:rPr>
        <w:t xml:space="preserve"> </w:t>
      </w:r>
    </w:p>
    <w:p w:rsidR="00000000" w:rsidRDefault="00805FA0">
      <w:pPr>
        <w:pStyle w:val="a3"/>
        <w:spacing w:before="200" w:beforeAutospacing="0" w:after="0" w:afterAutospacing="0"/>
        <w:divId w:val="158426690"/>
        <w:rPr>
          <w:sz w:val="20"/>
          <w:szCs w:val="20"/>
        </w:rPr>
      </w:pPr>
      <w:r>
        <w:rPr>
          <w:b/>
          <w:bCs/>
          <w:sz w:val="20"/>
          <w:szCs w:val="20"/>
        </w:rPr>
        <w:t>7. Capitalized Software Development Cost</w:t>
      </w:r>
      <w:r>
        <w:rPr>
          <w:b/>
          <w:bCs/>
          <w:sz w:val="20"/>
          <w:szCs w:val="20"/>
        </w:rPr>
        <w:t>s</w:t>
      </w:r>
    </w:p>
    <w:p w:rsidR="00000000" w:rsidRDefault="00805FA0">
      <w:pPr>
        <w:pStyle w:val="a3"/>
        <w:spacing w:before="200" w:beforeAutospacing="0" w:after="0" w:afterAutospacing="0"/>
        <w:ind w:firstLine="555"/>
        <w:divId w:val="1292635250"/>
        <w:rPr>
          <w:sz w:val="20"/>
          <w:szCs w:val="20"/>
        </w:rPr>
      </w:pPr>
      <w:r>
        <w:rPr>
          <w:sz w:val="20"/>
          <w:szCs w:val="20"/>
        </w:rPr>
        <w:t xml:space="preserve">Capitalized software development costs, exclusive of those recorded within property and equipment, consisted of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06"/>
        <w:gridCol w:w="110"/>
        <w:gridCol w:w="160"/>
        <w:gridCol w:w="932"/>
        <w:gridCol w:w="127"/>
        <w:gridCol w:w="110"/>
        <w:gridCol w:w="160"/>
        <w:gridCol w:w="1098"/>
        <w:gridCol w:w="142"/>
      </w:tblGrid>
      <w:tr w:rsidR="00000000">
        <w:trPr>
          <w:divId w:val="1292635250"/>
          <w:tblCellSpacing w:w="15" w:type="dxa"/>
        </w:trPr>
        <w:tc>
          <w:tcPr>
            <w:tcW w:w="3005" w:type="pct"/>
            <w:vAlign w:val="center"/>
            <w:hideMark/>
          </w:tcPr>
          <w:p w:rsidR="00000000" w:rsidRDefault="00805FA0">
            <w:pPr>
              <w:rPr>
                <w:sz w:val="20"/>
                <w:szCs w:val="20"/>
              </w:rPr>
            </w:pPr>
          </w:p>
        </w:tc>
        <w:tc>
          <w:tcPr>
            <w:tcW w:w="8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7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8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29263525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9263525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9263525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Gross capitalized software development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159,67</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122,59</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9263525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Accumulated amortizatio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102,87</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82,73</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divId w:val="1292635250"/>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Capitalized software development costs, ne</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56,80</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39,85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158426690"/>
        <w:rPr>
          <w:sz w:val="20"/>
          <w:szCs w:val="20"/>
        </w:rPr>
      </w:pPr>
      <w:r>
        <w:rPr>
          <w:sz w:val="20"/>
          <w:szCs w:val="20"/>
        </w:rPr>
        <w:t>These capitalized software development costs are associated with software developed for customer purchase. Capitalized software development costs recorded within property and equipment are associated with software developed for Company use</w:t>
      </w:r>
      <w:r>
        <w:rPr>
          <w:sz w:val="20"/>
          <w:szCs w:val="20"/>
        </w:rPr>
        <w:t>.</w:t>
      </w:r>
      <w:r>
        <w:rPr>
          <w:sz w:val="20"/>
          <w:szCs w:val="20"/>
        </w:rPr>
        <w:t xml:space="preserve"> </w:t>
      </w:r>
    </w:p>
    <w:p w:rsidR="00000000" w:rsidRDefault="00805FA0">
      <w:pPr>
        <w:pStyle w:val="a3"/>
        <w:spacing w:before="200" w:beforeAutospacing="0" w:after="0" w:afterAutospacing="0"/>
        <w:ind w:firstLine="555"/>
        <w:divId w:val="158426690"/>
        <w:rPr>
          <w:sz w:val="20"/>
          <w:szCs w:val="20"/>
        </w:rPr>
      </w:pPr>
      <w:r>
        <w:rPr>
          <w:sz w:val="20"/>
          <w:szCs w:val="20"/>
        </w:rPr>
        <w:t>Amortization of capitalized software development costs, exclusive of costs recorded within property and equipment, was</w:t>
      </w:r>
      <w:r>
        <w:rPr>
          <w:sz w:val="20"/>
          <w:szCs w:val="20"/>
        </w:rPr>
        <w:t xml:space="preserve"> </w:t>
      </w:r>
      <w:r>
        <w:rPr>
          <w:sz w:val="20"/>
          <w:szCs w:val="20"/>
        </w:rPr>
        <w:t>$</w:t>
      </w:r>
      <w:r>
        <w:rPr>
          <w:sz w:val="20"/>
          <w:szCs w:val="20"/>
        </w:rPr>
        <w:t>8.</w:t>
      </w:r>
      <w:r>
        <w:rPr>
          <w:sz w:val="20"/>
          <w:szCs w:val="20"/>
        </w:rPr>
        <w:t>5</w:t>
      </w:r>
      <w:r>
        <w:rPr>
          <w:sz w:val="20"/>
          <w:szCs w:val="20"/>
        </w:rPr>
        <w:t xml:space="preserve"> million three months ended September 30, 2022,</w:t>
      </w:r>
      <w:r>
        <w:rPr>
          <w:sz w:val="20"/>
          <w:szCs w:val="20"/>
        </w:rPr>
        <w:t xml:space="preserve"> </w:t>
      </w:r>
      <w:r>
        <w:rPr>
          <w:sz w:val="20"/>
          <w:szCs w:val="20"/>
        </w:rPr>
        <w:t>$</w:t>
      </w:r>
      <w:r>
        <w:rPr>
          <w:sz w:val="20"/>
          <w:szCs w:val="20"/>
        </w:rPr>
        <w:t>23.</w:t>
      </w:r>
      <w:r>
        <w:rPr>
          <w:sz w:val="20"/>
          <w:szCs w:val="20"/>
        </w:rPr>
        <w:t>1</w:t>
      </w:r>
      <w:r>
        <w:rPr>
          <w:sz w:val="20"/>
          <w:szCs w:val="20"/>
        </w:rPr>
        <w:t xml:space="preserve"> millio</w:t>
      </w:r>
      <w:r>
        <w:rPr>
          <w:sz w:val="20"/>
          <w:szCs w:val="20"/>
        </w:rPr>
        <w:t>n</w:t>
      </w:r>
      <w:r>
        <w:rPr>
          <w:sz w:val="20"/>
          <w:szCs w:val="20"/>
        </w:rPr>
        <w:t xml:space="preserve"> for the nine months ended September 30, 2022,</w:t>
      </w:r>
      <w:r>
        <w:rPr>
          <w:sz w:val="20"/>
          <w:szCs w:val="20"/>
        </w:rPr>
        <w:t xml:space="preserve"> </w:t>
      </w:r>
      <w:r>
        <w:rPr>
          <w:sz w:val="20"/>
          <w:szCs w:val="20"/>
        </w:rPr>
        <w:t>$</w:t>
      </w:r>
      <w:r>
        <w:rPr>
          <w:sz w:val="20"/>
          <w:szCs w:val="20"/>
        </w:rPr>
        <w:t>6.</w:t>
      </w:r>
      <w:r>
        <w:rPr>
          <w:sz w:val="20"/>
          <w:szCs w:val="20"/>
        </w:rPr>
        <w:t>1</w:t>
      </w:r>
      <w:r>
        <w:rPr>
          <w:sz w:val="20"/>
          <w:szCs w:val="20"/>
        </w:rPr>
        <w:t xml:space="preserve"> millio</w:t>
      </w:r>
      <w:r>
        <w:rPr>
          <w:sz w:val="20"/>
          <w:szCs w:val="20"/>
        </w:rPr>
        <w:t>n</w:t>
      </w:r>
      <w:r>
        <w:rPr>
          <w:sz w:val="20"/>
          <w:szCs w:val="20"/>
        </w:rPr>
        <w:t xml:space="preserve"> for the thre</w:t>
      </w:r>
      <w:r>
        <w:rPr>
          <w:sz w:val="20"/>
          <w:szCs w:val="20"/>
        </w:rPr>
        <w:t>e months ended September 30, 2021, and</w:t>
      </w:r>
      <w:r>
        <w:rPr>
          <w:sz w:val="20"/>
          <w:szCs w:val="20"/>
        </w:rPr>
        <w:t xml:space="preserve"> </w:t>
      </w:r>
      <w:r>
        <w:rPr>
          <w:sz w:val="20"/>
          <w:szCs w:val="20"/>
        </w:rPr>
        <w:t>$</w:t>
      </w:r>
      <w:r>
        <w:rPr>
          <w:sz w:val="20"/>
          <w:szCs w:val="20"/>
        </w:rPr>
        <w:t>16.</w:t>
      </w:r>
      <w:r>
        <w:rPr>
          <w:sz w:val="20"/>
          <w:szCs w:val="20"/>
        </w:rPr>
        <w:t>3</w:t>
      </w:r>
      <w:r>
        <w:rPr>
          <w:sz w:val="20"/>
          <w:szCs w:val="20"/>
        </w:rPr>
        <w:t xml:space="preserve"> millio</w:t>
      </w:r>
      <w:r>
        <w:rPr>
          <w:sz w:val="20"/>
          <w:szCs w:val="20"/>
        </w:rPr>
        <w:t>n</w:t>
      </w:r>
      <w:r>
        <w:rPr>
          <w:sz w:val="20"/>
          <w:szCs w:val="20"/>
        </w:rPr>
        <w:t xml:space="preserve"> for the nine months ended September 30, 202</w:t>
      </w:r>
      <w:r>
        <w:rPr>
          <w:sz w:val="20"/>
          <w:szCs w:val="20"/>
        </w:rPr>
        <w:t>1</w:t>
      </w:r>
      <w:r>
        <w:rPr>
          <w:sz w:val="20"/>
          <w:szCs w:val="20"/>
        </w:rPr>
        <w:t>.</w:t>
      </w:r>
    </w:p>
    <w:p w:rsidR="00000000" w:rsidRDefault="00805FA0">
      <w:pPr>
        <w:pStyle w:val="a3"/>
        <w:spacing w:before="40" w:beforeAutospacing="0" w:after="0" w:afterAutospacing="0"/>
        <w:ind w:firstLine="555"/>
        <w:rPr>
          <w:sz w:val="20"/>
          <w:szCs w:val="20"/>
        </w:rPr>
      </w:pPr>
      <w:r>
        <w:rPr>
          <w:sz w:val="20"/>
          <w:szCs w:val="20"/>
        </w:rPr>
        <w:t> </w:t>
      </w:r>
    </w:p>
    <w:p w:rsidR="00000000" w:rsidRDefault="00805FA0">
      <w:pPr>
        <w:pStyle w:val="a3"/>
        <w:spacing w:before="200" w:beforeAutospacing="0" w:after="0" w:afterAutospacing="0"/>
        <w:divId w:val="1105229343"/>
        <w:rPr>
          <w:sz w:val="20"/>
          <w:szCs w:val="20"/>
        </w:rPr>
      </w:pPr>
      <w:r>
        <w:rPr>
          <w:b/>
          <w:bCs/>
          <w:sz w:val="20"/>
          <w:szCs w:val="20"/>
        </w:rPr>
        <w:t>8. Convertible Senior Note</w:t>
      </w:r>
      <w:r>
        <w:rPr>
          <w:b/>
          <w:bCs/>
          <w:sz w:val="20"/>
          <w:szCs w:val="20"/>
        </w:rPr>
        <w:t>s</w:t>
      </w:r>
    </w:p>
    <w:p w:rsidR="00000000" w:rsidRDefault="00805FA0">
      <w:pPr>
        <w:pStyle w:val="a3"/>
        <w:spacing w:before="200" w:beforeAutospacing="0" w:after="0" w:afterAutospacing="0"/>
        <w:ind w:firstLine="555"/>
        <w:divId w:val="1105229343"/>
        <w:rPr>
          <w:sz w:val="20"/>
          <w:szCs w:val="20"/>
        </w:rPr>
      </w:pPr>
      <w:r>
        <w:rPr>
          <w:b/>
          <w:bCs/>
          <w:i/>
          <w:iCs/>
          <w:sz w:val="20"/>
          <w:szCs w:val="20"/>
        </w:rPr>
        <w:t>Adoption of Updated Debt Guidanc</w:t>
      </w:r>
      <w:r>
        <w:rPr>
          <w:b/>
          <w:bCs/>
          <w:i/>
          <w:iCs/>
          <w:sz w:val="20"/>
          <w:szCs w:val="20"/>
        </w:rPr>
        <w:t>e</w:t>
      </w:r>
      <w:r>
        <w:rPr>
          <w:b/>
          <w:bCs/>
          <w:i/>
          <w:iCs/>
          <w:sz w:val="20"/>
          <w:szCs w:val="20"/>
        </w:rPr>
        <w:t xml:space="preserve"> </w:t>
      </w:r>
    </w:p>
    <w:p w:rsidR="00000000" w:rsidRDefault="00805FA0">
      <w:pPr>
        <w:pStyle w:val="a3"/>
        <w:spacing w:before="200" w:beforeAutospacing="0" w:after="0" w:afterAutospacing="0"/>
        <w:ind w:firstLine="555"/>
        <w:divId w:val="1105229343"/>
        <w:rPr>
          <w:sz w:val="20"/>
          <w:szCs w:val="20"/>
        </w:rPr>
      </w:pPr>
      <w:r>
        <w:rPr>
          <w:sz w:val="20"/>
          <w:szCs w:val="20"/>
        </w:rPr>
        <w:t>On January 1, 2022, the Company adopted the new guidance for convertible instruments using a</w:t>
      </w:r>
      <w:r>
        <w:rPr>
          <w:sz w:val="20"/>
          <w:szCs w:val="20"/>
        </w:rPr>
        <w:t xml:space="preserve"> modified retrospective method. Results for reporting periods beginning after December 31, 2021 are presented under the new guidance, while prior period comparative amounts are not adjusted and continue to be reported in accordance with historical guidance</w:t>
      </w:r>
      <w:r>
        <w:rPr>
          <w:sz w:val="20"/>
          <w:szCs w:val="20"/>
        </w:rPr>
        <w:t>.</w:t>
      </w:r>
      <w:r>
        <w:rPr>
          <w:sz w:val="20"/>
          <w:szCs w:val="20"/>
        </w:rPr>
        <w:t xml:space="preserve"> </w:t>
      </w:r>
    </w:p>
    <w:p w:rsidR="00000000" w:rsidRDefault="00805FA0">
      <w:pPr>
        <w:pStyle w:val="a3"/>
        <w:spacing w:before="200" w:beforeAutospacing="0" w:after="0" w:afterAutospacing="0"/>
        <w:ind w:firstLine="555"/>
        <w:divId w:val="1105229343"/>
        <w:rPr>
          <w:sz w:val="20"/>
          <w:szCs w:val="20"/>
        </w:rPr>
      </w:pPr>
      <w:r>
        <w:rPr>
          <w:sz w:val="20"/>
          <w:szCs w:val="20"/>
        </w:rPr>
        <w:t>The new guidance eliminates the bifurcation and separate recognition of the embedded cash conversion feature from the host contract and allows for the entire amount attributable to the debt to be presented as a liability. The carrying amount of the debt</w:t>
      </w:r>
      <w:r>
        <w:rPr>
          <w:sz w:val="20"/>
          <w:szCs w:val="20"/>
        </w:rPr>
        <w:t xml:space="preserve"> liability will be reduced by the issuance costs associated with the debt issuance as a contra-liability. As there is no longer an equity component of the convertible debt, the discount created by accretion of a component of the convertible debt in equity </w:t>
      </w:r>
      <w:r>
        <w:rPr>
          <w:sz w:val="20"/>
          <w:szCs w:val="20"/>
        </w:rPr>
        <w:t>is eliminated and interest expense is reduced. The deferred tax liability recognized as a result of a difference between the carrying amount and tax basis of the 2022 Notes that was recorded to additional paid-in capital as a component of equity was also r</w:t>
      </w:r>
      <w:r>
        <w:rPr>
          <w:sz w:val="20"/>
          <w:szCs w:val="20"/>
        </w:rPr>
        <w:t>eversed. There is no change in the accounting for the Capped Call Options, Warrants, or Convertible Note Hedges as they are classified as equity under both the historical and new guidance</w:t>
      </w:r>
      <w:r>
        <w:rPr>
          <w:sz w:val="20"/>
          <w:szCs w:val="20"/>
        </w:rPr>
        <w:t>.</w:t>
      </w:r>
      <w:r>
        <w:rPr>
          <w:sz w:val="20"/>
          <w:szCs w:val="20"/>
        </w:rPr>
        <w:t xml:space="preserve"> </w:t>
      </w:r>
    </w:p>
    <w:p w:rsidR="00000000" w:rsidRDefault="00805FA0">
      <w:pPr>
        <w:pStyle w:val="a3"/>
        <w:spacing w:before="200" w:beforeAutospacing="0" w:after="0" w:afterAutospacing="0"/>
        <w:ind w:firstLine="555"/>
        <w:divId w:val="1105229343"/>
        <w:rPr>
          <w:sz w:val="20"/>
          <w:szCs w:val="20"/>
        </w:rPr>
      </w:pPr>
      <w:r>
        <w:rPr>
          <w:sz w:val="20"/>
          <w:szCs w:val="20"/>
        </w:rPr>
        <w:t>As a result of the impact of applying the new guidance, the Compan</w:t>
      </w:r>
      <w:r>
        <w:rPr>
          <w:sz w:val="20"/>
          <w:szCs w:val="20"/>
        </w:rPr>
        <w:t xml:space="preserve">y recorded an increase to opening retained earnings of </w:t>
      </w:r>
      <w:r>
        <w:rPr>
          <w:sz w:val="20"/>
          <w:szCs w:val="20"/>
        </w:rPr>
        <w:t>$</w:t>
      </w:r>
      <w:r>
        <w:rPr>
          <w:sz w:val="20"/>
          <w:szCs w:val="20"/>
        </w:rPr>
        <w:t>31.</w:t>
      </w:r>
      <w:r>
        <w:rPr>
          <w:sz w:val="20"/>
          <w:szCs w:val="20"/>
        </w:rPr>
        <w:t>4</w:t>
      </w:r>
      <w:r>
        <w:rPr>
          <w:sz w:val="20"/>
          <w:szCs w:val="20"/>
        </w:rPr>
        <w:t xml:space="preserve"> million</w:t>
      </w:r>
      <w:r>
        <w:rPr>
          <w:sz w:val="20"/>
          <w:szCs w:val="20"/>
        </w:rPr>
        <w:t xml:space="preserve"> </w:t>
      </w:r>
      <w:r>
        <w:rPr>
          <w:sz w:val="20"/>
          <w:szCs w:val="20"/>
        </w:rPr>
        <w:t>as of January 1, 2022, related to the difference in interest expense due to the amortization of the convertible debt discount an</w:t>
      </w:r>
      <w:r>
        <w:rPr>
          <w:sz w:val="20"/>
          <w:szCs w:val="20"/>
        </w:rPr>
        <w:t>d</w:t>
      </w:r>
      <w:r>
        <w:rPr>
          <w:sz w:val="20"/>
          <w:szCs w:val="20"/>
        </w:rPr>
        <w:t xml:space="preserve"> </w:t>
      </w:r>
    </w:p>
    <w:p w:rsidR="00000000" w:rsidRDefault="00805FA0">
      <w:pPr>
        <w:pStyle w:val="a3"/>
        <w:spacing w:before="240" w:beforeAutospacing="0" w:after="0" w:afterAutospacing="0"/>
        <w:jc w:val="center"/>
        <w:divId w:val="1105229343"/>
        <w:rPr>
          <w:sz w:val="20"/>
          <w:szCs w:val="20"/>
        </w:rPr>
      </w:pPr>
      <w:r>
        <w:rPr>
          <w:sz w:val="20"/>
          <w:szCs w:val="20"/>
        </w:rPr>
        <w:t>1</w:t>
      </w:r>
      <w:r>
        <w:rPr>
          <w:sz w:val="20"/>
          <w:szCs w:val="20"/>
        </w:rPr>
        <w:t>6</w:t>
      </w:r>
    </w:p>
    <w:p w:rsidR="00000000" w:rsidRDefault="00805FA0">
      <w:pPr>
        <w:divId w:val="1105229343"/>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805FA0">
      <w:pPr>
        <w:pStyle w:val="a3"/>
        <w:spacing w:before="0" w:beforeAutospacing="0" w:after="0" w:afterAutospacing="0"/>
        <w:divId w:val="1105229343"/>
        <w:rPr>
          <w:sz w:val="20"/>
          <w:szCs w:val="20"/>
        </w:rPr>
      </w:pPr>
      <w:r>
        <w:rPr>
          <w:sz w:val="20"/>
          <w:szCs w:val="20"/>
        </w:rPr>
        <w:t> </w:t>
      </w:r>
    </w:p>
    <w:p w:rsidR="00000000" w:rsidRDefault="00805FA0">
      <w:pPr>
        <w:pStyle w:val="a3"/>
        <w:spacing w:before="200" w:beforeAutospacing="0" w:after="0" w:afterAutospacing="0"/>
        <w:divId w:val="1105229343"/>
        <w:rPr>
          <w:sz w:val="20"/>
          <w:szCs w:val="20"/>
        </w:rPr>
      </w:pPr>
      <w:r>
        <w:rPr>
          <w:sz w:val="20"/>
          <w:szCs w:val="20"/>
        </w:rPr>
        <w:t>reversal</w:t>
      </w:r>
      <w:r>
        <w:rPr>
          <w:sz w:val="20"/>
          <w:szCs w:val="20"/>
        </w:rPr>
        <w:t xml:space="preserve"> </w:t>
      </w:r>
      <w:r>
        <w:rPr>
          <w:sz w:val="20"/>
          <w:szCs w:val="20"/>
        </w:rPr>
        <w:t>of th</w:t>
      </w:r>
      <w:r>
        <w:rPr>
          <w:sz w:val="20"/>
          <w:szCs w:val="20"/>
        </w:rPr>
        <w:t>e deferred tax liability under the historical guidance. The resulting impact on the consolidated balance sheet to derecognize the debt issuance cost and conversion option that was allocated to the equity component and to derecognize the remaining convertib</w:t>
      </w:r>
      <w:r>
        <w:rPr>
          <w:sz w:val="20"/>
          <w:szCs w:val="20"/>
        </w:rPr>
        <w:t xml:space="preserve">le debt discount was an increase to debt liability of </w:t>
      </w:r>
      <w:r>
        <w:rPr>
          <w:sz w:val="20"/>
          <w:szCs w:val="20"/>
        </w:rPr>
        <w:t>$</w:t>
      </w:r>
      <w:r>
        <w:rPr>
          <w:sz w:val="20"/>
          <w:szCs w:val="20"/>
        </w:rPr>
        <w:t>69.</w:t>
      </w:r>
      <w:r>
        <w:rPr>
          <w:sz w:val="20"/>
          <w:szCs w:val="20"/>
        </w:rPr>
        <w:t>8</w:t>
      </w:r>
      <w:r>
        <w:rPr>
          <w:sz w:val="20"/>
          <w:szCs w:val="20"/>
        </w:rPr>
        <w:t xml:space="preserve"> million, of which </w:t>
      </w:r>
      <w:r>
        <w:rPr>
          <w:sz w:val="20"/>
          <w:szCs w:val="20"/>
        </w:rPr>
        <w:t>$</w:t>
      </w:r>
      <w:r>
        <w:rPr>
          <w:sz w:val="20"/>
          <w:szCs w:val="20"/>
        </w:rPr>
        <w:t>0.</w:t>
      </w:r>
      <w:r>
        <w:rPr>
          <w:sz w:val="20"/>
          <w:szCs w:val="20"/>
        </w:rPr>
        <w:t>5</w:t>
      </w:r>
      <w:r>
        <w:rPr>
          <w:sz w:val="20"/>
          <w:szCs w:val="20"/>
        </w:rPr>
        <w:t xml:space="preserve"> million was recorded to short term debt and </w:t>
      </w:r>
      <w:r>
        <w:rPr>
          <w:sz w:val="20"/>
          <w:szCs w:val="20"/>
        </w:rPr>
        <w:t>$</w:t>
      </w:r>
      <w:r>
        <w:rPr>
          <w:sz w:val="20"/>
          <w:szCs w:val="20"/>
        </w:rPr>
        <w:t>69.</w:t>
      </w:r>
      <w:r>
        <w:rPr>
          <w:sz w:val="20"/>
          <w:szCs w:val="20"/>
        </w:rPr>
        <w:t>3</w:t>
      </w:r>
      <w:r>
        <w:rPr>
          <w:sz w:val="20"/>
          <w:szCs w:val="20"/>
        </w:rPr>
        <w:t xml:space="preserve"> million was recorded to long-term debt, and a decrease in additional paid-in capital of </w:t>
      </w:r>
      <w:r>
        <w:rPr>
          <w:sz w:val="20"/>
          <w:szCs w:val="20"/>
        </w:rPr>
        <w:t>$</w:t>
      </w:r>
      <w:r>
        <w:rPr>
          <w:sz w:val="20"/>
          <w:szCs w:val="20"/>
        </w:rPr>
        <w:t>101.</w:t>
      </w:r>
      <w:r>
        <w:rPr>
          <w:sz w:val="20"/>
          <w:szCs w:val="20"/>
        </w:rPr>
        <w:t>2</w:t>
      </w:r>
      <w:r>
        <w:rPr>
          <w:sz w:val="20"/>
          <w:szCs w:val="20"/>
        </w:rPr>
        <w:t xml:space="preserve"> million</w:t>
      </w:r>
      <w:r>
        <w:rPr>
          <w:sz w:val="20"/>
          <w:szCs w:val="20"/>
        </w:rPr>
        <w:t>.</w:t>
      </w:r>
      <w:r>
        <w:rPr>
          <w:sz w:val="20"/>
          <w:szCs w:val="20"/>
        </w:rPr>
        <w:t xml:space="preserve"> </w:t>
      </w:r>
    </w:p>
    <w:p w:rsidR="00000000" w:rsidRDefault="00805FA0">
      <w:pPr>
        <w:pStyle w:val="a3"/>
        <w:spacing w:before="200" w:beforeAutospacing="0" w:after="0" w:afterAutospacing="0"/>
        <w:ind w:firstLine="555"/>
        <w:divId w:val="1105229343"/>
        <w:rPr>
          <w:sz w:val="20"/>
          <w:szCs w:val="20"/>
        </w:rPr>
      </w:pPr>
      <w:r>
        <w:rPr>
          <w:b/>
          <w:bCs/>
          <w:i/>
          <w:iCs/>
          <w:sz w:val="20"/>
          <w:szCs w:val="20"/>
        </w:rPr>
        <w:t>2025 Convertible S</w:t>
      </w:r>
      <w:r>
        <w:rPr>
          <w:b/>
          <w:bCs/>
          <w:i/>
          <w:iCs/>
          <w:sz w:val="20"/>
          <w:szCs w:val="20"/>
        </w:rPr>
        <w:t>enior Notes and Capped Call Option</w:t>
      </w:r>
      <w:r>
        <w:rPr>
          <w:b/>
          <w:bCs/>
          <w:i/>
          <w:iCs/>
          <w:sz w:val="20"/>
          <w:szCs w:val="20"/>
        </w:rPr>
        <w:t>s</w:t>
      </w:r>
      <w:r>
        <w:rPr>
          <w:b/>
          <w:bCs/>
          <w:i/>
          <w:iCs/>
          <w:sz w:val="20"/>
          <w:szCs w:val="20"/>
        </w:rPr>
        <w:t xml:space="preserve"> </w:t>
      </w:r>
    </w:p>
    <w:p w:rsidR="00000000" w:rsidRDefault="00805FA0">
      <w:pPr>
        <w:pStyle w:val="a3"/>
        <w:spacing w:before="200" w:beforeAutospacing="0" w:after="0" w:afterAutospacing="0"/>
        <w:ind w:firstLine="555"/>
        <w:divId w:val="1105229343"/>
        <w:rPr>
          <w:sz w:val="20"/>
          <w:szCs w:val="20"/>
        </w:rPr>
      </w:pPr>
      <w:r>
        <w:rPr>
          <w:sz w:val="20"/>
          <w:szCs w:val="20"/>
        </w:rPr>
        <w:t xml:space="preserve">In June 2020, the Company issued </w:t>
      </w:r>
      <w:r>
        <w:rPr>
          <w:sz w:val="20"/>
          <w:szCs w:val="20"/>
        </w:rPr>
        <w:t>$</w:t>
      </w:r>
      <w:r>
        <w:rPr>
          <w:sz w:val="20"/>
          <w:szCs w:val="20"/>
        </w:rPr>
        <w:t>40</w:t>
      </w:r>
      <w:r>
        <w:rPr>
          <w:sz w:val="20"/>
          <w:szCs w:val="20"/>
        </w:rPr>
        <w:t>0</w:t>
      </w:r>
      <w:r>
        <w:rPr>
          <w:sz w:val="20"/>
          <w:szCs w:val="20"/>
        </w:rPr>
        <w:t xml:space="preserve"> million aggregate principal amount of</w:t>
      </w:r>
      <w:r>
        <w:rPr>
          <w:sz w:val="20"/>
          <w:szCs w:val="20"/>
        </w:rPr>
        <w:t xml:space="preserve"> </w:t>
      </w:r>
      <w:r>
        <w:rPr>
          <w:sz w:val="20"/>
          <w:szCs w:val="20"/>
        </w:rPr>
        <w:t>0.37</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5</w:t>
      </w:r>
      <w:r>
        <w:rPr>
          <w:sz w:val="20"/>
          <w:szCs w:val="20"/>
        </w:rPr>
        <w:t xml:space="preserve"> (the “2025 Notes”) in a private offering and an additional </w:t>
      </w:r>
      <w:r>
        <w:rPr>
          <w:sz w:val="20"/>
          <w:szCs w:val="20"/>
        </w:rPr>
        <w:t>$</w:t>
      </w:r>
      <w:r>
        <w:rPr>
          <w:sz w:val="20"/>
          <w:szCs w:val="20"/>
        </w:rPr>
        <w:t>6</w:t>
      </w:r>
      <w:r>
        <w:rPr>
          <w:sz w:val="20"/>
          <w:szCs w:val="20"/>
        </w:rPr>
        <w:t>0</w:t>
      </w:r>
      <w:r>
        <w:rPr>
          <w:sz w:val="20"/>
          <w:szCs w:val="20"/>
        </w:rPr>
        <w:t xml:space="preserve"> million aggregate principal amo</w:t>
      </w:r>
      <w:r>
        <w:rPr>
          <w:sz w:val="20"/>
          <w:szCs w:val="20"/>
        </w:rPr>
        <w:t>unt of the 2025 Notes pursuant to the exercise in full of the over-allotment options of the initial purchasers.</w:t>
      </w:r>
      <w:r>
        <w:rPr>
          <w:sz w:val="20"/>
          <w:szCs w:val="20"/>
        </w:rPr>
        <w:t xml:space="preserve"> </w:t>
      </w:r>
      <w:r>
        <w:rPr>
          <w:sz w:val="20"/>
          <w:szCs w:val="20"/>
        </w:rPr>
        <w:t>The interest rate is fixed at</w:t>
      </w:r>
      <w:r>
        <w:rPr>
          <w:sz w:val="20"/>
          <w:szCs w:val="20"/>
        </w:rPr>
        <w:t xml:space="preserve"> </w:t>
      </w:r>
      <w:r>
        <w:rPr>
          <w:sz w:val="20"/>
          <w:szCs w:val="20"/>
        </w:rPr>
        <w:t>0.37</w:t>
      </w:r>
      <w:r>
        <w:rPr>
          <w:sz w:val="20"/>
          <w:szCs w:val="20"/>
        </w:rPr>
        <w:t>5</w:t>
      </w:r>
      <w:r>
        <w:rPr>
          <w:sz w:val="20"/>
          <w:szCs w:val="20"/>
        </w:rPr>
        <w:t>% per annum and is payable semi-annually in arrears on June 1 and December 1 of each year</w:t>
      </w:r>
      <w:r>
        <w:rPr>
          <w:sz w:val="20"/>
          <w:szCs w:val="20"/>
        </w:rPr>
        <w:t>.</w:t>
      </w:r>
      <w:r>
        <w:rPr>
          <w:sz w:val="20"/>
          <w:szCs w:val="20"/>
        </w:rPr>
        <w:t xml:space="preserve"> The total net proc</w:t>
      </w:r>
      <w:r>
        <w:rPr>
          <w:sz w:val="20"/>
          <w:szCs w:val="20"/>
        </w:rPr>
        <w:t xml:space="preserve">eeds from the debt offering, after deducting initial purchase discounts and debt issuance costs, were approximately </w:t>
      </w:r>
      <w:r>
        <w:rPr>
          <w:sz w:val="20"/>
          <w:szCs w:val="20"/>
        </w:rPr>
        <w:t>$</w:t>
      </w:r>
      <w:r>
        <w:rPr>
          <w:sz w:val="20"/>
          <w:szCs w:val="20"/>
        </w:rPr>
        <w:t>450.</w:t>
      </w:r>
      <w:r>
        <w:rPr>
          <w:sz w:val="20"/>
          <w:szCs w:val="20"/>
        </w:rPr>
        <w:t>1</w:t>
      </w:r>
      <w:r>
        <w:rPr>
          <w:sz w:val="20"/>
          <w:szCs w:val="20"/>
        </w:rPr>
        <w:t xml:space="preserve"> million</w:t>
      </w:r>
      <w:r>
        <w:rPr>
          <w:sz w:val="20"/>
          <w:szCs w:val="20"/>
        </w:rPr>
        <w:t>.</w:t>
      </w:r>
    </w:p>
    <w:p w:rsidR="00000000" w:rsidRDefault="00805FA0">
      <w:pPr>
        <w:pStyle w:val="a3"/>
        <w:spacing w:before="200" w:beforeAutospacing="0" w:after="0" w:afterAutospacing="0"/>
        <w:ind w:firstLine="555"/>
        <w:divId w:val="1105229343"/>
        <w:rPr>
          <w:sz w:val="20"/>
          <w:szCs w:val="20"/>
        </w:rPr>
      </w:pPr>
      <w:r>
        <w:rPr>
          <w:sz w:val="20"/>
          <w:szCs w:val="20"/>
        </w:rPr>
        <w:t xml:space="preserve">Each </w:t>
      </w:r>
      <w:r>
        <w:rPr>
          <w:sz w:val="20"/>
          <w:szCs w:val="20"/>
        </w:rPr>
        <w:t>$</w:t>
      </w:r>
      <w:r>
        <w:rPr>
          <w:sz w:val="20"/>
          <w:szCs w:val="20"/>
        </w:rPr>
        <w:t>1,00</w:t>
      </w:r>
      <w:r>
        <w:rPr>
          <w:sz w:val="20"/>
          <w:szCs w:val="20"/>
        </w:rPr>
        <w:t>0</w:t>
      </w:r>
      <w:r>
        <w:rPr>
          <w:sz w:val="20"/>
          <w:szCs w:val="20"/>
        </w:rPr>
        <w:t xml:space="preserve"> of principal amount of the 2025 Notes will initially be convertible into</w:t>
      </w:r>
      <w:r>
        <w:rPr>
          <w:sz w:val="20"/>
          <w:szCs w:val="20"/>
        </w:rPr>
        <w:t xml:space="preserve"> </w:t>
      </w:r>
      <w:r>
        <w:rPr>
          <w:sz w:val="20"/>
          <w:szCs w:val="20"/>
        </w:rPr>
        <w:t>3.539</w:t>
      </w:r>
      <w:r>
        <w:rPr>
          <w:sz w:val="20"/>
          <w:szCs w:val="20"/>
        </w:rPr>
        <w:t>6</w:t>
      </w:r>
      <w:r>
        <w:rPr>
          <w:sz w:val="20"/>
          <w:szCs w:val="20"/>
        </w:rPr>
        <w:t xml:space="preserve"> shares of the Company’s common s</w:t>
      </w:r>
      <w:r>
        <w:rPr>
          <w:sz w:val="20"/>
          <w:szCs w:val="20"/>
        </w:rPr>
        <w:t xml:space="preserve">tock (the “Conversion Option of the 2025 Notes”), which is equivalent to an initial conversion price of approximately </w:t>
      </w:r>
      <w:r>
        <w:rPr>
          <w:sz w:val="20"/>
          <w:szCs w:val="20"/>
        </w:rPr>
        <w:t>$</w:t>
      </w:r>
      <w:r>
        <w:rPr>
          <w:sz w:val="20"/>
          <w:szCs w:val="20"/>
        </w:rPr>
        <w:t>282.5</w:t>
      </w:r>
      <w:r>
        <w:rPr>
          <w:sz w:val="20"/>
          <w:szCs w:val="20"/>
        </w:rPr>
        <w:t>2</w:t>
      </w:r>
      <w:r>
        <w:rPr>
          <w:sz w:val="20"/>
          <w:szCs w:val="20"/>
        </w:rPr>
        <w:t xml:space="preserve"> per share, subject to adjustment upon the occurrence of certain specified events. On or after March 1, 2025 until the close of bus</w:t>
      </w:r>
      <w:r>
        <w:rPr>
          <w:sz w:val="20"/>
          <w:szCs w:val="20"/>
        </w:rPr>
        <w:t>iness on the second scheduled trading day immediately preceding the maturity date, holders may convert their 2025 Notes at any time. The 2025 Notes will be convertible at the option of the holders prior to the close of business on the business day immediat</w:t>
      </w:r>
      <w:r>
        <w:rPr>
          <w:sz w:val="20"/>
          <w:szCs w:val="20"/>
        </w:rPr>
        <w:t>ely preceding March 1, 2025 under certain circumstances as described in the indenture governing the 2025 Notes (the “Indenture”). Upon conversion, the Company will pay or deliver, as the case may be, cash, shares of the Company’s common stock or a combinat</w:t>
      </w:r>
      <w:r>
        <w:rPr>
          <w:sz w:val="20"/>
          <w:szCs w:val="20"/>
        </w:rPr>
        <w:t>ion of cash and shares of the Company’s common stock, at the Company’s election.</w:t>
      </w:r>
      <w:r>
        <w:rPr>
          <w:sz w:val="20"/>
          <w:szCs w:val="20"/>
        </w:rPr>
        <w:t xml:space="preserve"> </w:t>
      </w:r>
      <w:r>
        <w:rPr>
          <w:sz w:val="20"/>
          <w:szCs w:val="20"/>
        </w:rPr>
        <w:t>The Company expects to settle the principal amount of the 2025 Notes in cash</w:t>
      </w:r>
      <w:r>
        <w:rPr>
          <w:sz w:val="20"/>
          <w:szCs w:val="20"/>
        </w:rPr>
        <w:t>.</w:t>
      </w:r>
      <w:r>
        <w:rPr>
          <w:sz w:val="20"/>
          <w:szCs w:val="20"/>
        </w:rPr>
        <w:t xml:space="preserve"> In the quarter ended</w:t>
      </w:r>
      <w:r>
        <w:rPr>
          <w:sz w:val="20"/>
          <w:szCs w:val="20"/>
        </w:rPr>
        <w:t xml:space="preserve"> </w:t>
      </w:r>
      <w:r>
        <w:rPr>
          <w:sz w:val="20"/>
          <w:szCs w:val="20"/>
        </w:rPr>
        <w:t>September 30, 2022, the 2025 Notes did not meet the Conversion Option and ar</w:t>
      </w:r>
      <w:r>
        <w:rPr>
          <w:sz w:val="20"/>
          <w:szCs w:val="20"/>
        </w:rPr>
        <w:t>e not convertible</w:t>
      </w:r>
      <w:r>
        <w:rPr>
          <w:sz w:val="20"/>
          <w:szCs w:val="20"/>
        </w:rPr>
        <w:t>.</w:t>
      </w:r>
      <w:r>
        <w:rPr>
          <w:sz w:val="20"/>
          <w:szCs w:val="20"/>
        </w:rPr>
        <w:t xml:space="preserve"> </w:t>
      </w:r>
    </w:p>
    <w:p w:rsidR="00000000" w:rsidRDefault="00805FA0">
      <w:pPr>
        <w:pStyle w:val="a3"/>
        <w:spacing w:before="200" w:beforeAutospacing="0" w:after="0" w:afterAutospacing="0"/>
        <w:ind w:firstLine="555"/>
        <w:divId w:val="1105229343"/>
        <w:rPr>
          <w:sz w:val="20"/>
          <w:szCs w:val="20"/>
        </w:rPr>
      </w:pPr>
      <w:r>
        <w:rPr>
          <w:sz w:val="20"/>
          <w:szCs w:val="20"/>
        </w:rPr>
        <w:t xml:space="preserve">In accordance with GAAP relating to the embedded conversion feature, the Company bifurcated the conversion feature associated with the 2025 Notes and recorded </w:t>
      </w:r>
      <w:r>
        <w:rPr>
          <w:sz w:val="20"/>
          <w:szCs w:val="20"/>
        </w:rPr>
        <w:t>$</w:t>
      </w:r>
      <w:r>
        <w:rPr>
          <w:sz w:val="20"/>
          <w:szCs w:val="20"/>
        </w:rPr>
        <w:t>96.</w:t>
      </w:r>
      <w:r>
        <w:rPr>
          <w:sz w:val="20"/>
          <w:szCs w:val="20"/>
        </w:rPr>
        <w:t>6</w:t>
      </w:r>
      <w:r>
        <w:rPr>
          <w:sz w:val="20"/>
          <w:szCs w:val="20"/>
        </w:rPr>
        <w:t xml:space="preserve"> million to additional paid-in capital for the conversion feature and th</w:t>
      </w:r>
      <w:r>
        <w:rPr>
          <w:sz w:val="20"/>
          <w:szCs w:val="20"/>
        </w:rPr>
        <w:t>e resulting debt discount was being amortized to interest expense. As there is no longer an equity component of the convertible debt under the new standard, the debt issuance cost and conversion option that was allocated to the equity component was derecog</w:t>
      </w:r>
      <w:r>
        <w:rPr>
          <w:sz w:val="20"/>
          <w:szCs w:val="20"/>
        </w:rPr>
        <w:t>nized through an adjustment to opening retained earnings upon adoption of the new standard on January 1, 2022</w:t>
      </w:r>
      <w:r>
        <w:rPr>
          <w:sz w:val="20"/>
          <w:szCs w:val="20"/>
        </w:rPr>
        <w:t>.</w:t>
      </w:r>
      <w:r>
        <w:rPr>
          <w:sz w:val="20"/>
          <w:szCs w:val="20"/>
        </w:rPr>
        <w:t xml:space="preserve"> </w:t>
      </w:r>
    </w:p>
    <w:p w:rsidR="00000000" w:rsidRDefault="00805FA0">
      <w:pPr>
        <w:pStyle w:val="a3"/>
        <w:spacing w:before="200" w:beforeAutospacing="0" w:after="0" w:afterAutospacing="0"/>
        <w:ind w:firstLine="555"/>
        <w:divId w:val="2043826524"/>
        <w:rPr>
          <w:sz w:val="20"/>
          <w:szCs w:val="20"/>
        </w:rPr>
      </w:pPr>
      <w:r>
        <w:rPr>
          <w:sz w:val="20"/>
          <w:szCs w:val="20"/>
        </w:rPr>
        <w:t>The net carrying amount of the liability component of the 2025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04"/>
        <w:gridCol w:w="110"/>
        <w:gridCol w:w="160"/>
        <w:gridCol w:w="1116"/>
        <w:gridCol w:w="127"/>
        <w:gridCol w:w="110"/>
        <w:gridCol w:w="160"/>
        <w:gridCol w:w="1116"/>
        <w:gridCol w:w="142"/>
      </w:tblGrid>
      <w:tr w:rsidR="00000000">
        <w:trPr>
          <w:divId w:val="2043826524"/>
          <w:tblCellSpacing w:w="15" w:type="dxa"/>
        </w:trPr>
        <w:tc>
          <w:tcPr>
            <w:tcW w:w="2835" w:type="pct"/>
            <w:vAlign w:val="center"/>
            <w:hideMark/>
          </w:tcPr>
          <w:p w:rsidR="00000000" w:rsidRDefault="00805FA0">
            <w:pPr>
              <w:rPr>
                <w:sz w:val="20"/>
                <w:szCs w:val="20"/>
              </w:rPr>
            </w:pPr>
          </w:p>
        </w:tc>
        <w:tc>
          <w:tcPr>
            <w:tcW w:w="8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9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9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2043826524"/>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As of September 30, 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As of December 31,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2043826524"/>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2043826524"/>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Principa</w:t>
            </w:r>
            <w:r>
              <w:rPr>
                <w:sz w:val="20"/>
                <w:szCs w:val="20"/>
              </w:rPr>
              <w:t>l</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459,08</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459,99</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043826524"/>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Unamortized debt discoun</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70,59</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divId w:val="2043826524"/>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Unamortized issuance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5,36</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5,54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divId w:val="2043826524"/>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Net carrying amoun</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453,72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383,86</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1031881030"/>
        <w:rPr>
          <w:sz w:val="20"/>
          <w:szCs w:val="20"/>
        </w:rPr>
      </w:pPr>
      <w:r>
        <w:rPr>
          <w:sz w:val="20"/>
          <w:szCs w:val="20"/>
        </w:rPr>
        <w:t>Interest expense related to the 2025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332"/>
        <w:gridCol w:w="110"/>
        <w:gridCol w:w="160"/>
        <w:gridCol w:w="775"/>
        <w:gridCol w:w="110"/>
        <w:gridCol w:w="110"/>
        <w:gridCol w:w="160"/>
        <w:gridCol w:w="676"/>
        <w:gridCol w:w="110"/>
        <w:gridCol w:w="110"/>
        <w:gridCol w:w="160"/>
        <w:gridCol w:w="650"/>
        <w:gridCol w:w="110"/>
        <w:gridCol w:w="110"/>
        <w:gridCol w:w="160"/>
        <w:gridCol w:w="677"/>
        <w:gridCol w:w="125"/>
      </w:tblGrid>
      <w:tr w:rsidR="00000000">
        <w:trPr>
          <w:divId w:val="1031881030"/>
          <w:tblCellSpacing w:w="15" w:type="dxa"/>
        </w:trPr>
        <w:tc>
          <w:tcPr>
            <w:tcW w:w="1931" w:type="pct"/>
            <w:vAlign w:val="center"/>
            <w:hideMark/>
          </w:tcPr>
          <w:p w:rsidR="00000000" w:rsidRDefault="00805FA0">
            <w:pPr>
              <w:rPr>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6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03188103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03188103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03188103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03188103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1,29</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1,29</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3188103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13,47</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31881030"/>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49</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35</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1,05</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031881030"/>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Total interest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5,36</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2,75</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15,82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1105229343"/>
        <w:rPr>
          <w:sz w:val="20"/>
          <w:szCs w:val="20"/>
        </w:rPr>
      </w:pPr>
      <w:r>
        <w:rPr>
          <w:sz w:val="20"/>
          <w:szCs w:val="20"/>
        </w:rPr>
        <w:t xml:space="preserve">In connection with the offering of the 2025 Notes, the Company purchased capped call options (“Capped Call Options”) with respect to its common stock for </w:t>
      </w:r>
      <w:r>
        <w:rPr>
          <w:sz w:val="20"/>
          <w:szCs w:val="20"/>
        </w:rPr>
        <w:t>$</w:t>
      </w:r>
      <w:r>
        <w:rPr>
          <w:sz w:val="20"/>
          <w:szCs w:val="20"/>
        </w:rPr>
        <w:t>50.</w:t>
      </w:r>
      <w:r>
        <w:rPr>
          <w:sz w:val="20"/>
          <w:szCs w:val="20"/>
        </w:rPr>
        <w:t>6</w:t>
      </w:r>
      <w:r>
        <w:rPr>
          <w:sz w:val="20"/>
          <w:szCs w:val="20"/>
        </w:rPr>
        <w:t xml:space="preserve"> million. The Capped Call Options are purchased call options that give the Company the option to </w:t>
      </w:r>
      <w:r>
        <w:rPr>
          <w:sz w:val="20"/>
          <w:szCs w:val="20"/>
        </w:rPr>
        <w:t>purchase up to approximately</w:t>
      </w:r>
      <w:r>
        <w:rPr>
          <w:sz w:val="20"/>
          <w:szCs w:val="20"/>
        </w:rPr>
        <w:t xml:space="preserve"> </w:t>
      </w:r>
      <w:r>
        <w:rPr>
          <w:sz w:val="20"/>
          <w:szCs w:val="20"/>
        </w:rPr>
        <w:t>1.</w:t>
      </w:r>
      <w:r>
        <w:rPr>
          <w:sz w:val="20"/>
          <w:szCs w:val="20"/>
        </w:rPr>
        <w:t>6</w:t>
      </w:r>
      <w:r>
        <w:rPr>
          <w:sz w:val="20"/>
          <w:szCs w:val="20"/>
        </w:rPr>
        <w:t xml:space="preserve"> million shares of its common stock for </w:t>
      </w:r>
      <w:r>
        <w:rPr>
          <w:sz w:val="20"/>
          <w:szCs w:val="20"/>
        </w:rPr>
        <w:t>$</w:t>
      </w:r>
      <w:r>
        <w:rPr>
          <w:sz w:val="20"/>
          <w:szCs w:val="20"/>
        </w:rPr>
        <w:t>282.5</w:t>
      </w:r>
      <w:r>
        <w:rPr>
          <w:sz w:val="20"/>
          <w:szCs w:val="20"/>
        </w:rPr>
        <w:t>2</w:t>
      </w:r>
      <w:r>
        <w:rPr>
          <w:sz w:val="20"/>
          <w:szCs w:val="20"/>
        </w:rPr>
        <w:t xml:space="preserve"> per share, which corresponds to the approximate initial conversion price of the 2025 Notes. The Capped Call Options were purchased in order to offset potential dilution to the </w:t>
      </w:r>
      <w:r>
        <w:rPr>
          <w:sz w:val="20"/>
          <w:szCs w:val="20"/>
        </w:rPr>
        <w:t xml:space="preserve">Company’s common stock upon any conversion of the 2025 Notes, subject to a cap of </w:t>
      </w:r>
      <w:r>
        <w:rPr>
          <w:sz w:val="20"/>
          <w:szCs w:val="20"/>
        </w:rPr>
        <w:t>$</w:t>
      </w:r>
      <w:r>
        <w:rPr>
          <w:sz w:val="20"/>
          <w:szCs w:val="20"/>
        </w:rPr>
        <w:t>426.4</w:t>
      </w:r>
      <w:r>
        <w:rPr>
          <w:sz w:val="20"/>
          <w:szCs w:val="20"/>
        </w:rPr>
        <w:t>4</w:t>
      </w:r>
      <w:r>
        <w:rPr>
          <w:sz w:val="20"/>
          <w:szCs w:val="20"/>
        </w:rPr>
        <w:t xml:space="preserve"> per share, and expire concurrently with the 2025 Notes. The </w:t>
      </w:r>
      <w:r>
        <w:rPr>
          <w:sz w:val="20"/>
          <w:szCs w:val="20"/>
        </w:rPr>
        <w:t>$</w:t>
      </w:r>
      <w:r>
        <w:rPr>
          <w:sz w:val="20"/>
          <w:szCs w:val="20"/>
        </w:rPr>
        <w:t>50.</w:t>
      </w:r>
      <w:r>
        <w:rPr>
          <w:sz w:val="20"/>
          <w:szCs w:val="20"/>
        </w:rPr>
        <w:t>6</w:t>
      </w:r>
      <w:r>
        <w:rPr>
          <w:sz w:val="20"/>
          <w:szCs w:val="20"/>
        </w:rPr>
        <w:t xml:space="preserve"> million paid for the Capped Call Options is recorded in stockholders’ equity as a reduction in addit</w:t>
      </w:r>
      <w:r>
        <w:rPr>
          <w:sz w:val="20"/>
          <w:szCs w:val="20"/>
        </w:rPr>
        <w:t>ional paid-in capital and are not accounted for as separate derivative financial instruments</w:t>
      </w:r>
      <w:r>
        <w:rPr>
          <w:sz w:val="20"/>
          <w:szCs w:val="20"/>
        </w:rPr>
        <w:t>.</w:t>
      </w:r>
    </w:p>
    <w:p w:rsidR="00000000" w:rsidRDefault="00805FA0">
      <w:pPr>
        <w:pStyle w:val="a3"/>
        <w:spacing w:before="200" w:beforeAutospacing="0" w:after="0" w:afterAutospacing="0"/>
        <w:ind w:firstLine="555"/>
        <w:divId w:val="1105229343"/>
        <w:rPr>
          <w:sz w:val="20"/>
          <w:szCs w:val="20"/>
        </w:rPr>
      </w:pPr>
      <w:r>
        <w:rPr>
          <w:b/>
          <w:bCs/>
          <w:i/>
          <w:iCs/>
          <w:sz w:val="20"/>
          <w:szCs w:val="20"/>
        </w:rPr>
        <w:t>2022 Convertible Senior Notes, Convertible Note Hedge and Warran</w:t>
      </w:r>
      <w:r>
        <w:rPr>
          <w:b/>
          <w:bCs/>
          <w:i/>
          <w:iCs/>
          <w:sz w:val="20"/>
          <w:szCs w:val="20"/>
        </w:rPr>
        <w:t>t</w:t>
      </w:r>
    </w:p>
    <w:p w:rsidR="00000000" w:rsidRDefault="00805FA0">
      <w:pPr>
        <w:pStyle w:val="a3"/>
        <w:spacing w:before="240" w:beforeAutospacing="0" w:after="0" w:afterAutospacing="0"/>
        <w:jc w:val="center"/>
        <w:divId w:val="1105229343"/>
        <w:rPr>
          <w:sz w:val="20"/>
          <w:szCs w:val="20"/>
        </w:rPr>
      </w:pPr>
      <w:r>
        <w:rPr>
          <w:sz w:val="20"/>
          <w:szCs w:val="20"/>
        </w:rPr>
        <w:t>1</w:t>
      </w:r>
      <w:r>
        <w:rPr>
          <w:sz w:val="20"/>
          <w:szCs w:val="20"/>
        </w:rPr>
        <w:t>7</w:t>
      </w:r>
    </w:p>
    <w:p w:rsidR="00000000" w:rsidRDefault="00805FA0">
      <w:pPr>
        <w:divId w:val="1105229343"/>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805FA0">
      <w:pPr>
        <w:pStyle w:val="a3"/>
        <w:spacing w:before="0" w:beforeAutospacing="0" w:after="0" w:afterAutospacing="0"/>
        <w:divId w:val="1105229343"/>
        <w:rPr>
          <w:sz w:val="20"/>
          <w:szCs w:val="20"/>
        </w:rPr>
      </w:pPr>
      <w:r>
        <w:rPr>
          <w:sz w:val="20"/>
          <w:szCs w:val="20"/>
        </w:rPr>
        <w:t> </w:t>
      </w:r>
    </w:p>
    <w:p w:rsidR="00000000" w:rsidRDefault="00805FA0">
      <w:pPr>
        <w:pStyle w:val="a3"/>
        <w:spacing w:before="200" w:beforeAutospacing="0" w:after="0" w:afterAutospacing="0"/>
        <w:ind w:firstLine="555"/>
        <w:divId w:val="1105229343"/>
        <w:rPr>
          <w:sz w:val="20"/>
          <w:szCs w:val="20"/>
        </w:rPr>
      </w:pPr>
      <w:r>
        <w:rPr>
          <w:sz w:val="20"/>
          <w:szCs w:val="20"/>
        </w:rPr>
        <w:t xml:space="preserve">In May 2017, the Company issued </w:t>
      </w:r>
      <w:r>
        <w:rPr>
          <w:sz w:val="20"/>
          <w:szCs w:val="20"/>
        </w:rPr>
        <w:t>$</w:t>
      </w:r>
      <w:r>
        <w:rPr>
          <w:sz w:val="20"/>
          <w:szCs w:val="20"/>
        </w:rPr>
        <w:t>350.</w:t>
      </w:r>
      <w:r>
        <w:rPr>
          <w:sz w:val="20"/>
          <w:szCs w:val="20"/>
        </w:rPr>
        <w:t>0</w:t>
      </w:r>
      <w:r>
        <w:rPr>
          <w:sz w:val="20"/>
          <w:szCs w:val="20"/>
        </w:rPr>
        <w:t xml:space="preserve"> million aggrega</w:t>
      </w:r>
      <w:r>
        <w:rPr>
          <w:sz w:val="20"/>
          <w:szCs w:val="20"/>
        </w:rPr>
        <w:t>te principal amount of</w:t>
      </w:r>
      <w:r>
        <w:rPr>
          <w:sz w:val="20"/>
          <w:szCs w:val="20"/>
        </w:rPr>
        <w:t xml:space="preserve"> </w:t>
      </w:r>
      <w:r>
        <w:rPr>
          <w:sz w:val="20"/>
          <w:szCs w:val="20"/>
        </w:rPr>
        <w:t>0.2</w:t>
      </w:r>
      <w:r>
        <w:rPr>
          <w:sz w:val="20"/>
          <w:szCs w:val="20"/>
        </w:rPr>
        <w:t>5</w:t>
      </w:r>
      <w:r>
        <w:rPr>
          <w:sz w:val="20"/>
          <w:szCs w:val="20"/>
        </w:rPr>
        <w:t>% convertible senior notes due</w:t>
      </w:r>
      <w:r>
        <w:rPr>
          <w:sz w:val="20"/>
          <w:szCs w:val="20"/>
        </w:rPr>
        <w:t xml:space="preserve"> </w:t>
      </w:r>
      <w:r>
        <w:rPr>
          <w:sz w:val="20"/>
          <w:szCs w:val="20"/>
        </w:rPr>
        <w:t>June 1, 202</w:t>
      </w:r>
      <w:r>
        <w:rPr>
          <w:sz w:val="20"/>
          <w:szCs w:val="20"/>
        </w:rPr>
        <w:t>2</w:t>
      </w:r>
      <w:r>
        <w:rPr>
          <w:sz w:val="20"/>
          <w:szCs w:val="20"/>
        </w:rPr>
        <w:t xml:space="preserve"> (the “2022 Notes”) in a private offering and an additional </w:t>
      </w:r>
      <w:r>
        <w:rPr>
          <w:sz w:val="20"/>
          <w:szCs w:val="20"/>
        </w:rPr>
        <w:t>$</w:t>
      </w:r>
      <w:r>
        <w:rPr>
          <w:sz w:val="20"/>
          <w:szCs w:val="20"/>
        </w:rPr>
        <w:t>5</w:t>
      </w:r>
      <w:r>
        <w:rPr>
          <w:sz w:val="20"/>
          <w:szCs w:val="20"/>
        </w:rPr>
        <w:t>0</w:t>
      </w:r>
      <w:r>
        <w:rPr>
          <w:sz w:val="20"/>
          <w:szCs w:val="20"/>
        </w:rPr>
        <w:t xml:space="preserve"> million aggregate principal amount of the 2022 Notes pursuant to the exercise in full of the over-allotment options of the</w:t>
      </w:r>
      <w:r>
        <w:rPr>
          <w:sz w:val="20"/>
          <w:szCs w:val="20"/>
        </w:rPr>
        <w:t xml:space="preserve"> initial purchasers. of the 2022 Notes.</w:t>
      </w:r>
      <w:r>
        <w:rPr>
          <w:sz w:val="20"/>
          <w:szCs w:val="20"/>
        </w:rPr>
        <w:t xml:space="preserve"> </w:t>
      </w:r>
      <w:r>
        <w:rPr>
          <w:sz w:val="20"/>
          <w:szCs w:val="20"/>
        </w:rPr>
        <w:t>The interest rate is fixed at</w:t>
      </w:r>
      <w:r>
        <w:rPr>
          <w:sz w:val="20"/>
          <w:szCs w:val="20"/>
        </w:rPr>
        <w:t xml:space="preserve"> </w:t>
      </w:r>
      <w:r>
        <w:rPr>
          <w:sz w:val="20"/>
          <w:szCs w:val="20"/>
        </w:rPr>
        <w:t>0.2</w:t>
      </w:r>
      <w:r>
        <w:rPr>
          <w:sz w:val="20"/>
          <w:szCs w:val="20"/>
        </w:rPr>
        <w:t>5</w:t>
      </w:r>
      <w:r>
        <w:rPr>
          <w:sz w:val="20"/>
          <w:szCs w:val="20"/>
        </w:rPr>
        <w:t>% per annum and is payable semi-annually in arrears on June 1 and December 1 of each year</w:t>
      </w:r>
      <w:r>
        <w:rPr>
          <w:sz w:val="20"/>
          <w:szCs w:val="20"/>
        </w:rPr>
        <w:t>.</w:t>
      </w:r>
      <w:r>
        <w:rPr>
          <w:sz w:val="20"/>
          <w:szCs w:val="20"/>
        </w:rPr>
        <w:t xml:space="preserve"> The total net proceeds from the debt offering, after deducting initial purchase discounts a</w:t>
      </w:r>
      <w:r>
        <w:rPr>
          <w:sz w:val="20"/>
          <w:szCs w:val="20"/>
        </w:rPr>
        <w:t xml:space="preserve">nd debt issuance costs, were approximately </w:t>
      </w:r>
      <w:r>
        <w:rPr>
          <w:sz w:val="20"/>
          <w:szCs w:val="20"/>
        </w:rPr>
        <w:t>$</w:t>
      </w:r>
      <w:r>
        <w:rPr>
          <w:sz w:val="20"/>
          <w:szCs w:val="20"/>
        </w:rPr>
        <w:t>389.</w:t>
      </w:r>
      <w:r>
        <w:rPr>
          <w:sz w:val="20"/>
          <w:szCs w:val="20"/>
        </w:rPr>
        <w:t>2</w:t>
      </w:r>
      <w:r>
        <w:rPr>
          <w:sz w:val="20"/>
          <w:szCs w:val="20"/>
        </w:rPr>
        <w:t xml:space="preserve"> million. On June 1, 2022, upon the maturity of the 2022 Notes, the Company paid </w:t>
      </w:r>
      <w:r>
        <w:rPr>
          <w:sz w:val="20"/>
          <w:szCs w:val="20"/>
        </w:rPr>
        <w:t>$</w:t>
      </w:r>
      <w:r>
        <w:rPr>
          <w:sz w:val="20"/>
          <w:szCs w:val="20"/>
        </w:rPr>
        <w:t>19.</w:t>
      </w:r>
      <w:r>
        <w:rPr>
          <w:sz w:val="20"/>
          <w:szCs w:val="20"/>
        </w:rPr>
        <w:t>4</w:t>
      </w:r>
      <w:r>
        <w:rPr>
          <w:sz w:val="20"/>
          <w:szCs w:val="20"/>
        </w:rPr>
        <w:t xml:space="preserve"> million to satisfy the aggregate principal amount due and </w:t>
      </w:r>
      <w:r>
        <w:rPr>
          <w:sz w:val="20"/>
          <w:szCs w:val="20"/>
        </w:rPr>
        <w:t>$</w:t>
      </w:r>
      <w:r>
        <w:rPr>
          <w:sz w:val="20"/>
          <w:szCs w:val="20"/>
        </w:rPr>
        <w:t>60.</w:t>
      </w:r>
      <w:r>
        <w:rPr>
          <w:sz w:val="20"/>
          <w:szCs w:val="20"/>
        </w:rPr>
        <w:t>4</w:t>
      </w:r>
      <w:r>
        <w:rPr>
          <w:sz w:val="20"/>
          <w:szCs w:val="20"/>
        </w:rPr>
        <w:t xml:space="preserve"> million for the conversion premium in excess of the prin</w:t>
      </w:r>
      <w:r>
        <w:rPr>
          <w:sz w:val="20"/>
          <w:szCs w:val="20"/>
        </w:rPr>
        <w:t>cipal amount</w:t>
      </w:r>
      <w:r>
        <w:rPr>
          <w:sz w:val="20"/>
          <w:szCs w:val="20"/>
        </w:rPr>
        <w:t>.</w:t>
      </w:r>
      <w:r>
        <w:rPr>
          <w:sz w:val="20"/>
          <w:szCs w:val="20"/>
        </w:rPr>
        <w:t xml:space="preserve"> </w:t>
      </w:r>
    </w:p>
    <w:p w:rsidR="00000000" w:rsidRDefault="00805FA0">
      <w:pPr>
        <w:pStyle w:val="a3"/>
        <w:spacing w:before="200" w:beforeAutospacing="0" w:after="0" w:afterAutospacing="0"/>
        <w:ind w:firstLine="555"/>
        <w:divId w:val="1105229343"/>
        <w:rPr>
          <w:sz w:val="20"/>
          <w:szCs w:val="20"/>
        </w:rPr>
      </w:pPr>
      <w:r>
        <w:rPr>
          <w:sz w:val="20"/>
          <w:szCs w:val="20"/>
        </w:rPr>
        <w:t>In connection with the offering of the 2022 Notes, the Company entered into convertible note hedge transactions (the “Convertible Note Hedges”) with certain counterparties in which the Company has the option to purchase (subject to adjustmen</w:t>
      </w:r>
      <w:r>
        <w:rPr>
          <w:sz w:val="20"/>
          <w:szCs w:val="20"/>
        </w:rPr>
        <w:t>t for certain specified events) up to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approximately </w:t>
      </w:r>
      <w:r>
        <w:rPr>
          <w:sz w:val="20"/>
          <w:szCs w:val="20"/>
        </w:rPr>
        <w:t>$</w:t>
      </w:r>
      <w:r>
        <w:rPr>
          <w:sz w:val="20"/>
          <w:szCs w:val="20"/>
        </w:rPr>
        <w:t>94.7</w:t>
      </w:r>
      <w:r>
        <w:rPr>
          <w:sz w:val="20"/>
          <w:szCs w:val="20"/>
        </w:rPr>
        <w:t>7</w:t>
      </w:r>
      <w:r>
        <w:rPr>
          <w:sz w:val="20"/>
          <w:szCs w:val="20"/>
        </w:rPr>
        <w:t xml:space="preserve"> per share. Upon the maturity of the 2022 Notes on June 1, 2022, the Convertible Note Hedges were settled in cash and the</w:t>
      </w:r>
      <w:r>
        <w:rPr>
          <w:sz w:val="20"/>
          <w:szCs w:val="20"/>
        </w:rPr>
        <w:t xml:space="preserve"> Company received approximately </w:t>
      </w:r>
      <w:r>
        <w:rPr>
          <w:sz w:val="20"/>
          <w:szCs w:val="20"/>
        </w:rPr>
        <w:t>$</w:t>
      </w:r>
      <w:r>
        <w:rPr>
          <w:sz w:val="20"/>
          <w:szCs w:val="20"/>
        </w:rPr>
        <w:t>60.</w:t>
      </w:r>
      <w:r>
        <w:rPr>
          <w:sz w:val="20"/>
          <w:szCs w:val="20"/>
        </w:rPr>
        <w:t>5</w:t>
      </w:r>
      <w:r>
        <w:rPr>
          <w:sz w:val="20"/>
          <w:szCs w:val="20"/>
        </w:rPr>
        <w:t xml:space="preserve"> million in cash upon settlement</w:t>
      </w:r>
      <w:r>
        <w:rPr>
          <w:sz w:val="20"/>
          <w:szCs w:val="20"/>
        </w:rPr>
        <w:t>.</w:t>
      </w:r>
      <w:r>
        <w:rPr>
          <w:sz w:val="20"/>
          <w:szCs w:val="20"/>
        </w:rPr>
        <w:t xml:space="preserve"> </w:t>
      </w:r>
    </w:p>
    <w:p w:rsidR="00000000" w:rsidRDefault="00805FA0">
      <w:pPr>
        <w:pStyle w:val="a3"/>
        <w:spacing w:before="200" w:beforeAutospacing="0" w:after="0" w:afterAutospacing="0"/>
        <w:ind w:firstLine="555"/>
        <w:divId w:val="1105229343"/>
        <w:rPr>
          <w:sz w:val="20"/>
          <w:szCs w:val="20"/>
        </w:rPr>
      </w:pPr>
      <w:r>
        <w:rPr>
          <w:sz w:val="20"/>
          <w:szCs w:val="20"/>
        </w:rPr>
        <w:t xml:space="preserve">In addition, the Company sold warrants (the “Warrants”) to certain bank counterparties whereby the holders of the Warrants have the option to initially purchase (subject to adjustment </w:t>
      </w:r>
      <w:r>
        <w:rPr>
          <w:sz w:val="20"/>
          <w:szCs w:val="20"/>
        </w:rPr>
        <w:t>for certain specified events) a total of approximately</w:t>
      </w:r>
      <w:r>
        <w:rPr>
          <w:sz w:val="20"/>
          <w:szCs w:val="20"/>
        </w:rPr>
        <w:t xml:space="preserve"> </w:t>
      </w:r>
      <w:r>
        <w:rPr>
          <w:sz w:val="20"/>
          <w:szCs w:val="20"/>
        </w:rPr>
        <w:t>4.</w:t>
      </w:r>
      <w:r>
        <w:rPr>
          <w:sz w:val="20"/>
          <w:szCs w:val="20"/>
        </w:rPr>
        <w:t>2</w:t>
      </w:r>
      <w:r>
        <w:rPr>
          <w:sz w:val="20"/>
          <w:szCs w:val="20"/>
        </w:rPr>
        <w:t xml:space="preserve"> million shares of the Company’s common stock at a price of </w:t>
      </w:r>
      <w:r>
        <w:rPr>
          <w:sz w:val="20"/>
          <w:szCs w:val="20"/>
        </w:rPr>
        <w:t>$</w:t>
      </w:r>
      <w:r>
        <w:rPr>
          <w:sz w:val="20"/>
          <w:szCs w:val="20"/>
        </w:rPr>
        <w:t>115.</w:t>
      </w:r>
      <w:r>
        <w:rPr>
          <w:sz w:val="20"/>
          <w:szCs w:val="20"/>
        </w:rPr>
        <w:t>8</w:t>
      </w:r>
      <w:r>
        <w:rPr>
          <w:sz w:val="20"/>
          <w:szCs w:val="20"/>
        </w:rPr>
        <w:t xml:space="preserve"> per share.</w:t>
      </w:r>
      <w:r>
        <w:rPr>
          <w:sz w:val="20"/>
          <w:szCs w:val="20"/>
        </w:rPr>
        <w:t xml:space="preserve"> </w:t>
      </w:r>
      <w:r>
        <w:rPr>
          <w:sz w:val="20"/>
          <w:szCs w:val="20"/>
        </w:rPr>
        <w:t>The Warrants began to mature on</w:t>
      </w:r>
      <w:r>
        <w:rPr>
          <w:sz w:val="20"/>
          <w:szCs w:val="20"/>
        </w:rPr>
        <w:t xml:space="preserve"> </w:t>
      </w:r>
      <w:r>
        <w:rPr>
          <w:sz w:val="20"/>
          <w:szCs w:val="20"/>
        </w:rPr>
        <w:t>September 1, 202</w:t>
      </w:r>
      <w:r>
        <w:rPr>
          <w:sz w:val="20"/>
          <w:szCs w:val="20"/>
        </w:rPr>
        <w:t>2</w:t>
      </w:r>
      <w:r>
        <w:rPr>
          <w:sz w:val="20"/>
          <w:szCs w:val="20"/>
        </w:rPr>
        <w:t xml:space="preserve"> and will be settled on a weekly basis through the end of the year</w:t>
      </w:r>
      <w:r>
        <w:rPr>
          <w:sz w:val="20"/>
          <w:szCs w:val="20"/>
        </w:rPr>
        <w:t>.</w:t>
      </w:r>
      <w:r>
        <w:rPr>
          <w:sz w:val="20"/>
          <w:szCs w:val="20"/>
        </w:rPr>
        <w:t xml:space="preserve"> In </w:t>
      </w:r>
      <w:r>
        <w:rPr>
          <w:sz w:val="20"/>
          <w:szCs w:val="20"/>
        </w:rPr>
        <w:t>the</w:t>
      </w:r>
      <w:r>
        <w:rPr>
          <w:sz w:val="20"/>
          <w:szCs w:val="20"/>
        </w:rPr>
        <w:t xml:space="preserve"> </w:t>
      </w:r>
      <w:r>
        <w:rPr>
          <w:sz w:val="20"/>
          <w:szCs w:val="20"/>
        </w:rPr>
        <w:t>three months ended September 30, 202</w:t>
      </w:r>
      <w:r>
        <w:rPr>
          <w:sz w:val="20"/>
          <w:szCs w:val="20"/>
        </w:rPr>
        <w:t>2</w:t>
      </w:r>
      <w:r>
        <w:rPr>
          <w:sz w:val="20"/>
          <w:szCs w:val="20"/>
        </w:rPr>
        <w:t>,</w:t>
      </w:r>
      <w:r>
        <w:rPr>
          <w:sz w:val="20"/>
          <w:szCs w:val="20"/>
        </w:rPr>
        <w:t xml:space="preserve"> </w:t>
      </w:r>
      <w:r>
        <w:rPr>
          <w:sz w:val="20"/>
          <w:szCs w:val="20"/>
        </w:rPr>
        <w:t>0.</w:t>
      </w:r>
      <w:r>
        <w:rPr>
          <w:sz w:val="20"/>
          <w:szCs w:val="20"/>
        </w:rPr>
        <w:t>3</w:t>
      </w:r>
      <w:r>
        <w:rPr>
          <w:sz w:val="20"/>
          <w:szCs w:val="20"/>
        </w:rPr>
        <w:t xml:space="preserve"> million shares of Warrants were exercised, which the Company net share settled and issued</w:t>
      </w:r>
      <w:r>
        <w:rPr>
          <w:sz w:val="20"/>
          <w:szCs w:val="20"/>
        </w:rPr>
        <w:t xml:space="preserve"> </w:t>
      </w:r>
      <w:r>
        <w:rPr>
          <w:sz w:val="20"/>
          <w:szCs w:val="20"/>
        </w:rPr>
        <w:t>0.</w:t>
      </w:r>
      <w:r>
        <w:rPr>
          <w:sz w:val="20"/>
          <w:szCs w:val="20"/>
        </w:rPr>
        <w:t>2</w:t>
      </w:r>
      <w:r>
        <w:rPr>
          <w:sz w:val="20"/>
          <w:szCs w:val="20"/>
        </w:rPr>
        <w:t xml:space="preserve"> million shares of its common stock. As of</w:t>
      </w:r>
      <w:r>
        <w:rPr>
          <w:sz w:val="20"/>
          <w:szCs w:val="20"/>
        </w:rPr>
        <w:t xml:space="preserve"> </w:t>
      </w:r>
      <w:r>
        <w:rPr>
          <w:sz w:val="20"/>
          <w:szCs w:val="20"/>
        </w:rPr>
        <w:t>September 30, 202</w:t>
      </w:r>
      <w:r>
        <w:rPr>
          <w:sz w:val="20"/>
          <w:szCs w:val="20"/>
        </w:rPr>
        <w:t>2</w:t>
      </w:r>
      <w:r>
        <w:rPr>
          <w:sz w:val="20"/>
          <w:szCs w:val="20"/>
        </w:rPr>
        <w:t xml:space="preserve">, Warrants giving certain counterparties the option to </w:t>
      </w:r>
      <w:r>
        <w:rPr>
          <w:sz w:val="20"/>
          <w:szCs w:val="20"/>
        </w:rPr>
        <w:t>acquire up to</w:t>
      </w:r>
      <w:r>
        <w:rPr>
          <w:sz w:val="20"/>
          <w:szCs w:val="20"/>
        </w:rPr>
        <w:t xml:space="preserve"> </w:t>
      </w:r>
      <w:r>
        <w:rPr>
          <w:sz w:val="20"/>
          <w:szCs w:val="20"/>
        </w:rPr>
        <w:t>1.</w:t>
      </w:r>
      <w:r>
        <w:rPr>
          <w:sz w:val="20"/>
          <w:szCs w:val="20"/>
        </w:rPr>
        <w:t>1</w:t>
      </w:r>
      <w:r>
        <w:rPr>
          <w:sz w:val="20"/>
          <w:szCs w:val="20"/>
        </w:rPr>
        <w:t xml:space="preserve"> million shares of the Company’s common stock remain outstanding</w:t>
      </w:r>
      <w:r>
        <w:rPr>
          <w:sz w:val="20"/>
          <w:szCs w:val="20"/>
        </w:rPr>
        <w:t>.</w:t>
      </w:r>
    </w:p>
    <w:p w:rsidR="00000000" w:rsidRDefault="00805FA0">
      <w:pPr>
        <w:pStyle w:val="a3"/>
        <w:spacing w:before="200" w:beforeAutospacing="0" w:after="0" w:afterAutospacing="0"/>
        <w:ind w:firstLine="555"/>
        <w:divId w:val="1105229343"/>
        <w:rPr>
          <w:sz w:val="20"/>
          <w:szCs w:val="20"/>
        </w:rPr>
      </w:pPr>
      <w:r>
        <w:rPr>
          <w:sz w:val="20"/>
          <w:szCs w:val="20"/>
        </w:rPr>
        <w:t xml:space="preserve">In accordance with GAAP relating to the embedded conversion feature, the Company bifurcated the conversion feature associated with the 2022 Notes and recorded </w:t>
      </w:r>
      <w:r>
        <w:rPr>
          <w:sz w:val="20"/>
          <w:szCs w:val="20"/>
        </w:rPr>
        <w:t>$</w:t>
      </w:r>
      <w:r>
        <w:rPr>
          <w:sz w:val="20"/>
          <w:szCs w:val="20"/>
        </w:rPr>
        <w:t>18.</w:t>
      </w:r>
      <w:r>
        <w:rPr>
          <w:sz w:val="20"/>
          <w:szCs w:val="20"/>
        </w:rPr>
        <w:t>9</w:t>
      </w:r>
      <w:r>
        <w:rPr>
          <w:sz w:val="20"/>
          <w:szCs w:val="20"/>
        </w:rPr>
        <w:t xml:space="preserve"> million to additional paid-in capital for the conversion feature and the resulting debt dis</w:t>
      </w:r>
      <w:r>
        <w:rPr>
          <w:sz w:val="20"/>
          <w:szCs w:val="20"/>
        </w:rPr>
        <w:t>count was being amortized to interest expense. As there is no longer an equity component of the convertible debt under the new standard, the debt issuance cost and conversion option that was allocated to the equity component was derecognized through an adj</w:t>
      </w:r>
      <w:r>
        <w:rPr>
          <w:sz w:val="20"/>
          <w:szCs w:val="20"/>
        </w:rPr>
        <w:t>ustment to opening retained earnings upon adoption of the new standard on January 1, 2022</w:t>
      </w:r>
      <w:r>
        <w:rPr>
          <w:sz w:val="20"/>
          <w:szCs w:val="20"/>
        </w:rPr>
        <w:t>.</w:t>
      </w:r>
      <w:r>
        <w:rPr>
          <w:sz w:val="20"/>
          <w:szCs w:val="20"/>
        </w:rPr>
        <w:t xml:space="preserve"> </w:t>
      </w:r>
    </w:p>
    <w:p w:rsidR="00000000" w:rsidRDefault="00805FA0">
      <w:pPr>
        <w:pStyle w:val="a3"/>
        <w:spacing w:before="200" w:beforeAutospacing="0" w:after="0" w:afterAutospacing="0"/>
        <w:ind w:firstLine="555"/>
        <w:divId w:val="753743193"/>
        <w:rPr>
          <w:sz w:val="20"/>
          <w:szCs w:val="20"/>
        </w:rPr>
      </w:pPr>
      <w:r>
        <w:rPr>
          <w:sz w:val="20"/>
          <w:szCs w:val="20"/>
        </w:rPr>
        <w:t>Interest expense related to the 2022 Notes is as follows:</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253"/>
        <w:gridCol w:w="160"/>
        <w:gridCol w:w="754"/>
        <w:gridCol w:w="110"/>
        <w:gridCol w:w="110"/>
        <w:gridCol w:w="160"/>
        <w:gridCol w:w="724"/>
        <w:gridCol w:w="110"/>
        <w:gridCol w:w="115"/>
        <w:gridCol w:w="160"/>
        <w:gridCol w:w="740"/>
        <w:gridCol w:w="110"/>
        <w:gridCol w:w="115"/>
        <w:gridCol w:w="160"/>
        <w:gridCol w:w="739"/>
        <w:gridCol w:w="125"/>
      </w:tblGrid>
      <w:tr w:rsidR="00000000">
        <w:trPr>
          <w:divId w:val="753743193"/>
          <w:tblCellSpacing w:w="15" w:type="dxa"/>
        </w:trPr>
        <w:tc>
          <w:tcPr>
            <w:tcW w:w="1858"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6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2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753743193"/>
          <w:trHeight w:val="160"/>
          <w:tblCellSpacing w:w="15" w:type="dxa"/>
        </w:trPr>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753743193"/>
          <w:trHeight w:val="160"/>
          <w:tblCellSpacing w:w="15" w:type="dxa"/>
        </w:trPr>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753743193"/>
          <w:trHeight w:val="16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75374319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Contractual interest expens</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75374319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Amortization of debt discoun</w:t>
            </w:r>
            <w:r>
              <w:rPr>
                <w:sz w:val="20"/>
                <w:szCs w:val="20"/>
              </w:rPr>
              <w:t>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3,33</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75374319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Amortization of issuance cost</w:t>
            </w:r>
            <w:r>
              <w:rPr>
                <w:sz w:val="20"/>
                <w:szCs w:val="20"/>
              </w:rPr>
              <w:t>s</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24</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753743193"/>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Total interest expens</w:t>
            </w:r>
            <w:r>
              <w:rPr>
                <w:sz w:val="20"/>
                <w:szCs w:val="20"/>
              </w:rPr>
              <w:t>e</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69</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3,72</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divId w:val="741374213"/>
        <w:rPr>
          <w:sz w:val="20"/>
          <w:szCs w:val="20"/>
        </w:rPr>
      </w:pPr>
      <w:r>
        <w:rPr>
          <w:b/>
          <w:bCs/>
          <w:sz w:val="20"/>
          <w:szCs w:val="20"/>
        </w:rPr>
        <w:t>9. Lease</w:t>
      </w:r>
      <w:r>
        <w:rPr>
          <w:b/>
          <w:bCs/>
          <w:sz w:val="20"/>
          <w:szCs w:val="20"/>
        </w:rPr>
        <w:t>s</w:t>
      </w:r>
    </w:p>
    <w:p w:rsidR="00000000" w:rsidRDefault="00805FA0">
      <w:pPr>
        <w:pStyle w:val="a3"/>
        <w:spacing w:before="200" w:beforeAutospacing="0" w:after="0" w:afterAutospacing="0"/>
        <w:ind w:firstLine="555"/>
        <w:divId w:val="741374213"/>
        <w:rPr>
          <w:sz w:val="20"/>
          <w:szCs w:val="20"/>
        </w:rPr>
      </w:pPr>
      <w:r>
        <w:rPr>
          <w:sz w:val="20"/>
          <w:szCs w:val="20"/>
        </w:rPr>
        <w:t>The Company leases office facilities under non-cancelable operating leases that expire at various dates through February 2035</w:t>
      </w:r>
      <w:r>
        <w:rPr>
          <w:sz w:val="20"/>
          <w:szCs w:val="20"/>
        </w:rPr>
        <w:t>.</w:t>
      </w:r>
      <w:r>
        <w:rPr>
          <w:sz w:val="20"/>
          <w:szCs w:val="20"/>
        </w:rPr>
        <w:t xml:space="preserve"> </w:t>
      </w:r>
    </w:p>
    <w:p w:rsidR="00000000" w:rsidRDefault="00805FA0">
      <w:pPr>
        <w:pStyle w:val="a3"/>
        <w:spacing w:before="200" w:beforeAutospacing="0" w:after="0" w:afterAutospacing="0"/>
        <w:ind w:firstLine="555"/>
        <w:divId w:val="741374213"/>
        <w:rPr>
          <w:sz w:val="20"/>
          <w:szCs w:val="20"/>
        </w:rPr>
      </w:pPr>
      <w:r>
        <w:rPr>
          <w:sz w:val="20"/>
          <w:szCs w:val="20"/>
        </w:rPr>
        <w:t>During the nine months ended September 30, 2022, th</w:t>
      </w:r>
      <w:r>
        <w:rPr>
          <w:sz w:val="20"/>
          <w:szCs w:val="20"/>
        </w:rPr>
        <w:t>e</w:t>
      </w:r>
      <w:r>
        <w:rPr>
          <w:sz w:val="20"/>
          <w:szCs w:val="20"/>
        </w:rPr>
        <w:t xml:space="preserve"> lease term began, was amended, or extended for various leases of office spa</w:t>
      </w:r>
      <w:r>
        <w:rPr>
          <w:sz w:val="20"/>
          <w:szCs w:val="20"/>
        </w:rPr>
        <w:t xml:space="preserve">ces globally. The Company recorded a net </w:t>
      </w:r>
      <w:r>
        <w:rPr>
          <w:sz w:val="20"/>
          <w:szCs w:val="20"/>
        </w:rPr>
        <w:t>$</w:t>
      </w:r>
      <w:r>
        <w:rPr>
          <w:sz w:val="20"/>
          <w:szCs w:val="20"/>
        </w:rPr>
        <w:t>7.</w:t>
      </w:r>
      <w:r>
        <w:rPr>
          <w:sz w:val="20"/>
          <w:szCs w:val="20"/>
        </w:rPr>
        <w:t>8</w:t>
      </w:r>
      <w:r>
        <w:rPr>
          <w:sz w:val="20"/>
          <w:szCs w:val="20"/>
        </w:rPr>
        <w:t xml:space="preserve"> million of right-of-use assets and </w:t>
      </w:r>
      <w:r>
        <w:rPr>
          <w:sz w:val="20"/>
          <w:szCs w:val="20"/>
        </w:rPr>
        <w:t>$</w:t>
      </w:r>
      <w:r>
        <w:rPr>
          <w:sz w:val="20"/>
          <w:szCs w:val="20"/>
        </w:rPr>
        <w:t>7.</w:t>
      </w:r>
      <w:r>
        <w:rPr>
          <w:sz w:val="20"/>
          <w:szCs w:val="20"/>
        </w:rPr>
        <w:t>8</w:t>
      </w:r>
      <w:r>
        <w:rPr>
          <w:sz w:val="20"/>
          <w:szCs w:val="20"/>
        </w:rPr>
        <w:t xml:space="preserve"> million of lease liabilities for these leases during the period upon the lease commencement, amendment, or extension</w:t>
      </w:r>
      <w:r>
        <w:rPr>
          <w:sz w:val="20"/>
          <w:szCs w:val="20"/>
        </w:rPr>
        <w:t>.</w:t>
      </w:r>
    </w:p>
    <w:p w:rsidR="00000000" w:rsidRDefault="00805FA0">
      <w:pPr>
        <w:pStyle w:val="a3"/>
        <w:spacing w:before="200" w:beforeAutospacing="0" w:after="0" w:afterAutospacing="0"/>
        <w:ind w:firstLine="555"/>
        <w:divId w:val="741374213"/>
        <w:rPr>
          <w:sz w:val="20"/>
          <w:szCs w:val="20"/>
        </w:rPr>
      </w:pPr>
      <w:r>
        <w:rPr>
          <w:sz w:val="20"/>
          <w:szCs w:val="20"/>
        </w:rPr>
        <w:t>The Company uses its estimated incremental borrowing</w:t>
      </w:r>
      <w:r>
        <w:rPr>
          <w:sz w:val="20"/>
          <w:szCs w:val="20"/>
        </w:rPr>
        <w:t xml:space="preserve"> rate, which is derived from information available at the lease commencement date, in determining the present value of operating lease payments. To determine the estimated incremental borrowing rate, the Company uses publicly available credit ratings for p</w:t>
      </w:r>
      <w:r>
        <w:rPr>
          <w:sz w:val="20"/>
          <w:szCs w:val="20"/>
        </w:rPr>
        <w:t>eer companies. The Company estimates the incremental borrowing rate using yields for maturities that are in line with the duration of the lease payments. The weighted average discount rate for operating leases as of September 30, 2022 was</w:t>
      </w:r>
      <w:r>
        <w:rPr>
          <w:sz w:val="20"/>
          <w:szCs w:val="20"/>
        </w:rPr>
        <w:t xml:space="preserve"> </w:t>
      </w:r>
      <w:r>
        <w:rPr>
          <w:sz w:val="20"/>
          <w:szCs w:val="20"/>
        </w:rPr>
        <w:t>4.</w:t>
      </w:r>
      <w:r>
        <w:rPr>
          <w:sz w:val="20"/>
          <w:szCs w:val="20"/>
        </w:rPr>
        <w:t>7</w:t>
      </w:r>
      <w:r>
        <w:rPr>
          <w:sz w:val="20"/>
          <w:szCs w:val="20"/>
        </w:rPr>
        <w:t>%</w:t>
      </w:r>
      <w:r>
        <w:rPr>
          <w:sz w:val="20"/>
          <w:szCs w:val="20"/>
        </w:rPr>
        <w:t>.</w:t>
      </w:r>
      <w:r>
        <w:rPr>
          <w:sz w:val="20"/>
          <w:szCs w:val="20"/>
        </w:rPr>
        <w:t xml:space="preserve"> </w:t>
      </w:r>
    </w:p>
    <w:p w:rsidR="00000000" w:rsidRDefault="00805FA0">
      <w:pPr>
        <w:pStyle w:val="a3"/>
        <w:spacing w:before="200" w:beforeAutospacing="0" w:after="0" w:afterAutospacing="0"/>
        <w:ind w:firstLine="555"/>
        <w:divId w:val="741374213"/>
        <w:rPr>
          <w:sz w:val="20"/>
          <w:szCs w:val="20"/>
        </w:rPr>
      </w:pPr>
      <w:r>
        <w:rPr>
          <w:sz w:val="20"/>
          <w:szCs w:val="20"/>
        </w:rPr>
        <w:t xml:space="preserve">Operating </w:t>
      </w:r>
      <w:r>
        <w:rPr>
          <w:sz w:val="20"/>
          <w:szCs w:val="20"/>
        </w:rPr>
        <w:t>lease expense was</w:t>
      </w:r>
      <w:r>
        <w:rPr>
          <w:sz w:val="20"/>
          <w:szCs w:val="20"/>
        </w:rPr>
        <w:t xml:space="preserve"> </w:t>
      </w:r>
      <w:r>
        <w:rPr>
          <w:sz w:val="20"/>
          <w:szCs w:val="20"/>
        </w:rPr>
        <w:t>$</w:t>
      </w:r>
      <w:r>
        <w:rPr>
          <w:sz w:val="20"/>
          <w:szCs w:val="20"/>
        </w:rPr>
        <w:t>10.</w:t>
      </w:r>
      <w:r>
        <w:rPr>
          <w:sz w:val="20"/>
          <w:szCs w:val="20"/>
        </w:rPr>
        <w:t>7</w:t>
      </w:r>
      <w:r>
        <w:rPr>
          <w:sz w:val="20"/>
          <w:szCs w:val="20"/>
        </w:rPr>
        <w:t xml:space="preserve"> million for the three months ended September 30, 2022,</w:t>
      </w:r>
      <w:r>
        <w:rPr>
          <w:sz w:val="20"/>
          <w:szCs w:val="20"/>
        </w:rPr>
        <w:t xml:space="preserve"> </w:t>
      </w:r>
      <w:r>
        <w:rPr>
          <w:sz w:val="20"/>
          <w:szCs w:val="20"/>
        </w:rPr>
        <w:t>$</w:t>
      </w:r>
      <w:r>
        <w:rPr>
          <w:sz w:val="20"/>
          <w:szCs w:val="20"/>
        </w:rPr>
        <w:t>32.</w:t>
      </w:r>
      <w:r>
        <w:rPr>
          <w:sz w:val="20"/>
          <w:szCs w:val="20"/>
        </w:rPr>
        <w:t>4</w:t>
      </w:r>
      <w:r>
        <w:rPr>
          <w:sz w:val="20"/>
          <w:szCs w:val="20"/>
        </w:rPr>
        <w:t xml:space="preserve"> million for the nine months ended September 30, 2022,</w:t>
      </w:r>
      <w:r>
        <w:rPr>
          <w:sz w:val="20"/>
          <w:szCs w:val="20"/>
        </w:rPr>
        <w:t xml:space="preserve"> </w:t>
      </w:r>
      <w:r>
        <w:rPr>
          <w:sz w:val="20"/>
          <w:szCs w:val="20"/>
        </w:rPr>
        <w:t>$</w:t>
      </w:r>
      <w:r>
        <w:rPr>
          <w:sz w:val="20"/>
          <w:szCs w:val="20"/>
        </w:rPr>
        <w:t>12.</w:t>
      </w:r>
      <w:r>
        <w:rPr>
          <w:sz w:val="20"/>
          <w:szCs w:val="20"/>
        </w:rPr>
        <w:t>7</w:t>
      </w:r>
      <w:r>
        <w:rPr>
          <w:sz w:val="20"/>
          <w:szCs w:val="20"/>
        </w:rPr>
        <w:t xml:space="preserve"> million for the three months ended September 30, 2021, and</w:t>
      </w:r>
      <w:r>
        <w:rPr>
          <w:sz w:val="20"/>
          <w:szCs w:val="20"/>
        </w:rPr>
        <w:t xml:space="preserve"> </w:t>
      </w:r>
      <w:r>
        <w:rPr>
          <w:sz w:val="20"/>
          <w:szCs w:val="20"/>
        </w:rPr>
        <w:t>$</w:t>
      </w:r>
      <w:r>
        <w:rPr>
          <w:sz w:val="20"/>
          <w:szCs w:val="20"/>
        </w:rPr>
        <w:t>36.</w:t>
      </w:r>
      <w:r>
        <w:rPr>
          <w:sz w:val="20"/>
          <w:szCs w:val="20"/>
        </w:rPr>
        <w:t>7</w:t>
      </w:r>
      <w:r>
        <w:rPr>
          <w:sz w:val="20"/>
          <w:szCs w:val="20"/>
        </w:rPr>
        <w:t xml:space="preserve"> million for the nine months ended September 30</w:t>
      </w:r>
      <w:r>
        <w:rPr>
          <w:sz w:val="20"/>
          <w:szCs w:val="20"/>
        </w:rPr>
        <w:t>, 2021</w:t>
      </w:r>
      <w:r>
        <w:rPr>
          <w:sz w:val="20"/>
          <w:szCs w:val="20"/>
        </w:rPr>
        <w:t>.</w:t>
      </w:r>
      <w:r>
        <w:rPr>
          <w:sz w:val="20"/>
          <w:szCs w:val="20"/>
        </w:rPr>
        <w:t xml:space="preserve"> </w:t>
      </w:r>
    </w:p>
    <w:p w:rsidR="00000000" w:rsidRDefault="00805FA0">
      <w:pPr>
        <w:pStyle w:val="a3"/>
        <w:spacing w:before="240" w:beforeAutospacing="0" w:after="0" w:afterAutospacing="0"/>
        <w:jc w:val="center"/>
        <w:divId w:val="741374213"/>
        <w:rPr>
          <w:sz w:val="20"/>
          <w:szCs w:val="20"/>
        </w:rPr>
      </w:pPr>
      <w:r>
        <w:rPr>
          <w:sz w:val="20"/>
          <w:szCs w:val="20"/>
        </w:rPr>
        <w:t>1</w:t>
      </w:r>
      <w:r>
        <w:rPr>
          <w:sz w:val="20"/>
          <w:szCs w:val="20"/>
        </w:rPr>
        <w:t>8</w:t>
      </w:r>
    </w:p>
    <w:p w:rsidR="00000000" w:rsidRDefault="00805FA0">
      <w:pPr>
        <w:divId w:val="741374213"/>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805FA0">
      <w:pPr>
        <w:pStyle w:val="a3"/>
        <w:spacing w:before="0" w:beforeAutospacing="0" w:after="0" w:afterAutospacing="0"/>
        <w:divId w:val="741374213"/>
        <w:rPr>
          <w:sz w:val="20"/>
          <w:szCs w:val="20"/>
        </w:rPr>
      </w:pPr>
      <w:r>
        <w:rPr>
          <w:sz w:val="20"/>
          <w:szCs w:val="20"/>
        </w:rPr>
        <w:t> </w:t>
      </w:r>
    </w:p>
    <w:p w:rsidR="00000000" w:rsidRDefault="00805FA0">
      <w:pPr>
        <w:pStyle w:val="a3"/>
        <w:spacing w:before="200" w:beforeAutospacing="0" w:after="0" w:afterAutospacing="0"/>
        <w:ind w:firstLine="555"/>
        <w:divId w:val="362899594"/>
        <w:rPr>
          <w:sz w:val="20"/>
          <w:szCs w:val="20"/>
        </w:rPr>
      </w:pPr>
      <w:r>
        <w:rPr>
          <w:sz w:val="20"/>
          <w:szCs w:val="20"/>
        </w:rPr>
        <w:t>The Company subleases some of its unused spaces to third parties. Operating sublease income generated under all operating lease agreements for the three and nine months ended</w:t>
      </w:r>
      <w:r>
        <w:rPr>
          <w:sz w:val="20"/>
          <w:szCs w:val="20"/>
        </w:rPr>
        <w:t xml:space="preserve"> </w:t>
      </w:r>
      <w:r>
        <w:rPr>
          <w:sz w:val="20"/>
          <w:szCs w:val="20"/>
        </w:rPr>
        <w:t>September 30, 2022 and 2021 are</w:t>
      </w:r>
      <w:r>
        <w:rPr>
          <w:sz w:val="20"/>
          <w:szCs w:val="20"/>
        </w:rPr>
        <w:t xml:space="preserve"> as follows: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194"/>
        <w:gridCol w:w="115"/>
        <w:gridCol w:w="160"/>
        <w:gridCol w:w="696"/>
        <w:gridCol w:w="110"/>
        <w:gridCol w:w="110"/>
        <w:gridCol w:w="160"/>
        <w:gridCol w:w="708"/>
        <w:gridCol w:w="110"/>
        <w:gridCol w:w="105"/>
        <w:gridCol w:w="160"/>
        <w:gridCol w:w="746"/>
        <w:gridCol w:w="110"/>
        <w:gridCol w:w="115"/>
        <w:gridCol w:w="160"/>
        <w:gridCol w:w="761"/>
        <w:gridCol w:w="125"/>
      </w:tblGrid>
      <w:tr w:rsidR="00000000">
        <w:trPr>
          <w:divId w:val="362899594"/>
          <w:tblCellSpacing w:w="15" w:type="dxa"/>
        </w:trPr>
        <w:tc>
          <w:tcPr>
            <w:tcW w:w="1802" w:type="pct"/>
            <w:vAlign w:val="center"/>
            <w:hideMark/>
          </w:tcPr>
          <w:p w:rsidR="00000000" w:rsidRDefault="00805FA0">
            <w:pPr>
              <w:rPr>
                <w:sz w:val="20"/>
                <w:szCs w:val="20"/>
              </w:rPr>
            </w:pPr>
          </w:p>
        </w:tc>
        <w:tc>
          <w:tcPr>
            <w:tcW w:w="7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2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4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2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4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362899594"/>
          <w:trHeight w:val="160"/>
          <w:tblCellSpacing w:w="15" w:type="dxa"/>
        </w:trPr>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362899594"/>
          <w:trHeight w:val="160"/>
          <w:tblCellSpacing w:w="15" w:type="dxa"/>
        </w:trPr>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362899594"/>
          <w:trHeight w:val="16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362899594"/>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Operating sublease incom</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1,03</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3,32</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3,74</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741374213"/>
        <w:rPr>
          <w:sz w:val="20"/>
          <w:szCs w:val="20"/>
        </w:rPr>
      </w:pPr>
      <w:r>
        <w:rPr>
          <w:sz w:val="20"/>
          <w:szCs w:val="20"/>
        </w:rPr>
        <w:t>Cash payments related to operating lease liabilities were</w:t>
      </w:r>
      <w:r>
        <w:rPr>
          <w:sz w:val="20"/>
          <w:szCs w:val="20"/>
        </w:rPr>
        <w:t xml:space="preserve"> </w:t>
      </w:r>
      <w:r>
        <w:rPr>
          <w:sz w:val="20"/>
          <w:szCs w:val="20"/>
        </w:rPr>
        <w:t>$</w:t>
      </w:r>
      <w:r>
        <w:rPr>
          <w:sz w:val="20"/>
          <w:szCs w:val="20"/>
        </w:rPr>
        <w:t>8.</w:t>
      </w:r>
      <w:r>
        <w:rPr>
          <w:sz w:val="20"/>
          <w:szCs w:val="20"/>
        </w:rPr>
        <w:t>1</w:t>
      </w:r>
      <w:r>
        <w:rPr>
          <w:sz w:val="20"/>
          <w:szCs w:val="20"/>
        </w:rPr>
        <w:t xml:space="preserve"> million for the three months ended September 30, 2022,</w:t>
      </w:r>
      <w:r>
        <w:rPr>
          <w:sz w:val="20"/>
          <w:szCs w:val="20"/>
        </w:rPr>
        <w:t xml:space="preserve"> </w:t>
      </w:r>
      <w:r>
        <w:rPr>
          <w:sz w:val="20"/>
          <w:szCs w:val="20"/>
        </w:rPr>
        <w:t>$</w:t>
      </w:r>
      <w:r>
        <w:rPr>
          <w:sz w:val="20"/>
          <w:szCs w:val="20"/>
        </w:rPr>
        <w:t>29.</w:t>
      </w:r>
      <w:r>
        <w:rPr>
          <w:sz w:val="20"/>
          <w:szCs w:val="20"/>
        </w:rPr>
        <w:t>0</w:t>
      </w:r>
      <w:r>
        <w:rPr>
          <w:sz w:val="20"/>
          <w:szCs w:val="20"/>
        </w:rPr>
        <w:t xml:space="preserve"> millio</w:t>
      </w:r>
      <w:r>
        <w:rPr>
          <w:sz w:val="20"/>
          <w:szCs w:val="20"/>
        </w:rPr>
        <w:t>n</w:t>
      </w:r>
      <w:r>
        <w:rPr>
          <w:sz w:val="20"/>
          <w:szCs w:val="20"/>
        </w:rPr>
        <w:t xml:space="preserve"> </w:t>
      </w:r>
      <w:r>
        <w:rPr>
          <w:sz w:val="20"/>
          <w:szCs w:val="20"/>
        </w:rPr>
        <w:t>for the nine months ended September 30, 2022,</w:t>
      </w:r>
      <w:r>
        <w:rPr>
          <w:sz w:val="20"/>
          <w:szCs w:val="20"/>
        </w:rPr>
        <w:t xml:space="preserve"> </w:t>
      </w:r>
      <w:r>
        <w:rPr>
          <w:sz w:val="20"/>
          <w:szCs w:val="20"/>
        </w:rPr>
        <w:t>$</w:t>
      </w:r>
      <w:r>
        <w:rPr>
          <w:sz w:val="20"/>
          <w:szCs w:val="20"/>
        </w:rPr>
        <w:t>12.</w:t>
      </w:r>
      <w:r>
        <w:rPr>
          <w:sz w:val="20"/>
          <w:szCs w:val="20"/>
        </w:rPr>
        <w:t>3</w:t>
      </w:r>
      <w:r>
        <w:rPr>
          <w:sz w:val="20"/>
          <w:szCs w:val="20"/>
        </w:rPr>
        <w:t xml:space="preserve"> million for the three months ended September 30, 2021, and</w:t>
      </w:r>
      <w:r>
        <w:rPr>
          <w:sz w:val="20"/>
          <w:szCs w:val="20"/>
        </w:rPr>
        <w:t xml:space="preserve"> </w:t>
      </w:r>
      <w:r>
        <w:rPr>
          <w:sz w:val="20"/>
          <w:szCs w:val="20"/>
        </w:rPr>
        <w:t>$</w:t>
      </w:r>
      <w:r>
        <w:rPr>
          <w:sz w:val="20"/>
          <w:szCs w:val="20"/>
        </w:rPr>
        <w:t>38.</w:t>
      </w:r>
      <w:r>
        <w:rPr>
          <w:sz w:val="20"/>
          <w:szCs w:val="20"/>
        </w:rPr>
        <w:t>5</w:t>
      </w:r>
      <w:r>
        <w:rPr>
          <w:sz w:val="20"/>
          <w:szCs w:val="20"/>
        </w:rPr>
        <w:t xml:space="preserve"> million for the nine months ended September 30, 2021</w:t>
      </w:r>
      <w:r>
        <w:rPr>
          <w:sz w:val="20"/>
          <w:szCs w:val="20"/>
        </w:rPr>
        <w:t>.</w:t>
      </w:r>
      <w:r>
        <w:rPr>
          <w:sz w:val="20"/>
          <w:szCs w:val="20"/>
        </w:rPr>
        <w:t xml:space="preserve"> </w:t>
      </w:r>
    </w:p>
    <w:p w:rsidR="00000000" w:rsidRDefault="00805FA0">
      <w:pPr>
        <w:pStyle w:val="a3"/>
        <w:spacing w:before="200" w:beforeAutospacing="0" w:after="0" w:afterAutospacing="0"/>
        <w:ind w:firstLine="555"/>
        <w:divId w:val="741374213"/>
        <w:rPr>
          <w:sz w:val="20"/>
          <w:szCs w:val="20"/>
        </w:rPr>
      </w:pPr>
      <w:r>
        <w:rPr>
          <w:sz w:val="20"/>
          <w:szCs w:val="20"/>
        </w:rPr>
        <w:t>In the three months ended September 30, 2021, the Company terminated a lease for cer</w:t>
      </w:r>
      <w:r>
        <w:rPr>
          <w:sz w:val="20"/>
          <w:szCs w:val="20"/>
        </w:rPr>
        <w:t xml:space="preserve">tain office facilities in Cambridge, Massachusetts and recorded a gain of </w:t>
      </w:r>
      <w:r>
        <w:rPr>
          <w:sz w:val="20"/>
          <w:szCs w:val="20"/>
        </w:rPr>
        <w:t>$</w:t>
      </w:r>
      <w:r>
        <w:rPr>
          <w:sz w:val="20"/>
          <w:szCs w:val="20"/>
        </w:rPr>
        <w:t>4.</w:t>
      </w:r>
      <w:r>
        <w:rPr>
          <w:sz w:val="20"/>
          <w:szCs w:val="20"/>
        </w:rPr>
        <w:t>3</w:t>
      </w:r>
      <w:r>
        <w:rPr>
          <w:sz w:val="20"/>
          <w:szCs w:val="20"/>
        </w:rPr>
        <w:t xml:space="preserve"> million. In connection with the lease termination, the Company recorded a loss of </w:t>
      </w:r>
      <w:r>
        <w:rPr>
          <w:sz w:val="20"/>
          <w:szCs w:val="20"/>
        </w:rPr>
        <w:t>$</w:t>
      </w:r>
      <w:r>
        <w:rPr>
          <w:sz w:val="20"/>
          <w:szCs w:val="20"/>
        </w:rPr>
        <w:t>6.</w:t>
      </w:r>
      <w:r>
        <w:rPr>
          <w:sz w:val="20"/>
          <w:szCs w:val="20"/>
        </w:rPr>
        <w:t>5</w:t>
      </w:r>
      <w:r>
        <w:rPr>
          <w:sz w:val="20"/>
          <w:szCs w:val="20"/>
        </w:rPr>
        <w:t xml:space="preserve"> million for the disposal of fixed assets. The net loss of </w:t>
      </w:r>
      <w:r>
        <w:rPr>
          <w:sz w:val="20"/>
          <w:szCs w:val="20"/>
        </w:rPr>
        <w:t>$</w:t>
      </w:r>
      <w:r>
        <w:rPr>
          <w:sz w:val="20"/>
          <w:szCs w:val="20"/>
        </w:rPr>
        <w:t>2.</w:t>
      </w:r>
      <w:r>
        <w:rPr>
          <w:sz w:val="20"/>
          <w:szCs w:val="20"/>
        </w:rPr>
        <w:t>2</w:t>
      </w:r>
      <w:r>
        <w:rPr>
          <w:sz w:val="20"/>
          <w:szCs w:val="20"/>
        </w:rPr>
        <w:t xml:space="preserve"> million is reported in the </w:t>
      </w:r>
      <w:r>
        <w:rPr>
          <w:sz w:val="20"/>
          <w:szCs w:val="20"/>
        </w:rPr>
        <w:t>consolidated statements of operations as operating expense</w:t>
      </w:r>
      <w:r>
        <w:rPr>
          <w:sz w:val="20"/>
          <w:szCs w:val="20"/>
        </w:rPr>
        <w:t>.</w:t>
      </w:r>
      <w:r>
        <w:rPr>
          <w:sz w:val="20"/>
          <w:szCs w:val="20"/>
        </w:rPr>
        <w:t xml:space="preserve"> </w:t>
      </w:r>
    </w:p>
    <w:p w:rsidR="00000000" w:rsidRDefault="00805FA0">
      <w:pPr>
        <w:pStyle w:val="a3"/>
        <w:spacing w:before="200" w:beforeAutospacing="0" w:after="0" w:afterAutospacing="0"/>
        <w:divId w:val="229079812"/>
        <w:rPr>
          <w:sz w:val="20"/>
          <w:szCs w:val="20"/>
        </w:rPr>
      </w:pPr>
      <w:r>
        <w:rPr>
          <w:b/>
          <w:bCs/>
          <w:sz w:val="20"/>
          <w:szCs w:val="20"/>
        </w:rPr>
        <w:t>10. Commitments and Contingencie</w:t>
      </w:r>
      <w:r>
        <w:rPr>
          <w:b/>
          <w:bCs/>
          <w:sz w:val="20"/>
          <w:szCs w:val="20"/>
        </w:rPr>
        <w:t>s</w:t>
      </w:r>
    </w:p>
    <w:p w:rsidR="00000000" w:rsidRDefault="00805FA0">
      <w:pPr>
        <w:pStyle w:val="a3"/>
        <w:spacing w:before="200" w:beforeAutospacing="0" w:after="0" w:afterAutospacing="0"/>
        <w:ind w:firstLine="556"/>
        <w:divId w:val="229079812"/>
        <w:rPr>
          <w:sz w:val="20"/>
          <w:szCs w:val="20"/>
        </w:rPr>
      </w:pPr>
      <w:r>
        <w:rPr>
          <w:b/>
          <w:bCs/>
          <w:i/>
          <w:iCs/>
          <w:sz w:val="20"/>
          <w:szCs w:val="20"/>
        </w:rPr>
        <w:t>Contractual Obligation</w:t>
      </w:r>
      <w:r>
        <w:rPr>
          <w:b/>
          <w:bCs/>
          <w:i/>
          <w:iCs/>
          <w:sz w:val="20"/>
          <w:szCs w:val="20"/>
        </w:rPr>
        <w:t>s</w:t>
      </w:r>
    </w:p>
    <w:p w:rsidR="00000000" w:rsidRDefault="00805FA0">
      <w:pPr>
        <w:pStyle w:val="a3"/>
        <w:spacing w:before="200" w:beforeAutospacing="0" w:after="0" w:afterAutospacing="0"/>
        <w:ind w:firstLine="555"/>
        <w:divId w:val="229079812"/>
        <w:rPr>
          <w:sz w:val="20"/>
          <w:szCs w:val="20"/>
        </w:rPr>
      </w:pPr>
      <w:r>
        <w:rPr>
          <w:sz w:val="20"/>
          <w:szCs w:val="20"/>
        </w:rPr>
        <w:t>The Company leases its office facilities under non-cancelable operating leases that expire at various dates through February 2035. Certai</w:t>
      </w:r>
      <w:r>
        <w:rPr>
          <w:sz w:val="20"/>
          <w:szCs w:val="20"/>
        </w:rPr>
        <w:t>n leases contain optional termination dates. The table below only includes payments up to the optional termination date. If the Company were to extend leases beyond the optional termination date, the future commitments would increase by approximately</w:t>
      </w:r>
      <w:r>
        <w:rPr>
          <w:sz w:val="20"/>
          <w:szCs w:val="20"/>
        </w:rPr>
        <w:t xml:space="preserve"> </w:t>
      </w:r>
      <w:r>
        <w:rPr>
          <w:sz w:val="20"/>
          <w:szCs w:val="20"/>
        </w:rPr>
        <w:t>$</w:t>
      </w:r>
      <w:r>
        <w:rPr>
          <w:sz w:val="20"/>
          <w:szCs w:val="20"/>
        </w:rPr>
        <w:t>71.</w:t>
      </w:r>
      <w:r>
        <w:rPr>
          <w:sz w:val="20"/>
          <w:szCs w:val="20"/>
        </w:rPr>
        <w:t>9</w:t>
      </w:r>
      <w:r>
        <w:rPr>
          <w:sz w:val="20"/>
          <w:szCs w:val="20"/>
        </w:rPr>
        <w:t xml:space="preserve"> million</w:t>
      </w:r>
      <w:r>
        <w:rPr>
          <w:sz w:val="20"/>
          <w:szCs w:val="20"/>
        </w:rPr>
        <w:t>.</w:t>
      </w:r>
      <w:r>
        <w:rPr>
          <w:sz w:val="20"/>
          <w:szCs w:val="20"/>
        </w:rPr>
        <w:t xml:space="preserve"> </w:t>
      </w:r>
    </w:p>
    <w:p w:rsidR="00000000" w:rsidRDefault="00805FA0">
      <w:pPr>
        <w:pStyle w:val="a3"/>
        <w:spacing w:before="200" w:beforeAutospacing="0" w:after="0" w:afterAutospacing="0"/>
        <w:ind w:firstLine="555"/>
        <w:divId w:val="250048590"/>
        <w:rPr>
          <w:sz w:val="20"/>
          <w:szCs w:val="20"/>
        </w:rPr>
      </w:pPr>
      <w:r>
        <w:rPr>
          <w:sz w:val="20"/>
          <w:szCs w:val="20"/>
        </w:rPr>
        <w:t>Future minimum payments under all operating lease agreements as of</w:t>
      </w:r>
      <w:r>
        <w:rPr>
          <w:sz w:val="20"/>
          <w:szCs w:val="20"/>
        </w:rPr>
        <w:t xml:space="preserve"> </w:t>
      </w:r>
      <w:r>
        <w:rPr>
          <w:sz w:val="20"/>
          <w:szCs w:val="20"/>
        </w:rPr>
        <w:t>September 30, 2022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030"/>
        <w:gridCol w:w="141"/>
        <w:gridCol w:w="160"/>
        <w:gridCol w:w="1358"/>
        <w:gridCol w:w="125"/>
      </w:tblGrid>
      <w:tr w:rsidR="00000000">
        <w:trPr>
          <w:divId w:val="250048590"/>
          <w:tblCellSpacing w:w="15" w:type="dxa"/>
        </w:trPr>
        <w:tc>
          <w:tcPr>
            <w:tcW w:w="3565" w:type="pct"/>
            <w:vAlign w:val="center"/>
            <w:hideMark/>
          </w:tcPr>
          <w:p w:rsidR="00000000" w:rsidRDefault="00805FA0">
            <w:pPr>
              <w:rPr>
                <w:sz w:val="20"/>
                <w:szCs w:val="20"/>
              </w:rPr>
            </w:pPr>
          </w:p>
        </w:tc>
        <w:tc>
          <w:tcPr>
            <w:tcW w:w="12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20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25004859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Operatin</w:t>
            </w:r>
            <w:r>
              <w:rPr>
                <w:b/>
                <w:bCs/>
                <w:sz w:val="16"/>
                <w:szCs w:val="16"/>
              </w:rPr>
              <w:t>g</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250048590"/>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250048590"/>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Remainder of 202</w:t>
            </w:r>
            <w:r>
              <w:rPr>
                <w:sz w:val="20"/>
                <w:szCs w:val="20"/>
              </w:rPr>
              <w:t>2</w:t>
            </w:r>
          </w:p>
        </w:tc>
        <w:tc>
          <w:tcPr>
            <w:tcW w:w="0" w:type="auto"/>
            <w:vAlign w:val="center"/>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11,14</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50048590"/>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202</w:t>
            </w:r>
            <w:r>
              <w:rPr>
                <w:sz w:val="20"/>
                <w:szCs w:val="20"/>
              </w:rPr>
              <w:t>3</w:t>
            </w:r>
          </w:p>
        </w:tc>
        <w:tc>
          <w:tcPr>
            <w:tcW w:w="0" w:type="auto"/>
            <w:vAlign w:val="center"/>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43,76</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50048590"/>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202</w:t>
            </w:r>
            <w:r>
              <w:rPr>
                <w:sz w:val="20"/>
                <w:szCs w:val="20"/>
              </w:rPr>
              <w:t>4</w:t>
            </w:r>
          </w:p>
        </w:tc>
        <w:tc>
          <w:tcPr>
            <w:tcW w:w="0" w:type="auto"/>
            <w:vAlign w:val="center"/>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40,49</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50048590"/>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202</w:t>
            </w:r>
            <w:r>
              <w:rPr>
                <w:sz w:val="20"/>
                <w:szCs w:val="20"/>
              </w:rPr>
              <w:t>5</w:t>
            </w:r>
          </w:p>
        </w:tc>
        <w:tc>
          <w:tcPr>
            <w:tcW w:w="0" w:type="auto"/>
            <w:vAlign w:val="center"/>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40,28</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50048590"/>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202</w:t>
            </w:r>
            <w:r>
              <w:rPr>
                <w:sz w:val="20"/>
                <w:szCs w:val="20"/>
              </w:rPr>
              <w:t>6</w:t>
            </w:r>
          </w:p>
        </w:tc>
        <w:tc>
          <w:tcPr>
            <w:tcW w:w="0" w:type="auto"/>
            <w:vAlign w:val="center"/>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40,22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50048590"/>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Thereafte</w:t>
            </w:r>
            <w:r>
              <w:rPr>
                <w:sz w:val="20"/>
                <w:szCs w:val="20"/>
              </w:rPr>
              <w:t>r</w:t>
            </w:r>
          </w:p>
        </w:tc>
        <w:tc>
          <w:tcPr>
            <w:tcW w:w="0" w:type="auto"/>
            <w:vAlign w:val="center"/>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164,63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250048590"/>
          <w:trHeight w:val="200"/>
          <w:tblCellSpacing w:w="15" w:type="dxa"/>
        </w:trPr>
        <w:tc>
          <w:tcPr>
            <w:tcW w:w="0" w:type="auto"/>
            <w:hideMark/>
          </w:tcPr>
          <w:p w:rsidR="00000000" w:rsidRDefault="00805FA0">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center"/>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340,56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1583880281"/>
        <w:rPr>
          <w:sz w:val="20"/>
          <w:szCs w:val="20"/>
        </w:rPr>
      </w:pPr>
      <w:r>
        <w:rPr>
          <w:sz w:val="20"/>
          <w:szCs w:val="20"/>
        </w:rPr>
        <w:t>Future minimum payments under al</w:t>
      </w:r>
      <w:r>
        <w:rPr>
          <w:sz w:val="20"/>
          <w:szCs w:val="20"/>
        </w:rPr>
        <w:t>l</w:t>
      </w:r>
      <w:r>
        <w:rPr>
          <w:sz w:val="20"/>
          <w:szCs w:val="20"/>
        </w:rPr>
        <w:t xml:space="preserve"> </w:t>
      </w:r>
      <w:r>
        <w:rPr>
          <w:sz w:val="20"/>
          <w:szCs w:val="20"/>
        </w:rPr>
        <w:t>non-cancelable arrangements as of September 30, 2022 and agreements entered into since then are as follows:</w:t>
      </w:r>
      <w:r>
        <w:rPr>
          <w:sz w:val="20"/>
          <w:szCs w:val="20"/>
        </w:rPr>
        <w:br/>
      </w: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33"/>
        <w:gridCol w:w="110"/>
        <w:gridCol w:w="155"/>
        <w:gridCol w:w="999"/>
        <w:gridCol w:w="108"/>
        <w:gridCol w:w="108"/>
        <w:gridCol w:w="156"/>
        <w:gridCol w:w="922"/>
        <w:gridCol w:w="123"/>
      </w:tblGrid>
      <w:tr w:rsidR="00000000">
        <w:trPr>
          <w:divId w:val="1583880281"/>
          <w:tblCellSpacing w:w="15" w:type="dxa"/>
        </w:trPr>
        <w:tc>
          <w:tcPr>
            <w:tcW w:w="2833" w:type="pct"/>
            <w:vAlign w:val="center"/>
            <w:hideMark/>
          </w:tcPr>
          <w:p w:rsidR="00000000" w:rsidRDefault="00805FA0">
            <w:pPr>
              <w:rPr>
                <w:sz w:val="20"/>
                <w:szCs w:val="20"/>
              </w:rPr>
            </w:pPr>
          </w:p>
        </w:tc>
        <w:tc>
          <w:tcPr>
            <w:tcW w:w="9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2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6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583880281"/>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Product</w:t>
            </w:r>
            <w:r>
              <w:rPr>
                <w:b/>
                <w:bCs/>
                <w:sz w:val="16"/>
                <w:szCs w:val="16"/>
              </w:rPr>
              <w:br/>
              <w:t>related</w:t>
            </w:r>
            <w:r>
              <w:rPr>
                <w:b/>
                <w:bCs/>
                <w:sz w:val="16"/>
                <w:szCs w:val="16"/>
              </w:rPr>
              <w:br/>
              <w:t>obligation</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INBOUND</w:t>
            </w:r>
            <w:r>
              <w:rPr>
                <w:b/>
                <w:bCs/>
                <w:sz w:val="16"/>
                <w:szCs w:val="16"/>
              </w:rPr>
              <w:br/>
              <w:t>event</w:t>
            </w:r>
            <w:r>
              <w:rPr>
                <w:b/>
                <w:bCs/>
                <w:sz w:val="16"/>
                <w:szCs w:val="16"/>
              </w:rPr>
              <w:br/>
              <w:t>obligation</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583880281"/>
          <w:trHeight w:val="160"/>
          <w:tblCellSpacing w:w="15" w:type="dxa"/>
        </w:trPr>
        <w:tc>
          <w:tcPr>
            <w:tcW w:w="0" w:type="auto"/>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583880281"/>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Remainder of 202</w:t>
            </w:r>
            <w:r>
              <w:rPr>
                <w:sz w:val="19"/>
                <w:szCs w:val="19"/>
              </w:rPr>
              <w:t>2</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23,37</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1,38</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divId w:val="1583880281"/>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202</w:t>
            </w:r>
            <w:r>
              <w:rPr>
                <w:sz w:val="19"/>
                <w:szCs w:val="19"/>
              </w:rPr>
              <w:t>3</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158,88</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1,32</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divId w:val="1583880281"/>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202</w:t>
            </w:r>
            <w:r>
              <w:rPr>
                <w:sz w:val="19"/>
                <w:szCs w:val="19"/>
              </w:rPr>
              <w:t>4</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178,08</w:t>
            </w:r>
            <w:r>
              <w:rPr>
                <w:sz w:val="19"/>
                <w:szCs w:val="19"/>
              </w:rPr>
              <w:t>7</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67</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divId w:val="1583880281"/>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202</w:t>
            </w:r>
            <w:r>
              <w:rPr>
                <w:sz w:val="19"/>
                <w:szCs w:val="19"/>
              </w:rPr>
              <w:t>5</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195,97</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34</w:t>
            </w:r>
            <w:r>
              <w:rPr>
                <w:sz w:val="19"/>
                <w:szCs w:val="19"/>
              </w:rPr>
              <w:t>9</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divId w:val="1583880281"/>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202</w:t>
            </w:r>
            <w:r>
              <w:rPr>
                <w:sz w:val="19"/>
                <w:szCs w:val="19"/>
              </w:rPr>
              <w:t>6</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220,00</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18</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divId w:val="1583880281"/>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 Thereafte</w:t>
            </w:r>
            <w:r>
              <w:rPr>
                <w:sz w:val="19"/>
                <w:szCs w:val="19"/>
              </w:rPr>
              <w:t>r</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187,50</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r w:rsidR="00000000">
        <w:trPr>
          <w:divId w:val="1583880281"/>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963,81</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20"/>
                <w:szCs w:val="20"/>
              </w:rPr>
            </w:pPr>
            <w:r>
              <w:rPr>
                <w:sz w:val="19"/>
                <w:szCs w:val="19"/>
              </w:rPr>
              <w:t>3,91</w:t>
            </w: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r>
    </w:tbl>
    <w:p w:rsidR="00000000" w:rsidRDefault="00805FA0">
      <w:pPr>
        <w:pStyle w:val="a3"/>
        <w:spacing w:before="200" w:beforeAutospacing="0" w:after="0" w:afterAutospacing="0"/>
        <w:ind w:firstLine="555"/>
        <w:divId w:val="229079812"/>
        <w:rPr>
          <w:sz w:val="20"/>
          <w:szCs w:val="20"/>
        </w:rPr>
      </w:pPr>
      <w:r>
        <w:rPr>
          <w:b/>
          <w:bCs/>
          <w:i/>
          <w:iCs/>
          <w:sz w:val="20"/>
          <w:szCs w:val="20"/>
        </w:rPr>
        <w:t>Legal Contingencie</w:t>
      </w:r>
      <w:r>
        <w:rPr>
          <w:b/>
          <w:bCs/>
          <w:i/>
          <w:iCs/>
          <w:sz w:val="20"/>
          <w:szCs w:val="20"/>
        </w:rPr>
        <w:t>s</w:t>
      </w:r>
    </w:p>
    <w:p w:rsidR="00000000" w:rsidRDefault="00805FA0">
      <w:pPr>
        <w:pStyle w:val="a3"/>
        <w:spacing w:before="200" w:beforeAutospacing="0" w:after="0" w:afterAutospacing="0"/>
        <w:ind w:firstLine="555"/>
        <w:divId w:val="229079812"/>
        <w:rPr>
          <w:sz w:val="20"/>
          <w:szCs w:val="20"/>
        </w:rPr>
      </w:pPr>
      <w:r>
        <w:rPr>
          <w:sz w:val="20"/>
          <w:szCs w:val="20"/>
        </w:rPr>
        <w:t>From time to time, the Company may become a party to litigation and subject to claims incident to the ordinary course of business, including intellectual property claims, labor and employment claims, and threatened claims, breach of contract claims, tax, a</w:t>
      </w:r>
      <w:r>
        <w:rPr>
          <w:sz w:val="20"/>
          <w:szCs w:val="20"/>
        </w:rPr>
        <w:t>nd other matters. The Company currently has no material pending litigation</w:t>
      </w:r>
      <w:r>
        <w:rPr>
          <w:sz w:val="20"/>
          <w:szCs w:val="20"/>
        </w:rPr>
        <w:t>.</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1</w:t>
      </w:r>
      <w:r>
        <w:rPr>
          <w:sz w:val="20"/>
          <w:szCs w:val="20"/>
        </w:rPr>
        <w:t>9</w:t>
      </w:r>
    </w:p>
    <w:p w:rsidR="00000000" w:rsidRDefault="00805FA0">
      <w:pPr>
        <w:rPr>
          <w:rFonts w:eastAsia="Times New Roman"/>
        </w:rPr>
      </w:pPr>
      <w:r>
        <w:rPr>
          <w:rFonts w:eastAsia="Times New Roman"/>
        </w:rPr>
        <w:pict>
          <v:rect id="_x0000_i1043"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divId w:val="506336453"/>
        <w:rPr>
          <w:sz w:val="20"/>
          <w:szCs w:val="20"/>
        </w:rPr>
      </w:pPr>
      <w:r>
        <w:rPr>
          <w:b/>
          <w:bCs/>
          <w:sz w:val="20"/>
          <w:szCs w:val="20"/>
        </w:rPr>
        <w:t>11. Changes in Accumulated Other Comprehensive Los</w:t>
      </w:r>
      <w:r>
        <w:rPr>
          <w:b/>
          <w:bCs/>
          <w:sz w:val="20"/>
          <w:szCs w:val="20"/>
        </w:rPr>
        <w:t>s</w:t>
      </w:r>
    </w:p>
    <w:p w:rsidR="00000000" w:rsidRDefault="00805FA0">
      <w:pPr>
        <w:pStyle w:val="a3"/>
        <w:spacing w:before="200" w:beforeAutospacing="0" w:after="0" w:afterAutospacing="0"/>
        <w:ind w:firstLine="555"/>
        <w:divId w:val="31275933"/>
        <w:rPr>
          <w:sz w:val="20"/>
          <w:szCs w:val="20"/>
        </w:rPr>
      </w:pPr>
      <w:r>
        <w:rPr>
          <w:sz w:val="20"/>
          <w:szCs w:val="20"/>
        </w:rPr>
        <w:t xml:space="preserve">The following table summarizes the changes in accumulated other comprehensive loss, </w:t>
      </w:r>
      <w:r>
        <w:rPr>
          <w:sz w:val="20"/>
          <w:szCs w:val="20"/>
        </w:rPr>
        <w:t>which is reported as a component of stockholders’ equity, for the</w:t>
      </w:r>
      <w:r>
        <w:rPr>
          <w:sz w:val="20"/>
          <w:szCs w:val="20"/>
        </w:rPr>
        <w:t xml:space="preserve"> </w:t>
      </w:r>
      <w:r>
        <w:rPr>
          <w:sz w:val="20"/>
          <w:szCs w:val="20"/>
        </w:rPr>
        <w:t>nine months ended September 30, 2022.</w:t>
      </w:r>
      <w:r>
        <w:rPr>
          <w:sz w:val="20"/>
          <w:szCs w:val="20"/>
        </w:rPr>
        <w:br/>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36"/>
        <w:gridCol w:w="110"/>
        <w:gridCol w:w="111"/>
        <w:gridCol w:w="776"/>
        <w:gridCol w:w="127"/>
        <w:gridCol w:w="110"/>
        <w:gridCol w:w="111"/>
        <w:gridCol w:w="793"/>
        <w:gridCol w:w="127"/>
        <w:gridCol w:w="115"/>
        <w:gridCol w:w="110"/>
        <w:gridCol w:w="677"/>
        <w:gridCol w:w="142"/>
      </w:tblGrid>
      <w:tr w:rsidR="00000000">
        <w:trPr>
          <w:divId w:val="31275933"/>
          <w:tblCellSpacing w:w="15" w:type="dxa"/>
        </w:trPr>
        <w:tc>
          <w:tcPr>
            <w:tcW w:w="2801" w:type="pct"/>
            <w:vAlign w:val="center"/>
            <w:hideMark/>
          </w:tcPr>
          <w:p w:rsidR="00000000" w:rsidRDefault="00805FA0">
            <w:pPr>
              <w:rPr>
                <w:sz w:val="20"/>
                <w:szCs w:val="20"/>
              </w:rPr>
            </w:pPr>
          </w:p>
        </w:tc>
        <w:tc>
          <w:tcPr>
            <w:tcW w:w="6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9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9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1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31275933"/>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Cumulative Translation Adjustmen</w:t>
            </w:r>
            <w:r>
              <w:rPr>
                <w:b/>
                <w:bCs/>
                <w:sz w:val="16"/>
                <w:szCs w:val="16"/>
              </w:rPr>
              <w:t>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xml:space="preserve">Unrealized </w:t>
            </w:r>
            <w:r>
              <w:rPr>
                <w:b/>
                <w:bCs/>
                <w:sz w:val="16"/>
                <w:szCs w:val="16"/>
              </w:rPr>
              <w:br/>
              <w:t>Gain on</w:t>
            </w:r>
            <w:r>
              <w:rPr>
                <w:b/>
                <w:bCs/>
                <w:sz w:val="16"/>
                <w:szCs w:val="16"/>
              </w:rPr>
              <w:br/>
              <w:t>Investment</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31275933"/>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3127593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Beginning balance at January 1, 202</w:t>
            </w:r>
            <w:r>
              <w:rPr>
                <w:sz w:val="20"/>
                <w:szCs w:val="20"/>
              </w:rPr>
              <w:t>2</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80</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1,33</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divId w:val="31275933"/>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Other comprehensive loss before reclassification</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5,81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10,35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16,17</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divId w:val="31275933"/>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 xml:space="preserve">Amounts reclassified from accumulated other </w:t>
            </w:r>
            <w:r>
              <w:rPr>
                <w:sz w:val="20"/>
                <w:szCs w:val="20"/>
              </w:rPr>
              <w:br/>
              <w:t>  comprehensive incom</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3127593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Ending balance at September 30, 202</w:t>
            </w:r>
            <w:r>
              <w:rPr>
                <w:sz w:val="20"/>
                <w:szCs w:val="20"/>
              </w:rPr>
              <w:t>2</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6,35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11,16</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17,51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divId w:val="1399404567"/>
        <w:rPr>
          <w:sz w:val="20"/>
          <w:szCs w:val="20"/>
        </w:rPr>
      </w:pPr>
      <w:r>
        <w:rPr>
          <w:b/>
          <w:bCs/>
          <w:sz w:val="20"/>
          <w:szCs w:val="20"/>
        </w:rPr>
        <w:t>12. Intangible asset</w:t>
      </w:r>
      <w:r>
        <w:rPr>
          <w:b/>
          <w:bCs/>
          <w:sz w:val="20"/>
          <w:szCs w:val="20"/>
        </w:rPr>
        <w:t>s</w:t>
      </w:r>
    </w:p>
    <w:p w:rsidR="00000000" w:rsidRDefault="00805FA0">
      <w:pPr>
        <w:pStyle w:val="a3"/>
        <w:spacing w:before="200" w:beforeAutospacing="0" w:after="0" w:afterAutospacing="0"/>
        <w:ind w:firstLine="555"/>
        <w:divId w:val="1399404567"/>
        <w:rPr>
          <w:sz w:val="20"/>
          <w:szCs w:val="20"/>
        </w:rPr>
      </w:pPr>
      <w:r>
        <w:rPr>
          <w:sz w:val="20"/>
          <w:szCs w:val="20"/>
        </w:rPr>
        <w:t xml:space="preserve">In April 2022, the Company purchased the rights to the domain name "connect.com" for </w:t>
      </w:r>
      <w:r>
        <w:rPr>
          <w:sz w:val="20"/>
          <w:szCs w:val="20"/>
        </w:rPr>
        <w:t>$</w:t>
      </w:r>
      <w:r>
        <w:rPr>
          <w:sz w:val="20"/>
          <w:szCs w:val="20"/>
        </w:rPr>
        <w:t>10.</w:t>
      </w:r>
      <w:r>
        <w:rPr>
          <w:sz w:val="20"/>
          <w:szCs w:val="20"/>
        </w:rPr>
        <w:t>0</w:t>
      </w:r>
      <w:r>
        <w:rPr>
          <w:sz w:val="20"/>
          <w:szCs w:val="20"/>
        </w:rPr>
        <w:t xml:space="preserve"> </w:t>
      </w:r>
      <w:r>
        <w:rPr>
          <w:sz w:val="20"/>
          <w:szCs w:val="20"/>
        </w:rPr>
        <w:t>million. The domain will be used to host a networked community for customers, Solutions Partners, and prospects. The cost is amortized on a straight-line basis over its estimated useful life of</w:t>
      </w:r>
      <w:r>
        <w:rPr>
          <w:sz w:val="20"/>
          <w:szCs w:val="20"/>
        </w:rPr>
        <w:t xml:space="preserve"> </w:t>
      </w:r>
      <w:r>
        <w:rPr>
          <w:sz w:val="20"/>
          <w:szCs w:val="20"/>
        </w:rPr>
        <w:t>seven year</w:t>
      </w:r>
      <w:r>
        <w:rPr>
          <w:sz w:val="20"/>
          <w:szCs w:val="20"/>
        </w:rPr>
        <w:t>s</w:t>
      </w:r>
      <w:r>
        <w:rPr>
          <w:sz w:val="20"/>
          <w:szCs w:val="20"/>
        </w:rPr>
        <w:t>. Amortization expense is included in sales and mar</w:t>
      </w:r>
      <w:r>
        <w:rPr>
          <w:sz w:val="20"/>
          <w:szCs w:val="20"/>
        </w:rPr>
        <w:t xml:space="preserve">keting expense in the consolidated statements of operations and was </w:t>
      </w:r>
      <w:r>
        <w:rPr>
          <w:sz w:val="20"/>
          <w:szCs w:val="20"/>
        </w:rPr>
        <w:t>$</w:t>
      </w:r>
      <w:r>
        <w:rPr>
          <w:sz w:val="20"/>
          <w:szCs w:val="20"/>
        </w:rPr>
        <w:t>0.</w:t>
      </w:r>
      <w:r>
        <w:rPr>
          <w:sz w:val="20"/>
          <w:szCs w:val="20"/>
        </w:rPr>
        <w:t>4</w:t>
      </w:r>
      <w:r>
        <w:rPr>
          <w:sz w:val="20"/>
          <w:szCs w:val="20"/>
        </w:rPr>
        <w:t xml:space="preserve"> million for the</w:t>
      </w:r>
      <w:r>
        <w:rPr>
          <w:sz w:val="20"/>
          <w:szCs w:val="20"/>
        </w:rPr>
        <w:t xml:space="preserve"> </w:t>
      </w:r>
      <w:r>
        <w:rPr>
          <w:sz w:val="20"/>
          <w:szCs w:val="20"/>
        </w:rPr>
        <w:t>three months ended September 30, 202</w:t>
      </w:r>
      <w:r>
        <w:rPr>
          <w:sz w:val="20"/>
          <w:szCs w:val="20"/>
        </w:rPr>
        <w:t>2</w:t>
      </w:r>
      <w:r>
        <w:rPr>
          <w:sz w:val="20"/>
          <w:szCs w:val="20"/>
        </w:rPr>
        <w:t xml:space="preserve"> and </w:t>
      </w:r>
      <w:r>
        <w:rPr>
          <w:sz w:val="20"/>
          <w:szCs w:val="20"/>
        </w:rPr>
        <w:t>$</w:t>
      </w:r>
      <w:r>
        <w:rPr>
          <w:sz w:val="20"/>
          <w:szCs w:val="20"/>
        </w:rPr>
        <w:t>0.</w:t>
      </w:r>
      <w:r>
        <w:rPr>
          <w:sz w:val="20"/>
          <w:szCs w:val="20"/>
        </w:rPr>
        <w:t>7</w:t>
      </w:r>
      <w:r>
        <w:rPr>
          <w:sz w:val="20"/>
          <w:szCs w:val="20"/>
        </w:rPr>
        <w:t xml:space="preserve"> million for the</w:t>
      </w:r>
      <w:r>
        <w:rPr>
          <w:sz w:val="20"/>
          <w:szCs w:val="20"/>
        </w:rPr>
        <w:t xml:space="preserve"> </w:t>
      </w:r>
      <w:r>
        <w:rPr>
          <w:sz w:val="20"/>
          <w:szCs w:val="20"/>
        </w:rPr>
        <w:t>nine months ended September 30, 202</w:t>
      </w:r>
      <w:r>
        <w:rPr>
          <w:sz w:val="20"/>
          <w:szCs w:val="20"/>
        </w:rPr>
        <w:t>2</w:t>
      </w:r>
      <w:r>
        <w:rPr>
          <w:sz w:val="20"/>
          <w:szCs w:val="20"/>
        </w:rPr>
        <w:t>.</w:t>
      </w:r>
      <w:r>
        <w:rPr>
          <w:sz w:val="20"/>
          <w:szCs w:val="20"/>
        </w:rPr>
        <w:t xml:space="preserve"> </w:t>
      </w:r>
    </w:p>
    <w:p w:rsidR="00000000" w:rsidRDefault="00805FA0">
      <w:pPr>
        <w:pStyle w:val="a3"/>
        <w:spacing w:before="200" w:beforeAutospacing="0" w:after="0" w:afterAutospacing="0"/>
        <w:divId w:val="2064909622"/>
        <w:rPr>
          <w:sz w:val="20"/>
          <w:szCs w:val="20"/>
        </w:rPr>
      </w:pPr>
      <w:r>
        <w:rPr>
          <w:b/>
          <w:bCs/>
          <w:sz w:val="20"/>
          <w:szCs w:val="20"/>
        </w:rPr>
        <w:t>13. Stock-Based Compensation Expens</w:t>
      </w:r>
      <w:r>
        <w:rPr>
          <w:b/>
          <w:bCs/>
          <w:sz w:val="20"/>
          <w:szCs w:val="20"/>
        </w:rPr>
        <w:t>e</w:t>
      </w:r>
    </w:p>
    <w:p w:rsidR="00000000" w:rsidRDefault="00805FA0">
      <w:pPr>
        <w:pStyle w:val="a3"/>
        <w:spacing w:before="200" w:beforeAutospacing="0" w:after="0" w:afterAutospacing="0"/>
        <w:ind w:firstLine="555"/>
        <w:divId w:val="787239949"/>
        <w:rPr>
          <w:sz w:val="20"/>
          <w:szCs w:val="20"/>
        </w:rPr>
      </w:pPr>
      <w:r>
        <w:rPr>
          <w:sz w:val="20"/>
          <w:szCs w:val="20"/>
        </w:rPr>
        <w:t>The following two tables sho</w:t>
      </w:r>
      <w:r>
        <w:rPr>
          <w:sz w:val="20"/>
          <w:szCs w:val="20"/>
        </w:rPr>
        <w:t>w stock-based compensation expense by award type and where the stock-based compensation expense is recorded in the Company’s consolidated statements of operations:</w:t>
      </w:r>
      <w:r>
        <w:rPr>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52"/>
        <w:gridCol w:w="110"/>
        <w:gridCol w:w="160"/>
        <w:gridCol w:w="779"/>
        <w:gridCol w:w="110"/>
        <w:gridCol w:w="110"/>
        <w:gridCol w:w="160"/>
        <w:gridCol w:w="689"/>
        <w:gridCol w:w="110"/>
        <w:gridCol w:w="110"/>
        <w:gridCol w:w="160"/>
        <w:gridCol w:w="710"/>
        <w:gridCol w:w="110"/>
        <w:gridCol w:w="110"/>
        <w:gridCol w:w="160"/>
        <w:gridCol w:w="710"/>
        <w:gridCol w:w="125"/>
      </w:tblGrid>
      <w:tr w:rsidR="00000000">
        <w:trPr>
          <w:divId w:val="787239949"/>
          <w:tblCellSpacing w:w="15" w:type="dxa"/>
        </w:trPr>
        <w:tc>
          <w:tcPr>
            <w:tcW w:w="2219" w:type="pct"/>
            <w:vAlign w:val="center"/>
            <w:hideMark/>
          </w:tcPr>
          <w:p w:rsidR="00000000" w:rsidRDefault="00805FA0">
            <w:pPr>
              <w:rPr>
                <w:sz w:val="20"/>
                <w:szCs w:val="20"/>
              </w:rPr>
            </w:pPr>
          </w:p>
        </w:tc>
        <w:tc>
          <w:tcPr>
            <w:tcW w:w="5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2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2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787239949"/>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787239949"/>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787239949"/>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787239949"/>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Option</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2,55</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1,40</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7,69</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4,57</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787239949"/>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RSU</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66,52</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41,05</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182,77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109,48</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787239949"/>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Employee stock purchase pla</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3,14</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2,52</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8,61</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6,78</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787239949"/>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Total stock-based compensation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72,21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44,98</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199,08</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120,84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1257792032"/>
        <w:rPr>
          <w:sz w:val="20"/>
          <w:szCs w:val="20"/>
        </w:rPr>
      </w:pPr>
      <w:r>
        <w:rPr>
          <w:sz w:val="20"/>
          <w:szCs w:val="20"/>
        </w:rPr>
        <w:t xml:space="preserve">Effect of stock-based compensation expense on income by line item: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27"/>
        <w:gridCol w:w="110"/>
        <w:gridCol w:w="160"/>
        <w:gridCol w:w="735"/>
        <w:gridCol w:w="110"/>
        <w:gridCol w:w="110"/>
        <w:gridCol w:w="160"/>
        <w:gridCol w:w="759"/>
        <w:gridCol w:w="110"/>
        <w:gridCol w:w="110"/>
        <w:gridCol w:w="160"/>
        <w:gridCol w:w="735"/>
        <w:gridCol w:w="110"/>
        <w:gridCol w:w="110"/>
        <w:gridCol w:w="160"/>
        <w:gridCol w:w="784"/>
        <w:gridCol w:w="125"/>
      </w:tblGrid>
      <w:tr w:rsidR="00000000">
        <w:trPr>
          <w:divId w:val="1257792032"/>
          <w:tblCellSpacing w:w="15" w:type="dxa"/>
        </w:trPr>
        <w:tc>
          <w:tcPr>
            <w:tcW w:w="2123" w:type="pct"/>
            <w:vAlign w:val="center"/>
            <w:hideMark/>
          </w:tcPr>
          <w:p w:rsidR="00000000" w:rsidRDefault="00805FA0">
            <w:pPr>
              <w:rPr>
                <w:sz w:val="20"/>
                <w:szCs w:val="20"/>
              </w:rPr>
            </w:pPr>
          </w:p>
        </w:tc>
        <w:tc>
          <w:tcPr>
            <w:tcW w:w="5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5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7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5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25779203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5779203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57792032"/>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25779203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Cost of revenue, subscriptio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1,66</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6,51</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4,55</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5779203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Cost of revenue, professional services and othe</w:t>
            </w:r>
            <w:r>
              <w:rPr>
                <w:sz w:val="20"/>
                <w:szCs w:val="20"/>
              </w:rPr>
              <w:t>r</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1,16</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3,25</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2,27</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5779203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28,58</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18,44</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77,26</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45,01</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5779203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28,06</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17,30</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77,11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49,90</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57792032"/>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12,08</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6,82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34,93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19,10</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257792032"/>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Total stock-based compensation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72,21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44,98</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199,08</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120,84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divId w:val="2064909622"/>
        <w:rPr>
          <w:sz w:val="20"/>
          <w:szCs w:val="20"/>
        </w:rPr>
      </w:pPr>
      <w:r>
        <w:rPr>
          <w:sz w:val="20"/>
          <w:szCs w:val="20"/>
        </w:rPr>
        <w:t>Capitalized software development costs excluded from stock-based compensation expense is</w:t>
      </w:r>
      <w:r>
        <w:rPr>
          <w:sz w:val="20"/>
          <w:szCs w:val="20"/>
        </w:rPr>
        <w:t xml:space="preserve"> </w:t>
      </w:r>
      <w:r>
        <w:rPr>
          <w:sz w:val="20"/>
          <w:szCs w:val="20"/>
        </w:rPr>
        <w:t>$</w:t>
      </w:r>
      <w:r>
        <w:rPr>
          <w:sz w:val="20"/>
          <w:szCs w:val="20"/>
        </w:rPr>
        <w:t>3.</w:t>
      </w:r>
      <w:r>
        <w:rPr>
          <w:sz w:val="20"/>
          <w:szCs w:val="20"/>
        </w:rPr>
        <w:t>4</w:t>
      </w:r>
      <w:r>
        <w:rPr>
          <w:sz w:val="20"/>
          <w:szCs w:val="20"/>
        </w:rPr>
        <w:t xml:space="preserve"> million for the three months ended September 30, 2022,</w:t>
      </w:r>
      <w:r>
        <w:rPr>
          <w:sz w:val="20"/>
          <w:szCs w:val="20"/>
        </w:rPr>
        <w:t xml:space="preserve"> </w:t>
      </w:r>
      <w:r>
        <w:rPr>
          <w:sz w:val="20"/>
          <w:szCs w:val="20"/>
        </w:rPr>
        <w:t>$</w:t>
      </w:r>
      <w:r>
        <w:rPr>
          <w:sz w:val="20"/>
          <w:szCs w:val="20"/>
        </w:rPr>
        <w:t>9.</w:t>
      </w:r>
      <w:r>
        <w:rPr>
          <w:sz w:val="20"/>
          <w:szCs w:val="20"/>
        </w:rPr>
        <w:t>0</w:t>
      </w:r>
      <w:r>
        <w:rPr>
          <w:sz w:val="20"/>
          <w:szCs w:val="20"/>
        </w:rPr>
        <w:t xml:space="preserve"> </w:t>
      </w:r>
      <w:r>
        <w:rPr>
          <w:sz w:val="20"/>
          <w:szCs w:val="20"/>
        </w:rPr>
        <w:t>for the nine months ended September 30, 2022,</w:t>
      </w:r>
      <w:r>
        <w:rPr>
          <w:sz w:val="20"/>
          <w:szCs w:val="20"/>
        </w:rPr>
        <w:t xml:space="preserve"> </w:t>
      </w:r>
      <w:r>
        <w:rPr>
          <w:sz w:val="20"/>
          <w:szCs w:val="20"/>
        </w:rPr>
        <w:t>$</w:t>
      </w:r>
      <w:r>
        <w:rPr>
          <w:sz w:val="20"/>
          <w:szCs w:val="20"/>
        </w:rPr>
        <w:t>1.</w:t>
      </w:r>
      <w:r>
        <w:rPr>
          <w:sz w:val="20"/>
          <w:szCs w:val="20"/>
        </w:rPr>
        <w:t>6</w:t>
      </w:r>
      <w:r>
        <w:rPr>
          <w:sz w:val="20"/>
          <w:szCs w:val="20"/>
        </w:rPr>
        <w:t xml:space="preserve"> million for the three months ended September 30, 2021, and</w:t>
      </w:r>
      <w:r>
        <w:rPr>
          <w:sz w:val="20"/>
          <w:szCs w:val="20"/>
        </w:rPr>
        <w:t xml:space="preserve"> </w:t>
      </w:r>
      <w:r>
        <w:rPr>
          <w:sz w:val="20"/>
          <w:szCs w:val="20"/>
        </w:rPr>
        <w:t>$</w:t>
      </w:r>
      <w:r>
        <w:rPr>
          <w:sz w:val="20"/>
          <w:szCs w:val="20"/>
        </w:rPr>
        <w:t>4.</w:t>
      </w:r>
      <w:r>
        <w:rPr>
          <w:sz w:val="20"/>
          <w:szCs w:val="20"/>
        </w:rPr>
        <w:t>7</w:t>
      </w:r>
      <w:r>
        <w:rPr>
          <w:sz w:val="20"/>
          <w:szCs w:val="20"/>
        </w:rPr>
        <w:t xml:space="preserve"> million for the nine months ended September 30, 202</w:t>
      </w:r>
      <w:r>
        <w:rPr>
          <w:sz w:val="20"/>
          <w:szCs w:val="20"/>
        </w:rPr>
        <w:t>1</w:t>
      </w:r>
      <w:r>
        <w:rPr>
          <w:sz w:val="20"/>
          <w:szCs w:val="20"/>
        </w:rPr>
        <w:t>.</w:t>
      </w:r>
      <w:r>
        <w:rPr>
          <w:sz w:val="20"/>
          <w:szCs w:val="20"/>
        </w:rPr>
        <w:t xml:space="preserve"> </w:t>
      </w:r>
    </w:p>
    <w:p w:rsidR="00000000" w:rsidRDefault="00805FA0">
      <w:pPr>
        <w:pStyle w:val="a3"/>
        <w:spacing w:before="200" w:beforeAutospacing="0" w:after="0" w:afterAutospacing="0"/>
        <w:divId w:val="1957905578"/>
        <w:rPr>
          <w:sz w:val="20"/>
          <w:szCs w:val="20"/>
        </w:rPr>
      </w:pPr>
      <w:r>
        <w:rPr>
          <w:b/>
          <w:bCs/>
          <w:sz w:val="20"/>
          <w:szCs w:val="20"/>
        </w:rPr>
        <w:t>14. Segment Information and Geographic Dat</w:t>
      </w:r>
      <w:r>
        <w:rPr>
          <w:b/>
          <w:bCs/>
          <w:sz w:val="20"/>
          <w:szCs w:val="20"/>
        </w:rPr>
        <w:t>a</w:t>
      </w:r>
    </w:p>
    <w:p w:rsidR="00000000" w:rsidRDefault="00805FA0">
      <w:pPr>
        <w:pStyle w:val="a3"/>
        <w:spacing w:before="200" w:beforeAutospacing="0" w:after="0" w:afterAutospacing="0"/>
        <w:ind w:firstLine="555"/>
        <w:divId w:val="1957905578"/>
        <w:rPr>
          <w:sz w:val="20"/>
          <w:szCs w:val="20"/>
        </w:rPr>
      </w:pPr>
      <w:r>
        <w:rPr>
          <w:sz w:val="20"/>
          <w:szCs w:val="20"/>
        </w:rPr>
        <w:t>The Company operates as</w:t>
      </w:r>
      <w:r>
        <w:rPr>
          <w:sz w:val="20"/>
          <w:szCs w:val="20"/>
        </w:rPr>
        <w:t xml:space="preserve"> </w:t>
      </w:r>
      <w:r>
        <w:rPr>
          <w:sz w:val="20"/>
          <w:szCs w:val="20"/>
        </w:rPr>
        <w:t>on</w:t>
      </w:r>
      <w:r>
        <w:rPr>
          <w:sz w:val="20"/>
          <w:szCs w:val="20"/>
        </w:rPr>
        <w:t>e</w:t>
      </w:r>
      <w:r>
        <w:rPr>
          <w:sz w:val="20"/>
          <w:szCs w:val="20"/>
        </w:rPr>
        <w:t xml:space="preserve"> operating</w:t>
      </w:r>
      <w:r>
        <w:rPr>
          <w:sz w:val="20"/>
          <w:szCs w:val="20"/>
        </w:rPr>
        <w:t xml:space="preserve"> </w:t>
      </w:r>
      <w:r>
        <w:rPr>
          <w:sz w:val="20"/>
          <w:szCs w:val="20"/>
        </w:rPr>
        <w:t>segm</w:t>
      </w:r>
      <w:r>
        <w:rPr>
          <w:sz w:val="20"/>
          <w:szCs w:val="20"/>
        </w:rPr>
        <w:t>ent. Operating segments are defined as components of an enterprise for which separate financial information is regularly evaluated by the chief operating decision maker (“CODM”), which is the Company’s chief executive officer, in deciding how to allocate r</w:t>
      </w:r>
      <w:r>
        <w:rPr>
          <w:sz w:val="20"/>
          <w:szCs w:val="20"/>
        </w:rPr>
        <w:t>esources and assess performance. The Company’s CODM evaluates the Company’s financial information and resources and assesses the performance of these resources on a consolidated basis. Since the Company operates in one operating segment, all required finan</w:t>
      </w:r>
      <w:r>
        <w:rPr>
          <w:sz w:val="20"/>
          <w:szCs w:val="20"/>
        </w:rPr>
        <w:t>cial segment information can be found in the consolidated financia</w:t>
      </w:r>
      <w:r>
        <w:rPr>
          <w:sz w:val="20"/>
          <w:szCs w:val="20"/>
        </w:rPr>
        <w:t>l</w:t>
      </w:r>
      <w:r>
        <w:rPr>
          <w:sz w:val="20"/>
          <w:szCs w:val="20"/>
        </w:rPr>
        <w:t xml:space="preserve"> </w:t>
      </w:r>
    </w:p>
    <w:p w:rsidR="00000000" w:rsidRDefault="00805FA0">
      <w:pPr>
        <w:pStyle w:val="a3"/>
        <w:spacing w:before="240" w:beforeAutospacing="0" w:after="0" w:afterAutospacing="0"/>
        <w:jc w:val="center"/>
        <w:divId w:val="1957905578"/>
        <w:rPr>
          <w:sz w:val="20"/>
          <w:szCs w:val="20"/>
        </w:rPr>
      </w:pPr>
      <w:r>
        <w:rPr>
          <w:sz w:val="20"/>
          <w:szCs w:val="20"/>
        </w:rPr>
        <w:t>2</w:t>
      </w:r>
      <w:r>
        <w:rPr>
          <w:sz w:val="20"/>
          <w:szCs w:val="20"/>
        </w:rPr>
        <w:t>0</w:t>
      </w:r>
    </w:p>
    <w:p w:rsidR="00000000" w:rsidRDefault="00805FA0">
      <w:pPr>
        <w:divId w:val="1957905578"/>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805FA0">
      <w:pPr>
        <w:pStyle w:val="a3"/>
        <w:spacing w:before="0" w:beforeAutospacing="0" w:after="0" w:afterAutospacing="0"/>
        <w:divId w:val="1957905578"/>
        <w:rPr>
          <w:sz w:val="20"/>
          <w:szCs w:val="20"/>
        </w:rPr>
      </w:pPr>
      <w:r>
        <w:rPr>
          <w:sz w:val="20"/>
          <w:szCs w:val="20"/>
        </w:rPr>
        <w:t> </w:t>
      </w:r>
    </w:p>
    <w:p w:rsidR="00000000" w:rsidRDefault="00805FA0">
      <w:pPr>
        <w:pStyle w:val="a3"/>
        <w:spacing w:before="200" w:beforeAutospacing="0" w:after="0" w:afterAutospacing="0"/>
        <w:divId w:val="1957905578"/>
        <w:rPr>
          <w:sz w:val="20"/>
          <w:szCs w:val="20"/>
        </w:rPr>
      </w:pPr>
      <w:r>
        <w:rPr>
          <w:sz w:val="20"/>
          <w:szCs w:val="20"/>
        </w:rPr>
        <w:t>statements. Revenue</w:t>
      </w:r>
      <w:r>
        <w:rPr>
          <w:sz w:val="20"/>
          <w:szCs w:val="20"/>
        </w:rPr>
        <w:t xml:space="preserve"> </w:t>
      </w:r>
      <w:r>
        <w:rPr>
          <w:sz w:val="20"/>
          <w:szCs w:val="20"/>
        </w:rPr>
        <w:t>and long-lived assets by geographic region, based on the physical location of the operations recording the sale or the asset, are as follows</w:t>
      </w:r>
      <w:r>
        <w:rPr>
          <w:sz w:val="20"/>
          <w:szCs w:val="20"/>
        </w:rPr>
        <w:t>:</w:t>
      </w:r>
      <w:r>
        <w:rPr>
          <w:sz w:val="20"/>
          <w:szCs w:val="20"/>
        </w:rPr>
        <w:t xml:space="preserve"> </w:t>
      </w:r>
    </w:p>
    <w:p w:rsidR="00000000" w:rsidRDefault="00805FA0">
      <w:pPr>
        <w:pStyle w:val="a3"/>
        <w:spacing w:before="200" w:beforeAutospacing="0" w:after="0" w:afterAutospacing="0"/>
        <w:ind w:firstLine="555"/>
        <w:divId w:val="148833363"/>
        <w:rPr>
          <w:sz w:val="20"/>
          <w:szCs w:val="20"/>
        </w:rPr>
      </w:pPr>
      <w:r>
        <w:rPr>
          <w:sz w:val="20"/>
          <w:szCs w:val="20"/>
        </w:rPr>
        <w:t>Revenues by geographical region:</w:t>
      </w:r>
      <w:r>
        <w:rPr>
          <w:sz w:val="20"/>
          <w:szCs w:val="20"/>
        </w:rPr>
        <w:br/>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77"/>
        <w:gridCol w:w="110"/>
        <w:gridCol w:w="160"/>
        <w:gridCol w:w="710"/>
        <w:gridCol w:w="227"/>
        <w:gridCol w:w="110"/>
        <w:gridCol w:w="160"/>
        <w:gridCol w:w="710"/>
        <w:gridCol w:w="227"/>
        <w:gridCol w:w="115"/>
        <w:gridCol w:w="160"/>
        <w:gridCol w:w="860"/>
        <w:gridCol w:w="227"/>
        <w:gridCol w:w="110"/>
        <w:gridCol w:w="160"/>
        <w:gridCol w:w="710"/>
        <w:gridCol w:w="242"/>
      </w:tblGrid>
      <w:tr w:rsidR="00000000">
        <w:trPr>
          <w:divId w:val="148833363"/>
          <w:tblCellSpacing w:w="15" w:type="dxa"/>
        </w:trPr>
        <w:tc>
          <w:tcPr>
            <w:tcW w:w="1985" w:type="pct"/>
            <w:vAlign w:val="center"/>
            <w:hideMark/>
          </w:tcPr>
          <w:p w:rsidR="00000000" w:rsidRDefault="00805FA0">
            <w:pPr>
              <w:rPr>
                <w:sz w:val="20"/>
                <w:szCs w:val="20"/>
              </w:rPr>
            </w:pPr>
          </w:p>
        </w:tc>
        <w:tc>
          <w:tcPr>
            <w:tcW w:w="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7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7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9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48833363"/>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48833363"/>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48833363"/>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4883336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276,61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207,24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777,96</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571,84</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4883336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128,93</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102,67</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373,26</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279,41</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4883336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38,41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29,27</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110,08</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80,09</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48833363"/>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443,95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339,19</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1,261,31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931,34</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48833363"/>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xml:space="preserve">Percentage of revenues generated outside of </w:t>
            </w:r>
            <w:r>
              <w:rPr>
                <w:sz w:val="20"/>
                <w:szCs w:val="20"/>
              </w:rPr>
              <w:br/>
              <w:t>  the America</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200" w:beforeAutospacing="0" w:after="0" w:afterAutospacing="0"/>
        <w:ind w:firstLine="555"/>
        <w:divId w:val="1957905578"/>
        <w:rPr>
          <w:sz w:val="20"/>
          <w:szCs w:val="20"/>
        </w:rPr>
      </w:pPr>
      <w:r>
        <w:rPr>
          <w:sz w:val="20"/>
          <w:szCs w:val="20"/>
        </w:rPr>
        <w:t>Revenue derived from customers outside the United States (international) was approximately</w:t>
      </w:r>
      <w:r>
        <w:rPr>
          <w:sz w:val="20"/>
          <w:szCs w:val="20"/>
        </w:rPr>
        <w:t xml:space="preserve"> </w:t>
      </w:r>
      <w:r>
        <w:rPr>
          <w:sz w:val="20"/>
          <w:szCs w:val="20"/>
        </w:rPr>
        <w:t>4</w:t>
      </w:r>
      <w:r>
        <w:rPr>
          <w:sz w:val="20"/>
          <w:szCs w:val="20"/>
        </w:rPr>
        <w:t>6</w:t>
      </w:r>
      <w:r>
        <w:rPr>
          <w:sz w:val="20"/>
          <w:szCs w:val="20"/>
        </w:rPr>
        <w:t>%</w:t>
      </w:r>
      <w:r>
        <w:rPr>
          <w:sz w:val="20"/>
          <w:szCs w:val="20"/>
        </w:rPr>
        <w:t xml:space="preserve"> of total revenue in the three and nine months ended September 30, 2022 and 2021</w:t>
      </w:r>
      <w:r>
        <w:rPr>
          <w:sz w:val="20"/>
          <w:szCs w:val="20"/>
        </w:rPr>
        <w:t>.</w:t>
      </w:r>
      <w:r>
        <w:rPr>
          <w:sz w:val="20"/>
          <w:szCs w:val="20"/>
        </w:rPr>
        <w:t xml:space="preserve"> </w:t>
      </w:r>
    </w:p>
    <w:p w:rsidR="00000000" w:rsidRDefault="00805FA0">
      <w:pPr>
        <w:pStyle w:val="a3"/>
        <w:spacing w:before="200" w:beforeAutospacing="0" w:after="0" w:afterAutospacing="0"/>
        <w:ind w:firstLine="555"/>
        <w:divId w:val="1186334837"/>
        <w:rPr>
          <w:sz w:val="20"/>
          <w:szCs w:val="20"/>
        </w:rPr>
      </w:pPr>
      <w:r>
        <w:rPr>
          <w:sz w:val="20"/>
          <w:szCs w:val="20"/>
        </w:rPr>
        <w:t>Total long-lived assets by geographical region:</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09"/>
        <w:gridCol w:w="116"/>
        <w:gridCol w:w="160"/>
        <w:gridCol w:w="1376"/>
        <w:gridCol w:w="227"/>
        <w:gridCol w:w="110"/>
        <w:gridCol w:w="160"/>
        <w:gridCol w:w="1275"/>
        <w:gridCol w:w="242"/>
      </w:tblGrid>
      <w:tr w:rsidR="00000000">
        <w:trPr>
          <w:divId w:val="1186334837"/>
          <w:tblCellSpacing w:w="15" w:type="dxa"/>
        </w:trPr>
        <w:tc>
          <w:tcPr>
            <w:tcW w:w="2673" w:type="pct"/>
            <w:vAlign w:val="center"/>
            <w:hideMark/>
          </w:tcPr>
          <w:p w:rsidR="00000000" w:rsidRDefault="00805FA0">
            <w:pPr>
              <w:rPr>
                <w:sz w:val="20"/>
                <w:szCs w:val="20"/>
              </w:rPr>
            </w:pPr>
          </w:p>
        </w:tc>
        <w:tc>
          <w:tcPr>
            <w:tcW w:w="11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8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4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divId w:val="1186334837"/>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As of September 30, 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As of December 31, 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186334837"/>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divId w:val="1186334837"/>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America</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224,86</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226,84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186334837"/>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Europ</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118,22</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139,84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186334837"/>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Asia Pacifi</w:t>
            </w:r>
            <w:r>
              <w:rPr>
                <w:sz w:val="20"/>
                <w:szCs w:val="20"/>
              </w:rPr>
              <w:t>c</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10,96</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10,26</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186334837"/>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Total long-lived asset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354,05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376,96</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divId w:val="1186334837"/>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Percentage of long-lived assets held outside of the America</w:t>
            </w:r>
            <w:r>
              <w:rPr>
                <w:sz w:val="20"/>
                <w:szCs w:val="20"/>
              </w:rPr>
              <w:t>s</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2</w:t>
      </w:r>
      <w:r>
        <w:rPr>
          <w:sz w:val="20"/>
          <w:szCs w:val="20"/>
        </w:rPr>
        <w:t>1</w:t>
      </w:r>
    </w:p>
    <w:p w:rsidR="00000000" w:rsidRDefault="00805FA0">
      <w:pPr>
        <w:rPr>
          <w:rFonts w:eastAsia="Times New Roman"/>
        </w:rPr>
      </w:pPr>
      <w:r>
        <w:rPr>
          <w:rFonts w:eastAsia="Times New Roman"/>
        </w:rPr>
        <w:pict>
          <v:rect id="_x0000_i1045"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hanging="122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w:t>
      </w:r>
      <w:r>
        <w:rPr>
          <w:b/>
          <w:bCs/>
          <w:sz w:val="20"/>
          <w:szCs w:val="20"/>
        </w:rPr>
        <w:t>s</w:t>
      </w:r>
    </w:p>
    <w:p w:rsidR="00000000" w:rsidRDefault="00805FA0">
      <w:pPr>
        <w:pStyle w:val="a3"/>
        <w:spacing w:before="200" w:beforeAutospacing="0" w:after="0" w:afterAutospacing="0"/>
        <w:ind w:firstLine="555"/>
        <w:rPr>
          <w:sz w:val="20"/>
          <w:szCs w:val="20"/>
        </w:rPr>
      </w:pPr>
      <w:r>
        <w:rPr>
          <w:i/>
          <w:iCs/>
          <w:sz w:val="20"/>
          <w:szCs w:val="20"/>
        </w:rPr>
        <w:t>The following discussion and analysis of our financial condition and results of operations should be read in conjunction wit</w:t>
      </w:r>
      <w:r>
        <w:rPr>
          <w:i/>
          <w:iCs/>
          <w:sz w:val="20"/>
          <w:szCs w:val="20"/>
        </w:rPr>
        <w:t>h our consolidated financial statements and related notes appearing elsewhere in this Quarterly Report on Form 10-Q and our Annual Report on Form 10-K for the year ended December 31, 2021 filed with the SEC on February 14, 2022. As discussed in the section</w:t>
      </w:r>
      <w:r>
        <w:rPr>
          <w:i/>
          <w:iCs/>
          <w:sz w:val="20"/>
          <w:szCs w:val="20"/>
        </w:rPr>
        <w:t xml:space="preserve"> titled “Special Note Regarding Forward-Looking Statements,” the following discussion and analysis contains forward-looking statements that involve risks and uncertainties, as well as assumptions that, if they never materialize or prove incorrect, could ca</w:t>
      </w:r>
      <w:r>
        <w:rPr>
          <w:i/>
          <w:iCs/>
          <w:sz w:val="20"/>
          <w:szCs w:val="20"/>
        </w:rPr>
        <w:t xml:space="preserve">use our results to differ materially from those expressed or implied by such forward-looking statements. Factors that could cause or contribute to such differences include, but are not limited to, those identified below, and those discussed in the section </w:t>
      </w:r>
      <w:r>
        <w:rPr>
          <w:i/>
          <w:iCs/>
          <w:sz w:val="20"/>
          <w:szCs w:val="20"/>
        </w:rPr>
        <w:t>titled “Risk Factors” included under Part II, Item 1A below</w:t>
      </w:r>
      <w:r>
        <w:rPr>
          <w:i/>
          <w:iCs/>
          <w:sz w:val="20"/>
          <w:szCs w:val="20"/>
        </w:rPr>
        <w:t>.</w:t>
      </w:r>
    </w:p>
    <w:p w:rsidR="00000000" w:rsidRDefault="00805FA0">
      <w:pPr>
        <w:pStyle w:val="a3"/>
        <w:spacing w:before="200" w:beforeAutospacing="0" w:after="0" w:afterAutospacing="0"/>
        <w:rPr>
          <w:sz w:val="20"/>
          <w:szCs w:val="20"/>
        </w:rPr>
      </w:pPr>
      <w:r>
        <w:rPr>
          <w:b/>
          <w:bCs/>
          <w:sz w:val="20"/>
          <w:szCs w:val="20"/>
        </w:rPr>
        <w:t>Company Overvie</w:t>
      </w:r>
      <w:r>
        <w:rPr>
          <w:b/>
          <w:bCs/>
          <w:sz w:val="20"/>
          <w:szCs w:val="20"/>
        </w:rPr>
        <w:t>w</w:t>
      </w:r>
    </w:p>
    <w:p w:rsidR="00000000" w:rsidRDefault="00805FA0">
      <w:pPr>
        <w:pStyle w:val="a3"/>
        <w:spacing w:before="200" w:beforeAutospacing="0" w:after="0" w:afterAutospacing="0"/>
        <w:ind w:firstLine="592"/>
        <w:rPr>
          <w:sz w:val="20"/>
          <w:szCs w:val="20"/>
        </w:rPr>
      </w:pPr>
      <w:r>
        <w:rPr>
          <w:sz w:val="20"/>
          <w:szCs w:val="20"/>
        </w:rPr>
        <w:t>We provide a cloud-based customer relationship management (“CRM”) Platform. Our CRM Platform is comprised of Marketing Hub, Sales Hub, Service Hub, content management system ("CM</w:t>
      </w:r>
      <w:r>
        <w:rPr>
          <w:sz w:val="20"/>
          <w:szCs w:val="20"/>
        </w:rPr>
        <w:t>S") Hub, and Operations Hub as well as other tools, integrations, and a native payment solution that enable companies to attract, engage, and delight customers throughout the customer experience</w:t>
      </w:r>
      <w:r>
        <w:rPr>
          <w:sz w:val="20"/>
          <w:szCs w:val="20"/>
        </w:rPr>
        <w:t>.</w:t>
      </w:r>
    </w:p>
    <w:p w:rsidR="00000000" w:rsidRDefault="00805FA0">
      <w:pPr>
        <w:pStyle w:val="a3"/>
        <w:spacing w:before="200" w:beforeAutospacing="0" w:after="0" w:afterAutospacing="0"/>
        <w:ind w:firstLine="592"/>
        <w:rPr>
          <w:sz w:val="20"/>
          <w:szCs w:val="20"/>
        </w:rPr>
      </w:pPr>
      <w:r>
        <w:rPr>
          <w:sz w:val="20"/>
          <w:szCs w:val="20"/>
        </w:rPr>
        <w:t>At the core of our CRM Platform is our CRM that our customer</w:t>
      </w:r>
      <w:r>
        <w:rPr>
          <w:sz w:val="20"/>
          <w:szCs w:val="20"/>
        </w:rPr>
        <w:t>s use which creates a single view of all interactions a prospective or existing customer has with their marketing, sales and customer service teams. The CRM shares data across every application in the CRM Platform, automatically informing more personalized</w:t>
      </w:r>
      <w:r>
        <w:rPr>
          <w:sz w:val="20"/>
          <w:szCs w:val="20"/>
        </w:rPr>
        <w:t xml:space="preserve"> emails, website content, ads, and conversations, and enables more accurate timing cues for our customer’s internal teams. Our CRM Platform was built to easily and seamlessly integrate third-party applications to further customize to an individual company’</w:t>
      </w:r>
      <w:r>
        <w:rPr>
          <w:sz w:val="20"/>
          <w:szCs w:val="20"/>
        </w:rPr>
        <w:t>s industry or needs. In addition, an end-to-end native payment solution, Payments, is built within our CRM Platform which enables customers to streamline their payment process. Our CRM Platform starts completely free and grows with our customers to meet th</w:t>
      </w:r>
      <w:r>
        <w:rPr>
          <w:sz w:val="20"/>
          <w:szCs w:val="20"/>
        </w:rPr>
        <w:t>eir needs at different stages in their life-cycles. It supports multiple languages and currencies and offers an array of sophisticated features, including content partitioning at the enterprise level for companies operating in or serving multiple countries</w:t>
      </w:r>
      <w:r>
        <w:rPr>
          <w:sz w:val="20"/>
          <w:szCs w:val="20"/>
        </w:rPr>
        <w:t>.</w:t>
      </w:r>
    </w:p>
    <w:p w:rsidR="00000000" w:rsidRDefault="00805FA0">
      <w:pPr>
        <w:pStyle w:val="a3"/>
        <w:spacing w:before="200" w:beforeAutospacing="0" w:after="0" w:afterAutospacing="0"/>
        <w:ind w:firstLine="592"/>
        <w:rPr>
          <w:sz w:val="20"/>
          <w:szCs w:val="20"/>
        </w:rPr>
      </w:pPr>
      <w:r>
        <w:rPr>
          <w:sz w:val="20"/>
          <w:szCs w:val="20"/>
        </w:rPr>
        <w:t>We focus on selling to mid-market business-to-business, or B2B, companies, which we define as companies that have between two and 2,000 employees. While our CRM Platform was built to grow with any company, we focus on selling to mid-market businesses bec</w:t>
      </w:r>
      <w:r>
        <w:rPr>
          <w:sz w:val="20"/>
          <w:szCs w:val="20"/>
        </w:rPr>
        <w:t>ause we believe we have significant competitive advantages attracting and serving this market segment. These mid-market businesses seek an integrated, easy-to-implement and easy-to-use solution to reach customers and compete with organizations that have la</w:t>
      </w:r>
      <w:r>
        <w:rPr>
          <w:sz w:val="20"/>
          <w:szCs w:val="20"/>
        </w:rPr>
        <w:t>rger marketing, sales, and customer service budgets. We efficiently reach these businesses at scale through our proven inbound methodology, our Solutions Partners, and our “freemium” model. A Solutions Partner is a service provider that helps businesses wi</w:t>
      </w:r>
      <w:r>
        <w:rPr>
          <w:sz w:val="20"/>
          <w:szCs w:val="20"/>
        </w:rPr>
        <w:t>th strategy, execution, and implementation of go-to-market activities and technology solutions. Our freemium model attracts customers who begin using our CRM Platform through our free products and then upgrade to our paid products.</w:t>
      </w:r>
      <w:r>
        <w:rPr>
          <w:sz w:val="20"/>
          <w:szCs w:val="20"/>
        </w:rPr>
        <w:t xml:space="preserve"> </w:t>
      </w:r>
      <w:r>
        <w:rPr>
          <w:sz w:val="20"/>
          <w:szCs w:val="20"/>
        </w:rPr>
        <w:t>As of September 30, 2022</w:t>
      </w:r>
      <w:r>
        <w:rPr>
          <w:sz w:val="20"/>
          <w:szCs w:val="20"/>
        </w:rPr>
        <w:t>, we had 7,409 full-time employees and 158,905 Customers of varying sizes in more than 120 countries, representing almost every industry</w:t>
      </w:r>
      <w:r>
        <w:rPr>
          <w:sz w:val="20"/>
          <w:szCs w:val="20"/>
        </w:rPr>
        <w:t>.</w:t>
      </w:r>
      <w:r>
        <w:rPr>
          <w:sz w:val="20"/>
          <w:szCs w:val="20"/>
        </w:rPr>
        <w:t xml:space="preserve"> </w:t>
      </w:r>
    </w:p>
    <w:p w:rsidR="00000000" w:rsidRDefault="00805FA0">
      <w:pPr>
        <w:pStyle w:val="a3"/>
        <w:spacing w:before="200" w:beforeAutospacing="0" w:after="0" w:afterAutospacing="0"/>
        <w:ind w:firstLine="592"/>
        <w:rPr>
          <w:sz w:val="20"/>
          <w:szCs w:val="20"/>
        </w:rPr>
      </w:pPr>
      <w:r>
        <w:rPr>
          <w:sz w:val="20"/>
          <w:szCs w:val="20"/>
        </w:rPr>
        <w:t>We derive most of our revenue from subscriptions to our cloud-based CRM Platform and related professional services, w</w:t>
      </w:r>
      <w:r>
        <w:rPr>
          <w:sz w:val="20"/>
          <w:szCs w:val="20"/>
        </w:rPr>
        <w:t>hich consist of customer on-boarding, training and consulting services. Subscription revenue accounted for 98% of our total revenue for the three and nine months ended September 30, 2022 and 97% of our total revenue for the three and nine months ended Sept</w:t>
      </w:r>
      <w:r>
        <w:rPr>
          <w:sz w:val="20"/>
          <w:szCs w:val="20"/>
        </w:rPr>
        <w:t xml:space="preserve">ember 30, 2021. We sell multiple product plans at different base prices on a subscription basis, each of which includes our CRM and integrated applications to meet the needs of the various customers we serve. Customers pay additional fees if the number of </w:t>
      </w:r>
      <w:r>
        <w:rPr>
          <w:sz w:val="20"/>
          <w:szCs w:val="20"/>
        </w:rPr>
        <w:t xml:space="preserve">contacts stored and tracked in the customer’s database exceeds specified thresholds. We also generate additional revenue based on the purchase of additional subscriptions and products, and the number of account users and subdomains. Most of our customers’ </w:t>
      </w:r>
      <w:r>
        <w:rPr>
          <w:sz w:val="20"/>
          <w:szCs w:val="20"/>
        </w:rPr>
        <w:t>subscriptions are one year or less in duration</w:t>
      </w:r>
      <w:r>
        <w:rPr>
          <w:sz w:val="20"/>
          <w:szCs w:val="20"/>
        </w:rPr>
        <w:t>.</w:t>
      </w:r>
    </w:p>
    <w:p w:rsidR="00000000" w:rsidRDefault="00805FA0">
      <w:pPr>
        <w:pStyle w:val="a3"/>
        <w:spacing w:before="200" w:beforeAutospacing="0" w:after="0" w:afterAutospacing="0"/>
        <w:ind w:firstLine="592"/>
        <w:rPr>
          <w:sz w:val="20"/>
          <w:szCs w:val="20"/>
        </w:rPr>
      </w:pPr>
      <w:r>
        <w:rPr>
          <w:sz w:val="20"/>
          <w:szCs w:val="20"/>
        </w:rPr>
        <w:t>Subscriptions are billed in advance on various schedules. Because the mix of billing terms for orders can vary from period to period, the annualized value of the orders we enter into with our customers will n</w:t>
      </w:r>
      <w:r>
        <w:rPr>
          <w:sz w:val="20"/>
          <w:szCs w:val="20"/>
        </w:rPr>
        <w:t>ot be completely reflected in deferred revenue at any single point in time. Accordingly, we do not believe that change in deferred revenue is an accurate indicator of future revenue</w:t>
      </w:r>
      <w:r>
        <w:rPr>
          <w:sz w:val="20"/>
          <w:szCs w:val="20"/>
        </w:rPr>
        <w:t>.</w:t>
      </w:r>
    </w:p>
    <w:p w:rsidR="00000000" w:rsidRDefault="00805FA0">
      <w:pPr>
        <w:pStyle w:val="a3"/>
        <w:spacing w:before="200" w:beforeAutospacing="0" w:after="0" w:afterAutospacing="0"/>
        <w:ind w:firstLine="592"/>
        <w:rPr>
          <w:sz w:val="20"/>
          <w:szCs w:val="20"/>
        </w:rPr>
      </w:pPr>
      <w:r>
        <w:rPr>
          <w:sz w:val="20"/>
          <w:szCs w:val="20"/>
        </w:rPr>
        <w:t>Many of our customers purchase on-boarding, training, and consulting serv</w:t>
      </w:r>
      <w:r>
        <w:rPr>
          <w:sz w:val="20"/>
          <w:szCs w:val="20"/>
        </w:rPr>
        <w:t>ices, and utilize other tools and Payments, which are designed to help customers enhance their ability to attract, engage and delight their customers using our CRM Platform. Professional services and other revenue accounted for 2% of total revenue for thre</w:t>
      </w:r>
      <w:r>
        <w:rPr>
          <w:sz w:val="20"/>
          <w:szCs w:val="20"/>
        </w:rPr>
        <w:t>e and nine months ended September 30, 2022 and 3% of our total revenue for the three and nine months ended September 30, 2021</w:t>
      </w:r>
      <w:r>
        <w:rPr>
          <w:sz w:val="20"/>
          <w:szCs w:val="20"/>
        </w:rPr>
        <w:t>.</w:t>
      </w:r>
      <w:r>
        <w:rPr>
          <w:sz w:val="20"/>
          <w:szCs w:val="20"/>
        </w:rPr>
        <w:t xml:space="preserve"> </w:t>
      </w:r>
    </w:p>
    <w:p w:rsidR="00000000" w:rsidRDefault="00805FA0">
      <w:pPr>
        <w:pStyle w:val="a3"/>
        <w:spacing w:before="200" w:beforeAutospacing="0" w:after="0" w:afterAutospacing="0"/>
        <w:ind w:firstLine="592"/>
        <w:rPr>
          <w:sz w:val="20"/>
          <w:szCs w:val="20"/>
        </w:rPr>
      </w:pPr>
      <w:r>
        <w:rPr>
          <w:sz w:val="20"/>
          <w:szCs w:val="20"/>
        </w:rPr>
        <w:t>We have focused on rapidly growing our business and plan to continue to make investments to help us address some of the challeng</w:t>
      </w:r>
      <w:r>
        <w:rPr>
          <w:sz w:val="20"/>
          <w:szCs w:val="20"/>
        </w:rPr>
        <w:t>es facing us to support this growth, such as demand for our CRM Platform by existing and new customers, significan</w:t>
      </w:r>
      <w:r>
        <w:rPr>
          <w:sz w:val="20"/>
          <w:szCs w:val="20"/>
        </w:rPr>
        <w:t>t</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2</w:t>
      </w:r>
      <w:r>
        <w:rPr>
          <w:sz w:val="20"/>
          <w:szCs w:val="20"/>
        </w:rPr>
        <w:t>2</w:t>
      </w:r>
    </w:p>
    <w:p w:rsidR="00000000" w:rsidRDefault="00805FA0">
      <w:pPr>
        <w:rPr>
          <w:rFonts w:eastAsia="Times New Roman"/>
        </w:rPr>
      </w:pPr>
      <w:r>
        <w:rPr>
          <w:rFonts w:eastAsia="Times New Roman"/>
        </w:rPr>
        <w:pict>
          <v:rect id="_x0000_i1046"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competition from other providers of marketing, sales, customer service, operations, and content management software and related applications and rapid technological change in our industry</w:t>
      </w:r>
      <w:r>
        <w:rPr>
          <w:sz w:val="20"/>
          <w:szCs w:val="20"/>
        </w:rPr>
        <w:t>.</w:t>
      </w:r>
      <w:r>
        <w:rPr>
          <w:sz w:val="20"/>
          <w:szCs w:val="20"/>
        </w:rPr>
        <w:t xml:space="preserve"> </w:t>
      </w:r>
    </w:p>
    <w:p w:rsidR="00000000" w:rsidRDefault="00805FA0">
      <w:pPr>
        <w:pStyle w:val="a3"/>
        <w:spacing w:before="200" w:beforeAutospacing="0" w:after="0" w:afterAutospacing="0"/>
        <w:ind w:firstLine="592"/>
        <w:rPr>
          <w:sz w:val="20"/>
          <w:szCs w:val="20"/>
        </w:rPr>
      </w:pPr>
      <w:r>
        <w:rPr>
          <w:sz w:val="20"/>
          <w:szCs w:val="20"/>
        </w:rPr>
        <w:t>We believe that the growth o</w:t>
      </w:r>
      <w:r>
        <w:rPr>
          <w:sz w:val="20"/>
          <w:szCs w:val="20"/>
        </w:rPr>
        <w:t>f our business is dependent on many factors, including our ability to expand our customer base, increase adoption of our CRM Platform within existing customers, develop new products and applications to extend the functionality of our CRM Platform and provi</w:t>
      </w:r>
      <w:r>
        <w:rPr>
          <w:sz w:val="20"/>
          <w:szCs w:val="20"/>
        </w:rPr>
        <w:t>de a high level of customer service. We expect to continue to invest in sales and marketing and expand our international operations. We also expect to increase our investment in research and development as we continue to introduce new products and applicat</w:t>
      </w:r>
      <w:r>
        <w:rPr>
          <w:sz w:val="20"/>
          <w:szCs w:val="20"/>
        </w:rPr>
        <w:t>ions to extend the functionality of our CRM Platform. We also intend to maintain a high level of customer service and support which we consider critical for our continued success. We plan to continue investing in our data center infrastructure and services</w:t>
      </w:r>
      <w:r>
        <w:rPr>
          <w:sz w:val="20"/>
          <w:szCs w:val="20"/>
        </w:rPr>
        <w:t xml:space="preserve"> capabilities in order to support continued future customer growth. We also expect to continue to incur additional general and administrative expenses as a result of both our growth and the infrastructure required to be a public company. We expect to use o</w:t>
      </w:r>
      <w:r>
        <w:rPr>
          <w:sz w:val="20"/>
          <w:szCs w:val="20"/>
        </w:rPr>
        <w:t xml:space="preserve">ur cash flow from operations and the proceeds from our convertible debt and prior stock offerings to fund these growth strategies and support our business and do not expect to be profitable in the near term. </w:t>
      </w:r>
      <w:r>
        <w:rPr>
          <w:sz w:val="20"/>
          <w:szCs w:val="20"/>
        </w:rPr>
        <w:br/>
      </w:r>
      <w:r>
        <w:rPr>
          <w:sz w:val="20"/>
          <w:szCs w:val="20"/>
        </w:rPr>
        <w:br/>
      </w:r>
      <w:r>
        <w:rPr>
          <w:sz w:val="20"/>
          <w:szCs w:val="20"/>
        </w:rPr>
        <w:br/>
      </w:r>
      <w:r>
        <w:rPr>
          <w:sz w:val="20"/>
          <w:szCs w:val="20"/>
        </w:rPr>
        <w:br/>
      </w:r>
      <w:r>
        <w:rPr>
          <w:b/>
          <w:bCs/>
          <w:sz w:val="20"/>
          <w:szCs w:val="20"/>
        </w:rPr>
        <w:t>COVID-19 and Other Global Economic Condition</w:t>
      </w:r>
      <w:r>
        <w:rPr>
          <w:b/>
          <w:bCs/>
          <w:sz w:val="20"/>
          <w:szCs w:val="20"/>
        </w:rPr>
        <w:t>s</w:t>
      </w:r>
      <w:r>
        <w:rPr>
          <w:b/>
          <w:bCs/>
          <w:sz w:val="20"/>
          <w:szCs w:val="20"/>
        </w:rPr>
        <w:t xml:space="preserve"> </w:t>
      </w:r>
    </w:p>
    <w:p w:rsidR="00000000" w:rsidRDefault="00805FA0">
      <w:pPr>
        <w:pStyle w:val="a3"/>
        <w:spacing w:before="200" w:beforeAutospacing="0" w:after="0" w:afterAutospacing="0"/>
        <w:ind w:firstLine="592"/>
        <w:rPr>
          <w:sz w:val="20"/>
          <w:szCs w:val="20"/>
        </w:rPr>
      </w:pPr>
      <w:r>
        <w:rPr>
          <w:sz w:val="20"/>
          <w:szCs w:val="20"/>
        </w:rPr>
        <w:t>Our results of operations can be significantly influenced by general macroeconomic conditions, including, but not limited to, the impact of the pandemic, foreign currency fluctuations, interest rates, inflation, recession risks, existing and new domesti</w:t>
      </w:r>
      <w:r>
        <w:rPr>
          <w:sz w:val="20"/>
          <w:szCs w:val="20"/>
        </w:rPr>
        <w:t xml:space="preserve">c and foreign laws and regulations, all of which are beyond our control. Fluctuations in foreign exchange rates and rising inflation has had, and may continue to have an adverse impact on our financial condition and operating results in future periods. As </w:t>
      </w:r>
      <w:r>
        <w:rPr>
          <w:sz w:val="20"/>
          <w:szCs w:val="20"/>
        </w:rPr>
        <w:t>we continue to monitor the direct and indirect impacts of these circumstances, the broader implications of these macroeconomic events on our business, results of operations and overall financial position, particularly in the long term, remain uncertain. Se</w:t>
      </w:r>
      <w:r>
        <w:rPr>
          <w:sz w:val="20"/>
          <w:szCs w:val="20"/>
        </w:rPr>
        <w:t>e the section titled “Risk Factors'' included under Part II, Item 1A below for further discussion of the possible impact of these factors and other risks on our business</w:t>
      </w:r>
      <w:r>
        <w:rPr>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92"/>
        <w:rPr>
          <w:sz w:val="20"/>
          <w:szCs w:val="20"/>
        </w:rPr>
      </w:pPr>
      <w:r>
        <w:rPr>
          <w:sz w:val="20"/>
          <w:szCs w:val="20"/>
        </w:rPr>
        <w:t> </w:t>
      </w:r>
    </w:p>
    <w:p w:rsidR="00000000" w:rsidRDefault="00805FA0">
      <w:pPr>
        <w:pStyle w:val="a3"/>
        <w:spacing w:before="200" w:beforeAutospacing="0" w:after="0" w:afterAutospacing="0"/>
        <w:ind w:firstLine="592"/>
        <w:rPr>
          <w:sz w:val="20"/>
          <w:szCs w:val="20"/>
        </w:rPr>
      </w:pPr>
      <w:r>
        <w:rPr>
          <w:sz w:val="20"/>
          <w:szCs w:val="20"/>
        </w:rPr>
        <w:t> </w:t>
      </w:r>
    </w:p>
    <w:p w:rsidR="00000000" w:rsidRDefault="00805FA0">
      <w:pPr>
        <w:pStyle w:val="a3"/>
        <w:spacing w:before="200" w:beforeAutospacing="0" w:after="0" w:afterAutospacing="0"/>
        <w:ind w:firstLine="592"/>
        <w:rPr>
          <w:sz w:val="20"/>
          <w:szCs w:val="20"/>
        </w:rPr>
      </w:pPr>
      <w:r>
        <w:rPr>
          <w:sz w:val="20"/>
          <w:szCs w:val="20"/>
        </w:rPr>
        <w:t> </w:t>
      </w:r>
    </w:p>
    <w:p w:rsidR="00000000" w:rsidRDefault="00805FA0">
      <w:pPr>
        <w:pStyle w:val="a3"/>
        <w:spacing w:before="200" w:beforeAutospacing="0" w:after="0" w:afterAutospacing="0"/>
        <w:ind w:firstLine="592"/>
        <w:rPr>
          <w:sz w:val="20"/>
          <w:szCs w:val="20"/>
        </w:rPr>
      </w:pPr>
      <w:r>
        <w:rPr>
          <w:sz w:val="20"/>
          <w:szCs w:val="20"/>
        </w:rPr>
        <w:t> </w:t>
      </w:r>
    </w:p>
    <w:p w:rsidR="00000000" w:rsidRDefault="00805FA0">
      <w:pPr>
        <w:pStyle w:val="a3"/>
        <w:spacing w:before="200" w:beforeAutospacing="0" w:after="0" w:afterAutospacing="0"/>
        <w:ind w:firstLine="592"/>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2</w:t>
      </w:r>
      <w:r>
        <w:rPr>
          <w:sz w:val="20"/>
          <w:szCs w:val="20"/>
        </w:rPr>
        <w:t>3</w:t>
      </w:r>
    </w:p>
    <w:p w:rsidR="00000000" w:rsidRDefault="00805FA0">
      <w:pPr>
        <w:rPr>
          <w:rFonts w:eastAsia="Times New Roman"/>
        </w:rPr>
      </w:pPr>
      <w:r>
        <w:rPr>
          <w:rFonts w:eastAsia="Times New Roman"/>
        </w:rPr>
        <w:pict>
          <v:rect id="_x0000_i1047"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 xml:space="preserve">Results of Operations for the </w:t>
      </w:r>
      <w:r>
        <w:rPr>
          <w:b/>
          <w:bCs/>
          <w:sz w:val="20"/>
          <w:szCs w:val="20"/>
        </w:rPr>
        <w:t>Three and Nine Months Ended September 30, 2022 and 202</w:t>
      </w:r>
      <w:r>
        <w:rPr>
          <w:b/>
          <w:bCs/>
          <w:sz w:val="20"/>
          <w:szCs w:val="20"/>
        </w:rPr>
        <w:t>1</w:t>
      </w:r>
    </w:p>
    <w:p w:rsidR="00000000" w:rsidRDefault="00805FA0">
      <w:pPr>
        <w:pStyle w:val="a3"/>
        <w:spacing w:before="200" w:beforeAutospacing="0" w:after="0" w:afterAutospacing="0"/>
        <w:ind w:firstLine="555"/>
        <w:rPr>
          <w:sz w:val="20"/>
          <w:szCs w:val="20"/>
        </w:rPr>
      </w:pPr>
      <w:r>
        <w:rPr>
          <w:sz w:val="20"/>
          <w:szCs w:val="20"/>
        </w:rPr>
        <w:t>The following tables set forth our results of operations for the periods presented and as a percentage of our total revenue for those periods. The data has been derived from the unaudited consolidated</w:t>
      </w:r>
      <w:r>
        <w:rPr>
          <w:sz w:val="20"/>
          <w:szCs w:val="20"/>
        </w:rPr>
        <w:t xml:space="preserve"> financial statements contained in this Quarterly Report on Form 10-Q which include, in our opinion, all adjustments, consisting only of normal recurring adjustments, that we consider necessary for a fair statement of the financial position and results of </w:t>
      </w:r>
      <w:r>
        <w:rPr>
          <w:sz w:val="20"/>
          <w:szCs w:val="20"/>
        </w:rPr>
        <w:t>operations for the interim periods presented. The period-to-period comparison of financial results is not necessarily indicative of financial results to be achieved in future periods</w:t>
      </w:r>
      <w:r>
        <w:rPr>
          <w:sz w:val="20"/>
          <w:szCs w:val="20"/>
        </w:rPr>
        <w:t>.</w:t>
      </w:r>
      <w:r>
        <w:rPr>
          <w:sz w:val="20"/>
          <w:szCs w:val="20"/>
        </w:rPr>
        <w:t xml:space="preserve"> </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2467"/>
        <w:gridCol w:w="110"/>
        <w:gridCol w:w="160"/>
        <w:gridCol w:w="710"/>
        <w:gridCol w:w="127"/>
        <w:gridCol w:w="110"/>
        <w:gridCol w:w="160"/>
        <w:gridCol w:w="710"/>
        <w:gridCol w:w="127"/>
        <w:gridCol w:w="110"/>
        <w:gridCol w:w="160"/>
        <w:gridCol w:w="860"/>
        <w:gridCol w:w="127"/>
        <w:gridCol w:w="110"/>
        <w:gridCol w:w="160"/>
        <w:gridCol w:w="710"/>
        <w:gridCol w:w="142"/>
      </w:tblGrid>
      <w:tr w:rsidR="00000000">
        <w:trPr>
          <w:tblCellSpacing w:w="15" w:type="dxa"/>
        </w:trPr>
        <w:tc>
          <w:tcPr>
            <w:tcW w:w="2391"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4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5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1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w:t>
            </w:r>
            <w:r>
              <w:rPr>
                <w:b/>
                <w:bCs/>
                <w:sz w:val="16"/>
                <w:szCs w:val="16"/>
              </w:rPr>
              <w:t>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Revenues</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435,03</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328,97</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1,232,38</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899,66</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8,92</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10,22</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28,92</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31,68</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600"/>
              <w:rPr>
                <w:sz w:val="20"/>
                <w:szCs w:val="20"/>
              </w:rPr>
            </w:pPr>
            <w:r>
              <w:rPr>
                <w:sz w:val="20"/>
                <w:szCs w:val="20"/>
              </w:rPr>
              <w:t>Total revenu</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443,95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339,19</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1,261,31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931,34</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Cost of revenues</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67,64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57,54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191,46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152,53</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14,47</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12,05</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42,53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34,68</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600"/>
              <w:rPr>
                <w:sz w:val="20"/>
                <w:szCs w:val="20"/>
              </w:rPr>
            </w:pPr>
            <w:r>
              <w:rPr>
                <w:sz w:val="20"/>
                <w:szCs w:val="20"/>
              </w:rPr>
              <w:t>Total cost of revenue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82,12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69,60</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233,99</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187,21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361,83</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269,58</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1,027,31</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744,13</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114,03</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78,47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325,68</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218,97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229,54</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170,01</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650,93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468,83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50,46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36,02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146,30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102,88</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394,04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284,51</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1,122,93</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790,69</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(32,21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(14,92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(95,61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(46,56</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Other expense</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Interest incom</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4,65</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7,22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Interest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(7,79</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(2,82</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(24,37</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Other (expense) incom</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(1,18</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9,87</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(58</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11,06</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2,55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(12,26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(29,66</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(12,61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(91,80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(58,82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(5,31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(2,63</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(31,41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(13,73</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(97,11</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(61,46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0" w:beforeAutospacing="0" w:after="0" w:afterAutospacing="0"/>
        <w:rPr>
          <w:sz w:val="20"/>
          <w:szCs w:val="20"/>
        </w:rPr>
      </w:pPr>
      <w:r>
        <w:rPr>
          <w:sz w:val="20"/>
          <w:szCs w:val="20"/>
        </w:rPr>
        <w:t> </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3066"/>
        <w:gridCol w:w="110"/>
        <w:gridCol w:w="110"/>
        <w:gridCol w:w="485"/>
        <w:gridCol w:w="294"/>
        <w:gridCol w:w="110"/>
        <w:gridCol w:w="110"/>
        <w:gridCol w:w="427"/>
        <w:gridCol w:w="294"/>
        <w:gridCol w:w="110"/>
        <w:gridCol w:w="110"/>
        <w:gridCol w:w="486"/>
        <w:gridCol w:w="294"/>
        <w:gridCol w:w="110"/>
        <w:gridCol w:w="110"/>
        <w:gridCol w:w="525"/>
        <w:gridCol w:w="309"/>
      </w:tblGrid>
      <w:tr w:rsidR="00000000">
        <w:trPr>
          <w:tblCellSpacing w:w="15" w:type="dxa"/>
        </w:trPr>
        <w:tc>
          <w:tcPr>
            <w:tcW w:w="2455"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4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1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Cost of revenue</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Subscriptio</w:t>
            </w:r>
            <w:r>
              <w:rPr>
                <w:sz w:val="20"/>
                <w:szCs w:val="20"/>
              </w:rPr>
              <w:t>n</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Professional services and othe</w:t>
            </w:r>
            <w:r>
              <w:rPr>
                <w:sz w:val="20"/>
                <w:szCs w:val="20"/>
              </w:rPr>
              <w:t>r</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Total cost of revenu</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Sales and marketin</w:t>
            </w:r>
            <w:r>
              <w:rPr>
                <w:sz w:val="20"/>
                <w:szCs w:val="20"/>
              </w:rPr>
              <w:t>g</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Total other income (expense</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Loss before income tax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ind w:left="400"/>
              <w:rPr>
                <w:sz w:val="20"/>
                <w:szCs w:val="20"/>
              </w:rPr>
            </w:pPr>
            <w:r>
              <w:rPr>
                <w:sz w:val="20"/>
                <w:szCs w:val="20"/>
              </w:rPr>
              <w:t>Income tax expens</w:t>
            </w:r>
            <w:r>
              <w:rPr>
                <w:sz w:val="20"/>
                <w:szCs w:val="20"/>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r>
              <w:rPr>
                <w:sz w:val="20"/>
                <w:szCs w:val="20"/>
              </w:rPr>
              <w:t>%</w:t>
            </w:r>
          </w:p>
        </w:tc>
      </w:tr>
    </w:tbl>
    <w:p w:rsidR="00000000" w:rsidRDefault="00805FA0">
      <w:pPr>
        <w:pStyle w:val="a3"/>
        <w:spacing w:before="0" w:beforeAutospacing="0" w:after="0" w:afterAutospacing="0"/>
        <w:ind w:firstLine="555"/>
        <w:rPr>
          <w:sz w:val="20"/>
          <w:szCs w:val="20"/>
        </w:rPr>
      </w:pPr>
      <w:r>
        <w:rPr>
          <w:sz w:val="20"/>
          <w:szCs w:val="20"/>
        </w:rPr>
        <w:t>Percentages are based on actual values. Totals may not sum due to rounding</w:t>
      </w:r>
      <w:r>
        <w:rPr>
          <w:sz w:val="20"/>
          <w:szCs w:val="20"/>
        </w:rPr>
        <w:t>.</w:t>
      </w:r>
    </w:p>
    <w:p w:rsidR="00000000" w:rsidRDefault="00805FA0">
      <w:pPr>
        <w:pStyle w:val="a3"/>
        <w:spacing w:before="240" w:beforeAutospacing="0" w:after="0" w:afterAutospacing="0"/>
        <w:jc w:val="center"/>
        <w:rPr>
          <w:sz w:val="20"/>
          <w:szCs w:val="20"/>
        </w:rPr>
      </w:pPr>
      <w:r>
        <w:rPr>
          <w:sz w:val="20"/>
          <w:szCs w:val="20"/>
        </w:rPr>
        <w:t>2</w:t>
      </w:r>
      <w:r>
        <w:rPr>
          <w:sz w:val="20"/>
          <w:szCs w:val="20"/>
        </w:rPr>
        <w:t>4</w:t>
      </w:r>
    </w:p>
    <w:p w:rsidR="00000000" w:rsidRDefault="00805FA0">
      <w:pPr>
        <w:rPr>
          <w:rFonts w:eastAsia="Times New Roman"/>
        </w:rPr>
      </w:pPr>
      <w:r>
        <w:rPr>
          <w:rFonts w:eastAsia="Times New Roman"/>
        </w:rPr>
        <w:pict>
          <v:rect id="_x0000_i1048"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Three and Nine Months Ended September 30, 2022 Compared to the Three and Nine Months Ended September 30, 202</w:t>
      </w:r>
      <w:r>
        <w:rPr>
          <w:b/>
          <w:bCs/>
          <w:sz w:val="20"/>
          <w:szCs w:val="20"/>
        </w:rPr>
        <w:t>1</w:t>
      </w:r>
    </w:p>
    <w:p w:rsidR="00000000" w:rsidRDefault="00805FA0">
      <w:pPr>
        <w:pStyle w:val="a3"/>
        <w:spacing w:before="200" w:beforeAutospacing="0" w:after="0" w:afterAutospacing="0"/>
        <w:ind w:left="476"/>
        <w:rPr>
          <w:sz w:val="20"/>
          <w:szCs w:val="20"/>
        </w:rPr>
      </w:pPr>
      <w:r>
        <w:rPr>
          <w:b/>
          <w:bCs/>
          <w:i/>
          <w:iCs/>
          <w:sz w:val="20"/>
          <w:szCs w:val="20"/>
        </w:rPr>
        <w:t>Revenu</w:t>
      </w:r>
      <w:r>
        <w:rPr>
          <w:b/>
          <w:bCs/>
          <w:i/>
          <w:iCs/>
          <w:sz w:val="20"/>
          <w:szCs w:val="20"/>
        </w:rPr>
        <w:t>e</w:t>
      </w:r>
      <w:r>
        <w:rPr>
          <w:sz w:val="20"/>
          <w:szCs w:val="20"/>
        </w:rPr>
        <w:t xml:space="preserve"> </w:t>
      </w:r>
      <w:r>
        <w:rPr>
          <w:sz w:val="20"/>
          <w:szCs w:val="20"/>
        </w:rPr>
        <w:br/>
      </w: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4"/>
        <w:gridCol w:w="100"/>
        <w:gridCol w:w="140"/>
        <w:gridCol w:w="580"/>
        <w:gridCol w:w="100"/>
        <w:gridCol w:w="100"/>
        <w:gridCol w:w="140"/>
        <w:gridCol w:w="580"/>
        <w:gridCol w:w="100"/>
        <w:gridCol w:w="100"/>
        <w:gridCol w:w="140"/>
        <w:gridCol w:w="580"/>
        <w:gridCol w:w="114"/>
        <w:gridCol w:w="100"/>
        <w:gridCol w:w="101"/>
        <w:gridCol w:w="502"/>
        <w:gridCol w:w="247"/>
        <w:gridCol w:w="100"/>
        <w:gridCol w:w="140"/>
        <w:gridCol w:w="700"/>
        <w:gridCol w:w="100"/>
        <w:gridCol w:w="100"/>
        <w:gridCol w:w="140"/>
        <w:gridCol w:w="580"/>
        <w:gridCol w:w="100"/>
        <w:gridCol w:w="100"/>
        <w:gridCol w:w="140"/>
        <w:gridCol w:w="580"/>
        <w:gridCol w:w="114"/>
        <w:gridCol w:w="100"/>
        <w:gridCol w:w="101"/>
        <w:gridCol w:w="501"/>
        <w:gridCol w:w="262"/>
      </w:tblGrid>
      <w:tr w:rsidR="00000000">
        <w:trPr>
          <w:tblCellSpacing w:w="15" w:type="dxa"/>
        </w:trPr>
        <w:tc>
          <w:tcPr>
            <w:tcW w:w="1205"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7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9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7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4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7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9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7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4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Revenues</w:t>
            </w: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Subscriptio</w:t>
            </w:r>
            <w:r>
              <w:rPr>
                <w:sz w:val="16"/>
                <w:szCs w:val="16"/>
              </w:rPr>
              <w:t>n</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435,03</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328,97</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106,05</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1,232,38</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899,66</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332,72</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200"/>
              <w:rPr>
                <w:sz w:val="16"/>
                <w:szCs w:val="16"/>
              </w:rPr>
            </w:pPr>
            <w:r>
              <w:rPr>
                <w:sz w:val="16"/>
                <w:szCs w:val="16"/>
              </w:rPr>
              <w:t>Professional services and othe</w:t>
            </w:r>
            <w:r>
              <w:rPr>
                <w:sz w:val="16"/>
                <w:szCs w:val="16"/>
              </w:rPr>
              <w:t>r</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8,92</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10,22</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(1,29</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28,92</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31,68</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(2,76</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ind w:left="400"/>
              <w:rPr>
                <w:sz w:val="16"/>
                <w:szCs w:val="16"/>
              </w:rPr>
            </w:pPr>
            <w:r>
              <w:rPr>
                <w:sz w:val="16"/>
                <w:szCs w:val="16"/>
              </w:rPr>
              <w:t>Total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443,95</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339,19</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104,76</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1,261,31</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931,34</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329,96</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bl>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Subscription revenue increased during the three months ended September 30, 2022 compared to the same period in 2021 primarily due to the increase in Customers, which grew from 128,144 as of September 30, 2021 to 158,905 as of September 30, 2022. Average Su</w:t>
      </w:r>
      <w:r>
        <w:rPr>
          <w:sz w:val="20"/>
          <w:szCs w:val="20"/>
        </w:rPr>
        <w:t>bscription Revenue per Customer increased from $10,536 for the three months ended September 30, 2021 to $11,233 for the three months ended September 30, 2022. The growth in Customers was primarily driven by increased demand for our lower priced Starter pro</w:t>
      </w:r>
      <w:r>
        <w:rPr>
          <w:sz w:val="20"/>
          <w:szCs w:val="20"/>
        </w:rPr>
        <w:t xml:space="preserve">ducts. The increase in Average Subscription Revenue per Customer was primarily driven by a continued demand for our Professional and Enterprise products, offset by continued purchases of our lower priced Starter products and the impact of foreign currency </w:t>
      </w:r>
      <w:r>
        <w:rPr>
          <w:sz w:val="20"/>
          <w:szCs w:val="20"/>
        </w:rPr>
        <w:t>translation primarily attributable to the decline in the value of the Euro and British Pound Sterling relative to the U.S. Dollar</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Professional services and other revenue decreased during the three months ended September 30, 2022 compared to the same peri</w:t>
      </w:r>
      <w:r>
        <w:rPr>
          <w:sz w:val="20"/>
          <w:szCs w:val="20"/>
        </w:rPr>
        <w:t>od in 2021 primarily due to lower overall services revenue from onboardings and trainings, and lower fees earned from revenue share arrangements with third parties, partially offset by fees earned from Payments and other revenue streams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i/>
          <w:iCs/>
          <w:sz w:val="20"/>
          <w:szCs w:val="20"/>
          <w:u w:val="single"/>
        </w:rPr>
        <w:t>Nine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Subscription revenue increased during the three months ended September 30, 2022 compared to the same period in 2021 primarily due to the increase in Customers, which grew from 128,144 as of September 30, 2021 to 158,905 as of September 30, 2022. Average S</w:t>
      </w:r>
      <w:r>
        <w:rPr>
          <w:sz w:val="20"/>
          <w:szCs w:val="20"/>
        </w:rPr>
        <w:t xml:space="preserve">ubscription Revenue per Customer increased from $10,305 for the nine months ended September 30, 2021 to $11,162 for the nine months ended September 30, 2022. The growth in Customers was primarily driven by our increased demand for our lower priced Starter </w:t>
      </w:r>
      <w:r>
        <w:rPr>
          <w:sz w:val="20"/>
          <w:szCs w:val="20"/>
        </w:rPr>
        <w:t>products. The increase in Average Subscription Revenue per Customer was primarily driven by a continued demand for our Professional and Enterprise products, offset by continued purchases of our lower priced Starter products and the impact of foreign curren</w:t>
      </w:r>
      <w:r>
        <w:rPr>
          <w:sz w:val="20"/>
          <w:szCs w:val="20"/>
        </w:rPr>
        <w:t>cy translation primarily attributable to the decline in the value of the Euro and British Pound Sterling relative to the U.S. Dollar</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Professional services and other revenue decreased during the nine months ended September 30, 2022 compared to the same pe</w:t>
      </w:r>
      <w:r>
        <w:rPr>
          <w:sz w:val="20"/>
          <w:szCs w:val="20"/>
        </w:rPr>
        <w:t xml:space="preserve">riod in 2021 primarily due to non-recurring advertising revenue generated from our acquisition of the Hustle in the first quarter of 2021, lower overall services revenue from onboardings and trainings, and lower fees earned from revenue share arrangements </w:t>
      </w:r>
      <w:r>
        <w:rPr>
          <w:sz w:val="20"/>
          <w:szCs w:val="20"/>
        </w:rPr>
        <w:t>with third parties, partially offset by fees earned from Payments and other revenue streams</w:t>
      </w:r>
      <w:r>
        <w:rPr>
          <w:sz w:val="20"/>
          <w:szCs w:val="20"/>
        </w:rPr>
        <w:t>.</w:t>
      </w:r>
    </w:p>
    <w:p w:rsidR="00000000" w:rsidRDefault="00805FA0">
      <w:pPr>
        <w:pStyle w:val="a3"/>
        <w:spacing w:before="200" w:beforeAutospacing="0" w:after="0" w:afterAutospacing="0"/>
        <w:ind w:firstLine="555"/>
        <w:rPr>
          <w:sz w:val="20"/>
          <w:szCs w:val="20"/>
        </w:rPr>
      </w:pPr>
      <w:r>
        <w:rPr>
          <w:b/>
          <w:bCs/>
          <w:i/>
          <w:iCs/>
          <w:sz w:val="20"/>
          <w:szCs w:val="20"/>
        </w:rPr>
        <w:t>Cost of Revenue, Gross Profit and Gross Margin Percentage</w:t>
      </w:r>
      <w:r>
        <w:rPr>
          <w:b/>
          <w:bCs/>
          <w:i/>
          <w:iCs/>
          <w:sz w:val="20"/>
          <w:szCs w:val="20"/>
        </w:rPr>
        <w:t xml:space="preserve"> </w:t>
      </w:r>
      <w:r>
        <w:rPr>
          <w:sz w:val="20"/>
          <w:szCs w:val="20"/>
        </w:rPr>
        <w:br/>
      </w: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3"/>
        <w:gridCol w:w="100"/>
        <w:gridCol w:w="140"/>
        <w:gridCol w:w="580"/>
        <w:gridCol w:w="194"/>
        <w:gridCol w:w="100"/>
        <w:gridCol w:w="140"/>
        <w:gridCol w:w="580"/>
        <w:gridCol w:w="194"/>
        <w:gridCol w:w="100"/>
        <w:gridCol w:w="141"/>
        <w:gridCol w:w="581"/>
        <w:gridCol w:w="100"/>
        <w:gridCol w:w="100"/>
        <w:gridCol w:w="101"/>
        <w:gridCol w:w="495"/>
        <w:gridCol w:w="194"/>
        <w:gridCol w:w="100"/>
        <w:gridCol w:w="140"/>
        <w:gridCol w:w="700"/>
        <w:gridCol w:w="194"/>
        <w:gridCol w:w="100"/>
        <w:gridCol w:w="140"/>
        <w:gridCol w:w="580"/>
        <w:gridCol w:w="194"/>
        <w:gridCol w:w="100"/>
        <w:gridCol w:w="140"/>
        <w:gridCol w:w="580"/>
        <w:gridCol w:w="100"/>
        <w:gridCol w:w="100"/>
        <w:gridCol w:w="101"/>
        <w:gridCol w:w="492"/>
        <w:gridCol w:w="209"/>
      </w:tblGrid>
      <w:tr w:rsidR="00000000">
        <w:trPr>
          <w:tblCellSpacing w:w="15" w:type="dxa"/>
        </w:trPr>
        <w:tc>
          <w:tcPr>
            <w:tcW w:w="959"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8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5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9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9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6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5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2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7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Total cost of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82,12</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69,60</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12,52</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233,99</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187,21</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46,78</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Gross profi</w:t>
            </w:r>
            <w:r>
              <w:rPr>
                <w:sz w:val="16"/>
                <w:szCs w:val="16"/>
              </w:rPr>
              <w:t>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361,83</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269,58</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92,24</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1,027,31</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744,13</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283,18</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Gross margin percentag</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8</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7</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8</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8</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bl>
    <w:p w:rsidR="00000000" w:rsidRDefault="00805FA0">
      <w:pPr>
        <w:pStyle w:val="a3"/>
        <w:spacing w:before="200" w:beforeAutospacing="0" w:after="0" w:afterAutospacing="0"/>
        <w:ind w:firstLine="555"/>
        <w:rPr>
          <w:sz w:val="20"/>
          <w:szCs w:val="20"/>
        </w:rPr>
      </w:pPr>
      <w:r>
        <w:rPr>
          <w:sz w:val="20"/>
          <w:szCs w:val="20"/>
        </w:rPr>
        <w:t>Total cost of revenue for the three and nine months ended September 30, 2022 increased compared to the same period in 2021 primarily due to an increase in subscription and hosting costs, employee-related costs, amortization of capitalized software develop</w:t>
      </w:r>
      <w:r>
        <w:rPr>
          <w:sz w:val="20"/>
          <w:szCs w:val="20"/>
        </w:rPr>
        <w:t>ment costs, and amortization of acquired technology, offset by a decrease in allocated overhead expenses. Gross margins remained consistent year-over-year.</w:t>
      </w:r>
      <w:r>
        <w:rPr>
          <w:sz w:val="20"/>
          <w:szCs w:val="20"/>
        </w:rPr>
        <w:br/>
      </w: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
        <w:gridCol w:w="100"/>
        <w:gridCol w:w="140"/>
        <w:gridCol w:w="500"/>
        <w:gridCol w:w="194"/>
        <w:gridCol w:w="100"/>
        <w:gridCol w:w="140"/>
        <w:gridCol w:w="500"/>
        <w:gridCol w:w="194"/>
        <w:gridCol w:w="100"/>
        <w:gridCol w:w="141"/>
        <w:gridCol w:w="586"/>
        <w:gridCol w:w="100"/>
        <w:gridCol w:w="100"/>
        <w:gridCol w:w="101"/>
        <w:gridCol w:w="495"/>
        <w:gridCol w:w="194"/>
        <w:gridCol w:w="100"/>
        <w:gridCol w:w="140"/>
        <w:gridCol w:w="580"/>
        <w:gridCol w:w="194"/>
        <w:gridCol w:w="100"/>
        <w:gridCol w:w="140"/>
        <w:gridCol w:w="580"/>
        <w:gridCol w:w="194"/>
        <w:gridCol w:w="100"/>
        <w:gridCol w:w="141"/>
        <w:gridCol w:w="567"/>
        <w:gridCol w:w="100"/>
        <w:gridCol w:w="100"/>
        <w:gridCol w:w="101"/>
        <w:gridCol w:w="499"/>
        <w:gridCol w:w="209"/>
      </w:tblGrid>
      <w:tr w:rsidR="00000000">
        <w:trPr>
          <w:tblCellSpacing w:w="15" w:type="dxa"/>
        </w:trPr>
        <w:tc>
          <w:tcPr>
            <w:tcW w:w="1038" w:type="pct"/>
            <w:vAlign w:val="center"/>
            <w:hideMark/>
          </w:tcPr>
          <w:p w:rsidR="00000000" w:rsidRDefault="00805FA0">
            <w:pPr>
              <w:rPr>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8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5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1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4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0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5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2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Subscription cost of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67,64</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57,54</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10,10</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191,46</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152,53</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38,93</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Percentage of subscription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bl>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2</w:t>
      </w:r>
      <w:r>
        <w:rPr>
          <w:sz w:val="20"/>
          <w:szCs w:val="20"/>
        </w:rPr>
        <w:t>5</w:t>
      </w:r>
    </w:p>
    <w:p w:rsidR="00000000" w:rsidRDefault="00805FA0">
      <w:pPr>
        <w:rPr>
          <w:rFonts w:eastAsia="Times New Roman"/>
        </w:rPr>
      </w:pPr>
      <w:r>
        <w:rPr>
          <w:rFonts w:eastAsia="Times New Roman"/>
        </w:rPr>
        <w:pict>
          <v:rect id="_x0000_i1049"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The increase in subscription cost of revenue for the three and nine months ended September 30, 2022 compared to the same period in 2021 was primarily due to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80"/>
        <w:gridCol w:w="110"/>
        <w:gridCol w:w="160"/>
        <w:gridCol w:w="1081"/>
        <w:gridCol w:w="127"/>
        <w:gridCol w:w="115"/>
        <w:gridCol w:w="160"/>
        <w:gridCol w:w="1270"/>
        <w:gridCol w:w="142"/>
      </w:tblGrid>
      <w:tr w:rsidR="00000000">
        <w:trPr>
          <w:tblCellSpacing w:w="15" w:type="dxa"/>
        </w:trPr>
        <w:tc>
          <w:tcPr>
            <w:tcW w:w="2769" w:type="pct"/>
            <w:vAlign w:val="center"/>
            <w:hideMark/>
          </w:tcPr>
          <w:p w:rsidR="00000000" w:rsidRDefault="00805FA0">
            <w:pPr>
              <w:rPr>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03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Subscription and hosting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5,94</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22,40</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2,17</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9,52</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Amortization of capitalized software development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2,43</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6,90</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Amortization of acquired technolog</w:t>
            </w:r>
            <w:r>
              <w:rPr>
                <w:sz w:val="20"/>
                <w:szCs w:val="20"/>
              </w:rPr>
              <w:t>y</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21</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10,10</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38,93</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Subscription and hosting costs increased primarily due to growth in our Customer base from 128,144 as of September 30, 2021 to 158,905 as of September 30, 2022. We also saw higher subscription and hosting costs as we continued to focus on the security, rel</w:t>
      </w:r>
      <w:r>
        <w:rPr>
          <w:sz w:val="20"/>
          <w:szCs w:val="20"/>
        </w:rPr>
        <w:t>iability and performance of our CRM Platform. Employee-related costs increased as a result of increased headcount as we grew our customer support organization to support our customer growth and improve service levels and offerings. Amortization of capitali</w:t>
      </w:r>
      <w:r>
        <w:rPr>
          <w:sz w:val="20"/>
          <w:szCs w:val="20"/>
        </w:rPr>
        <w:t>zed software development costs increased due to the increased number of developers working on our software platform as we continued to develop new products and increased functionality. Amortization of acquired technology increased due to certain acquired t</w:t>
      </w:r>
      <w:r>
        <w:rPr>
          <w:sz w:val="20"/>
          <w:szCs w:val="20"/>
        </w:rPr>
        <w:t>echnology being amortized using a method reflective of the expected economic benefit consumption over the expected useful life of the asset. Allocated overhead expenses decreased primarily due to the reduction of our leased space</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i/>
          <w:iCs/>
          <w:sz w:val="20"/>
          <w:szCs w:val="20"/>
          <w:u w:val="single"/>
        </w:rPr>
        <w:t>Nine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Subscr</w:t>
      </w:r>
      <w:r>
        <w:rPr>
          <w:sz w:val="20"/>
          <w:szCs w:val="20"/>
        </w:rPr>
        <w:t>iption and hosting costs increased primarily due to growth in our Customer base from 128,144 as of September 30, 2021 to 158,905 as of September 30, 2022. We also saw higher subscription and hosting costs as we launched an additional data center in the thi</w:t>
      </w:r>
      <w:r>
        <w:rPr>
          <w:sz w:val="20"/>
          <w:szCs w:val="20"/>
        </w:rPr>
        <w:t xml:space="preserve">rd quarter of 2021 and continued to focus on the security, reliability and performance of our CRM Platform. Employee-related costs increased as a result of increased headcount as we grew our customer support organization to support our customer growth and </w:t>
      </w:r>
      <w:r>
        <w:rPr>
          <w:sz w:val="20"/>
          <w:szCs w:val="20"/>
        </w:rPr>
        <w:t>improve service levels and offerings. Amortization of capitalized software development costs increased due to the increased number of developers working on our software platform as we continued to develop new products and increased functionality. Amortizat</w:t>
      </w:r>
      <w:r>
        <w:rPr>
          <w:sz w:val="20"/>
          <w:szCs w:val="20"/>
        </w:rPr>
        <w:t>ion of acquired technology increased due to certain acquired technology being amortized using a method reflective of the expected economic benefit consumption over the expected useful life of the asset. Allocated overhead expenses decreased primarily due t</w:t>
      </w:r>
      <w:r>
        <w:rPr>
          <w:sz w:val="20"/>
          <w:szCs w:val="20"/>
        </w:rPr>
        <w:t>o the reduction of our leased space</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3"/>
        <w:gridCol w:w="100"/>
        <w:gridCol w:w="140"/>
        <w:gridCol w:w="500"/>
        <w:gridCol w:w="194"/>
        <w:gridCol w:w="100"/>
        <w:gridCol w:w="140"/>
        <w:gridCol w:w="500"/>
        <w:gridCol w:w="194"/>
        <w:gridCol w:w="100"/>
        <w:gridCol w:w="141"/>
        <w:gridCol w:w="587"/>
        <w:gridCol w:w="100"/>
        <w:gridCol w:w="100"/>
        <w:gridCol w:w="101"/>
        <w:gridCol w:w="495"/>
        <w:gridCol w:w="194"/>
        <w:gridCol w:w="100"/>
        <w:gridCol w:w="140"/>
        <w:gridCol w:w="500"/>
        <w:gridCol w:w="194"/>
        <w:gridCol w:w="100"/>
        <w:gridCol w:w="140"/>
        <w:gridCol w:w="500"/>
        <w:gridCol w:w="194"/>
        <w:gridCol w:w="100"/>
        <w:gridCol w:w="141"/>
        <w:gridCol w:w="569"/>
        <w:gridCol w:w="100"/>
        <w:gridCol w:w="100"/>
        <w:gridCol w:w="101"/>
        <w:gridCol w:w="499"/>
        <w:gridCol w:w="209"/>
      </w:tblGrid>
      <w:tr w:rsidR="00000000">
        <w:trPr>
          <w:tblCellSpacing w:w="15" w:type="dxa"/>
        </w:trPr>
        <w:tc>
          <w:tcPr>
            <w:tcW w:w="1035" w:type="pct"/>
            <w:vAlign w:val="center"/>
            <w:hideMark/>
          </w:tcPr>
          <w:p w:rsidR="00000000" w:rsidRDefault="00805FA0">
            <w:pPr>
              <w:rPr>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8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1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4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9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5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2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Professional services and other</w:t>
            </w:r>
            <w:r>
              <w:rPr>
                <w:sz w:val="16"/>
                <w:szCs w:val="16"/>
              </w:rPr>
              <w:br/>
              <w:t>   cost of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14,47</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12,05</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2,42</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42,53</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34,68</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7,84</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Percentage of professional</w:t>
            </w:r>
            <w:r>
              <w:rPr>
                <w:sz w:val="16"/>
                <w:szCs w:val="16"/>
              </w:rPr>
              <w:br/>
              <w:t>  services and other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16</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11</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14</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r>
    </w:tbl>
    <w:p w:rsidR="00000000" w:rsidRDefault="00805FA0">
      <w:pPr>
        <w:pStyle w:val="a3"/>
        <w:spacing w:before="200" w:beforeAutospacing="0" w:after="0" w:afterAutospacing="0"/>
        <w:ind w:firstLine="816"/>
        <w:rPr>
          <w:sz w:val="20"/>
          <w:szCs w:val="20"/>
        </w:rPr>
      </w:pPr>
      <w:r>
        <w:rPr>
          <w:sz w:val="20"/>
          <w:szCs w:val="20"/>
        </w:rPr>
        <w:t xml:space="preserve">The increase in professional services and other cost of revenue for three and nine months ended September 30, 2022 compared to the same period in 2021 was primarily due to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68"/>
        <w:gridCol w:w="115"/>
        <w:gridCol w:w="160"/>
        <w:gridCol w:w="1132"/>
        <w:gridCol w:w="127"/>
        <w:gridCol w:w="115"/>
        <w:gridCol w:w="160"/>
        <w:gridCol w:w="1326"/>
        <w:gridCol w:w="142"/>
      </w:tblGrid>
      <w:tr w:rsidR="00000000">
        <w:trPr>
          <w:tblCellSpacing w:w="15" w:type="dxa"/>
        </w:trPr>
        <w:tc>
          <w:tcPr>
            <w:tcW w:w="2682" w:type="pct"/>
            <w:vAlign w:val="center"/>
            <w:hideMark/>
          </w:tcPr>
          <w:p w:rsidR="00000000" w:rsidRDefault="00805FA0">
            <w:pPr>
              <w:rPr>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3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08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2,33</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7,42</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Allocated overhead and other expense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97</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(55</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2,42</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7,84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2</w:t>
      </w:r>
      <w:r>
        <w:rPr>
          <w:sz w:val="20"/>
          <w:szCs w:val="20"/>
        </w:rPr>
        <w:t>6</w:t>
      </w:r>
    </w:p>
    <w:p w:rsidR="00000000" w:rsidRDefault="00805FA0">
      <w:pPr>
        <w:rPr>
          <w:rFonts w:eastAsia="Times New Roman"/>
        </w:rPr>
      </w:pPr>
      <w:r>
        <w:rPr>
          <w:rFonts w:eastAsia="Times New Roman"/>
        </w:rPr>
        <w:pict>
          <v:rect id="_x0000_i1050"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Employee-related costs increased as a result of increased headcount as we grew our professional services organization to support our customer growth. Allocated overhead and other expenses increased p</w:t>
      </w:r>
      <w:r>
        <w:rPr>
          <w:sz w:val="20"/>
          <w:szCs w:val="20"/>
        </w:rPr>
        <w:t>rimarily due to increased costs associated with our service offerings, offset slightly by a decrease in expense from the reduction of our leased space. Professional fees decreased due to a reduction in the use of third-party services and contractors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i/>
          <w:iCs/>
          <w:sz w:val="20"/>
          <w:szCs w:val="20"/>
          <w:u w:val="single"/>
        </w:rPr>
        <w:t>Nine</w:t>
      </w:r>
      <w:r>
        <w:rPr>
          <w:i/>
          <w:iCs/>
          <w:sz w:val="20"/>
          <w:szCs w:val="20"/>
          <w:u w:val="single"/>
        </w:rPr>
        <w:t xml:space="preserv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 xml:space="preserve">Employee-related costs increased as a result of increased headcount as we grew our professional services organization to support our customer growth. Allocated overhead and other expenses increased primarily due to increased costs associated </w:t>
      </w:r>
      <w:r>
        <w:rPr>
          <w:sz w:val="20"/>
          <w:szCs w:val="20"/>
        </w:rPr>
        <w:t>with our service offerings, offset slightly by a decrease in expense from the reduction of our leased space. Professional fees decreased due to a reduction in the use of third-party services and contractors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b/>
          <w:bCs/>
          <w:i/>
          <w:iCs/>
          <w:sz w:val="20"/>
          <w:szCs w:val="20"/>
        </w:rPr>
        <w:t>Research and Development</w:t>
      </w:r>
      <w:r>
        <w:rPr>
          <w:b/>
          <w:bCs/>
          <w:i/>
          <w:iCs/>
          <w:sz w:val="20"/>
          <w:szCs w:val="20"/>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
        <w:gridCol w:w="100"/>
        <w:gridCol w:w="140"/>
        <w:gridCol w:w="580"/>
        <w:gridCol w:w="194"/>
        <w:gridCol w:w="100"/>
        <w:gridCol w:w="140"/>
        <w:gridCol w:w="500"/>
        <w:gridCol w:w="194"/>
        <w:gridCol w:w="100"/>
        <w:gridCol w:w="141"/>
        <w:gridCol w:w="577"/>
        <w:gridCol w:w="100"/>
        <w:gridCol w:w="100"/>
        <w:gridCol w:w="101"/>
        <w:gridCol w:w="498"/>
        <w:gridCol w:w="194"/>
        <w:gridCol w:w="100"/>
        <w:gridCol w:w="140"/>
        <w:gridCol w:w="580"/>
        <w:gridCol w:w="194"/>
        <w:gridCol w:w="100"/>
        <w:gridCol w:w="140"/>
        <w:gridCol w:w="580"/>
        <w:gridCol w:w="194"/>
        <w:gridCol w:w="100"/>
        <w:gridCol w:w="140"/>
        <w:gridCol w:w="580"/>
        <w:gridCol w:w="100"/>
        <w:gridCol w:w="100"/>
        <w:gridCol w:w="101"/>
        <w:gridCol w:w="500"/>
        <w:gridCol w:w="209"/>
      </w:tblGrid>
      <w:tr w:rsidR="00000000">
        <w:trPr>
          <w:tblCellSpacing w:w="15" w:type="dxa"/>
        </w:trPr>
        <w:tc>
          <w:tcPr>
            <w:tcW w:w="1034" w:type="pct"/>
            <w:vAlign w:val="center"/>
            <w:hideMark/>
          </w:tcPr>
          <w:p w:rsidR="00000000" w:rsidRDefault="00805FA0">
            <w:pPr>
              <w:rPr>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0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1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8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1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6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8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8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2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Research and developmen</w:t>
            </w:r>
            <w:r>
              <w:rPr>
                <w:sz w:val="16"/>
                <w:szCs w:val="16"/>
              </w:rPr>
              <w:t>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114,03</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78,47</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35,56</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325,68</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218,97</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106,71</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Percentage of total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r>
    </w:tbl>
    <w:p w:rsidR="00000000" w:rsidRDefault="00805FA0">
      <w:pPr>
        <w:pStyle w:val="a3"/>
        <w:spacing w:before="200" w:beforeAutospacing="0" w:after="0" w:afterAutospacing="0"/>
        <w:ind w:firstLine="555"/>
        <w:rPr>
          <w:sz w:val="20"/>
          <w:szCs w:val="20"/>
        </w:rPr>
      </w:pPr>
      <w:r>
        <w:rPr>
          <w:sz w:val="20"/>
          <w:szCs w:val="20"/>
        </w:rPr>
        <w:t>The increase in research and development expense for the three and nine months ended September 30, 2022 compared to the same period in 2021 was primarily due to the following:</w:t>
      </w:r>
      <w:r>
        <w:rPr>
          <w:sz w:val="20"/>
          <w:szCs w:val="20"/>
        </w:rPr>
        <w:br/>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29"/>
        <w:gridCol w:w="115"/>
        <w:gridCol w:w="160"/>
        <w:gridCol w:w="1193"/>
        <w:gridCol w:w="110"/>
        <w:gridCol w:w="115"/>
        <w:gridCol w:w="160"/>
        <w:gridCol w:w="1221"/>
        <w:gridCol w:w="142"/>
      </w:tblGrid>
      <w:tr w:rsidR="00000000">
        <w:trPr>
          <w:tblCellSpacing w:w="15" w:type="dxa"/>
        </w:trPr>
        <w:tc>
          <w:tcPr>
            <w:tcW w:w="2725" w:type="pct"/>
            <w:vAlign w:val="center"/>
            <w:hideMark/>
          </w:tcPr>
          <w:p w:rsidR="00000000" w:rsidRDefault="00805FA0">
            <w:pPr>
              <w:rPr>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7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9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35,29</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108,94</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26</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2,39</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Hosting expense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(4,62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35,56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106,71</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Employee-related costs increased as a result of increased headcount as we continued to grow our engineering organization to develop new products, increase functionality and to maintain our existing CRM Platform. Allocated overhead expenses increased due to</w:t>
      </w:r>
      <w:r>
        <w:rPr>
          <w:sz w:val="20"/>
          <w:szCs w:val="20"/>
        </w:rPr>
        <w:t xml:space="preserve"> an increase in shared company expenses associated with our systems and infrastructure as we continued to grow our business and expand headcount. In July of 2021, we launched a new data center and the ongoing expenses related to the hosting of our CRM Plat</w:t>
      </w:r>
      <w:r>
        <w:rPr>
          <w:sz w:val="20"/>
          <w:szCs w:val="20"/>
        </w:rPr>
        <w:t>form on that data center are classified as subscription cost of revenue. As such, there was no change in hosting expenses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i/>
          <w:iCs/>
          <w:sz w:val="20"/>
          <w:szCs w:val="20"/>
          <w:u w:val="single"/>
        </w:rPr>
        <w:t>Nine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Employee-related costs increased as a result of increased headcount as we continued to grow our engineering organi</w:t>
      </w:r>
      <w:r>
        <w:rPr>
          <w:sz w:val="20"/>
          <w:szCs w:val="20"/>
        </w:rPr>
        <w:t>zation to develop new products, increase functionality and to maintain our existing CRM Platform. Allocated overhead expenses increased due to an increase in shared company expenses associated with our systems and infrastructure as we continued to grow our</w:t>
      </w:r>
      <w:r>
        <w:rPr>
          <w:sz w:val="20"/>
          <w:szCs w:val="20"/>
        </w:rPr>
        <w:t xml:space="preserve"> business and expand headcount. Hosting expense decreased due to incremental spend in the first half of 2021 associated with product development infrastructure that is unrelated to the hosting of our CRM Platform for paying Customers. In July of 2021, we l</w:t>
      </w:r>
      <w:r>
        <w:rPr>
          <w:sz w:val="20"/>
          <w:szCs w:val="20"/>
        </w:rPr>
        <w:t>aunched a new data center and the ongoing expenses related to the hosting of our CRM Platform on that data center are classified as subscription cost of revenue</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 </w:t>
      </w:r>
    </w:p>
    <w:p w:rsidR="00000000" w:rsidRDefault="00805FA0">
      <w:pPr>
        <w:pStyle w:val="a3"/>
        <w:spacing w:before="0" w:beforeAutospacing="0" w:after="0" w:afterAutospacing="0"/>
        <w:ind w:firstLine="555"/>
        <w:rPr>
          <w:sz w:val="20"/>
          <w:szCs w:val="20"/>
        </w:rPr>
      </w:pPr>
      <w:r>
        <w:rPr>
          <w:b/>
          <w:bCs/>
          <w:i/>
          <w:iCs/>
          <w:sz w:val="20"/>
          <w:szCs w:val="20"/>
        </w:rPr>
        <w:t>Sales and Marketing</w:t>
      </w:r>
      <w:r>
        <w:rPr>
          <w:b/>
          <w:bCs/>
          <w:i/>
          <w:iCs/>
          <w:sz w:val="20"/>
          <w:szCs w:val="20"/>
        </w:rPr>
        <w:br/>
      </w:r>
      <w:r>
        <w:rPr>
          <w:b/>
          <w:bCs/>
          <w:i/>
          <w:i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3"/>
        <w:gridCol w:w="100"/>
        <w:gridCol w:w="140"/>
        <w:gridCol w:w="580"/>
        <w:gridCol w:w="194"/>
        <w:gridCol w:w="100"/>
        <w:gridCol w:w="140"/>
        <w:gridCol w:w="580"/>
        <w:gridCol w:w="194"/>
        <w:gridCol w:w="100"/>
        <w:gridCol w:w="141"/>
        <w:gridCol w:w="568"/>
        <w:gridCol w:w="100"/>
        <w:gridCol w:w="100"/>
        <w:gridCol w:w="101"/>
        <w:gridCol w:w="496"/>
        <w:gridCol w:w="194"/>
        <w:gridCol w:w="100"/>
        <w:gridCol w:w="140"/>
        <w:gridCol w:w="580"/>
        <w:gridCol w:w="194"/>
        <w:gridCol w:w="100"/>
        <w:gridCol w:w="140"/>
        <w:gridCol w:w="580"/>
        <w:gridCol w:w="194"/>
        <w:gridCol w:w="100"/>
        <w:gridCol w:w="140"/>
        <w:gridCol w:w="580"/>
        <w:gridCol w:w="100"/>
        <w:gridCol w:w="100"/>
        <w:gridCol w:w="101"/>
        <w:gridCol w:w="498"/>
        <w:gridCol w:w="209"/>
      </w:tblGrid>
      <w:tr w:rsidR="00000000">
        <w:trPr>
          <w:tblCellSpacing w:w="15" w:type="dxa"/>
        </w:trPr>
        <w:tc>
          <w:tcPr>
            <w:tcW w:w="997" w:type="pct"/>
            <w:vAlign w:val="center"/>
            <w:hideMark/>
          </w:tcPr>
          <w:p w:rsidR="00000000" w:rsidRDefault="00805FA0">
            <w:pPr>
              <w:rPr>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6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5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9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6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2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1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w:t>
            </w:r>
            <w:r>
              <w:rPr>
                <w:b/>
                <w:bCs/>
                <w:sz w:val="16"/>
                <w:szCs w:val="16"/>
              </w:rPr>
              <w:t>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Sales and marketin</w:t>
            </w:r>
            <w:r>
              <w:rPr>
                <w:sz w:val="16"/>
                <w:szCs w:val="16"/>
              </w:rPr>
              <w:t>g</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229,54</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170,01</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59,52</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650,93</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468,83</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182,10</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Percentage of total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5</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5</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5</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5</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r>
    </w:tbl>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2</w:t>
      </w:r>
      <w:r>
        <w:rPr>
          <w:sz w:val="20"/>
          <w:szCs w:val="20"/>
        </w:rPr>
        <w:t>7</w:t>
      </w:r>
    </w:p>
    <w:p w:rsidR="00000000" w:rsidRDefault="00805FA0">
      <w:pPr>
        <w:rPr>
          <w:rFonts w:eastAsia="Times New Roman"/>
        </w:rPr>
      </w:pPr>
      <w:r>
        <w:rPr>
          <w:rFonts w:eastAsia="Times New Roman"/>
        </w:rPr>
        <w:pict>
          <v:rect id="_x0000_i1051"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The increase in sales and marketing expense for the three and nine months ended September 30, 2022 compared to the same period in 2021 was primarily due to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219"/>
        <w:gridCol w:w="110"/>
        <w:gridCol w:w="160"/>
        <w:gridCol w:w="1311"/>
        <w:gridCol w:w="110"/>
        <w:gridCol w:w="115"/>
        <w:gridCol w:w="160"/>
        <w:gridCol w:w="1335"/>
        <w:gridCol w:w="125"/>
      </w:tblGrid>
      <w:tr w:rsidR="00000000">
        <w:trPr>
          <w:tblCellSpacing w:w="15" w:type="dxa"/>
        </w:trPr>
        <w:tc>
          <w:tcPr>
            <w:tcW w:w="2554" w:type="pct"/>
            <w:vAlign w:val="center"/>
            <w:hideMark/>
          </w:tcPr>
          <w:p w:rsidR="00000000" w:rsidRDefault="00805FA0">
            <w:pPr>
              <w:rPr>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0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108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48,34</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139,76</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Solutions Partner commission</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5,85</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19,99</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Marketing program</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3,82</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13,11</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1,14</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8,54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Amortization of intangible asse</w:t>
            </w:r>
            <w:r>
              <w:rPr>
                <w:sz w:val="20"/>
                <w:szCs w:val="20"/>
              </w:rPr>
              <w:t>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68</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59,52</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182,10</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Employee-related costs increased as a result of increased headcount as we expanded our selling and marketing organizations to grow our customer base. Solutions Partner commissions increased as a result of increased revenue generated through our Solutions P</w:t>
      </w:r>
      <w:r>
        <w:rPr>
          <w:sz w:val="20"/>
          <w:szCs w:val="20"/>
        </w:rPr>
        <w:t>artners. Marketing programs increased due to the timing and size of certain marketing efforts as we made investments in attracting new customers. Allocated overhead expenses increased due to an increase in shared company expenses associated with our system</w:t>
      </w:r>
      <w:r>
        <w:rPr>
          <w:sz w:val="20"/>
          <w:szCs w:val="20"/>
        </w:rPr>
        <w:t xml:space="preserve">s and infrastructure as we continued to grow our business, offset slightly by a decrease in expense from the reduction of our leased space. Amortization of intangible assets increased primarily due to the purchase of a domain name in the second quarter of </w:t>
      </w:r>
      <w:r>
        <w:rPr>
          <w:sz w:val="20"/>
          <w:szCs w:val="20"/>
        </w:rPr>
        <w:t>2022</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i/>
          <w:iCs/>
          <w:sz w:val="20"/>
          <w:szCs w:val="20"/>
          <w:u w:val="single"/>
        </w:rPr>
        <w:t>Nine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Employee-related costs increased as a result of increased headcount as we expanded our selling and marketing organizations to grow our customer base. Solutions Partner commissions increased as a result of increased revenue generate</w:t>
      </w:r>
      <w:r>
        <w:rPr>
          <w:sz w:val="20"/>
          <w:szCs w:val="20"/>
        </w:rPr>
        <w:t>d through our Solutions Partners. Marketing programs increased due to the timing and size of certain marketing efforts as we continue to make investments in attracting new customers. Allocated overhead expenses increased due to an increase in shared compan</w:t>
      </w:r>
      <w:r>
        <w:rPr>
          <w:sz w:val="20"/>
          <w:szCs w:val="20"/>
        </w:rPr>
        <w:t xml:space="preserve">y expenses associated with our systems and infrastructure as we continued to grow our business, offset slightly by a decrease in expense from the reduction of our leased space. Amortization of intangible assets increased primarily due to the purchase of a </w:t>
      </w:r>
      <w:r>
        <w:rPr>
          <w:sz w:val="20"/>
          <w:szCs w:val="20"/>
        </w:rPr>
        <w:t>domain name in the second quarter of 2022</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b/>
          <w:bCs/>
          <w:i/>
          <w:iCs/>
          <w:sz w:val="20"/>
          <w:szCs w:val="20"/>
        </w:rPr>
        <w:t>General and Administrative</w:t>
      </w:r>
      <w:r>
        <w:rPr>
          <w:b/>
          <w:bCs/>
          <w:i/>
          <w:iCs/>
          <w:sz w:val="20"/>
          <w:szCs w:val="20"/>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1"/>
        <w:gridCol w:w="100"/>
        <w:gridCol w:w="140"/>
        <w:gridCol w:w="500"/>
        <w:gridCol w:w="194"/>
        <w:gridCol w:w="100"/>
        <w:gridCol w:w="140"/>
        <w:gridCol w:w="500"/>
        <w:gridCol w:w="194"/>
        <w:gridCol w:w="100"/>
        <w:gridCol w:w="141"/>
        <w:gridCol w:w="579"/>
        <w:gridCol w:w="100"/>
        <w:gridCol w:w="100"/>
        <w:gridCol w:w="101"/>
        <w:gridCol w:w="497"/>
        <w:gridCol w:w="194"/>
        <w:gridCol w:w="100"/>
        <w:gridCol w:w="140"/>
        <w:gridCol w:w="580"/>
        <w:gridCol w:w="194"/>
        <w:gridCol w:w="100"/>
        <w:gridCol w:w="140"/>
        <w:gridCol w:w="580"/>
        <w:gridCol w:w="194"/>
        <w:gridCol w:w="100"/>
        <w:gridCol w:w="141"/>
        <w:gridCol w:w="579"/>
        <w:gridCol w:w="100"/>
        <w:gridCol w:w="100"/>
        <w:gridCol w:w="101"/>
        <w:gridCol w:w="504"/>
        <w:gridCol w:w="209"/>
      </w:tblGrid>
      <w:tr w:rsidR="00000000">
        <w:trPr>
          <w:tblCellSpacing w:w="15" w:type="dxa"/>
        </w:trPr>
        <w:tc>
          <w:tcPr>
            <w:tcW w:w="1073" w:type="pct"/>
            <w:vAlign w:val="center"/>
            <w:hideMark/>
          </w:tcPr>
          <w:p w:rsidR="00000000" w:rsidRDefault="00805FA0">
            <w:pPr>
              <w:rPr>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1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3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8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0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1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3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8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6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General and administrativ</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50,46</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36,02</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14,43</w:t>
            </w:r>
            <w:r>
              <w:rPr>
                <w:sz w:val="16"/>
                <w:szCs w:val="16"/>
              </w:rPr>
              <w:t>8</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w:t>
            </w:r>
            <w:r>
              <w:rPr>
                <w:sz w:val="16"/>
                <w:szCs w:val="16"/>
              </w:rPr>
              <w:t>0</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146,30</w:t>
            </w:r>
            <w:r>
              <w:rPr>
                <w:sz w:val="16"/>
                <w:szCs w:val="16"/>
              </w:rPr>
              <w:t>9</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102,88</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43,42</w:t>
            </w:r>
            <w:r>
              <w:rPr>
                <w:sz w:val="16"/>
                <w:szCs w:val="16"/>
              </w:rPr>
              <w:t>6</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4</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Percentage of total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r>
    </w:tbl>
    <w:p w:rsidR="00000000" w:rsidRDefault="00805FA0">
      <w:pPr>
        <w:pStyle w:val="a3"/>
        <w:spacing w:before="200" w:beforeAutospacing="0" w:after="0" w:afterAutospacing="0"/>
        <w:ind w:firstLine="555"/>
        <w:rPr>
          <w:sz w:val="20"/>
          <w:szCs w:val="20"/>
        </w:rPr>
      </w:pPr>
      <w:r>
        <w:rPr>
          <w:sz w:val="20"/>
          <w:szCs w:val="20"/>
        </w:rPr>
        <w:t xml:space="preserve">The increase in general and administrative expense for the three and nine months ended September 30, 2022 compared to the same period in 2021 was primarily due to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444"/>
        <w:gridCol w:w="115"/>
        <w:gridCol w:w="160"/>
        <w:gridCol w:w="1198"/>
        <w:gridCol w:w="110"/>
        <w:gridCol w:w="115"/>
        <w:gridCol w:w="160"/>
        <w:gridCol w:w="1218"/>
        <w:gridCol w:w="125"/>
      </w:tblGrid>
      <w:tr w:rsidR="00000000">
        <w:trPr>
          <w:tblCellSpacing w:w="15" w:type="dxa"/>
        </w:trPr>
        <w:tc>
          <w:tcPr>
            <w:tcW w:w="2733" w:type="pct"/>
            <w:vAlign w:val="center"/>
            <w:hideMark/>
          </w:tcPr>
          <w:p w:rsidR="00000000" w:rsidRDefault="00805FA0">
            <w:pPr>
              <w:rPr>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7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Employee-related cost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11,84</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35,86</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Customer credit card fee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1,96</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5,69</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Allocated overhead expense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62</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1,86</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14,43</w:t>
            </w:r>
            <w:r>
              <w:rPr>
                <w:sz w:val="20"/>
                <w:szCs w:val="20"/>
              </w:rPr>
              <w:t>8</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43,42</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bl>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Employee-related costs increased as a result of increased headcount as we grew our business and required additional personnel to support our expanded operations. Customer credit card fees increased due to increased customer transactions as we continue to g</w:t>
      </w:r>
      <w:r>
        <w:rPr>
          <w:sz w:val="20"/>
          <w:szCs w:val="20"/>
        </w:rPr>
        <w:t>row our business. Allocated overhead expenses increased due to an increase in shared company expenses associated with our systems and infrastructure as we continued to grow our business</w:t>
      </w:r>
      <w:r>
        <w:rPr>
          <w:sz w:val="20"/>
          <w:szCs w:val="20"/>
        </w:rPr>
        <w:t>.</w:t>
      </w:r>
    </w:p>
    <w:p w:rsidR="00000000" w:rsidRDefault="00805FA0">
      <w:pPr>
        <w:pStyle w:val="a3"/>
        <w:spacing w:before="200" w:beforeAutospacing="0" w:after="0" w:afterAutospacing="0"/>
        <w:ind w:firstLine="555"/>
        <w:rPr>
          <w:sz w:val="20"/>
          <w:szCs w:val="20"/>
        </w:rPr>
      </w:pPr>
      <w:r>
        <w:rPr>
          <w:i/>
          <w:iCs/>
          <w:sz w:val="20"/>
          <w:szCs w:val="20"/>
          <w:u w:val="single"/>
        </w:rPr>
        <w:t>Nine month chang</w:t>
      </w:r>
      <w:r>
        <w:rPr>
          <w:i/>
          <w:iCs/>
          <w:sz w:val="20"/>
          <w:szCs w:val="20"/>
          <w:u w:val="single"/>
        </w:rPr>
        <w:t>e</w:t>
      </w:r>
    </w:p>
    <w:p w:rsidR="00000000" w:rsidRDefault="00805FA0">
      <w:pPr>
        <w:pStyle w:val="a3"/>
        <w:spacing w:before="240" w:beforeAutospacing="0" w:after="0" w:afterAutospacing="0"/>
        <w:jc w:val="center"/>
        <w:rPr>
          <w:sz w:val="20"/>
          <w:szCs w:val="20"/>
        </w:rPr>
      </w:pPr>
      <w:r>
        <w:rPr>
          <w:sz w:val="20"/>
          <w:szCs w:val="20"/>
        </w:rPr>
        <w:t>2</w:t>
      </w:r>
      <w:r>
        <w:rPr>
          <w:sz w:val="20"/>
          <w:szCs w:val="20"/>
        </w:rPr>
        <w:t>8</w:t>
      </w:r>
    </w:p>
    <w:p w:rsidR="00000000" w:rsidRDefault="00805FA0">
      <w:pPr>
        <w:rPr>
          <w:rFonts w:eastAsia="Times New Roman"/>
        </w:rPr>
      </w:pPr>
      <w:r>
        <w:rPr>
          <w:rFonts w:eastAsia="Times New Roman"/>
        </w:rPr>
        <w:pict>
          <v:rect id="_x0000_i1052"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Employee-r</w:t>
      </w:r>
      <w:r>
        <w:rPr>
          <w:sz w:val="20"/>
          <w:szCs w:val="20"/>
        </w:rPr>
        <w:t>elated costs increased as a result of increased headcount as we grew our business and required additional personnel to support our expanded operations. Customer credit card fees increased due to increased customer transactions as we continue to grow our bu</w:t>
      </w:r>
      <w:r>
        <w:rPr>
          <w:sz w:val="20"/>
          <w:szCs w:val="20"/>
        </w:rPr>
        <w:t>siness. Allocated overhead expenses increased due to an increase in shared company expenses associated with our systems and infrastructure as we continued to grow our business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b/>
          <w:bCs/>
          <w:i/>
          <w:iCs/>
          <w:sz w:val="20"/>
          <w:szCs w:val="20"/>
        </w:rPr>
        <w:t xml:space="preserve">Interest income </w:t>
      </w:r>
      <w:r>
        <w:rPr>
          <w:b/>
          <w:bCs/>
          <w:i/>
          <w:iCs/>
          <w:sz w:val="20"/>
          <w:szCs w:val="20"/>
        </w:rPr>
        <w:br/>
      </w:r>
      <w:r>
        <w:rPr>
          <w:b/>
          <w:bCs/>
          <w:i/>
          <w:i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3"/>
        <w:gridCol w:w="108"/>
        <w:gridCol w:w="155"/>
        <w:gridCol w:w="488"/>
        <w:gridCol w:w="219"/>
        <w:gridCol w:w="108"/>
        <w:gridCol w:w="155"/>
        <w:gridCol w:w="345"/>
        <w:gridCol w:w="108"/>
        <w:gridCol w:w="108"/>
        <w:gridCol w:w="156"/>
        <w:gridCol w:w="528"/>
        <w:gridCol w:w="108"/>
        <w:gridCol w:w="108"/>
        <w:gridCol w:w="108"/>
        <w:gridCol w:w="440"/>
        <w:gridCol w:w="219"/>
        <w:gridCol w:w="108"/>
        <w:gridCol w:w="155"/>
        <w:gridCol w:w="488"/>
        <w:gridCol w:w="219"/>
        <w:gridCol w:w="108"/>
        <w:gridCol w:w="155"/>
        <w:gridCol w:w="488"/>
        <w:gridCol w:w="108"/>
        <w:gridCol w:w="108"/>
        <w:gridCol w:w="156"/>
        <w:gridCol w:w="528"/>
        <w:gridCol w:w="108"/>
        <w:gridCol w:w="108"/>
        <w:gridCol w:w="109"/>
        <w:gridCol w:w="472"/>
        <w:gridCol w:w="234"/>
      </w:tblGrid>
      <w:tr w:rsidR="00000000">
        <w:trPr>
          <w:tblCellSpacing w:w="15" w:type="dxa"/>
        </w:trPr>
        <w:tc>
          <w:tcPr>
            <w:tcW w:w="1157" w:type="pct"/>
            <w:vAlign w:val="center"/>
            <w:hideMark/>
          </w:tcPr>
          <w:p w:rsidR="00000000" w:rsidRDefault="00805FA0">
            <w:pPr>
              <w:rPr>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0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8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3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3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3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5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805FA0">
            <w:pPr>
              <w:pStyle w:val="a3"/>
              <w:spacing w:before="0" w:beforeAutospacing="0" w:after="0" w:afterAutospacing="0"/>
              <w:jc w:val="center"/>
              <w:rPr>
                <w:sz w:val="15"/>
                <w:szCs w:val="15"/>
              </w:rPr>
            </w:pPr>
            <w:r>
              <w:rPr>
                <w:b/>
                <w:bCs/>
                <w:sz w:val="15"/>
                <w:szCs w:val="15"/>
              </w:rPr>
              <w:t>Three Months</w:t>
            </w:r>
            <w:r>
              <w:rPr>
                <w:b/>
                <w:bCs/>
                <w:sz w:val="15"/>
                <w:szCs w:val="15"/>
              </w:rPr>
              <w:br/>
              <w:t> Ended September 30</w:t>
            </w:r>
            <w:r>
              <w:rPr>
                <w:b/>
                <w:bCs/>
                <w:sz w:val="15"/>
                <w:szCs w:val="15"/>
              </w:rPr>
              <w:t>,</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805FA0">
            <w:pPr>
              <w:pStyle w:val="a3"/>
              <w:spacing w:before="0" w:beforeAutospacing="0" w:after="0" w:afterAutospacing="0"/>
              <w:jc w:val="center"/>
              <w:rPr>
                <w:sz w:val="15"/>
                <w:szCs w:val="15"/>
              </w:rPr>
            </w:pPr>
            <w:r>
              <w:rPr>
                <w:b/>
                <w:bCs/>
                <w:sz w:val="15"/>
                <w:szCs w:val="15"/>
              </w:rPr>
              <w:t>Nine Months</w:t>
            </w:r>
            <w:r>
              <w:rPr>
                <w:b/>
                <w:bCs/>
                <w:sz w:val="15"/>
                <w:szCs w:val="15"/>
              </w:rPr>
              <w:br/>
              <w:t> Ended September 30</w:t>
            </w:r>
            <w:r>
              <w:rPr>
                <w:b/>
                <w:bCs/>
                <w:sz w:val="15"/>
                <w:szCs w:val="15"/>
              </w:rPr>
              <w:t>,</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Interest incom</w:t>
            </w:r>
            <w:r>
              <w:rPr>
                <w:sz w:val="19"/>
                <w:szCs w:val="19"/>
              </w:rPr>
              <w:t>e</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4,65</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23</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4,42</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192</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7,22</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1,04</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6,17</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59</w:t>
            </w:r>
            <w:r>
              <w:rPr>
                <w:sz w:val="19"/>
                <w:szCs w:val="19"/>
              </w:rPr>
              <w:t>0</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1</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r>
    </w:tbl>
    <w:p w:rsidR="00000000" w:rsidRDefault="00805FA0">
      <w:pPr>
        <w:pStyle w:val="a3"/>
        <w:spacing w:before="200" w:beforeAutospacing="0" w:after="0" w:afterAutospacing="0"/>
        <w:ind w:hanging="581"/>
        <w:rPr>
          <w:sz w:val="20"/>
          <w:szCs w:val="20"/>
        </w:rPr>
      </w:pPr>
      <w:r>
        <w:rPr>
          <w:sz w:val="20"/>
          <w:szCs w:val="20"/>
        </w:rPr>
        <w:t>* not meaningfu</w:t>
      </w:r>
      <w:r>
        <w:rPr>
          <w:sz w:val="20"/>
          <w:szCs w:val="20"/>
        </w:rPr>
        <w:t>l</w:t>
      </w:r>
    </w:p>
    <w:p w:rsidR="00000000" w:rsidRDefault="00805FA0">
      <w:pPr>
        <w:pStyle w:val="a3"/>
        <w:spacing w:before="200" w:beforeAutospacing="0" w:after="0" w:afterAutospacing="0"/>
        <w:ind w:firstLine="592"/>
        <w:rPr>
          <w:sz w:val="20"/>
          <w:szCs w:val="20"/>
        </w:rPr>
      </w:pPr>
      <w:r>
        <w:rPr>
          <w:sz w:val="20"/>
          <w:szCs w:val="20"/>
        </w:rPr>
        <w:t>Interest income primarily consists of interest earned on invested cash and cash equivalents balances and investments. The increase during the three and nine months ended September 30, 2022 is due to an increase in yields on our investment balances</w:t>
      </w:r>
      <w:r>
        <w:rPr>
          <w:sz w:val="20"/>
          <w:szCs w:val="20"/>
        </w:rPr>
        <w:t>.</w:t>
      </w:r>
      <w:r>
        <w:rPr>
          <w:sz w:val="20"/>
          <w:szCs w:val="20"/>
        </w:rPr>
        <w:t xml:space="preserve"> </w:t>
      </w:r>
    </w:p>
    <w:p w:rsidR="00000000" w:rsidRDefault="00805FA0">
      <w:pPr>
        <w:pStyle w:val="a3"/>
        <w:spacing w:before="200" w:beforeAutospacing="0" w:after="0" w:afterAutospacing="0"/>
        <w:ind w:firstLine="592"/>
        <w:rPr>
          <w:sz w:val="20"/>
          <w:szCs w:val="20"/>
        </w:rPr>
      </w:pPr>
      <w:r>
        <w:rPr>
          <w:b/>
          <w:bCs/>
          <w:i/>
          <w:iCs/>
          <w:sz w:val="20"/>
          <w:szCs w:val="20"/>
        </w:rPr>
        <w:t>Intere</w:t>
      </w:r>
      <w:r>
        <w:rPr>
          <w:b/>
          <w:bCs/>
          <w:i/>
          <w:iCs/>
          <w:sz w:val="20"/>
          <w:szCs w:val="20"/>
        </w:rPr>
        <w:t>st expense</w:t>
      </w:r>
      <w:r>
        <w:rPr>
          <w:b/>
          <w:bCs/>
          <w:i/>
          <w:iCs/>
          <w:sz w:val="20"/>
          <w:szCs w:val="20"/>
        </w:rPr>
        <w:br/>
      </w:r>
      <w:r>
        <w:rPr>
          <w:b/>
          <w:bCs/>
          <w:i/>
          <w:i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9"/>
        <w:gridCol w:w="108"/>
        <w:gridCol w:w="155"/>
        <w:gridCol w:w="409"/>
        <w:gridCol w:w="124"/>
        <w:gridCol w:w="108"/>
        <w:gridCol w:w="155"/>
        <w:gridCol w:w="551"/>
        <w:gridCol w:w="282"/>
        <w:gridCol w:w="108"/>
        <w:gridCol w:w="155"/>
        <w:gridCol w:w="551"/>
        <w:gridCol w:w="124"/>
        <w:gridCol w:w="108"/>
        <w:gridCol w:w="109"/>
        <w:gridCol w:w="465"/>
        <w:gridCol w:w="282"/>
        <w:gridCol w:w="108"/>
        <w:gridCol w:w="155"/>
        <w:gridCol w:w="551"/>
        <w:gridCol w:w="124"/>
        <w:gridCol w:w="108"/>
        <w:gridCol w:w="155"/>
        <w:gridCol w:w="646"/>
        <w:gridCol w:w="282"/>
        <w:gridCol w:w="108"/>
        <w:gridCol w:w="155"/>
        <w:gridCol w:w="646"/>
        <w:gridCol w:w="124"/>
        <w:gridCol w:w="108"/>
        <w:gridCol w:w="109"/>
        <w:gridCol w:w="469"/>
        <w:gridCol w:w="297"/>
      </w:tblGrid>
      <w:tr w:rsidR="00000000">
        <w:trPr>
          <w:tblCellSpacing w:w="15" w:type="dxa"/>
        </w:trPr>
        <w:tc>
          <w:tcPr>
            <w:tcW w:w="1060"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9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5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8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9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9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9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2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805FA0">
            <w:pPr>
              <w:pStyle w:val="a3"/>
              <w:spacing w:before="0" w:beforeAutospacing="0" w:after="0" w:afterAutospacing="0"/>
              <w:jc w:val="center"/>
              <w:rPr>
                <w:sz w:val="15"/>
                <w:szCs w:val="15"/>
              </w:rPr>
            </w:pPr>
            <w:r>
              <w:rPr>
                <w:b/>
                <w:bCs/>
                <w:sz w:val="15"/>
                <w:szCs w:val="15"/>
              </w:rPr>
              <w:t>Three Months</w:t>
            </w:r>
            <w:r>
              <w:rPr>
                <w:b/>
                <w:bCs/>
                <w:sz w:val="15"/>
                <w:szCs w:val="15"/>
              </w:rPr>
              <w:br/>
              <w:t> Ended September 30</w:t>
            </w:r>
            <w:r>
              <w:rPr>
                <w:b/>
                <w:bCs/>
                <w:sz w:val="15"/>
                <w:szCs w:val="15"/>
              </w:rPr>
              <w:t>,</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805FA0">
            <w:pPr>
              <w:pStyle w:val="a3"/>
              <w:spacing w:before="0" w:beforeAutospacing="0" w:after="0" w:afterAutospacing="0"/>
              <w:jc w:val="center"/>
              <w:rPr>
                <w:sz w:val="15"/>
                <w:szCs w:val="15"/>
              </w:rPr>
            </w:pPr>
            <w:r>
              <w:rPr>
                <w:b/>
                <w:bCs/>
                <w:sz w:val="15"/>
                <w:szCs w:val="15"/>
              </w:rPr>
              <w:t>Nine Months</w:t>
            </w:r>
            <w:r>
              <w:rPr>
                <w:b/>
                <w:bCs/>
                <w:sz w:val="15"/>
                <w:szCs w:val="15"/>
              </w:rPr>
              <w:br/>
              <w:t> Ended September 30</w:t>
            </w:r>
            <w:r>
              <w:rPr>
                <w:b/>
                <w:bCs/>
                <w:sz w:val="15"/>
                <w:szCs w:val="15"/>
              </w:rPr>
              <w:t>,</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Interest expens</w:t>
            </w:r>
            <w:r>
              <w:rPr>
                <w:sz w:val="19"/>
                <w:szCs w:val="19"/>
              </w:rPr>
              <w:t>e</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(92</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(7,79</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(6,87</w:t>
            </w:r>
            <w:r>
              <w:rPr>
                <w:sz w:val="19"/>
                <w:szCs w:val="19"/>
              </w:rPr>
              <w:t>5</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(8</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(2,82</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(24,37</w:t>
            </w:r>
            <w:r>
              <w:rPr>
                <w:sz w:val="19"/>
                <w:szCs w:val="19"/>
              </w:rPr>
              <w:t>6</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(21,55</w:t>
            </w:r>
            <w:r>
              <w:rPr>
                <w:sz w:val="19"/>
                <w:szCs w:val="19"/>
              </w:rPr>
              <w:t>4</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(8</w:t>
            </w:r>
            <w:r>
              <w:rPr>
                <w:sz w:val="19"/>
                <w:szCs w:val="19"/>
              </w:rPr>
              <w:t>8</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r>
              <w:rPr>
                <w:sz w:val="19"/>
                <w:szCs w:val="19"/>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9"/>
                <w:szCs w:val="19"/>
              </w:rPr>
            </w:pPr>
            <w:r>
              <w:rPr>
                <w:sz w:val="19"/>
                <w:szCs w:val="19"/>
              </w:rPr>
              <w:t>Percentage of total revenu</w:t>
            </w:r>
            <w:r>
              <w:rPr>
                <w:sz w:val="19"/>
                <w:szCs w:val="19"/>
              </w:rPr>
              <w:t>e</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r>
              <w:rPr>
                <w:sz w:val="19"/>
                <w:szCs w:val="19"/>
              </w:rPr>
              <w:t>2</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w:t>
            </w:r>
            <w:r>
              <w:rPr>
                <w:sz w:val="19"/>
                <w:szCs w:val="19"/>
              </w:rPr>
              <w:t>3</w:t>
            </w:r>
          </w:p>
        </w:tc>
        <w:tc>
          <w:tcPr>
            <w:tcW w:w="0" w:type="auto"/>
            <w:noWrap/>
            <w:vAlign w:val="bottom"/>
            <w:hideMark/>
          </w:tcPr>
          <w:p w:rsidR="00000000" w:rsidRDefault="00805FA0">
            <w:pPr>
              <w:pStyle w:val="a3"/>
              <w:spacing w:before="0" w:beforeAutospacing="0" w:after="0" w:afterAutospacing="0"/>
              <w:rPr>
                <w:sz w:val="19"/>
                <w:szCs w:val="19"/>
              </w:rPr>
            </w:pPr>
            <w:r>
              <w:rPr>
                <w:sz w:val="19"/>
                <w:szCs w:val="19"/>
              </w:rPr>
              <w:t>)</w:t>
            </w:r>
            <w:r>
              <w:rPr>
                <w:sz w:val="19"/>
                <w:szCs w:val="19"/>
              </w:rPr>
              <w:t>%</w:t>
            </w:r>
          </w:p>
        </w:tc>
        <w:tc>
          <w:tcPr>
            <w:tcW w:w="0" w:type="auto"/>
            <w:vAlign w:val="bottom"/>
            <w:hideMark/>
          </w:tcPr>
          <w:p w:rsidR="00000000" w:rsidRDefault="00805FA0">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805FA0">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805FA0">
            <w:pPr>
              <w:pStyle w:val="a3"/>
              <w:spacing w:before="0" w:beforeAutospacing="0" w:after="0" w:afterAutospacing="0"/>
              <w:jc w:val="right"/>
              <w:rPr>
                <w:sz w:val="19"/>
                <w:szCs w:val="19"/>
              </w:rPr>
            </w:pPr>
            <w:r>
              <w:rPr>
                <w:sz w:val="19"/>
                <w:szCs w:val="19"/>
              </w:rPr>
              <w:t> </w:t>
            </w:r>
          </w:p>
        </w:tc>
      </w:tr>
    </w:tbl>
    <w:p w:rsidR="00000000" w:rsidRDefault="00805FA0">
      <w:pPr>
        <w:pStyle w:val="a3"/>
        <w:spacing w:before="200" w:beforeAutospacing="0" w:after="0" w:afterAutospacing="0"/>
        <w:ind w:hanging="581"/>
        <w:rPr>
          <w:sz w:val="20"/>
          <w:szCs w:val="20"/>
        </w:rPr>
      </w:pPr>
      <w:r>
        <w:rPr>
          <w:sz w:val="20"/>
          <w:szCs w:val="20"/>
        </w:rPr>
        <w:t xml:space="preserve">* </w:t>
      </w:r>
      <w:r>
        <w:rPr>
          <w:sz w:val="20"/>
          <w:szCs w:val="20"/>
        </w:rPr>
        <w:t>not meaningfu</w:t>
      </w:r>
      <w:r>
        <w:rPr>
          <w:sz w:val="20"/>
          <w:szCs w:val="20"/>
        </w:rPr>
        <w:t>l</w:t>
      </w:r>
    </w:p>
    <w:p w:rsidR="00000000" w:rsidRDefault="00805FA0">
      <w:pPr>
        <w:pStyle w:val="a3"/>
        <w:spacing w:before="200" w:beforeAutospacing="0" w:after="0" w:afterAutospacing="0"/>
        <w:ind w:firstLine="592"/>
        <w:rPr>
          <w:sz w:val="20"/>
          <w:szCs w:val="20"/>
        </w:rPr>
      </w:pPr>
      <w:r>
        <w:rPr>
          <w:sz w:val="20"/>
          <w:szCs w:val="20"/>
        </w:rPr>
        <w:t>The change in interest expense for the three and nine months ended September 30, 2022 compared to the same period in 2021 is due to the following:</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900"/>
        <w:gridCol w:w="110"/>
        <w:gridCol w:w="160"/>
        <w:gridCol w:w="944"/>
        <w:gridCol w:w="127"/>
        <w:gridCol w:w="115"/>
        <w:gridCol w:w="160"/>
        <w:gridCol w:w="987"/>
        <w:gridCol w:w="142"/>
      </w:tblGrid>
      <w:tr w:rsidR="00000000">
        <w:trPr>
          <w:tblCellSpacing w:w="15" w:type="dxa"/>
        </w:trPr>
        <w:tc>
          <w:tcPr>
            <w:tcW w:w="3099" w:type="pct"/>
            <w:vAlign w:val="center"/>
            <w:hideMark/>
          </w:tcPr>
          <w:p w:rsidR="00000000" w:rsidRDefault="00805FA0">
            <w:pPr>
              <w:rPr>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8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1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 xml:space="preserve">Amortization of the debt discount and issuance costs and </w:t>
            </w:r>
            <w:r>
              <w:rPr>
                <w:sz w:val="20"/>
                <w:szCs w:val="20"/>
              </w:rPr>
              <w:br/>
              <w:t>  contractual interest expense related to our Note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hideMark/>
          </w:tcPr>
          <w:p w:rsidR="00000000" w:rsidRDefault="00805FA0">
            <w:pPr>
              <w:pStyle w:val="a3"/>
              <w:spacing w:before="0" w:beforeAutospacing="0" w:after="0" w:afterAutospacing="0"/>
              <w:rPr>
                <w:sz w:val="20"/>
                <w:szCs w:val="20"/>
              </w:rPr>
            </w:pPr>
            <w:r>
              <w:rPr>
                <w:sz w:val="20"/>
                <w:szCs w:val="20"/>
              </w:rPr>
              <w:t>$</w:t>
            </w:r>
          </w:p>
        </w:tc>
        <w:tc>
          <w:tcPr>
            <w:tcW w:w="0" w:type="auto"/>
            <w:hideMark/>
          </w:tcPr>
          <w:p w:rsidR="00000000" w:rsidRDefault="00805FA0">
            <w:pPr>
              <w:pStyle w:val="a3"/>
              <w:spacing w:before="0" w:beforeAutospacing="0" w:after="0" w:afterAutospacing="0"/>
              <w:jc w:val="right"/>
              <w:rPr>
                <w:sz w:val="20"/>
                <w:szCs w:val="20"/>
              </w:rPr>
            </w:pPr>
            <w:r>
              <w:rPr>
                <w:sz w:val="20"/>
                <w:szCs w:val="20"/>
              </w:rPr>
              <w:t>(5,13</w:t>
            </w:r>
            <w:r>
              <w:rPr>
                <w:sz w:val="20"/>
                <w:szCs w:val="20"/>
              </w:rPr>
              <w:t>9</w:t>
            </w:r>
          </w:p>
        </w:tc>
        <w:tc>
          <w:tcPr>
            <w:tcW w:w="0" w:type="auto"/>
            <w:noWrap/>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hideMark/>
          </w:tcPr>
          <w:p w:rsidR="00000000" w:rsidRDefault="00805FA0">
            <w:pPr>
              <w:pStyle w:val="a3"/>
              <w:spacing w:before="0" w:beforeAutospacing="0" w:after="0" w:afterAutospacing="0"/>
              <w:rPr>
                <w:sz w:val="20"/>
                <w:szCs w:val="20"/>
              </w:rPr>
            </w:pPr>
            <w:r>
              <w:rPr>
                <w:sz w:val="20"/>
                <w:szCs w:val="20"/>
              </w:rPr>
              <w:t>$</w:t>
            </w:r>
          </w:p>
        </w:tc>
        <w:tc>
          <w:tcPr>
            <w:tcW w:w="0" w:type="auto"/>
            <w:hideMark/>
          </w:tcPr>
          <w:p w:rsidR="00000000" w:rsidRDefault="00805FA0">
            <w:pPr>
              <w:pStyle w:val="a3"/>
              <w:spacing w:before="0" w:beforeAutospacing="0" w:after="0" w:afterAutospacing="0"/>
              <w:jc w:val="right"/>
              <w:rPr>
                <w:sz w:val="20"/>
                <w:szCs w:val="20"/>
              </w:rPr>
            </w:pPr>
            <w:r>
              <w:rPr>
                <w:sz w:val="20"/>
                <w:szCs w:val="20"/>
              </w:rPr>
              <w:t>(16,73</w:t>
            </w:r>
            <w:r>
              <w:rPr>
                <w:sz w:val="20"/>
                <w:szCs w:val="20"/>
              </w:rPr>
              <w:t>1</w:t>
            </w:r>
          </w:p>
        </w:tc>
        <w:tc>
          <w:tcPr>
            <w:tcW w:w="0" w:type="auto"/>
            <w:noWrap/>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Loss on early extinguishment of 2022 Convertible Note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(1,73</w:t>
            </w:r>
            <w:r>
              <w:rPr>
                <w:sz w:val="20"/>
                <w:szCs w:val="20"/>
              </w:rPr>
              <w:t>6</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(4,82</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(6,87</w:t>
            </w:r>
            <w:r>
              <w:rPr>
                <w:sz w:val="20"/>
                <w:szCs w:val="20"/>
              </w:rPr>
              <w:t>5</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(21,55</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 xml:space="preserve">Interest expense primarily consists of amortization of the debt discount and issuance costs and contractual interest expense related to our Notes and the loss on early extinguishment of our 2022 Notes. The decrease in interest expense related to the Notes </w:t>
      </w:r>
      <w:r>
        <w:rPr>
          <w:sz w:val="20"/>
          <w:szCs w:val="20"/>
        </w:rPr>
        <w:t>and loss on extinguishment is primarily due to the adoption of the new convertible debt guidance</w:t>
      </w:r>
      <w:r>
        <w:rPr>
          <w:sz w:val="20"/>
          <w:szCs w:val="20"/>
        </w:rPr>
        <w:t>.</w:t>
      </w:r>
    </w:p>
    <w:p w:rsidR="00000000" w:rsidRDefault="00805FA0">
      <w:pPr>
        <w:pStyle w:val="a3"/>
        <w:spacing w:before="200" w:beforeAutospacing="0" w:after="0" w:afterAutospacing="0"/>
        <w:ind w:firstLine="555"/>
        <w:rPr>
          <w:sz w:val="20"/>
          <w:szCs w:val="20"/>
        </w:rPr>
      </w:pPr>
      <w:r>
        <w:rPr>
          <w:i/>
          <w:iCs/>
          <w:sz w:val="20"/>
          <w:szCs w:val="20"/>
          <w:u w:val="single"/>
        </w:rPr>
        <w:t>Nine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 xml:space="preserve">Interest expense primarily consists of amortization of the debt discount and issuance costs and contractual interest expense related to our </w:t>
      </w:r>
      <w:r>
        <w:rPr>
          <w:sz w:val="20"/>
          <w:szCs w:val="20"/>
        </w:rPr>
        <w:t>Notes, and the loss on early extinguishment of our 2022 Notes. The decrease in interest expense related to the Notes and loss on extinguishment is primarily due to the adoption of the new convertible debt guidance</w:t>
      </w:r>
      <w:r>
        <w:rPr>
          <w:sz w:val="20"/>
          <w:szCs w:val="20"/>
        </w:rPr>
        <w:t>.</w:t>
      </w:r>
    </w:p>
    <w:p w:rsidR="00000000" w:rsidRDefault="00805FA0">
      <w:pPr>
        <w:pStyle w:val="a3"/>
        <w:spacing w:before="200" w:beforeAutospacing="0" w:after="0" w:afterAutospacing="0"/>
        <w:ind w:firstLine="592"/>
        <w:rPr>
          <w:sz w:val="20"/>
          <w:szCs w:val="20"/>
        </w:rPr>
      </w:pPr>
      <w:r>
        <w:rPr>
          <w:b/>
          <w:bCs/>
          <w:i/>
          <w:iCs/>
          <w:sz w:val="20"/>
          <w:szCs w:val="20"/>
        </w:rPr>
        <w:t xml:space="preserve">Other (expense) income </w:t>
      </w:r>
      <w:r>
        <w:rPr>
          <w:b/>
          <w:bCs/>
          <w:i/>
          <w:iCs/>
          <w:sz w:val="20"/>
          <w:szCs w:val="20"/>
        </w:rPr>
        <w:br/>
      </w:r>
      <w:r>
        <w:rPr>
          <w:b/>
          <w:bCs/>
          <w:i/>
          <w:i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28"/>
        <w:gridCol w:w="100"/>
        <w:gridCol w:w="140"/>
        <w:gridCol w:w="474"/>
        <w:gridCol w:w="114"/>
        <w:gridCol w:w="100"/>
        <w:gridCol w:w="140"/>
        <w:gridCol w:w="420"/>
        <w:gridCol w:w="194"/>
        <w:gridCol w:w="100"/>
        <w:gridCol w:w="143"/>
        <w:gridCol w:w="562"/>
        <w:gridCol w:w="114"/>
        <w:gridCol w:w="100"/>
        <w:gridCol w:w="101"/>
        <w:gridCol w:w="501"/>
        <w:gridCol w:w="247"/>
        <w:gridCol w:w="100"/>
        <w:gridCol w:w="140"/>
        <w:gridCol w:w="354"/>
        <w:gridCol w:w="114"/>
        <w:gridCol w:w="100"/>
        <w:gridCol w:w="140"/>
        <w:gridCol w:w="500"/>
        <w:gridCol w:w="194"/>
        <w:gridCol w:w="100"/>
        <w:gridCol w:w="143"/>
        <w:gridCol w:w="562"/>
        <w:gridCol w:w="114"/>
        <w:gridCol w:w="100"/>
        <w:gridCol w:w="101"/>
        <w:gridCol w:w="504"/>
        <w:gridCol w:w="262"/>
      </w:tblGrid>
      <w:tr w:rsidR="00000000">
        <w:trPr>
          <w:tblCellSpacing w:w="15" w:type="dxa"/>
        </w:trPr>
        <w:tc>
          <w:tcPr>
            <w:tcW w:w="1169" w:type="pct"/>
            <w:vAlign w:val="center"/>
            <w:hideMark/>
          </w:tcPr>
          <w:p w:rsidR="00000000" w:rsidRDefault="00805FA0">
            <w:pPr>
              <w:rPr>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6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0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3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4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1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60"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3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Three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w:t>
            </w:r>
            <w:r>
              <w:rPr>
                <w:b/>
                <w:bCs/>
                <w:sz w:val="16"/>
                <w:szCs w:val="16"/>
              </w:rPr>
              <w:br/>
              <w:t>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 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w:t>
            </w:r>
            <w:r>
              <w:rPr>
                <w:rFonts w:ascii="Calibri" w:hAnsi="Calibri" w:cs="Calibri"/>
                <w:b/>
                <w:bCs/>
                <w:sz w:val="16"/>
                <w:szCs w:val="16"/>
              </w:rPr>
              <w:t xml:space="preserve"> </w:t>
            </w: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Other (expense) incom</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(1,18</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9,87</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(11,06</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(11</w:t>
            </w: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(58</w:t>
            </w:r>
            <w:r>
              <w:rPr>
                <w:sz w:val="16"/>
                <w:szCs w:val="16"/>
              </w:rPr>
              <w:t>3</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11,06</w:t>
            </w:r>
            <w:r>
              <w:rPr>
                <w:sz w:val="16"/>
                <w:szCs w:val="16"/>
              </w:rPr>
              <w:t>4</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(11,64</w:t>
            </w:r>
            <w:r>
              <w:rPr>
                <w:sz w:val="16"/>
                <w:szCs w:val="16"/>
              </w:rPr>
              <w:t>7</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(10</w:t>
            </w:r>
            <w:r>
              <w:rPr>
                <w:sz w:val="16"/>
                <w:szCs w:val="16"/>
              </w:rPr>
              <w:t>5</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r>
              <w:rPr>
                <w:sz w:val="16"/>
                <w:szCs w:val="16"/>
              </w:rPr>
              <w:t>%</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Percentage of total revenu</w:t>
            </w:r>
            <w:r>
              <w:rPr>
                <w:sz w:val="16"/>
                <w:szCs w:val="16"/>
              </w:rPr>
              <w:t>e</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2</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1</w:t>
            </w:r>
          </w:p>
        </w:tc>
        <w:tc>
          <w:tcPr>
            <w:tcW w:w="0" w:type="auto"/>
            <w:noWrap/>
            <w:vAlign w:val="bottom"/>
            <w:hideMark/>
          </w:tcPr>
          <w:p w:rsidR="00000000" w:rsidRDefault="00805FA0">
            <w:pPr>
              <w:pStyle w:val="a3"/>
              <w:spacing w:before="0" w:beforeAutospacing="0" w:after="0" w:afterAutospacing="0"/>
              <w:rPr>
                <w:sz w:val="16"/>
                <w:szCs w:val="16"/>
              </w:rPr>
            </w:pPr>
            <w:r>
              <w:rPr>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r>
    </w:tbl>
    <w:p w:rsidR="00000000" w:rsidRDefault="00805FA0">
      <w:pPr>
        <w:pStyle w:val="a3"/>
        <w:spacing w:before="200" w:beforeAutospacing="0" w:after="0" w:afterAutospacing="0"/>
        <w:ind w:hanging="581"/>
        <w:rPr>
          <w:sz w:val="20"/>
          <w:szCs w:val="20"/>
        </w:rPr>
      </w:pPr>
      <w:r>
        <w:rPr>
          <w:sz w:val="20"/>
          <w:szCs w:val="20"/>
        </w:rPr>
        <w:t>* not meaningfu</w:t>
      </w:r>
      <w:r>
        <w:rPr>
          <w:sz w:val="20"/>
          <w:szCs w:val="20"/>
        </w:rPr>
        <w:t>l</w:t>
      </w:r>
    </w:p>
    <w:p w:rsidR="00000000" w:rsidRDefault="00805FA0">
      <w:pPr>
        <w:pStyle w:val="a3"/>
        <w:spacing w:before="240" w:beforeAutospacing="0" w:after="0" w:afterAutospacing="0"/>
        <w:jc w:val="center"/>
        <w:rPr>
          <w:sz w:val="20"/>
          <w:szCs w:val="20"/>
        </w:rPr>
      </w:pPr>
      <w:r>
        <w:rPr>
          <w:sz w:val="20"/>
          <w:szCs w:val="20"/>
        </w:rPr>
        <w:t>2</w:t>
      </w:r>
      <w:r>
        <w:rPr>
          <w:sz w:val="20"/>
          <w:szCs w:val="20"/>
        </w:rPr>
        <w:t>9</w:t>
      </w:r>
    </w:p>
    <w:p w:rsidR="00000000" w:rsidRDefault="00805FA0">
      <w:pPr>
        <w:rPr>
          <w:rFonts w:eastAsia="Times New Roman"/>
        </w:rPr>
      </w:pPr>
      <w:r>
        <w:rPr>
          <w:rFonts w:eastAsia="Times New Roman"/>
        </w:rPr>
        <w:pict>
          <v:rect id="_x0000_i1053"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92"/>
        <w:rPr>
          <w:sz w:val="20"/>
          <w:szCs w:val="20"/>
        </w:rPr>
      </w:pPr>
      <w:r>
        <w:rPr>
          <w:sz w:val="20"/>
          <w:szCs w:val="20"/>
        </w:rPr>
        <w:t xml:space="preserve">The change in other income during the three and nine months ended September 30, 2022 is primarily due to the following: </w:t>
      </w:r>
      <w:r>
        <w:rPr>
          <w:sz w:val="20"/>
          <w:szCs w:val="20"/>
        </w:rPr>
        <w:br/>
      </w: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900"/>
        <w:gridCol w:w="110"/>
        <w:gridCol w:w="160"/>
        <w:gridCol w:w="944"/>
        <w:gridCol w:w="127"/>
        <w:gridCol w:w="115"/>
        <w:gridCol w:w="160"/>
        <w:gridCol w:w="987"/>
        <w:gridCol w:w="142"/>
      </w:tblGrid>
      <w:tr w:rsidR="00000000">
        <w:trPr>
          <w:tblCellSpacing w:w="15" w:type="dxa"/>
        </w:trPr>
        <w:tc>
          <w:tcPr>
            <w:tcW w:w="3099" w:type="pct"/>
            <w:vAlign w:val="center"/>
            <w:hideMark/>
          </w:tcPr>
          <w:p w:rsidR="00000000" w:rsidRDefault="00805FA0">
            <w:pPr>
              <w:rPr>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83"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1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Three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Nine Month</w:t>
            </w:r>
            <w:r>
              <w:rPr>
                <w:b/>
                <w:bCs/>
                <w:sz w:val="16"/>
                <w:szCs w:val="16"/>
              </w:rPr>
              <w:t>s</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Foreign currency transaction gains and losse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hideMark/>
          </w:tcPr>
          <w:p w:rsidR="00000000" w:rsidRDefault="00805FA0">
            <w:pPr>
              <w:pStyle w:val="a3"/>
              <w:spacing w:before="0" w:beforeAutospacing="0" w:after="0" w:afterAutospacing="0"/>
              <w:rPr>
                <w:sz w:val="20"/>
                <w:szCs w:val="20"/>
              </w:rPr>
            </w:pPr>
            <w:r>
              <w:rPr>
                <w:sz w:val="20"/>
                <w:szCs w:val="20"/>
              </w:rPr>
              <w:t>$</w:t>
            </w:r>
          </w:p>
        </w:tc>
        <w:tc>
          <w:tcPr>
            <w:tcW w:w="0" w:type="auto"/>
            <w:hideMark/>
          </w:tcPr>
          <w:p w:rsidR="00000000" w:rsidRDefault="00805FA0">
            <w:pPr>
              <w:pStyle w:val="a3"/>
              <w:spacing w:before="0" w:beforeAutospacing="0" w:after="0" w:afterAutospacing="0"/>
              <w:jc w:val="right"/>
              <w:rPr>
                <w:sz w:val="20"/>
                <w:szCs w:val="20"/>
              </w:rPr>
            </w:pPr>
            <w:r>
              <w:rPr>
                <w:sz w:val="20"/>
                <w:szCs w:val="20"/>
              </w:rPr>
              <w:t>(34</w:t>
            </w:r>
            <w:r>
              <w:rPr>
                <w:sz w:val="20"/>
                <w:szCs w:val="20"/>
              </w:rPr>
              <w:t>5</w:t>
            </w:r>
          </w:p>
        </w:tc>
        <w:tc>
          <w:tcPr>
            <w:tcW w:w="0" w:type="auto"/>
            <w:noWrap/>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hideMark/>
          </w:tcPr>
          <w:p w:rsidR="00000000" w:rsidRDefault="00805FA0">
            <w:pPr>
              <w:pStyle w:val="a3"/>
              <w:spacing w:before="0" w:beforeAutospacing="0" w:after="0" w:afterAutospacing="0"/>
              <w:rPr>
                <w:sz w:val="20"/>
                <w:szCs w:val="20"/>
              </w:rPr>
            </w:pPr>
            <w:r>
              <w:rPr>
                <w:sz w:val="20"/>
                <w:szCs w:val="20"/>
              </w:rPr>
              <w:t>$</w:t>
            </w:r>
          </w:p>
        </w:tc>
        <w:tc>
          <w:tcPr>
            <w:tcW w:w="0" w:type="auto"/>
            <w:hideMark/>
          </w:tcPr>
          <w:p w:rsidR="00000000" w:rsidRDefault="00805FA0">
            <w:pPr>
              <w:pStyle w:val="a3"/>
              <w:spacing w:before="0" w:beforeAutospacing="0" w:after="0" w:afterAutospacing="0"/>
              <w:jc w:val="right"/>
              <w:rPr>
                <w:sz w:val="20"/>
                <w:szCs w:val="20"/>
              </w:rPr>
            </w:pPr>
            <w:r>
              <w:rPr>
                <w:sz w:val="20"/>
                <w:szCs w:val="20"/>
              </w:rPr>
              <w:t>(4,10</w:t>
            </w:r>
            <w:r>
              <w:rPr>
                <w:sz w:val="20"/>
                <w:szCs w:val="20"/>
              </w:rPr>
              <w:t>8</w:t>
            </w:r>
          </w:p>
        </w:tc>
        <w:tc>
          <w:tcPr>
            <w:tcW w:w="0" w:type="auto"/>
            <w:noWrap/>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Gain on strategic investment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(10,71</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(7,53</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(11,06</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(11,64</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92"/>
        <w:rPr>
          <w:sz w:val="20"/>
          <w:szCs w:val="20"/>
        </w:rPr>
      </w:pPr>
      <w:r>
        <w:rPr>
          <w:sz w:val="20"/>
          <w:szCs w:val="20"/>
        </w:rPr>
        <w:t>Other (expense) income primarily consists of the impact of foreign currency transaction gains and losses associated with monetary assets and liabilities and any gains or losses on our strategic investments. The increase in foreign currency transaction loss</w:t>
      </w:r>
      <w:r>
        <w:rPr>
          <w:sz w:val="20"/>
          <w:szCs w:val="20"/>
        </w:rPr>
        <w:t>es is primarily attributable to the decline in the value of the Euro and British Pound Sterling relative to the U.S. Dollar. The decrease in gain on investments is due to an adjustment to the fair value of an investment as a result of an observable price c</w:t>
      </w:r>
      <w:r>
        <w:rPr>
          <w:sz w:val="20"/>
          <w:szCs w:val="20"/>
        </w:rPr>
        <w:t>hange in the three months ended September 30, 2021, whereas no gain was recognized in the three months ended September 30, 2022</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i/>
          <w:iCs/>
          <w:sz w:val="20"/>
          <w:szCs w:val="20"/>
          <w:u w:val="single"/>
        </w:rPr>
        <w:t>Nine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Other (expense) income primarily consists of the impact of foreign currency transaction gains and losses associated with monetary assets and liabilities and any gains or losses on our strategic investments. The increase in foreign currency transaction loss</w:t>
      </w:r>
      <w:r>
        <w:rPr>
          <w:sz w:val="20"/>
          <w:szCs w:val="20"/>
        </w:rPr>
        <w:t>es is primarily attributable to the decline in the value of the Euro and British Pound Sterling relative to the U.S. Dollar. The decrease in gain on investments is due to an adjustment to the fair value of an investment as a result of an observable price c</w:t>
      </w:r>
      <w:r>
        <w:rPr>
          <w:sz w:val="20"/>
          <w:szCs w:val="20"/>
        </w:rPr>
        <w:t>hange of $4.2 million in the nine months ended September 30, 2022 compared to $11.7 million in the nine months ended September 30, 2021</w:t>
      </w:r>
      <w:r>
        <w:rPr>
          <w:sz w:val="20"/>
          <w:szCs w:val="20"/>
        </w:rPr>
        <w:t>.</w:t>
      </w:r>
      <w:r>
        <w:rPr>
          <w:sz w:val="20"/>
          <w:szCs w:val="20"/>
        </w:rPr>
        <w:t xml:space="preserve"> </w:t>
      </w:r>
    </w:p>
    <w:p w:rsidR="00000000" w:rsidRDefault="00805FA0">
      <w:pPr>
        <w:pStyle w:val="a3"/>
        <w:spacing w:before="200" w:beforeAutospacing="0" w:after="0" w:afterAutospacing="0"/>
        <w:ind w:firstLine="592"/>
        <w:rPr>
          <w:sz w:val="20"/>
          <w:szCs w:val="20"/>
        </w:rPr>
      </w:pPr>
      <w:r>
        <w:rPr>
          <w:b/>
          <w:bCs/>
          <w:i/>
          <w:iCs/>
          <w:sz w:val="20"/>
          <w:szCs w:val="20"/>
        </w:rPr>
        <w:t>Income tax expense</w:t>
      </w:r>
      <w:r>
        <w:rPr>
          <w:b/>
          <w:bCs/>
          <w:i/>
          <w:iCs/>
          <w:sz w:val="20"/>
          <w:szCs w:val="20"/>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6"/>
        <w:gridCol w:w="105"/>
        <w:gridCol w:w="150"/>
        <w:gridCol w:w="525"/>
        <w:gridCol w:w="210"/>
        <w:gridCol w:w="105"/>
        <w:gridCol w:w="150"/>
        <w:gridCol w:w="525"/>
        <w:gridCol w:w="210"/>
        <w:gridCol w:w="105"/>
        <w:gridCol w:w="151"/>
        <w:gridCol w:w="559"/>
        <w:gridCol w:w="120"/>
        <w:gridCol w:w="105"/>
        <w:gridCol w:w="106"/>
        <w:gridCol w:w="470"/>
        <w:gridCol w:w="210"/>
        <w:gridCol w:w="105"/>
        <w:gridCol w:w="150"/>
        <w:gridCol w:w="525"/>
        <w:gridCol w:w="210"/>
        <w:gridCol w:w="105"/>
        <w:gridCol w:w="150"/>
        <w:gridCol w:w="525"/>
        <w:gridCol w:w="210"/>
        <w:gridCol w:w="105"/>
        <w:gridCol w:w="150"/>
        <w:gridCol w:w="525"/>
        <w:gridCol w:w="120"/>
        <w:gridCol w:w="105"/>
        <w:gridCol w:w="106"/>
        <w:gridCol w:w="471"/>
        <w:gridCol w:w="225"/>
      </w:tblGrid>
      <w:tr w:rsidR="00000000">
        <w:trPr>
          <w:tblCellSpacing w:w="15" w:type="dxa"/>
        </w:trPr>
        <w:tc>
          <w:tcPr>
            <w:tcW w:w="843" w:type="pct"/>
            <w:vAlign w:val="center"/>
            <w:hideMark/>
          </w:tcPr>
          <w:p w:rsidR="00000000" w:rsidRDefault="00805FA0">
            <w:pPr>
              <w:rPr>
                <w:sz w:val="20"/>
                <w:szCs w:val="20"/>
              </w:rPr>
            </w:pPr>
          </w:p>
        </w:tc>
        <w:tc>
          <w:tcPr>
            <w:tcW w:w="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28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0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5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3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0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21"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34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7"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36"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805FA0">
            <w:pPr>
              <w:pStyle w:val="a3"/>
              <w:spacing w:before="0" w:beforeAutospacing="0" w:after="0" w:afterAutospacing="0"/>
              <w:jc w:val="center"/>
              <w:rPr>
                <w:sz w:val="15"/>
                <w:szCs w:val="15"/>
              </w:rPr>
            </w:pPr>
            <w:r>
              <w:rPr>
                <w:b/>
                <w:bCs/>
                <w:sz w:val="15"/>
                <w:szCs w:val="15"/>
              </w:rPr>
              <w:t>Three Months</w:t>
            </w:r>
            <w:r>
              <w:rPr>
                <w:b/>
                <w:bCs/>
                <w:sz w:val="15"/>
                <w:szCs w:val="15"/>
              </w:rPr>
              <w:br/>
              <w:t> Ended September 30</w:t>
            </w:r>
            <w:r>
              <w:rPr>
                <w:b/>
                <w:bCs/>
                <w:sz w:val="15"/>
                <w:szCs w:val="15"/>
              </w:rPr>
              <w:t>,</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6"/>
            <w:vAlign w:val="bottom"/>
            <w:hideMark/>
          </w:tcPr>
          <w:p w:rsidR="00000000" w:rsidRDefault="00805FA0">
            <w:pPr>
              <w:pStyle w:val="a3"/>
              <w:spacing w:before="0" w:beforeAutospacing="0" w:after="0" w:afterAutospacing="0"/>
              <w:jc w:val="center"/>
              <w:rPr>
                <w:sz w:val="15"/>
                <w:szCs w:val="15"/>
              </w:rPr>
            </w:pPr>
            <w:r>
              <w:rPr>
                <w:b/>
                <w:bCs/>
                <w:sz w:val="15"/>
                <w:szCs w:val="15"/>
              </w:rPr>
              <w:t>Nine Months</w:t>
            </w:r>
            <w:r>
              <w:rPr>
                <w:b/>
                <w:bCs/>
                <w:sz w:val="15"/>
                <w:szCs w:val="15"/>
              </w:rPr>
              <w:br/>
              <w:t> Ended September 30</w:t>
            </w:r>
            <w:r>
              <w:rPr>
                <w:b/>
                <w:bCs/>
                <w:sz w:val="15"/>
                <w:szCs w:val="15"/>
              </w:rPr>
              <w:t>,</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vAlign w:val="bottom"/>
            <w:hideMark/>
          </w:tcPr>
          <w:p w:rsidR="00000000" w:rsidRDefault="00805FA0">
            <w:pPr>
              <w:pStyle w:val="a3"/>
              <w:spacing w:before="0" w:beforeAutospacing="0" w:after="0" w:afterAutospacing="0"/>
              <w:rPr>
                <w:sz w:val="15"/>
                <w:szCs w:val="15"/>
              </w:rPr>
            </w:pPr>
            <w:r>
              <w:rPr>
                <w:b/>
                <w:bCs/>
                <w:sz w:val="15"/>
                <w:szCs w:val="15"/>
              </w:rPr>
              <w:t>(dollars in thousands</w:t>
            </w:r>
            <w:r>
              <w:rPr>
                <w:b/>
                <w:bCs/>
                <w:sz w:val="15"/>
                <w:szCs w:val="15"/>
              </w:rPr>
              <w:t>)</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2</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202</w:t>
            </w:r>
            <w:r>
              <w:rPr>
                <w:b/>
                <w:bCs/>
                <w:sz w:val="15"/>
                <w:szCs w:val="15"/>
              </w:rPr>
              <w:t>1</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 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805FA0">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805FA0">
            <w:pPr>
              <w:pStyle w:val="a3"/>
              <w:spacing w:before="0" w:beforeAutospacing="0" w:after="0" w:afterAutospacing="0"/>
              <w:jc w:val="center"/>
              <w:rPr>
                <w:sz w:val="15"/>
                <w:szCs w:val="15"/>
              </w:rPr>
            </w:pPr>
            <w:r>
              <w:rPr>
                <w:b/>
                <w:bCs/>
                <w:sz w:val="15"/>
                <w:szCs w:val="15"/>
              </w:rPr>
              <w:t>%</w:t>
            </w:r>
            <w:r>
              <w:rPr>
                <w:rFonts w:ascii="Calibri" w:hAnsi="Calibri" w:cs="Calibri"/>
                <w:b/>
                <w:bCs/>
                <w:sz w:val="15"/>
                <w:szCs w:val="15"/>
              </w:rPr>
              <w:t xml:space="preserve"> </w:t>
            </w:r>
            <w:r>
              <w:rPr>
                <w:b/>
                <w:bCs/>
                <w:sz w:val="15"/>
                <w:szCs w:val="15"/>
              </w:rPr>
              <w:t>Chang</w:t>
            </w:r>
            <w:r>
              <w:rPr>
                <w:b/>
                <w:bCs/>
                <w:sz w:val="15"/>
                <w:szCs w:val="15"/>
              </w:rPr>
              <w:t>e</w:t>
            </w:r>
          </w:p>
        </w:tc>
        <w:tc>
          <w:tcPr>
            <w:tcW w:w="0" w:type="auto"/>
            <w:vAlign w:val="bottom"/>
            <w:hideMark/>
          </w:tcPr>
          <w:p w:rsidR="00000000" w:rsidRDefault="00805FA0">
            <w:pPr>
              <w:pStyle w:val="a3"/>
              <w:spacing w:before="0" w:beforeAutospacing="0" w:after="0" w:afterAutospacing="0"/>
              <w:jc w:val="center"/>
              <w:rPr>
                <w:sz w:val="15"/>
                <w:szCs w:val="15"/>
              </w:rPr>
            </w:pPr>
            <w:r>
              <w:rPr>
                <w:sz w:val="15"/>
                <w:szCs w:val="15"/>
              </w:rPr>
              <w:t> </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8"/>
                <w:szCs w:val="18"/>
              </w:rPr>
            </w:pPr>
            <w:r>
              <w:rPr>
                <w:sz w:val="18"/>
                <w:szCs w:val="18"/>
              </w:rPr>
              <w:t>Income tax expens</w:t>
            </w:r>
            <w:r>
              <w:rPr>
                <w:sz w:val="18"/>
                <w:szCs w:val="18"/>
              </w:rPr>
              <w:t>e</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(1,74</w:t>
            </w:r>
            <w:r>
              <w:rPr>
                <w:sz w:val="18"/>
                <w:szCs w:val="18"/>
              </w:rPr>
              <w:t>8</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(1,11</w:t>
            </w:r>
            <w:r>
              <w:rPr>
                <w:sz w:val="18"/>
                <w:szCs w:val="18"/>
              </w:rPr>
              <w:t>7</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(63</w:t>
            </w:r>
            <w:r>
              <w:rPr>
                <w:sz w:val="18"/>
                <w:szCs w:val="18"/>
              </w:rPr>
              <w:t>1</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5</w:t>
            </w:r>
            <w:r>
              <w:rPr>
                <w:sz w:val="18"/>
                <w:szCs w:val="18"/>
              </w:rPr>
              <w:t>6</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(5,31</w:t>
            </w:r>
            <w:r>
              <w:rPr>
                <w:sz w:val="18"/>
                <w:szCs w:val="18"/>
              </w:rPr>
              <w:t>3</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(2,63</w:t>
            </w:r>
            <w:r>
              <w:rPr>
                <w:sz w:val="18"/>
                <w:szCs w:val="18"/>
              </w:rPr>
              <w:t>9</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(2,67</w:t>
            </w:r>
            <w:r>
              <w:rPr>
                <w:sz w:val="18"/>
                <w:szCs w:val="18"/>
              </w:rPr>
              <w:t>4</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10</w:t>
            </w:r>
            <w:r>
              <w:rPr>
                <w:sz w:val="18"/>
                <w:szCs w:val="18"/>
              </w:rPr>
              <w:t>1</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805FA0">
            <w:pPr>
              <w:pStyle w:val="a3"/>
              <w:spacing w:before="0" w:beforeAutospacing="0" w:after="0" w:afterAutospacing="0"/>
              <w:rPr>
                <w:sz w:val="18"/>
                <w:szCs w:val="18"/>
              </w:rPr>
            </w:pPr>
            <w:r>
              <w:rPr>
                <w:sz w:val="18"/>
                <w:szCs w:val="18"/>
              </w:rPr>
              <w:t>Effective tax rat</w:t>
            </w:r>
            <w:r>
              <w:rPr>
                <w:sz w:val="18"/>
                <w:szCs w:val="18"/>
              </w:rPr>
              <w:t>e</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6</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9</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805FA0">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6</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4</w:t>
            </w:r>
          </w:p>
        </w:tc>
        <w:tc>
          <w:tcPr>
            <w:tcW w:w="0" w:type="auto"/>
            <w:noWrap/>
            <w:vAlign w:val="bottom"/>
            <w:hideMark/>
          </w:tcPr>
          <w:p w:rsidR="00000000" w:rsidRDefault="00805FA0">
            <w:pPr>
              <w:pStyle w:val="a3"/>
              <w:spacing w:before="0" w:beforeAutospacing="0" w:after="0" w:afterAutospacing="0"/>
              <w:rPr>
                <w:sz w:val="18"/>
                <w:szCs w:val="18"/>
              </w:rPr>
            </w:pPr>
            <w:r>
              <w:rPr>
                <w:sz w:val="18"/>
                <w:szCs w:val="18"/>
              </w:rPr>
              <w:t>%</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805FA0">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r>
    </w:tbl>
    <w:p w:rsidR="00000000" w:rsidRDefault="00805FA0">
      <w:pPr>
        <w:pStyle w:val="a3"/>
        <w:spacing w:before="200" w:beforeAutospacing="0" w:after="0" w:afterAutospacing="0"/>
        <w:ind w:firstLine="555"/>
        <w:rPr>
          <w:sz w:val="20"/>
          <w:szCs w:val="20"/>
        </w:rPr>
      </w:pPr>
      <w:r>
        <w:rPr>
          <w:i/>
          <w:iCs/>
          <w:sz w:val="20"/>
          <w:szCs w:val="20"/>
          <w:u w:val="single"/>
        </w:rPr>
        <w:t>Three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Income tax expense consists of current and deferred taxes for U.S. and foreign income taxes. The increase in income tax expense was primarily driven by increased income in jurisdictions outside of the U.S. that are profitable from a tax perspective, the st</w:t>
      </w:r>
      <w:r>
        <w:rPr>
          <w:sz w:val="20"/>
          <w:szCs w:val="20"/>
        </w:rPr>
        <w:t>ate tax effect of a U.S. federal tax law change in effect from January 1, 2022 that requires the capitalization of research and experimental costs, and lower-than-expected tax benefits associated with stock-based compensation</w:t>
      </w:r>
      <w:r>
        <w:rPr>
          <w:sz w:val="20"/>
          <w:szCs w:val="20"/>
        </w:rPr>
        <w:t>.</w:t>
      </w:r>
    </w:p>
    <w:p w:rsidR="00000000" w:rsidRDefault="00805FA0">
      <w:pPr>
        <w:pStyle w:val="a3"/>
        <w:spacing w:before="200" w:beforeAutospacing="0" w:after="0" w:afterAutospacing="0"/>
        <w:ind w:firstLine="555"/>
        <w:rPr>
          <w:sz w:val="20"/>
          <w:szCs w:val="20"/>
        </w:rPr>
      </w:pPr>
      <w:r>
        <w:rPr>
          <w:i/>
          <w:iCs/>
          <w:sz w:val="20"/>
          <w:szCs w:val="20"/>
          <w:u w:val="single"/>
        </w:rPr>
        <w:t>Nine month chang</w:t>
      </w:r>
      <w:r>
        <w:rPr>
          <w:i/>
          <w:iCs/>
          <w:sz w:val="20"/>
          <w:szCs w:val="20"/>
          <w:u w:val="single"/>
        </w:rPr>
        <w:t>e</w:t>
      </w:r>
    </w:p>
    <w:p w:rsidR="00000000" w:rsidRDefault="00805FA0">
      <w:pPr>
        <w:pStyle w:val="a3"/>
        <w:spacing w:before="200" w:beforeAutospacing="0" w:after="0" w:afterAutospacing="0"/>
        <w:ind w:firstLine="555"/>
        <w:rPr>
          <w:sz w:val="20"/>
          <w:szCs w:val="20"/>
        </w:rPr>
      </w:pPr>
      <w:r>
        <w:rPr>
          <w:sz w:val="20"/>
          <w:szCs w:val="20"/>
        </w:rPr>
        <w:t xml:space="preserve">Income tax </w:t>
      </w:r>
      <w:r>
        <w:rPr>
          <w:sz w:val="20"/>
          <w:szCs w:val="20"/>
        </w:rPr>
        <w:t>expense consists of current and deferred taxes for U.S. and foreign income taxes. The increase in income tax expense was primarily driven by increased income in jurisdictions outside of the U.S. that are profitable from a tax perspective, the state tax eff</w:t>
      </w:r>
      <w:r>
        <w:rPr>
          <w:sz w:val="20"/>
          <w:szCs w:val="20"/>
        </w:rPr>
        <w:t>ect of a U.S. federal tax law change in effect from January 1, 2022 that requires the capitalization of research and experimental costs, and lower-than-expected tax benefits associated with stock-based compensation, partially offset by a non-recurring inco</w:t>
      </w:r>
      <w:r>
        <w:rPr>
          <w:sz w:val="20"/>
          <w:szCs w:val="20"/>
        </w:rPr>
        <w:t>me tax benefit recognized in 2021 relating to the release of a portion of the Company’s valuation allowance. The release was due to recording net deferred tax liabilities related to the Hustle acquisition, which are a source of income to support the realiz</w:t>
      </w:r>
      <w:r>
        <w:rPr>
          <w:sz w:val="20"/>
          <w:szCs w:val="20"/>
        </w:rPr>
        <w:t>ability of the Company’s pre-existing U.S. deferred tax assets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b/>
          <w:bCs/>
          <w:sz w:val="20"/>
          <w:szCs w:val="20"/>
        </w:rPr>
        <w:t>Liquidity and Capital Resource</w:t>
      </w:r>
      <w:r>
        <w:rPr>
          <w:b/>
          <w:bCs/>
          <w:sz w:val="20"/>
          <w:szCs w:val="20"/>
        </w:rPr>
        <w:t>s</w:t>
      </w:r>
    </w:p>
    <w:p w:rsidR="00000000" w:rsidRDefault="00805FA0">
      <w:pPr>
        <w:pStyle w:val="a3"/>
        <w:spacing w:before="200" w:beforeAutospacing="0" w:after="0" w:afterAutospacing="0"/>
        <w:ind w:firstLine="555"/>
        <w:rPr>
          <w:sz w:val="20"/>
          <w:szCs w:val="20"/>
        </w:rPr>
      </w:pPr>
      <w:r>
        <w:rPr>
          <w:sz w:val="20"/>
          <w:szCs w:val="20"/>
        </w:rPr>
        <w:t xml:space="preserve">Our principal sources of liquidity to date have been cash and cash equivalents, net accounts receivable, our common stock offerings, and our convertible notes </w:t>
      </w:r>
      <w:r>
        <w:rPr>
          <w:sz w:val="20"/>
          <w:szCs w:val="20"/>
        </w:rPr>
        <w:t>offerings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The following table shows cash and cash equivalents, working capital, net cash and cash equivalents provided by operating activities, net cash and cash equivalents used in investing activities, and net cash and cash equivalents provided by fina</w:t>
      </w:r>
      <w:r>
        <w:rPr>
          <w:sz w:val="20"/>
          <w:szCs w:val="20"/>
        </w:rPr>
        <w:t>ncing activitie</w:t>
      </w:r>
      <w:r>
        <w:rPr>
          <w:sz w:val="20"/>
          <w:szCs w:val="20"/>
        </w:rPr>
        <w:t>s</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3</w:t>
      </w:r>
      <w:r>
        <w:rPr>
          <w:sz w:val="20"/>
          <w:szCs w:val="20"/>
        </w:rPr>
        <w:t>0</w:t>
      </w:r>
    </w:p>
    <w:p w:rsidR="00000000" w:rsidRDefault="00805FA0">
      <w:pPr>
        <w:rPr>
          <w:rFonts w:eastAsia="Times New Roman"/>
        </w:rPr>
      </w:pPr>
      <w:r>
        <w:rPr>
          <w:rFonts w:eastAsia="Times New Roman"/>
        </w:rPr>
        <w:pict>
          <v:rect id="_x0000_i1054"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 xml:space="preserve">for the nine months ended September 30, 2022 and 2021. </w:t>
      </w:r>
      <w:r>
        <w:rPr>
          <w:sz w:val="20"/>
          <w:szCs w:val="20"/>
        </w:rPr>
        <w:br/>
      </w: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505"/>
        <w:gridCol w:w="110"/>
        <w:gridCol w:w="160"/>
        <w:gridCol w:w="1076"/>
        <w:gridCol w:w="127"/>
        <w:gridCol w:w="110"/>
        <w:gridCol w:w="160"/>
        <w:gridCol w:w="1085"/>
        <w:gridCol w:w="142"/>
      </w:tblGrid>
      <w:tr w:rsidR="00000000">
        <w:trPr>
          <w:tblCellSpacing w:w="15" w:type="dxa"/>
        </w:trPr>
        <w:tc>
          <w:tcPr>
            <w:tcW w:w="3130" w:type="pct"/>
            <w:vAlign w:val="center"/>
            <w:hideMark/>
          </w:tcPr>
          <w:p w:rsidR="00000000" w:rsidRDefault="00805FA0">
            <w:pPr>
              <w:rPr>
                <w:sz w:val="20"/>
                <w:szCs w:val="20"/>
              </w:rPr>
            </w:pPr>
          </w:p>
        </w:tc>
        <w:tc>
          <w:tcPr>
            <w:tcW w:w="7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52"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9"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75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805FA0">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805FA0">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805FA0">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331,65</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288,33</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Working capita</w:t>
            </w:r>
            <w:r>
              <w:rPr>
                <w:sz w:val="20"/>
                <w:szCs w:val="20"/>
              </w:rPr>
              <w:t>l</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892,88</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861,24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cash and cash equivalents provided by operating activitie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183,20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143,54</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cash and cash equivalents used in investing activitie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(211,12</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(169,70</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Net cash and cash equivalents used in financing activitie</w:t>
            </w:r>
            <w:r>
              <w:rPr>
                <w:sz w:val="20"/>
                <w:szCs w:val="20"/>
              </w:rPr>
              <w:t>s</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(1,17</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(57,30</w:t>
            </w:r>
            <w:r>
              <w:rPr>
                <w:sz w:val="20"/>
                <w:szCs w:val="20"/>
              </w:rPr>
              <w:t>3</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bl>
    <w:p w:rsidR="00000000" w:rsidRDefault="00805FA0">
      <w:pPr>
        <w:pStyle w:val="a3"/>
        <w:spacing w:before="200" w:beforeAutospacing="0" w:after="0" w:afterAutospacing="0"/>
        <w:ind w:firstLine="555"/>
        <w:rPr>
          <w:sz w:val="20"/>
          <w:szCs w:val="20"/>
        </w:rPr>
      </w:pPr>
      <w:r>
        <w:rPr>
          <w:sz w:val="20"/>
          <w:szCs w:val="20"/>
        </w:rPr>
        <w:t>Our cash and cash equivalents at September 30, 2022 were held for working capital purposes. At September 30, 2022, $111.2 million of our cash and cash equivalents was held in accounts outside the United States. We do not assert indefinite reinvestment of o</w:t>
      </w:r>
      <w:r>
        <w:rPr>
          <w:sz w:val="20"/>
          <w:szCs w:val="20"/>
        </w:rPr>
        <w:t xml:space="preserve">ur foreign earnings because these earnings have been subject to United States Federal tax. While we have concluded that any incremental tax incurred upon ultimate distribution of these earnings to be immaterial, our current plans do not demonstrate a need </w:t>
      </w:r>
      <w:r>
        <w:rPr>
          <w:sz w:val="20"/>
          <w:szCs w:val="20"/>
        </w:rPr>
        <w:t>to repatriate undistributed earnings to fund our U.S. operations</w:t>
      </w:r>
      <w:r>
        <w:rPr>
          <w:sz w:val="20"/>
          <w:szCs w:val="20"/>
        </w:rPr>
        <w:t>.</w:t>
      </w:r>
    </w:p>
    <w:p w:rsidR="00000000" w:rsidRDefault="00805FA0">
      <w:pPr>
        <w:pStyle w:val="a3"/>
        <w:spacing w:before="200" w:beforeAutospacing="0" w:after="0" w:afterAutospacing="0"/>
        <w:ind w:firstLine="555"/>
        <w:rPr>
          <w:sz w:val="20"/>
          <w:szCs w:val="20"/>
        </w:rPr>
      </w:pPr>
      <w:r>
        <w:rPr>
          <w:sz w:val="20"/>
          <w:szCs w:val="20"/>
        </w:rPr>
        <w:t>Cash from operations could be affected by various risks and uncertainties detailed in the section titled “Risk Factors” included under Part II, Item 1A. However, based on our current busines</w:t>
      </w:r>
      <w:r>
        <w:rPr>
          <w:sz w:val="20"/>
          <w:szCs w:val="20"/>
        </w:rPr>
        <w:t>s plan and revenue prospects, we believe that our existing cash, cash equivalents and investment balances, and our anticipated cash flows from operations will be sufficient to meet our working capital and operating resource expenditure requirements for the</w:t>
      </w:r>
      <w:r>
        <w:rPr>
          <w:sz w:val="20"/>
          <w:szCs w:val="20"/>
        </w:rPr>
        <w:t xml:space="preserve"> next twelve months</w:t>
      </w:r>
      <w:r>
        <w:rPr>
          <w:sz w:val="20"/>
          <w:szCs w:val="20"/>
        </w:rPr>
        <w:t>.</w:t>
      </w:r>
    </w:p>
    <w:p w:rsidR="00000000" w:rsidRDefault="00805FA0">
      <w:pPr>
        <w:pStyle w:val="a3"/>
        <w:spacing w:before="200" w:beforeAutospacing="0" w:after="0" w:afterAutospacing="0"/>
        <w:rPr>
          <w:sz w:val="20"/>
          <w:szCs w:val="20"/>
        </w:rPr>
      </w:pPr>
      <w:r>
        <w:rPr>
          <w:i/>
          <w:iCs/>
          <w:sz w:val="20"/>
          <w:szCs w:val="20"/>
        </w:rPr>
        <w:t>Net Cash and Cash Equivalents Provided by Operating Activitie</w:t>
      </w:r>
      <w:r>
        <w:rPr>
          <w:i/>
          <w:iCs/>
          <w:sz w:val="20"/>
          <w:szCs w:val="20"/>
        </w:rPr>
        <w:t>s</w:t>
      </w:r>
    </w:p>
    <w:p w:rsidR="00000000" w:rsidRDefault="00805FA0">
      <w:pPr>
        <w:pStyle w:val="a3"/>
        <w:spacing w:before="200" w:beforeAutospacing="0" w:after="0" w:afterAutospacing="0"/>
        <w:ind w:firstLine="555"/>
        <w:rPr>
          <w:sz w:val="20"/>
          <w:szCs w:val="20"/>
        </w:rPr>
      </w:pPr>
      <w:r>
        <w:rPr>
          <w:sz w:val="20"/>
          <w:szCs w:val="20"/>
        </w:rPr>
        <w:t>Net cash and cash equivalents provided by operating activities consists primarily of net loss adjusted for certain non-cash items, including stock-based compensation, depre</w:t>
      </w:r>
      <w:r>
        <w:rPr>
          <w:sz w:val="20"/>
          <w:szCs w:val="20"/>
        </w:rPr>
        <w:t>ciation and amortization and other non-cash charges, net</w:t>
      </w:r>
      <w:r>
        <w:rPr>
          <w:sz w:val="20"/>
          <w:szCs w:val="20"/>
        </w:rPr>
        <w:t>.</w:t>
      </w:r>
    </w:p>
    <w:p w:rsidR="00000000" w:rsidRDefault="00805FA0">
      <w:pPr>
        <w:pStyle w:val="a3"/>
        <w:spacing w:before="200" w:beforeAutospacing="0" w:after="0" w:afterAutospacing="0"/>
        <w:ind w:firstLine="555"/>
        <w:rPr>
          <w:sz w:val="20"/>
          <w:szCs w:val="20"/>
        </w:rPr>
      </w:pPr>
      <w:r>
        <w:rPr>
          <w:sz w:val="20"/>
          <w:szCs w:val="20"/>
        </w:rPr>
        <w:t>Net cash and cash equivalents provided by operating activities during the nine months ended September 30, 2022 primarily reflected our net loss of $97.1 million, benefit from deferred income taxes o</w:t>
      </w:r>
      <w:r>
        <w:rPr>
          <w:sz w:val="20"/>
          <w:szCs w:val="20"/>
        </w:rPr>
        <w:t>f $0.6 million, $3.3 million accretion of bond discounts, and gains on strategic investments of $4.2 million, offset by non-cash expenses that included $42.6 million of depreciation and amortization, $199.1 million in stock-based compensation, and $1.5 mil</w:t>
      </w:r>
      <w:r>
        <w:rPr>
          <w:sz w:val="20"/>
          <w:szCs w:val="20"/>
        </w:rPr>
        <w:t>lion of amortization of debt discount and issuance costs. Working capital sources of cash and cash equivalents primarily included a $63.7 million increase in deferred revenue primarily resulting from the growth in the number of customers invoiced during th</w:t>
      </w:r>
      <w:r>
        <w:rPr>
          <w:sz w:val="20"/>
          <w:szCs w:val="20"/>
        </w:rPr>
        <w:t>e period, a $19.6 million increase in right-of-use asset, a $10.7 million increase in accounts payable related to timing of bill payments, and $16.5 million increase in accrued expenses and other liabilities. These sources of cash and cash equivalents were</w:t>
      </w:r>
      <w:r>
        <w:rPr>
          <w:sz w:val="20"/>
          <w:szCs w:val="20"/>
        </w:rPr>
        <w:t xml:space="preserve"> offset by a $8.9 million increase in prepaid expenses and other assets, a $14.6 million decrease in operating lease liabilities, a $22.2 million increase in deferred commissions, and a $20.1 million increase in accounts receivable as a result of increased</w:t>
      </w:r>
      <w:r>
        <w:rPr>
          <w:sz w:val="20"/>
          <w:szCs w:val="20"/>
        </w:rPr>
        <w:t xml:space="preserve"> billings to customers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Net cash and cash equivalents provided by operating activities during the nine months ended September 30, 2021 primarily reflected our net loss of $61.5 million, the portion of the repayment of the 2022 Notes attributable to the de</w:t>
      </w:r>
      <w:r>
        <w:rPr>
          <w:sz w:val="20"/>
          <w:szCs w:val="20"/>
        </w:rPr>
        <w:t>bt discount of $24.5 million, benefit from deferred income taxes of $1.3 million, a gain on termination of operating leases of $4.3 million, and aggregate gains on strategic investments of $11.7 million, offset by non-cash expenses that included $33.2 mill</w:t>
      </w:r>
      <w:r>
        <w:rPr>
          <w:sz w:val="20"/>
          <w:szCs w:val="20"/>
        </w:rPr>
        <w:t>ion of depreciation and amortization, $120.8 million in stock-based compensation, $2.9 million amortization of bond discounts, $18.1 million of amortization of debt discount and issuance costs, loss on disposal of fixed assets of $6.5 million, and $4.8 mil</w:t>
      </w:r>
      <w:r>
        <w:rPr>
          <w:sz w:val="20"/>
          <w:szCs w:val="20"/>
        </w:rPr>
        <w:t>lion of loss on early extinguishment of 2022 Notes. Working capital sources of cash and cash equivalents primarily included a $66.8 million increase in deferred revenue primarily resulting from the growth in the number of customers invoiced during the peri</w:t>
      </w:r>
      <w:r>
        <w:rPr>
          <w:sz w:val="20"/>
          <w:szCs w:val="20"/>
        </w:rPr>
        <w:t>od, a $26.9 million increase in right-of-use asset, and $38.2 million increase in accrued expenses and other liabilities. These sources of cash and cash equivalents were offset by a $12.0 million increase in accounts payable related to timing of bill payme</w:t>
      </w:r>
      <w:r>
        <w:rPr>
          <w:sz w:val="20"/>
          <w:szCs w:val="20"/>
        </w:rPr>
        <w:t>nts, a $7.1 million increase in prepaid expenses and other assets, a $26.4 million decrease in operating lease liabilities, a $24.4 million increase in deferred commissions, and a $2.2 million increase in accounts receivable as a result of increased billin</w:t>
      </w:r>
      <w:r>
        <w:rPr>
          <w:sz w:val="20"/>
          <w:szCs w:val="20"/>
        </w:rPr>
        <w:t>gs to customers consistent with the overall growth of the business</w:t>
      </w:r>
      <w:r>
        <w:rPr>
          <w:sz w:val="20"/>
          <w:szCs w:val="20"/>
        </w:rPr>
        <w:t>.</w:t>
      </w:r>
      <w:r>
        <w:rPr>
          <w:sz w:val="20"/>
          <w:szCs w:val="20"/>
        </w:rPr>
        <w:t xml:space="preserve"> </w:t>
      </w:r>
    </w:p>
    <w:p w:rsidR="00000000" w:rsidRDefault="00805FA0">
      <w:pPr>
        <w:pStyle w:val="a3"/>
        <w:spacing w:before="200" w:beforeAutospacing="0" w:after="0" w:afterAutospacing="0"/>
        <w:rPr>
          <w:sz w:val="20"/>
          <w:szCs w:val="20"/>
        </w:rPr>
      </w:pPr>
      <w:r>
        <w:rPr>
          <w:i/>
          <w:iCs/>
          <w:sz w:val="20"/>
          <w:szCs w:val="20"/>
        </w:rPr>
        <w:t>Net Cash and Cash Equivalents Used in Investing Activitie</w:t>
      </w:r>
      <w:r>
        <w:rPr>
          <w:i/>
          <w:iCs/>
          <w:sz w:val="20"/>
          <w:szCs w:val="20"/>
        </w:rPr>
        <w:t>s</w:t>
      </w:r>
    </w:p>
    <w:p w:rsidR="00000000" w:rsidRDefault="00805FA0">
      <w:pPr>
        <w:pStyle w:val="a3"/>
        <w:spacing w:before="200" w:beforeAutospacing="0" w:after="0" w:afterAutospacing="0"/>
        <w:ind w:firstLine="555"/>
        <w:rPr>
          <w:sz w:val="20"/>
          <w:szCs w:val="20"/>
        </w:rPr>
      </w:pPr>
      <w:r>
        <w:rPr>
          <w:sz w:val="20"/>
          <w:szCs w:val="20"/>
        </w:rPr>
        <w:t xml:space="preserve">Our investing activities have consisted primarily of purchases and maturities of investments, sale of investments, property and </w:t>
      </w:r>
      <w:r>
        <w:rPr>
          <w:sz w:val="20"/>
          <w:szCs w:val="20"/>
        </w:rPr>
        <w:t>equipment purchases, an acquisition of a business, purchase of intangible assets, purchases of strategic investments, an equity method investment and capitalization of software development costs. Capitalized software development costs are related to new pr</w:t>
      </w:r>
      <w:r>
        <w:rPr>
          <w:sz w:val="20"/>
          <w:szCs w:val="20"/>
        </w:rPr>
        <w:t>oducts or improvements to our existing software platform that expands the functionality for our customers</w:t>
      </w:r>
      <w:r>
        <w:rPr>
          <w:sz w:val="20"/>
          <w:szCs w:val="20"/>
        </w:rPr>
        <w:t>.</w:t>
      </w:r>
    </w:p>
    <w:p w:rsidR="00000000" w:rsidRDefault="00805FA0">
      <w:pPr>
        <w:pStyle w:val="a3"/>
        <w:spacing w:before="200" w:beforeAutospacing="0" w:after="0" w:afterAutospacing="0"/>
        <w:ind w:firstLine="555"/>
        <w:rPr>
          <w:sz w:val="20"/>
          <w:szCs w:val="20"/>
        </w:rPr>
      </w:pPr>
      <w:r>
        <w:rPr>
          <w:sz w:val="20"/>
          <w:szCs w:val="20"/>
        </w:rPr>
        <w:t>Net cash and cash equivalents used in investing activities during the nine months ended September 30, 2022 consisted primarily of $1.3 billion purcha</w:t>
      </w:r>
      <w:r>
        <w:rPr>
          <w:sz w:val="20"/>
          <w:szCs w:val="20"/>
        </w:rPr>
        <w:t>ses of investments, $31.4 million of purchased property and equipment, $19.9 million of purchases of strategi</w:t>
      </w:r>
      <w:r>
        <w:rPr>
          <w:sz w:val="20"/>
          <w:szCs w:val="20"/>
        </w:rPr>
        <w:t>c</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3</w:t>
      </w:r>
      <w:r>
        <w:rPr>
          <w:sz w:val="20"/>
          <w:szCs w:val="20"/>
        </w:rPr>
        <w:t>1</w:t>
      </w:r>
    </w:p>
    <w:p w:rsidR="00000000" w:rsidRDefault="00805FA0">
      <w:pPr>
        <w:rPr>
          <w:rFonts w:eastAsia="Times New Roman"/>
        </w:rPr>
      </w:pPr>
      <w:r>
        <w:rPr>
          <w:rFonts w:eastAsia="Times New Roman"/>
        </w:rPr>
        <w:pict>
          <v:rect id="_x0000_i1055"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investments, $31.4 million of capitalized software development costs, and a $10.0 million purchase of intangible assets. These uses of cash were offset by $1.0 billion received related to the maturity of investments an</w:t>
      </w:r>
      <w:r>
        <w:rPr>
          <w:sz w:val="20"/>
          <w:szCs w:val="20"/>
        </w:rPr>
        <w:t>d $125.0 million received for sale of investments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Net cash and cash equivalents used in investing activities during the nine months ended September 30, 2021 consisted primarily of $1.0 billion purchases of investments, $17.4 million of purchased property</w:t>
      </w:r>
      <w:r>
        <w:rPr>
          <w:sz w:val="20"/>
          <w:szCs w:val="20"/>
        </w:rPr>
        <w:t xml:space="preserve"> and equipment, a $16.8 million business acquisition, $10.2 million of purchases of strategic investments, $3.1 million in an equity method investment and $25.6 million of capitalized software development costs. These uses of cash were offset by $940.8 mil</w:t>
      </w:r>
      <w:r>
        <w:rPr>
          <w:sz w:val="20"/>
          <w:szCs w:val="20"/>
        </w:rPr>
        <w:t>lion received related to the maturity of investments</w:t>
      </w:r>
      <w:r>
        <w:rPr>
          <w:sz w:val="20"/>
          <w:szCs w:val="20"/>
        </w:rPr>
        <w:t>.</w:t>
      </w:r>
      <w:r>
        <w:rPr>
          <w:sz w:val="20"/>
          <w:szCs w:val="20"/>
        </w:rPr>
        <w:t xml:space="preserve"> </w:t>
      </w:r>
    </w:p>
    <w:p w:rsidR="00000000" w:rsidRDefault="00805FA0">
      <w:pPr>
        <w:pStyle w:val="a3"/>
        <w:spacing w:before="200" w:beforeAutospacing="0" w:after="0" w:afterAutospacing="0"/>
        <w:rPr>
          <w:sz w:val="20"/>
          <w:szCs w:val="20"/>
        </w:rPr>
      </w:pPr>
      <w:r>
        <w:rPr>
          <w:i/>
          <w:iCs/>
          <w:sz w:val="20"/>
          <w:szCs w:val="20"/>
        </w:rPr>
        <w:t>Net Cash and Cash Equivalents Provided by Financing Activitie</w:t>
      </w:r>
      <w:r>
        <w:rPr>
          <w:i/>
          <w:iCs/>
          <w:sz w:val="20"/>
          <w:szCs w:val="20"/>
        </w:rPr>
        <w:t>s</w:t>
      </w:r>
    </w:p>
    <w:p w:rsidR="00000000" w:rsidRDefault="00805FA0">
      <w:pPr>
        <w:pStyle w:val="a3"/>
        <w:spacing w:before="200" w:beforeAutospacing="0" w:after="0" w:afterAutospacing="0"/>
        <w:ind w:firstLine="555"/>
        <w:rPr>
          <w:sz w:val="20"/>
          <w:szCs w:val="20"/>
        </w:rPr>
      </w:pPr>
      <w:r>
        <w:rPr>
          <w:sz w:val="20"/>
          <w:szCs w:val="20"/>
        </w:rPr>
        <w:t xml:space="preserve">Our financing activities have consisted primarily of the various components of our 2022 Notes repayment, repayment of our 2025 Notes, the </w:t>
      </w:r>
      <w:r>
        <w:rPr>
          <w:sz w:val="20"/>
          <w:szCs w:val="20"/>
        </w:rPr>
        <w:t>issuance of common stock under our stock plans, and payments of employee taxes related to the net share settlement of stock-based awards,</w:t>
      </w:r>
      <w:r>
        <w:rPr>
          <w:sz w:val="20"/>
          <w:szCs w:val="20"/>
        </w:rPr>
        <w:t>.</w:t>
      </w:r>
    </w:p>
    <w:p w:rsidR="00000000" w:rsidRDefault="00805FA0">
      <w:pPr>
        <w:pStyle w:val="a3"/>
        <w:spacing w:before="200" w:beforeAutospacing="0" w:after="0" w:afterAutospacing="0"/>
        <w:ind w:firstLine="555"/>
        <w:rPr>
          <w:sz w:val="20"/>
          <w:szCs w:val="20"/>
        </w:rPr>
      </w:pPr>
      <w:r>
        <w:rPr>
          <w:sz w:val="20"/>
          <w:szCs w:val="20"/>
        </w:rPr>
        <w:t>For the nine months ended September 30, 2022 cash used in financing activities consisted of $1.6 million used for the</w:t>
      </w:r>
      <w:r>
        <w:rPr>
          <w:sz w:val="20"/>
          <w:szCs w:val="20"/>
        </w:rPr>
        <w:t xml:space="preserve"> repayment of the 2025 Notes attributable to the principal, $79.8 million payment for settlement of the 2022 Notes, and $10.0 million used for payment of employee taxes related to the net share settlement of stock-based awards, offset by $29.7 million of p</w:t>
      </w:r>
      <w:r>
        <w:rPr>
          <w:sz w:val="20"/>
          <w:szCs w:val="20"/>
        </w:rPr>
        <w:t>roceeds related to issuance of common stock under stock plans and $60.5 million of proceeds from settlement of the Convertible Note Hedges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 xml:space="preserve">For the nine months ended September 30, 2021 cash used in financing activities consisted of $80.4 million used for </w:t>
      </w:r>
      <w:r>
        <w:rPr>
          <w:sz w:val="20"/>
          <w:szCs w:val="20"/>
        </w:rPr>
        <w:t xml:space="preserve">repayment of the 2022 Notes attributable to the principal and $11.7 million used for payment of employee taxes related to the net share settlement of stock-based awards, offset by $0.7 million of proceeds from the settlement of the Convertible Note Hedges </w:t>
      </w:r>
      <w:r>
        <w:rPr>
          <w:sz w:val="20"/>
          <w:szCs w:val="20"/>
        </w:rPr>
        <w:t>related to the 2022 Notes and $34.1 million of proceeds related to issuance of common stock under stock plans</w:t>
      </w:r>
      <w:r>
        <w:rPr>
          <w:sz w:val="20"/>
          <w:szCs w:val="20"/>
        </w:rPr>
        <w:t>.</w:t>
      </w:r>
      <w:r>
        <w:rPr>
          <w:sz w:val="20"/>
          <w:szCs w:val="20"/>
        </w:rPr>
        <w:t xml:space="preserve"> </w:t>
      </w:r>
    </w:p>
    <w:p w:rsidR="00000000" w:rsidRDefault="00805FA0">
      <w:pPr>
        <w:pStyle w:val="a3"/>
        <w:spacing w:before="200" w:beforeAutospacing="0" w:after="0" w:afterAutospacing="0"/>
        <w:rPr>
          <w:sz w:val="20"/>
          <w:szCs w:val="20"/>
        </w:rPr>
      </w:pPr>
      <w:r>
        <w:rPr>
          <w:b/>
          <w:bCs/>
          <w:sz w:val="20"/>
          <w:szCs w:val="20"/>
        </w:rPr>
        <w:t>Critical Accounting Policies and Estimate</w:t>
      </w:r>
      <w:r>
        <w:rPr>
          <w:b/>
          <w:bCs/>
          <w:sz w:val="20"/>
          <w:szCs w:val="20"/>
        </w:rPr>
        <w:t>s</w:t>
      </w:r>
    </w:p>
    <w:p w:rsidR="00000000" w:rsidRDefault="00805FA0">
      <w:pPr>
        <w:pStyle w:val="a3"/>
        <w:spacing w:before="200" w:beforeAutospacing="0" w:after="0" w:afterAutospacing="0"/>
        <w:ind w:firstLine="592"/>
        <w:rPr>
          <w:sz w:val="20"/>
          <w:szCs w:val="20"/>
        </w:rPr>
      </w:pPr>
      <w:r>
        <w:rPr>
          <w:sz w:val="20"/>
          <w:szCs w:val="20"/>
        </w:rPr>
        <w:t>There have been no significant changes in our critical accounting policies and estimates during the n</w:t>
      </w:r>
      <w:r>
        <w:rPr>
          <w:sz w:val="20"/>
          <w:szCs w:val="20"/>
        </w:rPr>
        <w:t>ine months ended September 30, 2022 as compared to the critical accounting policies and estimates disclosed in our Annual Report on Form 10-K for the year ended December 31, 2021</w:t>
      </w:r>
      <w:r>
        <w:rPr>
          <w:sz w:val="20"/>
          <w:szCs w:val="20"/>
        </w:rPr>
        <w:t>.</w:t>
      </w:r>
    </w:p>
    <w:p w:rsidR="00000000" w:rsidRDefault="00805FA0">
      <w:pPr>
        <w:pStyle w:val="a3"/>
        <w:spacing w:before="200" w:beforeAutospacing="0" w:after="0" w:afterAutospacing="0"/>
        <w:rPr>
          <w:sz w:val="20"/>
          <w:szCs w:val="20"/>
        </w:rPr>
      </w:pPr>
      <w:r>
        <w:rPr>
          <w:b/>
          <w:bCs/>
          <w:sz w:val="20"/>
          <w:szCs w:val="20"/>
        </w:rPr>
        <w:t>Contractual Obligations and Commitment</w:t>
      </w:r>
      <w:r>
        <w:rPr>
          <w:b/>
          <w:bCs/>
          <w:sz w:val="20"/>
          <w:szCs w:val="20"/>
        </w:rPr>
        <w:t>s</w:t>
      </w:r>
    </w:p>
    <w:p w:rsidR="00000000" w:rsidRDefault="00805FA0">
      <w:pPr>
        <w:pStyle w:val="a3"/>
        <w:spacing w:before="200" w:beforeAutospacing="0" w:after="0" w:afterAutospacing="0"/>
        <w:ind w:firstLine="555"/>
        <w:rPr>
          <w:sz w:val="20"/>
          <w:szCs w:val="20"/>
        </w:rPr>
      </w:pPr>
      <w:r>
        <w:rPr>
          <w:sz w:val="20"/>
          <w:szCs w:val="20"/>
        </w:rPr>
        <w:t>Contractual obligations are cash tha</w:t>
      </w:r>
      <w:r>
        <w:rPr>
          <w:sz w:val="20"/>
          <w:szCs w:val="20"/>
        </w:rPr>
        <w:t>t we are obligated to pay as part of certain contracts that we have entered during our course of business. Our contractual obligations consist of operating lease liabilities that are included in our consolidated balance sheet and vendor commitments associa</w:t>
      </w:r>
      <w:r>
        <w:rPr>
          <w:sz w:val="20"/>
          <w:szCs w:val="20"/>
        </w:rPr>
        <w:t>ted with agreements that are legally binding. See Note 10 for all obligations the Company is committed to in the notes to the consolidated financial statements appearing elsewhere in this Quarterly Report on Form 10-Q</w:t>
      </w:r>
      <w:r>
        <w:rPr>
          <w:sz w:val="20"/>
          <w:szCs w:val="20"/>
        </w:rPr>
        <w:t>.</w:t>
      </w:r>
    </w:p>
    <w:p w:rsidR="00000000" w:rsidRDefault="00805FA0">
      <w:pPr>
        <w:pStyle w:val="a3"/>
        <w:spacing w:before="200" w:beforeAutospacing="0" w:after="0" w:afterAutospacing="0"/>
        <w:rPr>
          <w:sz w:val="20"/>
          <w:szCs w:val="20"/>
        </w:rPr>
      </w:pPr>
      <w:r>
        <w:rPr>
          <w:b/>
          <w:bCs/>
          <w:sz w:val="20"/>
          <w:szCs w:val="20"/>
        </w:rPr>
        <w:t>Recent Accounting Pronouncement</w:t>
      </w:r>
      <w:r>
        <w:rPr>
          <w:b/>
          <w:bCs/>
          <w:sz w:val="20"/>
          <w:szCs w:val="20"/>
        </w:rPr>
        <w:t>s</w:t>
      </w:r>
    </w:p>
    <w:p w:rsidR="00000000" w:rsidRDefault="00805FA0">
      <w:pPr>
        <w:pStyle w:val="a3"/>
        <w:spacing w:before="200" w:beforeAutospacing="0" w:after="0" w:afterAutospacing="0"/>
        <w:ind w:firstLine="555"/>
        <w:rPr>
          <w:sz w:val="20"/>
          <w:szCs w:val="20"/>
        </w:rPr>
      </w:pPr>
      <w:r>
        <w:rPr>
          <w:sz w:val="20"/>
          <w:szCs w:val="20"/>
        </w:rPr>
        <w:t xml:space="preserve">For </w:t>
      </w:r>
      <w:r>
        <w:rPr>
          <w:sz w:val="20"/>
          <w:szCs w:val="20"/>
        </w:rPr>
        <w:t>information on recent accounting pronouncements, see</w:t>
      </w:r>
      <w:r>
        <w:rPr>
          <w:sz w:val="20"/>
          <w:szCs w:val="20"/>
        </w:rPr>
        <w:t xml:space="preserve"> </w:t>
      </w:r>
      <w:r>
        <w:rPr>
          <w:i/>
          <w:iCs/>
          <w:sz w:val="20"/>
          <w:szCs w:val="20"/>
        </w:rPr>
        <w:t>Recent Accounting Pronouncement</w:t>
      </w:r>
      <w:r>
        <w:rPr>
          <w:i/>
          <w:iCs/>
          <w:sz w:val="20"/>
          <w:szCs w:val="20"/>
        </w:rPr>
        <w:t>s</w:t>
      </w:r>
      <w:r>
        <w:rPr>
          <w:sz w:val="20"/>
          <w:szCs w:val="20"/>
        </w:rPr>
        <w:t xml:space="preserve"> in the notes to the consolidated financial statements appearing elsewhere in this Quarterly Report on Form 10-Q</w:t>
      </w:r>
      <w:r>
        <w:rPr>
          <w:sz w:val="20"/>
          <w:szCs w:val="20"/>
        </w:rPr>
        <w:t>.</w:t>
      </w:r>
    </w:p>
    <w:p w:rsidR="00000000" w:rsidRDefault="00805FA0">
      <w:pPr>
        <w:pStyle w:val="a3"/>
        <w:spacing w:before="200" w:beforeAutospacing="0" w:after="0" w:afterAutospacing="0"/>
        <w:rPr>
          <w:sz w:val="20"/>
          <w:szCs w:val="20"/>
        </w:rPr>
      </w:pPr>
      <w:r>
        <w:rPr>
          <w:b/>
          <w:bCs/>
          <w:sz w:val="20"/>
          <w:szCs w:val="20"/>
        </w:rPr>
        <w:t>Off-Balance Sheet Arrangement</w:t>
      </w:r>
      <w:r>
        <w:rPr>
          <w:b/>
          <w:bCs/>
          <w:sz w:val="20"/>
          <w:szCs w:val="20"/>
        </w:rPr>
        <w:t>s</w:t>
      </w:r>
    </w:p>
    <w:p w:rsidR="00000000" w:rsidRDefault="00805FA0">
      <w:pPr>
        <w:pStyle w:val="a3"/>
        <w:spacing w:before="200" w:beforeAutospacing="0" w:after="0" w:afterAutospacing="0"/>
        <w:ind w:firstLine="555"/>
        <w:rPr>
          <w:sz w:val="20"/>
          <w:szCs w:val="20"/>
        </w:rPr>
      </w:pPr>
      <w:r>
        <w:rPr>
          <w:sz w:val="20"/>
          <w:szCs w:val="20"/>
        </w:rPr>
        <w:t>As of the date of this rep</w:t>
      </w:r>
      <w:r>
        <w:rPr>
          <w:sz w:val="20"/>
          <w:szCs w:val="20"/>
        </w:rPr>
        <w:t>ort, we are committed to contribute additional capital of $6.3 million to the Black Economic Development Fund. There were no other material off-balance sheet arrangements exclusive of operating leases and indemnifications of officers, directors and employe</w:t>
      </w:r>
      <w:r>
        <w:rPr>
          <w:sz w:val="20"/>
          <w:szCs w:val="20"/>
        </w:rPr>
        <w:t>es for certain events or occurrences while the officer, director or employee is, or was, serving at our request in such capacity</w:t>
      </w:r>
      <w:r>
        <w:rPr>
          <w:sz w:val="20"/>
          <w:szCs w:val="20"/>
        </w:rPr>
        <w:t>.</w:t>
      </w:r>
    </w:p>
    <w:p w:rsidR="00000000" w:rsidRDefault="00805FA0">
      <w:pPr>
        <w:pStyle w:val="a3"/>
        <w:spacing w:before="240" w:beforeAutospacing="0" w:after="0" w:afterAutospacing="0"/>
        <w:ind w:hanging="1220"/>
        <w:rPr>
          <w:sz w:val="20"/>
          <w:szCs w:val="20"/>
        </w:rPr>
      </w:pPr>
      <w:r>
        <w:rPr>
          <w:b/>
          <w:bCs/>
          <w:sz w:val="20"/>
          <w:szCs w:val="20"/>
        </w:rPr>
        <w:t>Item 3. Quantitative and Qualitat</w:t>
      </w:r>
      <w:r>
        <w:rPr>
          <w:b/>
          <w:bCs/>
          <w:sz w:val="20"/>
          <w:szCs w:val="20"/>
        </w:rPr>
        <w:t>i</w:t>
      </w:r>
      <w:r>
        <w:rPr>
          <w:b/>
          <w:bCs/>
          <w:sz w:val="20"/>
          <w:szCs w:val="20"/>
        </w:rPr>
        <w:t>ve Disclosures About Market Ris</w:t>
      </w:r>
      <w:r>
        <w:rPr>
          <w:b/>
          <w:bCs/>
          <w:sz w:val="20"/>
          <w:szCs w:val="20"/>
        </w:rPr>
        <w:t>k</w:t>
      </w:r>
    </w:p>
    <w:p w:rsidR="00000000" w:rsidRDefault="00805FA0">
      <w:pPr>
        <w:pStyle w:val="a3"/>
        <w:spacing w:before="240" w:beforeAutospacing="0" w:after="0" w:afterAutospacing="0"/>
        <w:ind w:left="476"/>
        <w:rPr>
          <w:sz w:val="20"/>
          <w:szCs w:val="20"/>
        </w:rPr>
      </w:pPr>
      <w:r>
        <w:rPr>
          <w:b/>
          <w:bCs/>
          <w:i/>
          <w:iCs/>
          <w:sz w:val="20"/>
          <w:szCs w:val="20"/>
        </w:rPr>
        <w:t>Foreign Currency Exchange Ris</w:t>
      </w:r>
      <w:r>
        <w:rPr>
          <w:b/>
          <w:bCs/>
          <w:i/>
          <w:iCs/>
          <w:sz w:val="20"/>
          <w:szCs w:val="20"/>
        </w:rPr>
        <w:t>k</w:t>
      </w:r>
    </w:p>
    <w:p w:rsidR="00000000" w:rsidRDefault="00805FA0">
      <w:pPr>
        <w:pStyle w:val="a3"/>
        <w:spacing w:before="240" w:beforeAutospacing="0" w:after="0" w:afterAutospacing="0"/>
        <w:ind w:firstLine="592"/>
        <w:rPr>
          <w:sz w:val="20"/>
          <w:szCs w:val="20"/>
        </w:rPr>
      </w:pPr>
      <w:r>
        <w:rPr>
          <w:sz w:val="20"/>
          <w:szCs w:val="20"/>
        </w:rPr>
        <w:t>We have foreign currency ris</w:t>
      </w:r>
      <w:r>
        <w:rPr>
          <w:sz w:val="20"/>
          <w:szCs w:val="20"/>
        </w:rPr>
        <w:t>ks related to our revenue and operating expenses denominated in currencies other than the U.S. dollar, primarily the Euro, British Pound Sterling, Australian dollar, Singaporean dollar, Japanese Yen, and Colombian Peso. Since we translate foreign currencie</w:t>
      </w:r>
      <w:r>
        <w:rPr>
          <w:sz w:val="20"/>
          <w:szCs w:val="20"/>
        </w:rPr>
        <w:t>s into U.S. dollars for financial reporting purposes, currency fluctuations can have an impact on our financial results</w:t>
      </w:r>
      <w:r>
        <w:rPr>
          <w:sz w:val="20"/>
          <w:szCs w:val="20"/>
        </w:rPr>
        <w:t>.</w:t>
      </w:r>
    </w:p>
    <w:p w:rsidR="00000000" w:rsidRDefault="00805FA0">
      <w:pPr>
        <w:pStyle w:val="a3"/>
        <w:spacing w:before="240" w:beforeAutospacing="0" w:after="0" w:afterAutospacing="0"/>
        <w:ind w:firstLine="592"/>
        <w:rPr>
          <w:sz w:val="20"/>
          <w:szCs w:val="20"/>
        </w:rPr>
      </w:pPr>
      <w:r>
        <w:rPr>
          <w:sz w:val="20"/>
          <w:szCs w:val="20"/>
        </w:rPr>
        <w:t>We have experienced and will continue to experience fluct</w:t>
      </w:r>
      <w:r>
        <w:rPr>
          <w:sz w:val="20"/>
          <w:szCs w:val="20"/>
        </w:rPr>
        <w:t>uations in our net loss as a result of transaction gains or losses related to revaluing certain current asset and current liability balances that are denominated in currencies other than the functional currency of the entities in which they are recorded. W</w:t>
      </w:r>
      <w:r>
        <w:rPr>
          <w:sz w:val="20"/>
          <w:szCs w:val="20"/>
        </w:rPr>
        <w:t>hile we have not engaged in the hedging of our foreign currency transactions to date, we ar</w:t>
      </w:r>
      <w:r>
        <w:rPr>
          <w:sz w:val="20"/>
          <w:szCs w:val="20"/>
        </w:rPr>
        <w:t>e</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3</w:t>
      </w:r>
      <w:r>
        <w:rPr>
          <w:sz w:val="20"/>
          <w:szCs w:val="20"/>
        </w:rPr>
        <w:t>2</w:t>
      </w:r>
    </w:p>
    <w:p w:rsidR="00000000" w:rsidRDefault="00805FA0">
      <w:pPr>
        <w:rPr>
          <w:rFonts w:eastAsia="Times New Roman"/>
        </w:rPr>
      </w:pPr>
      <w:r>
        <w:rPr>
          <w:rFonts w:eastAsia="Times New Roman"/>
        </w:rPr>
        <w:pict>
          <v:rect id="_x0000_i1056"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rPr>
          <w:sz w:val="20"/>
          <w:szCs w:val="20"/>
        </w:rPr>
      </w:pPr>
      <w:r>
        <w:rPr>
          <w:sz w:val="20"/>
          <w:szCs w:val="20"/>
        </w:rPr>
        <w:t>evaluating the costs and benefits of initiating such a program and may in the future hedge selected significant transact</w:t>
      </w:r>
      <w:r>
        <w:rPr>
          <w:sz w:val="20"/>
          <w:szCs w:val="20"/>
        </w:rPr>
        <w:t>ions denominated in currencies other than the U.S. dollar as we expand our international operation, and our risk grows</w:t>
      </w:r>
      <w:r>
        <w:rPr>
          <w:sz w:val="20"/>
          <w:szCs w:val="20"/>
        </w:rPr>
        <w:t>.</w:t>
      </w:r>
    </w:p>
    <w:p w:rsidR="00000000" w:rsidRDefault="00805FA0">
      <w:pPr>
        <w:pStyle w:val="a3"/>
        <w:spacing w:before="240" w:beforeAutospacing="0" w:after="0" w:afterAutospacing="0"/>
        <w:ind w:firstLine="592"/>
        <w:rPr>
          <w:sz w:val="20"/>
          <w:szCs w:val="20"/>
        </w:rPr>
      </w:pPr>
      <w:r>
        <w:rPr>
          <w:b/>
          <w:bCs/>
          <w:i/>
          <w:iCs/>
          <w:sz w:val="20"/>
          <w:szCs w:val="20"/>
        </w:rPr>
        <w:t>Interest Rate Sensitivit</w:t>
      </w:r>
      <w:r>
        <w:rPr>
          <w:b/>
          <w:bCs/>
          <w:i/>
          <w:iCs/>
          <w:sz w:val="20"/>
          <w:szCs w:val="20"/>
        </w:rPr>
        <w:t>y</w:t>
      </w:r>
      <w:r>
        <w:rPr>
          <w:b/>
          <w:bCs/>
          <w:i/>
          <w:iCs/>
          <w:sz w:val="20"/>
          <w:szCs w:val="20"/>
        </w:rPr>
        <w:t xml:space="preserve"> </w:t>
      </w:r>
    </w:p>
    <w:p w:rsidR="00000000" w:rsidRDefault="00805FA0">
      <w:pPr>
        <w:pStyle w:val="a3"/>
        <w:spacing w:before="240" w:beforeAutospacing="0" w:after="0" w:afterAutospacing="0"/>
        <w:ind w:firstLine="592"/>
        <w:rPr>
          <w:sz w:val="20"/>
          <w:szCs w:val="20"/>
        </w:rPr>
      </w:pPr>
      <w:r>
        <w:rPr>
          <w:sz w:val="20"/>
          <w:szCs w:val="20"/>
        </w:rPr>
        <w:t>Our portfolio of cash and cash equivalents and short- and long-term investments is maintained in a variety of</w:t>
      </w:r>
      <w:r>
        <w:rPr>
          <w:sz w:val="20"/>
          <w:szCs w:val="20"/>
        </w:rPr>
        <w:t xml:space="preserve"> securities, including government agency obligations, corporate bonds and money market funds. Investments are classified as available-for-sale securities and carried at their fair market value with cumulative unrealized gains or losses recorded as a compon</w:t>
      </w:r>
      <w:r>
        <w:rPr>
          <w:sz w:val="20"/>
          <w:szCs w:val="20"/>
        </w:rPr>
        <w:t>ent of accumulated other comprehensive loss within stockholders' equity. A sharp rise in interest rates could have an adverse impact on the fair market value of certain securities in our portfolio. We do not currently hedge our interest rate exposure and d</w:t>
      </w:r>
      <w:r>
        <w:rPr>
          <w:sz w:val="20"/>
          <w:szCs w:val="20"/>
        </w:rPr>
        <w:t>o not enter into financial instruments for trading or speculative purposes</w:t>
      </w:r>
      <w:r>
        <w:rPr>
          <w:sz w:val="20"/>
          <w:szCs w:val="20"/>
        </w:rPr>
        <w:t>.</w:t>
      </w:r>
    </w:p>
    <w:p w:rsidR="00000000" w:rsidRDefault="00805FA0">
      <w:pPr>
        <w:pStyle w:val="a3"/>
        <w:spacing w:before="240" w:beforeAutospacing="0" w:after="0" w:afterAutospacing="0"/>
        <w:ind w:firstLine="555"/>
        <w:rPr>
          <w:sz w:val="20"/>
          <w:szCs w:val="20"/>
        </w:rPr>
      </w:pPr>
      <w:r>
        <w:rPr>
          <w:b/>
          <w:bCs/>
          <w:i/>
          <w:iCs/>
          <w:sz w:val="20"/>
          <w:szCs w:val="20"/>
        </w:rPr>
        <w:t>Market Risk and Market Interest Ris</w:t>
      </w:r>
      <w:r>
        <w:rPr>
          <w:b/>
          <w:bCs/>
          <w:i/>
          <w:iCs/>
          <w:sz w:val="20"/>
          <w:szCs w:val="20"/>
        </w:rPr>
        <w:t>k</w:t>
      </w:r>
    </w:p>
    <w:p w:rsidR="00000000" w:rsidRDefault="00805FA0">
      <w:pPr>
        <w:pStyle w:val="a3"/>
        <w:spacing w:before="240" w:beforeAutospacing="0" w:after="0" w:afterAutospacing="0"/>
        <w:ind w:firstLine="555"/>
        <w:rPr>
          <w:sz w:val="20"/>
          <w:szCs w:val="20"/>
        </w:rPr>
      </w:pPr>
      <w:r>
        <w:rPr>
          <w:sz w:val="20"/>
          <w:szCs w:val="20"/>
        </w:rPr>
        <w:t>In June 2020, we issued $460 million aggregate principal amount of convertible senior notes due June 1, 2025, of which $459.1 million remains o</w:t>
      </w:r>
      <w:r>
        <w:rPr>
          <w:sz w:val="20"/>
          <w:szCs w:val="20"/>
        </w:rPr>
        <w:t>utstanding as of September 30, 2022. The fair value of our convertible senior notes is subject to interest rate risk, market risk and other factors due to the convertible feature. The fair value of the convertible senior notes will generally increase as ou</w:t>
      </w:r>
      <w:r>
        <w:rPr>
          <w:sz w:val="20"/>
          <w:szCs w:val="20"/>
        </w:rPr>
        <w:t>r common stock price increases and will generally decrease as our common stock price declines in value. The interest and market value changes affect the fair value of our convertible senior notes but do not impact our financial position, cash flows or resu</w:t>
      </w:r>
      <w:r>
        <w:rPr>
          <w:sz w:val="20"/>
          <w:szCs w:val="20"/>
        </w:rPr>
        <w:t>lts of operations due to the fixed nature of the debt obligation. Generally, the fair values of our senior convertible notes will increase as interest rates fall and decrease as interest rates rise. Additionally, we carry the convertible senior notes at fa</w:t>
      </w:r>
      <w:r>
        <w:rPr>
          <w:sz w:val="20"/>
          <w:szCs w:val="20"/>
        </w:rPr>
        <w:t xml:space="preserve">ce value less unamortized discount on our balance sheet, and we present the fair value for required disclosure purposes only. The Federal Reserve recently raised interest rates in an effort to combat high inflation and may continue to do so in the future. </w:t>
      </w:r>
      <w:r>
        <w:rPr>
          <w:sz w:val="20"/>
          <w:szCs w:val="20"/>
        </w:rPr>
        <w:t>There continues to be uncertainty in the changing market and economic conditions, including the possibility or additional measures that could be taken by the Federal Reserve and other government agencies, related to concerns over inflation risk</w:t>
      </w:r>
      <w:r>
        <w:rPr>
          <w:sz w:val="20"/>
          <w:szCs w:val="20"/>
        </w:rPr>
        <w:t>.</w:t>
      </w:r>
      <w:r>
        <w:rPr>
          <w:sz w:val="20"/>
          <w:szCs w:val="20"/>
        </w:rPr>
        <w:t xml:space="preserve"> </w:t>
      </w:r>
    </w:p>
    <w:p w:rsidR="00000000" w:rsidRDefault="00805FA0">
      <w:pPr>
        <w:pStyle w:val="a3"/>
        <w:spacing w:before="240" w:beforeAutospacing="0" w:after="0" w:afterAutospacing="0"/>
        <w:ind w:firstLine="592"/>
        <w:rPr>
          <w:sz w:val="20"/>
          <w:szCs w:val="20"/>
        </w:rPr>
      </w:pPr>
      <w:r>
        <w:rPr>
          <w:sz w:val="20"/>
          <w:szCs w:val="20"/>
        </w:rPr>
        <w:t>The table</w:t>
      </w:r>
      <w:r>
        <w:rPr>
          <w:sz w:val="20"/>
          <w:szCs w:val="20"/>
        </w:rPr>
        <w:t xml:space="preserve"> below provides a sensitivity analysis of hypothetical 10% changes of our stock price as of September 30, 2022 and the estimated impact on the fair value of the 2025 Notes. The selected scenarios are not predictions of future events, but rather are intende</w:t>
      </w:r>
      <w:r>
        <w:rPr>
          <w:sz w:val="20"/>
          <w:szCs w:val="20"/>
        </w:rPr>
        <w:t>d to illustrate the effect such an event may have on the fair value of the 2025 Notes</w:t>
      </w:r>
      <w:r>
        <w:rPr>
          <w:sz w:val="20"/>
          <w:szCs w:val="20"/>
        </w:rPr>
        <w:t>.</w:t>
      </w:r>
    </w:p>
    <w:p w:rsidR="00000000" w:rsidRDefault="00805FA0">
      <w:pPr>
        <w:pStyle w:val="a3"/>
        <w:spacing w:before="240" w:beforeAutospacing="0" w:after="0" w:afterAutospacing="0"/>
        <w:ind w:firstLine="592"/>
        <w:rPr>
          <w:sz w:val="20"/>
          <w:szCs w:val="20"/>
        </w:rPr>
      </w:pPr>
      <w:r>
        <w:rPr>
          <w:b/>
          <w:bCs/>
          <w:sz w:val="20"/>
          <w:szCs w:val="20"/>
        </w:rPr>
        <w:t>2025 Note</w:t>
      </w:r>
      <w:r>
        <w:rPr>
          <w:b/>
          <w:bCs/>
          <w:sz w:val="20"/>
          <w:szCs w:val="20"/>
        </w:rPr>
        <w: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269"/>
        <w:gridCol w:w="666"/>
        <w:gridCol w:w="110"/>
        <w:gridCol w:w="160"/>
        <w:gridCol w:w="845"/>
        <w:gridCol w:w="110"/>
        <w:gridCol w:w="110"/>
        <w:gridCol w:w="161"/>
        <w:gridCol w:w="1141"/>
        <w:gridCol w:w="127"/>
        <w:gridCol w:w="110"/>
        <w:gridCol w:w="111"/>
        <w:gridCol w:w="1246"/>
        <w:gridCol w:w="309"/>
      </w:tblGrid>
      <w:tr w:rsidR="00000000">
        <w:trPr>
          <w:tblCellSpacing w:w="15" w:type="dxa"/>
        </w:trPr>
        <w:tc>
          <w:tcPr>
            <w:tcW w:w="1636" w:type="pct"/>
            <w:vAlign w:val="center"/>
            <w:hideMark/>
          </w:tcPr>
          <w:p w:rsidR="00000000" w:rsidRDefault="00805FA0">
            <w:pPr>
              <w:rPr>
                <w:sz w:val="20"/>
                <w:szCs w:val="20"/>
              </w:rPr>
            </w:pPr>
          </w:p>
        </w:tc>
        <w:tc>
          <w:tcPr>
            <w:tcW w:w="507" w:type="pct"/>
            <w:vAlign w:val="center"/>
            <w:hideMark/>
          </w:tcPr>
          <w:p w:rsidR="00000000" w:rsidRDefault="00805FA0">
            <w:pPr>
              <w:rPr>
                <w:rFonts w:eastAsia="Times New Roman"/>
                <w:sz w:val="20"/>
                <w:szCs w:val="20"/>
              </w:rPr>
            </w:pPr>
          </w:p>
        </w:tc>
        <w:tc>
          <w:tcPr>
            <w:tcW w:w="5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63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55"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844"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4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c>
          <w:tcPr>
            <w:tcW w:w="918" w:type="pct"/>
            <w:vAlign w:val="center"/>
            <w:hideMark/>
          </w:tcPr>
          <w:p w:rsidR="00000000" w:rsidRDefault="00805FA0">
            <w:pPr>
              <w:rPr>
                <w:rFonts w:eastAsia="Times New Roman"/>
                <w:sz w:val="20"/>
                <w:szCs w:val="20"/>
              </w:rPr>
            </w:pPr>
          </w:p>
        </w:tc>
        <w:tc>
          <w:tcPr>
            <w:tcW w:w="50" w:type="pct"/>
            <w:vAlign w:val="center"/>
            <w:hideMark/>
          </w:tcPr>
          <w:p w:rsidR="00000000" w:rsidRDefault="00805FA0">
            <w:pPr>
              <w:rPr>
                <w:rFonts w:eastAsia="Times New Roman"/>
                <w:sz w:val="20"/>
                <w:szCs w:val="20"/>
              </w:rPr>
            </w:pPr>
          </w:p>
        </w:tc>
      </w:tr>
      <w:tr w:rsidR="00000000">
        <w:trPr>
          <w:trHeight w:val="180"/>
          <w:tblCellSpacing w:w="15" w:type="dxa"/>
        </w:trPr>
        <w:tc>
          <w:tcPr>
            <w:tcW w:w="0" w:type="auto"/>
            <w:gridSpan w:val="2"/>
            <w:vAlign w:val="bottom"/>
            <w:hideMark/>
          </w:tcPr>
          <w:p w:rsidR="00000000" w:rsidRDefault="00805FA0">
            <w:pPr>
              <w:pStyle w:val="a3"/>
              <w:spacing w:before="0" w:beforeAutospacing="0" w:after="0" w:afterAutospacing="0"/>
              <w:rPr>
                <w:sz w:val="18"/>
                <w:szCs w:val="18"/>
              </w:rPr>
            </w:pPr>
            <w:r>
              <w:rPr>
                <w:b/>
                <w:bCs/>
                <w:sz w:val="18"/>
                <w:szCs w:val="18"/>
              </w:rPr>
              <w:t>Hypothetical change in HubSpot stock pric</w:t>
            </w:r>
            <w:r>
              <w:rPr>
                <w:b/>
                <w:bCs/>
                <w:sz w:val="18"/>
                <w:szCs w:val="18"/>
              </w:rPr>
              <w:t>e</w:t>
            </w:r>
          </w:p>
        </w:tc>
        <w:tc>
          <w:tcPr>
            <w:tcW w:w="0" w:type="auto"/>
            <w:vAlign w:val="bottom"/>
            <w:hideMark/>
          </w:tcPr>
          <w:p w:rsidR="00000000" w:rsidRDefault="00805FA0">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805FA0">
            <w:pPr>
              <w:pStyle w:val="a3"/>
              <w:spacing w:before="0" w:beforeAutospacing="0" w:after="0" w:afterAutospacing="0"/>
              <w:jc w:val="center"/>
              <w:rPr>
                <w:sz w:val="18"/>
                <w:szCs w:val="18"/>
              </w:rPr>
            </w:pPr>
            <w:r>
              <w:rPr>
                <w:b/>
                <w:bCs/>
                <w:sz w:val="18"/>
                <w:szCs w:val="18"/>
              </w:rPr>
              <w:t>Fair valu</w:t>
            </w:r>
            <w:r>
              <w:rPr>
                <w:b/>
                <w:bCs/>
                <w:sz w:val="18"/>
                <w:szCs w:val="18"/>
              </w:rPr>
              <w:t>e</w:t>
            </w:r>
          </w:p>
        </w:tc>
        <w:tc>
          <w:tcPr>
            <w:tcW w:w="0" w:type="auto"/>
            <w:vAlign w:val="bottom"/>
            <w:hideMark/>
          </w:tcPr>
          <w:p w:rsidR="00000000" w:rsidRDefault="00805FA0">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805FA0">
            <w:pPr>
              <w:pStyle w:val="a3"/>
              <w:spacing w:before="0" w:beforeAutospacing="0" w:after="0" w:afterAutospacing="0"/>
              <w:jc w:val="center"/>
              <w:rPr>
                <w:sz w:val="18"/>
                <w:szCs w:val="18"/>
              </w:rPr>
            </w:pPr>
            <w:r>
              <w:rPr>
                <w:b/>
                <w:bCs/>
                <w:sz w:val="18"/>
                <w:szCs w:val="18"/>
              </w:rPr>
              <w:t>Estimated change in</w:t>
            </w:r>
            <w:r>
              <w:rPr>
                <w:b/>
                <w:bCs/>
                <w:sz w:val="18"/>
                <w:szCs w:val="18"/>
              </w:rPr>
              <w:br/>
              <w:t>fair valu</w:t>
            </w:r>
            <w:r>
              <w:rPr>
                <w:b/>
                <w:bCs/>
                <w:sz w:val="18"/>
                <w:szCs w:val="18"/>
              </w:rPr>
              <w:t>e</w:t>
            </w:r>
          </w:p>
        </w:tc>
        <w:tc>
          <w:tcPr>
            <w:tcW w:w="0" w:type="auto"/>
            <w:vAlign w:val="bottom"/>
            <w:hideMark/>
          </w:tcPr>
          <w:p w:rsidR="00000000" w:rsidRDefault="00805FA0">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805FA0">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805FA0">
            <w:pPr>
              <w:pStyle w:val="a3"/>
              <w:spacing w:before="0" w:beforeAutospacing="0" w:after="0" w:afterAutospacing="0"/>
              <w:jc w:val="center"/>
              <w:rPr>
                <w:sz w:val="18"/>
                <w:szCs w:val="18"/>
              </w:rPr>
            </w:pPr>
            <w:r>
              <w:rPr>
                <w:b/>
                <w:bCs/>
                <w:sz w:val="18"/>
                <w:szCs w:val="18"/>
              </w:rPr>
              <w:t>Hypothetical percentage increase (decrease) in fair valu</w:t>
            </w:r>
            <w:r>
              <w:rPr>
                <w:b/>
                <w:bCs/>
                <w:sz w:val="18"/>
                <w:szCs w:val="18"/>
              </w:rPr>
              <w:t>e</w:t>
            </w:r>
          </w:p>
        </w:tc>
        <w:tc>
          <w:tcPr>
            <w:tcW w:w="0" w:type="auto"/>
            <w:vAlign w:val="bottom"/>
            <w:hideMark/>
          </w:tcPr>
          <w:p w:rsidR="00000000" w:rsidRDefault="00805FA0">
            <w:pPr>
              <w:pStyle w:val="a3"/>
              <w:spacing w:before="0" w:beforeAutospacing="0" w:after="0" w:afterAutospacing="0"/>
              <w:jc w:val="center"/>
              <w:rPr>
                <w:sz w:val="18"/>
                <w:szCs w:val="18"/>
              </w:rPr>
            </w:pPr>
            <w:r>
              <w:rPr>
                <w:sz w:val="18"/>
                <w:szCs w:val="18"/>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18"/>
                <w:szCs w:val="18"/>
              </w:rPr>
            </w:pPr>
            <w:r>
              <w:rPr>
                <w:sz w:val="18"/>
                <w:szCs w:val="18"/>
              </w:rPr>
              <w:t>10% increas</w:t>
            </w:r>
            <w:r>
              <w:rPr>
                <w:sz w:val="18"/>
                <w:szCs w:val="18"/>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577,48</w:t>
            </w:r>
            <w:r>
              <w:rPr>
                <w:sz w:val="20"/>
                <w:szCs w:val="20"/>
              </w:rPr>
              <w:t>1</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63,70</w:t>
            </w:r>
            <w:r>
              <w:rPr>
                <w:sz w:val="20"/>
                <w:szCs w:val="20"/>
              </w:rPr>
              <w:t>7</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18"/>
                <w:szCs w:val="18"/>
              </w:rPr>
            </w:pPr>
            <w:r>
              <w:rPr>
                <w:sz w:val="18"/>
                <w:szCs w:val="18"/>
              </w:rPr>
              <w:t>No chang</w:t>
            </w:r>
            <w:r>
              <w:rPr>
                <w:sz w:val="18"/>
                <w:szCs w:val="18"/>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513,77</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18"/>
                <w:szCs w:val="18"/>
              </w:rPr>
            </w:pPr>
            <w:r>
              <w:rPr>
                <w:sz w:val="18"/>
                <w:szCs w:val="18"/>
              </w:rPr>
              <w:t>10% decreas</w:t>
            </w:r>
            <w:r>
              <w:rPr>
                <w:sz w:val="18"/>
                <w:szCs w:val="18"/>
              </w:rPr>
              <w:t>e</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511,46</w:t>
            </w:r>
            <w:r>
              <w:rPr>
                <w:sz w:val="20"/>
                <w:szCs w:val="20"/>
              </w:rPr>
              <w:t>4</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(2,30</w:t>
            </w:r>
            <w:r>
              <w:rPr>
                <w:sz w:val="20"/>
                <w:szCs w:val="20"/>
              </w:rPr>
              <w:t>9</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jc w:val="right"/>
              <w:rPr>
                <w:sz w:val="20"/>
                <w:szCs w:val="20"/>
              </w:rPr>
            </w:pPr>
            <w:r>
              <w:rPr>
                <w:sz w:val="20"/>
                <w:szCs w:val="20"/>
              </w:rPr>
              <w:t>(</w:t>
            </w:r>
            <w:r>
              <w:rPr>
                <w:sz w:val="20"/>
                <w:szCs w:val="20"/>
              </w:rPr>
              <w:t>0</w:t>
            </w:r>
          </w:p>
        </w:tc>
        <w:tc>
          <w:tcPr>
            <w:tcW w:w="0" w:type="auto"/>
            <w:noWrap/>
            <w:vAlign w:val="bottom"/>
            <w:hideMark/>
          </w:tcPr>
          <w:p w:rsidR="00000000" w:rsidRDefault="00805FA0">
            <w:pPr>
              <w:pStyle w:val="a3"/>
              <w:spacing w:before="0" w:beforeAutospacing="0" w:after="0" w:afterAutospacing="0"/>
              <w:rPr>
                <w:sz w:val="20"/>
                <w:szCs w:val="20"/>
              </w:rPr>
            </w:pPr>
            <w:r>
              <w:rPr>
                <w:sz w:val="20"/>
                <w:szCs w:val="20"/>
              </w:rPr>
              <w:t>)</w:t>
            </w:r>
            <w:r>
              <w:rPr>
                <w:sz w:val="20"/>
                <w:szCs w:val="20"/>
              </w:rPr>
              <w:t>%</w:t>
            </w:r>
          </w:p>
        </w:tc>
      </w:tr>
    </w:tbl>
    <w:p w:rsidR="00000000" w:rsidRDefault="00805FA0">
      <w:pPr>
        <w:pStyle w:val="a3"/>
        <w:spacing w:before="240" w:beforeAutospacing="0" w:after="0" w:afterAutospacing="0"/>
        <w:ind w:hanging="1220"/>
        <w:rPr>
          <w:sz w:val="20"/>
          <w:szCs w:val="20"/>
        </w:rPr>
      </w:pPr>
      <w:r>
        <w:rPr>
          <w:sz w:val="20"/>
          <w:szCs w:val="20"/>
        </w:rPr>
        <w:t> </w:t>
      </w:r>
    </w:p>
    <w:p w:rsidR="00000000" w:rsidRDefault="00805FA0">
      <w:pPr>
        <w:pStyle w:val="a3"/>
        <w:spacing w:before="240" w:beforeAutospacing="0" w:after="0" w:afterAutospacing="0"/>
        <w:ind w:hanging="1220"/>
        <w:rPr>
          <w:sz w:val="20"/>
          <w:szCs w:val="20"/>
        </w:rPr>
      </w:pPr>
      <w:r>
        <w:rPr>
          <w:b/>
          <w:bCs/>
          <w:sz w:val="20"/>
          <w:szCs w:val="20"/>
        </w:rPr>
        <w:t>Item 4. Control</w:t>
      </w:r>
      <w:r>
        <w:rPr>
          <w:b/>
          <w:bCs/>
          <w:sz w:val="20"/>
          <w:szCs w:val="20"/>
        </w:rPr>
        <w:t>s</w:t>
      </w:r>
      <w:r>
        <w:rPr>
          <w:b/>
          <w:bCs/>
          <w:sz w:val="20"/>
          <w:szCs w:val="20"/>
        </w:rPr>
        <w:t xml:space="preserve"> </w:t>
      </w:r>
      <w:r>
        <w:rPr>
          <w:b/>
          <w:bCs/>
          <w:sz w:val="20"/>
          <w:szCs w:val="20"/>
        </w:rPr>
        <w:t>and Procedure</w:t>
      </w:r>
      <w:r>
        <w:rPr>
          <w:b/>
          <w:bCs/>
          <w:sz w:val="20"/>
          <w:szCs w:val="20"/>
        </w:rPr>
        <w:t>s</w:t>
      </w:r>
    </w:p>
    <w:p w:rsidR="00000000" w:rsidRDefault="00805FA0">
      <w:pPr>
        <w:pStyle w:val="a3"/>
        <w:spacing w:before="240" w:beforeAutospacing="0" w:after="0" w:afterAutospacing="0"/>
        <w:ind w:firstLine="555"/>
        <w:rPr>
          <w:sz w:val="20"/>
          <w:szCs w:val="20"/>
        </w:rPr>
      </w:pPr>
      <w:r>
        <w:rPr>
          <w:sz w:val="20"/>
          <w:szCs w:val="20"/>
          <w:u w:val="single"/>
        </w:rPr>
        <w:t>Evaluation of Disclosure Controls and Procedure</w:t>
      </w:r>
      <w:r>
        <w:rPr>
          <w:sz w:val="20"/>
          <w:szCs w:val="20"/>
          <w:u w:val="single"/>
        </w:rPr>
        <w:t>s</w:t>
      </w:r>
      <w:r>
        <w:rPr>
          <w:sz w:val="20"/>
          <w:szCs w:val="20"/>
        </w:rPr>
        <w:t>. Our management, with the participation of our principal executive officer and principal financial officer, has evaluated the effectiveness of our disclosure controls and procedures (as define</w:t>
      </w:r>
      <w:r>
        <w:rPr>
          <w:sz w:val="20"/>
          <w:szCs w:val="20"/>
        </w:rPr>
        <w:t>d in Rules 13a-15(e) and 15d-15(e) under the Securities Exchange Act of 1934, as amended (the “Exchange Act”), as of the end of the period covered by this Quarterly Report on Form 10-Q. Based on such evaluation, our principal executive officer and principa</w:t>
      </w:r>
      <w:r>
        <w:rPr>
          <w:sz w:val="20"/>
          <w:szCs w:val="20"/>
        </w:rPr>
        <w:t>l financial officer have concluded that as of such date, our disclosure controls and procedures were effective</w:t>
      </w:r>
      <w:r>
        <w:rPr>
          <w:sz w:val="20"/>
          <w:szCs w:val="20"/>
        </w:rPr>
        <w:t>.</w:t>
      </w:r>
    </w:p>
    <w:p w:rsidR="00000000" w:rsidRDefault="00805FA0">
      <w:pPr>
        <w:pStyle w:val="a3"/>
        <w:spacing w:before="240" w:beforeAutospacing="0" w:after="0" w:afterAutospacing="0"/>
        <w:ind w:firstLine="555"/>
        <w:rPr>
          <w:sz w:val="20"/>
          <w:szCs w:val="20"/>
        </w:rPr>
      </w:pPr>
      <w:r>
        <w:rPr>
          <w:sz w:val="20"/>
          <w:szCs w:val="20"/>
          <w:u w:val="single"/>
        </w:rPr>
        <w:t>Changes in Internal Control Over Financial Reportin</w:t>
      </w:r>
      <w:r>
        <w:rPr>
          <w:sz w:val="20"/>
          <w:szCs w:val="20"/>
          <w:u w:val="single"/>
        </w:rPr>
        <w:t>g</w:t>
      </w:r>
      <w:r>
        <w:rPr>
          <w:sz w:val="20"/>
          <w:szCs w:val="20"/>
        </w:rPr>
        <w:t xml:space="preserve">. There was no change in our internal control over financial reporting (as defined in Rules </w:t>
      </w:r>
      <w:r>
        <w:rPr>
          <w:sz w:val="20"/>
          <w:szCs w:val="20"/>
        </w:rPr>
        <w:t>13a-15(f) and 15d-15(f) under the Exchange Act) that occurred during the period covered by this Quarterly Report on Form 10-Q that has materially affected, or is reasonably likely to materially affect, our internal control over financial reporting</w:t>
      </w:r>
      <w:r>
        <w:rPr>
          <w:sz w:val="20"/>
          <w:szCs w:val="20"/>
        </w:rPr>
        <w:t>.</w:t>
      </w:r>
      <w:r>
        <w:rPr>
          <w:sz w:val="20"/>
          <w:szCs w:val="20"/>
        </w:rPr>
        <w:t xml:space="preserve"> </w:t>
      </w:r>
    </w:p>
    <w:p w:rsidR="00000000" w:rsidRDefault="00805FA0">
      <w:pPr>
        <w:pStyle w:val="a3"/>
        <w:spacing w:before="240" w:beforeAutospacing="0" w:after="0" w:afterAutospacing="0"/>
        <w:ind w:firstLine="555"/>
        <w:rPr>
          <w:sz w:val="20"/>
          <w:szCs w:val="20"/>
        </w:rPr>
      </w:pPr>
      <w:r>
        <w:rPr>
          <w:sz w:val="20"/>
          <w:szCs w:val="20"/>
          <w:u w:val="single"/>
        </w:rPr>
        <w:t>Inhere</w:t>
      </w:r>
      <w:r>
        <w:rPr>
          <w:sz w:val="20"/>
          <w:szCs w:val="20"/>
          <w:u w:val="single"/>
        </w:rPr>
        <w:t>nt Limitations of Internal Control</w:t>
      </w:r>
      <w:r>
        <w:rPr>
          <w:sz w:val="20"/>
          <w:szCs w:val="20"/>
          <w:u w:val="single"/>
        </w:rPr>
        <w:t>s</w:t>
      </w:r>
      <w:r>
        <w:rPr>
          <w:sz w:val="20"/>
          <w:szCs w:val="20"/>
        </w:rPr>
        <w:t>. Our management, including our Chief Executive Officer and Chief Financial Officer, does not expect that our disclosure controls and procedures or our internal controls will prevent all errors and all fraud. A control sy</w:t>
      </w:r>
      <w:r>
        <w:rPr>
          <w:sz w:val="20"/>
          <w:szCs w:val="20"/>
        </w:rPr>
        <w:t>stem, no matter how well conceived and operated, can provide only reasonable, not absolute, assurance that the objectives of the control system are met. Because of the inherent limitations in all control systems, no evaluation of controls can provide absol</w:t>
      </w:r>
      <w:r>
        <w:rPr>
          <w:sz w:val="20"/>
          <w:szCs w:val="20"/>
        </w:rPr>
        <w:t>ute assurance that all control issues and instances of fraud, if any, within the Company have been detected. These inherent limitations include the realities that judgments in decision-making can be faulty, and that breakdowns can occur because of a simple</w:t>
      </w:r>
      <w:r>
        <w:rPr>
          <w:sz w:val="20"/>
          <w:szCs w:val="20"/>
        </w:rPr>
        <w:t xml:space="preserve"> error o</w:t>
      </w:r>
      <w:r>
        <w:rPr>
          <w:sz w:val="20"/>
          <w:szCs w:val="20"/>
        </w:rPr>
        <w:t>r</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3</w:t>
      </w:r>
      <w:r>
        <w:rPr>
          <w:sz w:val="20"/>
          <w:szCs w:val="20"/>
        </w:rPr>
        <w:t>3</w:t>
      </w:r>
    </w:p>
    <w:p w:rsidR="00000000" w:rsidRDefault="00805FA0">
      <w:pPr>
        <w:rPr>
          <w:rFonts w:eastAsia="Times New Roman"/>
        </w:rPr>
      </w:pPr>
      <w:r>
        <w:rPr>
          <w:rFonts w:eastAsia="Times New Roman"/>
        </w:rPr>
        <w:pict>
          <v:rect id="_x0000_i1057"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rPr>
          <w:sz w:val="20"/>
          <w:szCs w:val="20"/>
        </w:rPr>
      </w:pPr>
      <w:r>
        <w:rPr>
          <w:sz w:val="20"/>
          <w:szCs w:val="20"/>
        </w:rPr>
        <w:t>mistake. Additionally, controls can be circumvented by the individual acts of some persons, by collusion of two or more people, or by management override of the control. The design of any system of contro</w:t>
      </w:r>
      <w:r>
        <w:rPr>
          <w:sz w:val="20"/>
          <w:szCs w:val="20"/>
        </w:rPr>
        <w:t>ls also is based in part upon certain assumptions about the likelihood of future events, and there can be no assurance that any design will succeed in achieving its stated goals under all potential future conditions. Over time, controls may become inadequa</w:t>
      </w:r>
      <w:r>
        <w:rPr>
          <w:sz w:val="20"/>
          <w:szCs w:val="20"/>
        </w:rPr>
        <w:t>te because of changes in conditions, or the degree of compliance with the policies or procedures may deteriorate. Because of the inherent limitations in a cost-effective control system, misstatements due to error or fraud may occur and not be detected</w:t>
      </w:r>
      <w:r>
        <w:rPr>
          <w:sz w:val="20"/>
          <w:szCs w:val="20"/>
        </w:rPr>
        <w:t>.</w:t>
      </w:r>
    </w:p>
    <w:p w:rsidR="00000000" w:rsidRDefault="00805FA0">
      <w:pPr>
        <w:pStyle w:val="a3"/>
        <w:spacing w:before="240" w:beforeAutospacing="0" w:after="0" w:afterAutospacing="0"/>
        <w:jc w:val="center"/>
        <w:rPr>
          <w:sz w:val="20"/>
          <w:szCs w:val="20"/>
        </w:rPr>
      </w:pPr>
      <w:r>
        <w:rPr>
          <w:sz w:val="20"/>
          <w:szCs w:val="20"/>
        </w:rPr>
        <w:t>3</w:t>
      </w:r>
      <w:r>
        <w:rPr>
          <w:sz w:val="20"/>
          <w:szCs w:val="20"/>
        </w:rPr>
        <w:t>4</w:t>
      </w:r>
    </w:p>
    <w:p w:rsidR="00000000" w:rsidRDefault="00805FA0">
      <w:pPr>
        <w:rPr>
          <w:rFonts w:eastAsia="Times New Roman"/>
        </w:rPr>
      </w:pPr>
      <w:r>
        <w:rPr>
          <w:rFonts w:eastAsia="Times New Roman"/>
        </w:rPr>
        <w:pict>
          <v:rect id="_x0000_i1058"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b/>
          <w:bCs/>
          <w:sz w:val="20"/>
          <w:szCs w:val="20"/>
        </w:rPr>
        <w:t>PAR</w:t>
      </w:r>
      <w:r>
        <w:rPr>
          <w:b/>
          <w:bCs/>
          <w:sz w:val="20"/>
          <w:szCs w:val="20"/>
        </w:rPr>
        <w:t>T</w:t>
      </w:r>
      <w:r>
        <w:rPr>
          <w:b/>
          <w:bCs/>
          <w:sz w:val="20"/>
          <w:szCs w:val="20"/>
        </w:rPr>
        <w:t xml:space="preserve"> I</w:t>
      </w:r>
      <w:r>
        <w:rPr>
          <w:b/>
          <w:bCs/>
          <w:sz w:val="20"/>
          <w:szCs w:val="20"/>
        </w:rPr>
        <w:t>I</w:t>
      </w:r>
    </w:p>
    <w:p w:rsidR="00000000" w:rsidRDefault="00805FA0">
      <w:pPr>
        <w:pStyle w:val="a3"/>
        <w:spacing w:before="240" w:beforeAutospacing="0" w:after="0" w:afterAutospacing="0"/>
        <w:jc w:val="center"/>
        <w:rPr>
          <w:sz w:val="20"/>
          <w:szCs w:val="20"/>
        </w:rPr>
      </w:pPr>
      <w:r>
        <w:rPr>
          <w:b/>
          <w:bCs/>
          <w:sz w:val="20"/>
          <w:szCs w:val="20"/>
        </w:rPr>
        <w:t>Other Informatio</w:t>
      </w:r>
      <w:r>
        <w:rPr>
          <w:b/>
          <w:bCs/>
          <w:sz w:val="20"/>
          <w:szCs w:val="20"/>
        </w:rPr>
        <w:t>n</w:t>
      </w:r>
    </w:p>
    <w:p w:rsidR="00000000" w:rsidRDefault="00805FA0">
      <w:pPr>
        <w:pStyle w:val="a3"/>
        <w:spacing w:before="240" w:beforeAutospacing="0" w:after="0" w:afterAutospacing="0"/>
        <w:ind w:hanging="1220"/>
        <w:rPr>
          <w:sz w:val="20"/>
          <w:szCs w:val="20"/>
        </w:rPr>
      </w:pPr>
      <w:r>
        <w:rPr>
          <w:b/>
          <w:bCs/>
          <w:sz w:val="20"/>
          <w:szCs w:val="20"/>
        </w:rPr>
        <w:t>Item 1. Lega</w:t>
      </w:r>
      <w:r>
        <w:rPr>
          <w:b/>
          <w:bCs/>
          <w:sz w:val="20"/>
          <w:szCs w:val="20"/>
        </w:rPr>
        <w:t>l</w:t>
      </w:r>
      <w:r>
        <w:rPr>
          <w:b/>
          <w:bCs/>
          <w:sz w:val="20"/>
          <w:szCs w:val="20"/>
        </w:rPr>
        <w:t xml:space="preserve"> Proceeding</w:t>
      </w:r>
      <w:r>
        <w:rPr>
          <w:b/>
          <w:bCs/>
          <w:sz w:val="20"/>
          <w:szCs w:val="20"/>
        </w:rPr>
        <w:t>s</w:t>
      </w:r>
    </w:p>
    <w:p w:rsidR="00000000" w:rsidRDefault="00805FA0">
      <w:pPr>
        <w:pStyle w:val="a3"/>
        <w:spacing w:before="240" w:beforeAutospacing="0" w:after="0" w:afterAutospacing="0"/>
        <w:ind w:firstLine="555"/>
        <w:rPr>
          <w:sz w:val="20"/>
          <w:szCs w:val="20"/>
        </w:rPr>
      </w:pPr>
      <w:r>
        <w:rPr>
          <w:sz w:val="20"/>
          <w:szCs w:val="20"/>
        </w:rPr>
        <w:t>From time to time we may become involved in legal proceedings or be subject to claims arising in the ordinary course of our business. Although the results of litigation and claims cannot be predicted with certainty, we currently believe that the final outc</w:t>
      </w:r>
      <w:r>
        <w:rPr>
          <w:sz w:val="20"/>
          <w:szCs w:val="20"/>
        </w:rPr>
        <w:t>ome of these ordinary course matters will not have a material adverse effect on our business, operating results, financial condition or cash flows. Regardless of the outcome, litigation can have an adverse impact on us because of defense and settlement cos</w:t>
      </w:r>
      <w:r>
        <w:rPr>
          <w:sz w:val="20"/>
          <w:szCs w:val="20"/>
        </w:rPr>
        <w:t>ts, diversion of management resources and other factors</w:t>
      </w:r>
      <w:r>
        <w:rPr>
          <w:sz w:val="20"/>
          <w:szCs w:val="20"/>
        </w:rPr>
        <w:t>.</w:t>
      </w:r>
    </w:p>
    <w:p w:rsidR="00000000" w:rsidRDefault="00805FA0">
      <w:pPr>
        <w:pStyle w:val="a3"/>
        <w:spacing w:before="24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805FA0">
      <w:pPr>
        <w:pStyle w:val="a3"/>
        <w:spacing w:before="200" w:beforeAutospacing="0" w:after="0" w:afterAutospacing="0"/>
        <w:ind w:firstLine="555"/>
        <w:rPr>
          <w:sz w:val="20"/>
          <w:szCs w:val="20"/>
        </w:rPr>
      </w:pPr>
      <w:r>
        <w:rPr>
          <w:i/>
          <w:iCs/>
          <w:sz w:val="20"/>
          <w:szCs w:val="20"/>
        </w:rPr>
        <w:t xml:space="preserve">An investment in our common stock involves a high degree of risk. You should carefully consider the risks described below and the other information in this Quarterly Report </w:t>
      </w:r>
      <w:r>
        <w:rPr>
          <w:i/>
          <w:iCs/>
          <w:sz w:val="20"/>
          <w:szCs w:val="20"/>
        </w:rPr>
        <w:t>on Form 10-Q and in our other public filings before making an investment decision. Our business, prospects, financial condition, or operating results could be harmed by any of these risks, as well as other risks not currently known to us or that we current</w:t>
      </w:r>
      <w:r>
        <w:rPr>
          <w:i/>
          <w:iCs/>
          <w:sz w:val="20"/>
          <w:szCs w:val="20"/>
        </w:rPr>
        <w:t>ly consider immaterial. If any such risks and uncertainties actually occurs, our business, financial condition or operating results could differ materially from the plans, projections and other forward-looking statements included in the section titled “Man</w:t>
      </w:r>
      <w:r>
        <w:rPr>
          <w:i/>
          <w:iCs/>
          <w:sz w:val="20"/>
          <w:szCs w:val="20"/>
        </w:rPr>
        <w:t xml:space="preserve">agement’s Discussion and Analysis of Financial Condition and Results of Operations” and elsewhere in this report and in our other public filings. The trading price of our common stock could decline due to any of these risks, and, as a result, you may lose </w:t>
      </w:r>
      <w:r>
        <w:rPr>
          <w:i/>
          <w:iCs/>
          <w:sz w:val="20"/>
          <w:szCs w:val="20"/>
        </w:rPr>
        <w:t>all or part of your investment</w:t>
      </w:r>
      <w:r>
        <w:rPr>
          <w:i/>
          <w:iCs/>
          <w:sz w:val="20"/>
          <w:szCs w:val="20"/>
        </w:rPr>
        <w:t>.</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Our Business and Strateg</w:t>
      </w:r>
      <w:r>
        <w:rPr>
          <w:b/>
          <w:bCs/>
          <w:sz w:val="20"/>
          <w:szCs w:val="20"/>
        </w:rPr>
        <w:t>y</w:t>
      </w:r>
    </w:p>
    <w:p w:rsidR="00000000" w:rsidRDefault="00805FA0">
      <w:pPr>
        <w:pStyle w:val="a3"/>
        <w:spacing w:before="200" w:beforeAutospacing="0" w:after="0" w:afterAutospacing="0"/>
        <w:rPr>
          <w:sz w:val="20"/>
          <w:szCs w:val="20"/>
        </w:rPr>
      </w:pPr>
      <w:r>
        <w:rPr>
          <w:b/>
          <w:bCs/>
          <w:i/>
          <w:iCs/>
          <w:sz w:val="20"/>
          <w:szCs w:val="20"/>
        </w:rPr>
        <w:t>We are dependent upon customer renewals, the addition of new customers, increased revenue from existing customers and the continued growth of the market for a CRM Platform</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der</w:t>
      </w:r>
      <w:r>
        <w:rPr>
          <w:sz w:val="20"/>
          <w:szCs w:val="20"/>
        </w:rPr>
        <w:t>ive, and expect to continue to derive, a substantial portion of our revenue from the sale of subscriptions to our CRM Platform. The market for inbound marketing, sales and customer service products is still evolving, and competitive dynamics may cause pric</w:t>
      </w:r>
      <w:r>
        <w:rPr>
          <w:sz w:val="20"/>
          <w:szCs w:val="20"/>
        </w:rPr>
        <w:t>ing levels to change as the market matures and as existing and new market participants introduce new types of point applications and different approaches to enable businesses to address their respective needs. As a result, we may be forced to reduce the pr</w:t>
      </w:r>
      <w:r>
        <w:rPr>
          <w:sz w:val="20"/>
          <w:szCs w:val="20"/>
        </w:rPr>
        <w:t>ices we charge for our platform and may be unable to renew existing customer agreements or enter into new customer agreements at the same prices and upon the same terms that we have historically. In addition, our growth strategy involves a scalable pricing</w:t>
      </w:r>
      <w:r>
        <w:rPr>
          <w:sz w:val="20"/>
          <w:szCs w:val="20"/>
        </w:rPr>
        <w:t xml:space="preserve"> model (including freemium versions of our products) intended to provide us with an opportunity to increase the value of our customer relationships over time as we expand their use of our platform, sell to other parts of their organizations, cross-sell our</w:t>
      </w:r>
      <w:r>
        <w:rPr>
          <w:sz w:val="20"/>
          <w:szCs w:val="20"/>
        </w:rPr>
        <w:t xml:space="preserve"> sales products to existing marketing product customers and vice versa through touchless or low-touch in product purchases, and upsell additional offerings and features. If our cross-selling efforts are unsuccessful or if our existing customers do not expa</w:t>
      </w:r>
      <w:r>
        <w:rPr>
          <w:sz w:val="20"/>
          <w:szCs w:val="20"/>
        </w:rPr>
        <w:t>nd their use of our platform or adopt additional offerings and features, our operating results may suffer</w:t>
      </w:r>
      <w:r>
        <w:rPr>
          <w:sz w:val="20"/>
          <w:szCs w:val="20"/>
        </w:rPr>
        <w:t>.</w:t>
      </w:r>
    </w:p>
    <w:p w:rsidR="00000000" w:rsidRDefault="00805FA0">
      <w:pPr>
        <w:pStyle w:val="a3"/>
        <w:spacing w:before="200" w:beforeAutospacing="0" w:after="0" w:afterAutospacing="0"/>
        <w:rPr>
          <w:sz w:val="20"/>
          <w:szCs w:val="20"/>
        </w:rPr>
      </w:pPr>
      <w:r>
        <w:rPr>
          <w:b/>
          <w:bCs/>
          <w:i/>
          <w:iCs/>
          <w:sz w:val="20"/>
          <w:szCs w:val="20"/>
        </w:rPr>
        <w:t>Our subscription renewal rates may decrease, and any decrease could harm our future revenue and operating results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customers have no obligation t</w:t>
      </w:r>
      <w:r>
        <w:rPr>
          <w:sz w:val="20"/>
          <w:szCs w:val="20"/>
        </w:rPr>
        <w:t>o renew their subscriptions for our platform after the expiration of their subscription periods, substantially all of which are one year or less. In addition, our customers may seek to renew for lower subscription tiers, for fewer contacts or seats, or for</w:t>
      </w:r>
      <w:r>
        <w:rPr>
          <w:sz w:val="20"/>
          <w:szCs w:val="20"/>
        </w:rPr>
        <w:t xml:space="preserve"> shorter contract lengths. Also, customers may choose not to renew their subscriptions for a variety of reasons. Our renewal rates may decline or fluctuate as a result of a number of factors, including limited customer resources, pricing changes, the price</w:t>
      </w:r>
      <w:r>
        <w:rPr>
          <w:sz w:val="20"/>
          <w:szCs w:val="20"/>
        </w:rPr>
        <w:t>s of services offered by our competitors, adoption and utilization of our platform and add-on applications by our customers, adoption of our new products, customer satisfaction with our platform, mergers and acquisitions affecting our customer base, reduct</w:t>
      </w:r>
      <w:r>
        <w:rPr>
          <w:sz w:val="20"/>
          <w:szCs w:val="20"/>
        </w:rPr>
        <w:t>ions in our customers’ spending levels or declines in customer activity as a result of economic downturns or uncertainty in financial markets. If our customers do not renew their subscriptions for our platform or decrease the amount they spend with us, our</w:t>
      </w:r>
      <w:r>
        <w:rPr>
          <w:sz w:val="20"/>
          <w:szCs w:val="20"/>
        </w:rPr>
        <w:t xml:space="preserve"> revenue will decline and our business will suffer. In addition, a subscription model creates certain risks related to the timing of revenue recognition and potential reductions in cash flows. A portion of the subscription-based revenue we report each quar</w:t>
      </w:r>
      <w:r>
        <w:rPr>
          <w:sz w:val="20"/>
          <w:szCs w:val="20"/>
        </w:rPr>
        <w:t>ter results from the recognition of deferred revenue relating to subscription agreements entered into during previous quarters. A decline in new or renewed subscriptions in any period may not be immediately reflected in our reported financial results for t</w:t>
      </w:r>
      <w:r>
        <w:rPr>
          <w:sz w:val="20"/>
          <w:szCs w:val="20"/>
        </w:rPr>
        <w:t>hat period, but may resul</w:t>
      </w:r>
      <w:r>
        <w:rPr>
          <w:sz w:val="20"/>
          <w:szCs w:val="20"/>
        </w:rPr>
        <w:t>t</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3</w:t>
      </w:r>
      <w:r>
        <w:rPr>
          <w:sz w:val="20"/>
          <w:szCs w:val="20"/>
        </w:rPr>
        <w:t>5</w:t>
      </w:r>
    </w:p>
    <w:p w:rsidR="00000000" w:rsidRDefault="00805FA0">
      <w:pPr>
        <w:rPr>
          <w:rFonts w:eastAsia="Times New Roman"/>
        </w:rPr>
      </w:pPr>
      <w:r>
        <w:rPr>
          <w:rFonts w:eastAsia="Times New Roman"/>
        </w:rPr>
        <w:pict>
          <v:rect id="_x0000_i1059"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in a decline in our revenue in future quarters. If we were to experience significant downturns in subscription sales and renewal rates, our reported financial results might not reflect s</w:t>
      </w:r>
      <w:r>
        <w:rPr>
          <w:sz w:val="20"/>
          <w:szCs w:val="20"/>
        </w:rPr>
        <w:t>uch downturns until future periods</w:t>
      </w:r>
      <w:r>
        <w:rPr>
          <w:sz w:val="20"/>
          <w:szCs w:val="20"/>
        </w:rPr>
        <w:t>.</w:t>
      </w:r>
    </w:p>
    <w:p w:rsidR="00000000" w:rsidRDefault="00805FA0">
      <w:pPr>
        <w:pStyle w:val="a3"/>
        <w:spacing w:before="200" w:beforeAutospacing="0" w:after="0" w:afterAutospacing="0"/>
        <w:rPr>
          <w:sz w:val="20"/>
          <w:szCs w:val="20"/>
        </w:rPr>
      </w:pPr>
      <w:r>
        <w:rPr>
          <w:b/>
          <w:bCs/>
          <w:i/>
          <w:iCs/>
          <w:sz w:val="20"/>
          <w:szCs w:val="20"/>
        </w:rPr>
        <w:t>We face significant competition from both established and new companies offering marketing, sales and customer service software and other related applications, as well as internally developed software, which may harm our</w:t>
      </w:r>
      <w:r>
        <w:rPr>
          <w:b/>
          <w:bCs/>
          <w:i/>
          <w:iCs/>
          <w:sz w:val="20"/>
          <w:szCs w:val="20"/>
        </w:rPr>
        <w:t xml:space="preserve"> ability to add new customers, retain existing customers and grow our business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The marketing, sales, customer service, operations, and content management software market is evolving, highly competitive and significantly fragmented. With the introduction o</w:t>
      </w:r>
      <w:r>
        <w:rPr>
          <w:sz w:val="20"/>
          <w:szCs w:val="20"/>
        </w:rPr>
        <w:t>f new technologies and the potential entry of new competitors into the market, we expect competition to persist and intensify in the future, which could harm our ability to increase sales, maintain or increase renewals and maintain our prices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We face int</w:t>
      </w:r>
      <w:r>
        <w:rPr>
          <w:sz w:val="20"/>
          <w:szCs w:val="20"/>
        </w:rPr>
        <w:t>ense competition from other software companies that develop marketing, sales, customer service, operations, and content management software and from marketing services companies that provide interactive marketing services. Competition could significantly i</w:t>
      </w:r>
      <w:r>
        <w:rPr>
          <w:sz w:val="20"/>
          <w:szCs w:val="20"/>
        </w:rPr>
        <w:t>mpede our ability to sell subscriptions to our CRM Platform on terms favorable to us. Our current and potential competitors may develop and market new technologies that render our existing or future products less competitive, or obsolete. In addition, if t</w:t>
      </w:r>
      <w:r>
        <w:rPr>
          <w:sz w:val="20"/>
          <w:szCs w:val="20"/>
        </w:rPr>
        <w:t>hese competitors develop products with similar or superior functionality to our platform, we may need to decrease the prices or accept less favorable terms for our platform subscriptions in order to remain competitive. If we are unable to maintain our pric</w:t>
      </w:r>
      <w:r>
        <w:rPr>
          <w:sz w:val="20"/>
          <w:szCs w:val="20"/>
        </w:rPr>
        <w:t>ing due to competitive pressures, our margins will be reduced and our operating results will be negatively affected</w:t>
      </w:r>
      <w:r>
        <w:rPr>
          <w:sz w:val="20"/>
          <w:szCs w:val="20"/>
        </w:rPr>
        <w:t>.</w:t>
      </w:r>
    </w:p>
    <w:p w:rsidR="00000000" w:rsidRDefault="00805FA0">
      <w:pPr>
        <w:pStyle w:val="a3"/>
        <w:spacing w:before="200" w:beforeAutospacing="0" w:after="0" w:afterAutospacing="0"/>
        <w:ind w:firstLine="555"/>
        <w:rPr>
          <w:sz w:val="20"/>
          <w:szCs w:val="20"/>
        </w:rPr>
      </w:pPr>
      <w:r>
        <w:rPr>
          <w:sz w:val="20"/>
          <w:szCs w:val="20"/>
        </w:rPr>
        <w:t>Our competitors include</w:t>
      </w:r>
      <w:r>
        <w:rPr>
          <w:sz w:val="20"/>
          <w:szCs w:val="20"/>
        </w:rPr>
        <w:t>:</w:t>
      </w:r>
    </w:p>
    <w:p w:rsidR="00000000" w:rsidRDefault="00805FA0">
      <w:pPr>
        <w:divId w:val="2024820933"/>
        <w:rPr>
          <w:rFonts w:eastAsia="Times New Roman"/>
        </w:rPr>
      </w:pPr>
      <w:r>
        <w:rPr>
          <w:rFonts w:eastAsia="Times New Roman"/>
          <w:sz w:val="20"/>
          <w:szCs w:val="20"/>
        </w:rPr>
        <w:t>•</w:t>
      </w:r>
    </w:p>
    <w:p w:rsidR="00000000" w:rsidRDefault="00805FA0">
      <w:pPr>
        <w:divId w:val="1218979569"/>
        <w:rPr>
          <w:rFonts w:eastAsia="Times New Roman"/>
        </w:rPr>
      </w:pPr>
      <w:r>
        <w:rPr>
          <w:rFonts w:eastAsia="Times New Roman"/>
          <w:sz w:val="20"/>
          <w:szCs w:val="20"/>
        </w:rPr>
        <w:t>cloud-based marketing automation providers</w:t>
      </w:r>
      <w:r>
        <w:rPr>
          <w:rFonts w:eastAsia="Times New Roman"/>
          <w:sz w:val="20"/>
          <w:szCs w:val="20"/>
        </w:rPr>
        <w:t>;</w:t>
      </w:r>
    </w:p>
    <w:p w:rsidR="00000000" w:rsidRDefault="00805FA0">
      <w:pPr>
        <w:divId w:val="367920241"/>
        <w:rPr>
          <w:rFonts w:eastAsia="Times New Roman"/>
        </w:rPr>
      </w:pPr>
      <w:r>
        <w:rPr>
          <w:rFonts w:eastAsia="Times New Roman"/>
          <w:sz w:val="20"/>
          <w:szCs w:val="20"/>
        </w:rPr>
        <w:t>•</w:t>
      </w:r>
    </w:p>
    <w:p w:rsidR="00000000" w:rsidRDefault="00805FA0">
      <w:pPr>
        <w:divId w:val="624892663"/>
        <w:rPr>
          <w:rFonts w:eastAsia="Times New Roman"/>
        </w:rPr>
      </w:pPr>
      <w:r>
        <w:rPr>
          <w:rFonts w:eastAsia="Times New Roman"/>
          <w:sz w:val="20"/>
          <w:szCs w:val="20"/>
        </w:rPr>
        <w:t>email marketing software vendors</w:t>
      </w:r>
      <w:r>
        <w:rPr>
          <w:rFonts w:eastAsia="Times New Roman"/>
          <w:sz w:val="20"/>
          <w:szCs w:val="20"/>
        </w:rPr>
        <w:t>;</w:t>
      </w:r>
    </w:p>
    <w:p w:rsidR="00000000" w:rsidRDefault="00805FA0">
      <w:pPr>
        <w:divId w:val="1342586515"/>
        <w:rPr>
          <w:rFonts w:eastAsia="Times New Roman"/>
        </w:rPr>
      </w:pPr>
      <w:r>
        <w:rPr>
          <w:rFonts w:eastAsia="Times New Roman"/>
          <w:sz w:val="20"/>
          <w:szCs w:val="20"/>
        </w:rPr>
        <w:t>•</w:t>
      </w:r>
    </w:p>
    <w:p w:rsidR="00000000" w:rsidRDefault="00805FA0">
      <w:pPr>
        <w:divId w:val="1893229407"/>
        <w:rPr>
          <w:rFonts w:eastAsia="Times New Roman"/>
        </w:rPr>
      </w:pPr>
      <w:r>
        <w:rPr>
          <w:rFonts w:eastAsia="Times New Roman"/>
          <w:sz w:val="20"/>
          <w:szCs w:val="20"/>
        </w:rPr>
        <w:t>sales force automation and CRM software vendors</w:t>
      </w:r>
      <w:r>
        <w:rPr>
          <w:rFonts w:eastAsia="Times New Roman"/>
          <w:sz w:val="20"/>
          <w:szCs w:val="20"/>
        </w:rPr>
        <w:t>;</w:t>
      </w:r>
    </w:p>
    <w:p w:rsidR="00000000" w:rsidRDefault="00805FA0">
      <w:pPr>
        <w:divId w:val="1635023752"/>
        <w:rPr>
          <w:rFonts w:eastAsia="Times New Roman"/>
        </w:rPr>
      </w:pPr>
      <w:r>
        <w:rPr>
          <w:rFonts w:eastAsia="Times New Roman"/>
          <w:sz w:val="20"/>
          <w:szCs w:val="20"/>
        </w:rPr>
        <w:t>•</w:t>
      </w:r>
    </w:p>
    <w:p w:rsidR="00000000" w:rsidRDefault="00805FA0">
      <w:pPr>
        <w:divId w:val="389429801"/>
        <w:rPr>
          <w:rFonts w:eastAsia="Times New Roman"/>
        </w:rPr>
      </w:pPr>
      <w:r>
        <w:rPr>
          <w:rFonts w:eastAsia="Times New Roman"/>
          <w:sz w:val="20"/>
          <w:szCs w:val="20"/>
        </w:rPr>
        <w:t>large-scale enterprise suites</w:t>
      </w:r>
      <w:r>
        <w:rPr>
          <w:rFonts w:eastAsia="Times New Roman"/>
          <w:sz w:val="20"/>
          <w:szCs w:val="20"/>
        </w:rPr>
        <w:t>;</w:t>
      </w:r>
    </w:p>
    <w:p w:rsidR="00000000" w:rsidRDefault="00805FA0">
      <w:pPr>
        <w:divId w:val="440496885"/>
        <w:rPr>
          <w:rFonts w:eastAsia="Times New Roman"/>
        </w:rPr>
      </w:pPr>
      <w:r>
        <w:rPr>
          <w:rFonts w:eastAsia="Times New Roman"/>
          <w:sz w:val="20"/>
          <w:szCs w:val="20"/>
        </w:rPr>
        <w:t>•</w:t>
      </w:r>
    </w:p>
    <w:p w:rsidR="00000000" w:rsidRDefault="00805FA0">
      <w:pPr>
        <w:divId w:val="1032650786"/>
        <w:rPr>
          <w:rFonts w:eastAsia="Times New Roman"/>
        </w:rPr>
      </w:pPr>
      <w:r>
        <w:rPr>
          <w:rFonts w:eastAsia="Times New Roman"/>
          <w:sz w:val="20"/>
          <w:szCs w:val="20"/>
        </w:rPr>
        <w:t>customer service software providers; an</w:t>
      </w:r>
      <w:r>
        <w:rPr>
          <w:rFonts w:eastAsia="Times New Roman"/>
          <w:sz w:val="20"/>
          <w:szCs w:val="20"/>
        </w:rPr>
        <w:t>d</w:t>
      </w:r>
    </w:p>
    <w:p w:rsidR="00000000" w:rsidRDefault="00805FA0">
      <w:pPr>
        <w:divId w:val="1319116172"/>
        <w:rPr>
          <w:rFonts w:eastAsia="Times New Roman"/>
        </w:rPr>
      </w:pPr>
      <w:r>
        <w:rPr>
          <w:rFonts w:eastAsia="Times New Roman"/>
          <w:sz w:val="20"/>
          <w:szCs w:val="20"/>
        </w:rPr>
        <w:t>•</w:t>
      </w:r>
    </w:p>
    <w:p w:rsidR="00000000" w:rsidRDefault="00805FA0">
      <w:pPr>
        <w:divId w:val="1414814064"/>
        <w:rPr>
          <w:rFonts w:eastAsia="Times New Roman"/>
        </w:rPr>
      </w:pPr>
      <w:r>
        <w:rPr>
          <w:rFonts w:eastAsia="Times New Roman"/>
          <w:sz w:val="20"/>
          <w:szCs w:val="20"/>
        </w:rPr>
        <w:t>content management systems</w:t>
      </w:r>
      <w:r>
        <w:rPr>
          <w:rFonts w:eastAsia="Times New Roman"/>
          <w:sz w:val="20"/>
          <w:szCs w:val="20"/>
        </w:rPr>
        <w:t>.</w:t>
      </w:r>
    </w:p>
    <w:p w:rsidR="00000000" w:rsidRDefault="00805FA0">
      <w:pPr>
        <w:pStyle w:val="a3"/>
        <w:spacing w:before="200" w:beforeAutospacing="0" w:after="0" w:afterAutospacing="0"/>
        <w:ind w:firstLine="555"/>
        <w:rPr>
          <w:sz w:val="20"/>
          <w:szCs w:val="20"/>
        </w:rPr>
      </w:pPr>
      <w:r>
        <w:rPr>
          <w:sz w:val="20"/>
          <w:szCs w:val="20"/>
        </w:rPr>
        <w:t>In addition, instead of using our platform, some prospective customers may elect to combine disparate</w:t>
      </w:r>
      <w:r>
        <w:rPr>
          <w:sz w:val="20"/>
          <w:szCs w:val="20"/>
        </w:rPr>
        <w:t xml:space="preserve"> point applications, such as content management, marketing automation, CRM, analytics and social media management. We expect that new competitors, such as enterprise software vendors that have traditionally focused on enterprise resource planning or other </w:t>
      </w:r>
      <w:r>
        <w:rPr>
          <w:sz w:val="20"/>
          <w:szCs w:val="20"/>
        </w:rPr>
        <w:t>applications supporting back office functions, will develop and introduce applications serving customer-facing and other front office functions. This development could have an adverse effect on our business, operating results and financial condition. In ad</w:t>
      </w:r>
      <w:r>
        <w:rPr>
          <w:sz w:val="20"/>
          <w:szCs w:val="20"/>
        </w:rPr>
        <w:t>dition, sales force automation and CRM vendors could acquire or develop applications that compete with our marketing software offerings. Some of these companies have acquired social media marketing and other marketing software providers to integrate with t</w:t>
      </w:r>
      <w:r>
        <w:rPr>
          <w:sz w:val="20"/>
          <w:szCs w:val="20"/>
        </w:rPr>
        <w:t>heir broader offerings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Our current and potential competitors may have significantly more financial, technical, marketing and other resources than we have, be able to devote greater resources to the development, promotion, sale and support of their produc</w:t>
      </w:r>
      <w:r>
        <w:rPr>
          <w:sz w:val="20"/>
          <w:szCs w:val="20"/>
        </w:rPr>
        <w:t>ts and services, may have more extensive customer bases and broader customer relationships than we have, and may have longer operating histories and greater name recognition than we have. As a result, these competitors may respond faster to new technologie</w:t>
      </w:r>
      <w:r>
        <w:rPr>
          <w:sz w:val="20"/>
          <w:szCs w:val="20"/>
        </w:rPr>
        <w:t>s and undertake more extensive marketing campaigns for their products. In a few cases, these vendors may also be able to offer marketing, sales, customer service and content management software at little or no additional cost by bundling it with their exis</w:t>
      </w:r>
      <w:r>
        <w:rPr>
          <w:sz w:val="20"/>
          <w:szCs w:val="20"/>
        </w:rPr>
        <w:t>ting suite of applications. To the extent any of our competitors has existing relationships with potential customers for either marketing software or other applications, those customers may be unwilling to purchase our platform because of their existing re</w:t>
      </w:r>
      <w:r>
        <w:rPr>
          <w:sz w:val="20"/>
          <w:szCs w:val="20"/>
        </w:rPr>
        <w:t>lationships with our competitor. If we are unable to compete with such companies, the demand for our CRM Platform could substantially decline</w:t>
      </w:r>
      <w:r>
        <w:rPr>
          <w:sz w:val="20"/>
          <w:szCs w:val="20"/>
        </w:rPr>
        <w:t>.</w:t>
      </w:r>
    </w:p>
    <w:p w:rsidR="00000000" w:rsidRDefault="00805FA0">
      <w:pPr>
        <w:pStyle w:val="a3"/>
        <w:spacing w:before="200" w:beforeAutospacing="0" w:after="0" w:afterAutospacing="0"/>
        <w:ind w:firstLine="555"/>
        <w:rPr>
          <w:sz w:val="20"/>
          <w:szCs w:val="20"/>
        </w:rPr>
      </w:pPr>
      <w:r>
        <w:rPr>
          <w:sz w:val="20"/>
          <w:szCs w:val="20"/>
        </w:rPr>
        <w:t>In addition, if one or more of our competitors were to merge or partner with another of our competitors, our abil</w:t>
      </w:r>
      <w:r>
        <w:rPr>
          <w:sz w:val="20"/>
          <w:szCs w:val="20"/>
        </w:rPr>
        <w:t>ity to compete effectively could be adversely affected. Our competitors may also establish or strengthen cooperative relationships with our current or future strategic distribution and technology partners or other parties with whom we have relationships, t</w:t>
      </w:r>
      <w:r>
        <w:rPr>
          <w:sz w:val="20"/>
          <w:szCs w:val="20"/>
        </w:rPr>
        <w:t>hereby limiting our ability to promote and implement our platform. We may not be able to compete successfully against current or future competitors, and competitive pressures may harm our business, operating results and financial condition</w:t>
      </w:r>
      <w:r>
        <w:rPr>
          <w:sz w:val="20"/>
          <w:szCs w:val="20"/>
        </w:rPr>
        <w:t>.</w:t>
      </w:r>
    </w:p>
    <w:p w:rsidR="00000000" w:rsidRDefault="00805FA0">
      <w:pPr>
        <w:pStyle w:val="a3"/>
        <w:spacing w:before="240" w:beforeAutospacing="0" w:after="0" w:afterAutospacing="0"/>
        <w:jc w:val="center"/>
        <w:rPr>
          <w:sz w:val="20"/>
          <w:szCs w:val="20"/>
        </w:rPr>
      </w:pPr>
      <w:r>
        <w:rPr>
          <w:sz w:val="20"/>
          <w:szCs w:val="20"/>
        </w:rPr>
        <w:t>3</w:t>
      </w:r>
      <w:r>
        <w:rPr>
          <w:sz w:val="20"/>
          <w:szCs w:val="20"/>
        </w:rPr>
        <w:t>6</w:t>
      </w:r>
    </w:p>
    <w:p w:rsidR="00000000" w:rsidRDefault="00805FA0">
      <w:pPr>
        <w:rPr>
          <w:rFonts w:eastAsia="Times New Roman"/>
        </w:rPr>
      </w:pPr>
      <w:r>
        <w:rPr>
          <w:rFonts w:eastAsia="Times New Roman"/>
        </w:rPr>
        <w:pict>
          <v:rect id="_x0000_i1060"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i/>
          <w:iCs/>
          <w:sz w:val="20"/>
          <w:szCs w:val="20"/>
        </w:rPr>
        <w:t>We have experienced rapid growth and organizational change in recent periods and expect continued future growth. If we fail to manage our growth effectively, we may be unable to execute our business plan, maintain high levels of s</w:t>
      </w:r>
      <w:r>
        <w:rPr>
          <w:b/>
          <w:bCs/>
          <w:i/>
          <w:iCs/>
          <w:sz w:val="20"/>
          <w:szCs w:val="20"/>
        </w:rPr>
        <w:t>ervice or address competitive challenges adequately</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headcount and operations have grown substantially. For example, we had 7,409 full-time employees as of September 30, 2022, compared with 5,895 as of December 31, 2021. To date, we have opened several</w:t>
      </w:r>
      <w:r>
        <w:rPr>
          <w:sz w:val="20"/>
          <w:szCs w:val="20"/>
        </w:rPr>
        <w:t xml:space="preserve"> international offices. This growth has placed, and will continue to place, a significant strain on our management, administrative, operational and financial infrastructure. We anticipate further growth will be required to address increases in our product </w:t>
      </w:r>
      <w:r>
        <w:rPr>
          <w:sz w:val="20"/>
          <w:szCs w:val="20"/>
        </w:rPr>
        <w:t xml:space="preserve">offerings and continued expansion. Our success will depend in part upon our ability to recruit, hire, train, manage and integrate qualified managers, technical personnel and employees in specialized roles within our company, including in technology, sales </w:t>
      </w:r>
      <w:r>
        <w:rPr>
          <w:sz w:val="20"/>
          <w:szCs w:val="20"/>
        </w:rPr>
        <w:t xml:space="preserve">and marketing. Furthermore, as our employees work remotely from geographic areas across the globe and more of our employees work remotely on a permanent basis pursuant to our hybrid workplace model, which provides our employees with the option to be fully </w:t>
      </w:r>
      <w:r>
        <w:rPr>
          <w:sz w:val="20"/>
          <w:szCs w:val="20"/>
        </w:rPr>
        <w:t>remote, work full-time from one of our offices, or have the flexibility to work both in the office and remotely), we may need to reallocate our investment of resources and closely monitor a variety of local regulations and requirements, including local tax</w:t>
      </w:r>
      <w:r>
        <w:rPr>
          <w:sz w:val="20"/>
          <w:szCs w:val="20"/>
        </w:rPr>
        <w:t xml:space="preserve"> laws, and we may experience unpredictability in our expenses and employee work culture. If we experience any of these effects in connection with future growth, if our new employees perform poorly, or if we are unsuccessful in recruiting, hiring, training,</w:t>
      </w:r>
      <w:r>
        <w:rPr>
          <w:sz w:val="20"/>
          <w:szCs w:val="20"/>
        </w:rPr>
        <w:t xml:space="preserve"> managing and integrating these new employees, or retaining these or our existing employees, it could materially impair our ability to attract new customers, retain existing customers and expand their use of our platform, all of which would materially and </w:t>
      </w:r>
      <w:r>
        <w:rPr>
          <w:sz w:val="20"/>
          <w:szCs w:val="20"/>
        </w:rPr>
        <w:t>adversely affect our business, financial condition and results of operations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In addition, to manage the recent growth of our headcount, operations and geographic expansion, we will need to continue to expand our information technology infrastructure, ope</w:t>
      </w:r>
      <w:r>
        <w:rPr>
          <w:sz w:val="20"/>
          <w:szCs w:val="20"/>
        </w:rPr>
        <w:t>rational, financial and management systems and procedures. Our anticipated additional headcount and capital investments will increase our costs, which will make it more difficult for us to address any future revenue shortfalls by reducing expenses in the s</w:t>
      </w:r>
      <w:r>
        <w:rPr>
          <w:sz w:val="20"/>
          <w:szCs w:val="20"/>
        </w:rPr>
        <w:t>hort term. If we fail to successfully manage our growth, we will be unable to successfully execute our business plan, which could have a negative impact on our business, results of operations or financial condition</w:t>
      </w:r>
      <w:r>
        <w:rPr>
          <w:sz w:val="20"/>
          <w:szCs w:val="20"/>
        </w:rPr>
        <w:t>.</w:t>
      </w:r>
      <w:r>
        <w:rPr>
          <w:sz w:val="20"/>
          <w:szCs w:val="20"/>
        </w:rPr>
        <w:t xml:space="preserve"> </w:t>
      </w:r>
    </w:p>
    <w:p w:rsidR="00000000" w:rsidRDefault="00805FA0">
      <w:pPr>
        <w:pStyle w:val="a3"/>
        <w:spacing w:before="200" w:beforeAutospacing="0" w:after="0" w:afterAutospacing="0"/>
        <w:rPr>
          <w:sz w:val="20"/>
          <w:szCs w:val="20"/>
        </w:rPr>
      </w:pPr>
      <w:r>
        <w:rPr>
          <w:b/>
          <w:bCs/>
          <w:i/>
          <w:iCs/>
          <w:sz w:val="20"/>
          <w:szCs w:val="20"/>
        </w:rPr>
        <w:t>Failure to effectively develop and expa</w:t>
      </w:r>
      <w:r>
        <w:rPr>
          <w:b/>
          <w:bCs/>
          <w:i/>
          <w:iCs/>
          <w:sz w:val="20"/>
          <w:szCs w:val="20"/>
        </w:rPr>
        <w:t>nd our marketing, sales, customer service, operations, and content management capabilities could harm our ability to increase our customer base and achieve broader market acceptance of our platform</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To increase Customers and achieve broader market acceptan</w:t>
      </w:r>
      <w:r>
        <w:rPr>
          <w:sz w:val="20"/>
          <w:szCs w:val="20"/>
        </w:rPr>
        <w:t>ce of our CRM Platform, we will need to continue to expand our marketing, sales, customer service, operations, and content management capabilities, including our sales force and third-party channel partners. We will continue to dedicate significant resourc</w:t>
      </w:r>
      <w:r>
        <w:rPr>
          <w:sz w:val="20"/>
          <w:szCs w:val="20"/>
        </w:rPr>
        <w:t>es to inbound sales and marketing programs. The effectiveness of our inbound sales and marketing and third-party channel partners has varied over time and may vary in the future and depends on our ability to maintain and improve our CRM Platform. All of th</w:t>
      </w:r>
      <w:r>
        <w:rPr>
          <w:sz w:val="20"/>
          <w:szCs w:val="20"/>
        </w:rPr>
        <w:t>ese efforts will require us to invest significant financial and other resources. Our business will be seriously harmed if our efforts do not generate a correspondingly significant increase in revenue. We may not achieve anticipated revenue growth from expa</w:t>
      </w:r>
      <w:r>
        <w:rPr>
          <w:sz w:val="20"/>
          <w:szCs w:val="20"/>
        </w:rPr>
        <w:t>nding our sales force if we are unable to hire, develop and retain talented sales personnel, if our new sales personnel are unable to achieve desired productivity levels in a reasonable period of time or if our sales and marketing programs are not effectiv</w:t>
      </w:r>
      <w:r>
        <w:rPr>
          <w:sz w:val="20"/>
          <w:szCs w:val="20"/>
        </w:rPr>
        <w:t>e</w:t>
      </w:r>
      <w:r>
        <w:rPr>
          <w:sz w:val="20"/>
          <w:szCs w:val="20"/>
        </w:rPr>
        <w:t>.</w:t>
      </w:r>
    </w:p>
    <w:p w:rsidR="00000000" w:rsidRDefault="00805FA0">
      <w:pPr>
        <w:pStyle w:val="a3"/>
        <w:spacing w:before="200" w:beforeAutospacing="0" w:after="0" w:afterAutospacing="0"/>
        <w:rPr>
          <w:sz w:val="20"/>
          <w:szCs w:val="20"/>
        </w:rPr>
      </w:pPr>
      <w:r>
        <w:rPr>
          <w:b/>
          <w:bCs/>
          <w:i/>
          <w:iCs/>
          <w:sz w:val="20"/>
          <w:szCs w:val="20"/>
        </w:rPr>
        <w:t>The rate of growth of our business depends on the continued participation and level of service of our Solutions Partners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rely on our Solutions Partners to provide certain services to our customers, as well as pursue sales of our CRM Platform to customers. To the extent we do not attract new Solutions Partners, or existing or new Solutions Partners do not refer a growing n</w:t>
      </w:r>
      <w:r>
        <w:rPr>
          <w:sz w:val="20"/>
          <w:szCs w:val="20"/>
        </w:rPr>
        <w:t>umber of customers to us, our revenue and operating results would be harmed. In addition, if our Solutions Partners do not continue to provide services to our customers, we would be required to provide such services ourselves either by expanding our intern</w:t>
      </w:r>
      <w:r>
        <w:rPr>
          <w:sz w:val="20"/>
          <w:szCs w:val="20"/>
        </w:rPr>
        <w:t>al team or engaging other third-party providers, which would increase our operating costs</w:t>
      </w:r>
      <w:r>
        <w:rPr>
          <w:sz w:val="20"/>
          <w:szCs w:val="20"/>
        </w:rPr>
        <w:t>.</w:t>
      </w:r>
    </w:p>
    <w:p w:rsidR="00000000" w:rsidRDefault="00805FA0">
      <w:pPr>
        <w:pStyle w:val="a3"/>
        <w:spacing w:before="200" w:beforeAutospacing="0" w:after="0" w:afterAutospacing="0"/>
        <w:rPr>
          <w:sz w:val="20"/>
          <w:szCs w:val="20"/>
        </w:rPr>
      </w:pPr>
      <w:r>
        <w:rPr>
          <w:b/>
          <w:bCs/>
          <w:i/>
          <w:iCs/>
          <w:sz w:val="20"/>
          <w:szCs w:val="20"/>
        </w:rPr>
        <w:t>If we fail to maintain our inbound thought leadership position, our business may suffer</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believe that maintaining our thought leadership position in inbound marketing, sales, services, operations and content management is an important element in attracting new customers. We devote significant resources to develop and maintain our thought le</w:t>
      </w:r>
      <w:r>
        <w:rPr>
          <w:sz w:val="20"/>
          <w:szCs w:val="20"/>
        </w:rPr>
        <w:t>adership position, with a focus on identifying and interpreting emerging trends in the inbound experience, shaping and guiding industry dialog and creating and sharing the best inbound practices. Our activities related to developing and maintaining our tho</w:t>
      </w:r>
      <w:r>
        <w:rPr>
          <w:sz w:val="20"/>
          <w:szCs w:val="20"/>
        </w:rPr>
        <w:t>ught leadership may not yield increased revenue, and even if they do, any increased revenue may not offset the expenses we incurred in such effort. We rely upon the continued services of our management and employees with domain expertise with inbound marke</w:t>
      </w:r>
      <w:r>
        <w:rPr>
          <w:sz w:val="20"/>
          <w:szCs w:val="20"/>
        </w:rPr>
        <w:t>ting, sales, services, operations, and content management, and the loss of any key employees in this area could harm our competitive position and reputation. If we fail to successfully grow and maintain our thought leadership position, we may not attract e</w:t>
      </w:r>
      <w:r>
        <w:rPr>
          <w:sz w:val="20"/>
          <w:szCs w:val="20"/>
        </w:rPr>
        <w:t>nough new customers or retain our existing customers, and our business could suffer</w:t>
      </w:r>
      <w:r>
        <w:rPr>
          <w:sz w:val="20"/>
          <w:szCs w:val="20"/>
        </w:rPr>
        <w:t>.</w:t>
      </w:r>
    </w:p>
    <w:p w:rsidR="00000000" w:rsidRDefault="00805FA0">
      <w:pPr>
        <w:pStyle w:val="a3"/>
        <w:spacing w:before="200" w:beforeAutospacing="0" w:after="0" w:afterAutospacing="0"/>
        <w:rPr>
          <w:sz w:val="20"/>
          <w:szCs w:val="20"/>
        </w:rPr>
      </w:pPr>
      <w:r>
        <w:rPr>
          <w:b/>
          <w:bCs/>
          <w:i/>
          <w:iCs/>
          <w:sz w:val="20"/>
          <w:szCs w:val="20"/>
        </w:rPr>
        <w:t>If we fail to further enhance our brand and maintain our existing strong brand awareness, our ability to expand our customer base will be impaired and our financial condit</w:t>
      </w:r>
      <w:r>
        <w:rPr>
          <w:b/>
          <w:bCs/>
          <w:i/>
          <w:iCs/>
          <w:sz w:val="20"/>
          <w:szCs w:val="20"/>
        </w:rPr>
        <w:t>ion may suffer</w:t>
      </w:r>
      <w:r>
        <w:rPr>
          <w:b/>
          <w:bCs/>
          <w:i/>
          <w:iCs/>
          <w:sz w:val="20"/>
          <w:szCs w:val="20"/>
        </w:rPr>
        <w:t>.</w:t>
      </w:r>
    </w:p>
    <w:p w:rsidR="00000000" w:rsidRDefault="00805FA0">
      <w:pPr>
        <w:pStyle w:val="a3"/>
        <w:spacing w:before="240" w:beforeAutospacing="0" w:after="0" w:afterAutospacing="0"/>
        <w:jc w:val="center"/>
        <w:rPr>
          <w:sz w:val="20"/>
          <w:szCs w:val="20"/>
        </w:rPr>
      </w:pPr>
      <w:r>
        <w:rPr>
          <w:sz w:val="20"/>
          <w:szCs w:val="20"/>
        </w:rPr>
        <w:t>3</w:t>
      </w:r>
      <w:r>
        <w:rPr>
          <w:sz w:val="20"/>
          <w:szCs w:val="20"/>
        </w:rPr>
        <w:t>7</w:t>
      </w:r>
    </w:p>
    <w:p w:rsidR="00000000" w:rsidRDefault="00805FA0">
      <w:pPr>
        <w:rPr>
          <w:rFonts w:eastAsia="Times New Roman"/>
        </w:rPr>
      </w:pPr>
      <w:r>
        <w:rPr>
          <w:rFonts w:eastAsia="Times New Roman"/>
        </w:rPr>
        <w:pict>
          <v:rect id="_x0000_i1061"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We believe that our development of the HubSpot brand is critical to achieving widespread awareness of our existing and future inbound experience solutions, and, as a result, is important to attracti</w:t>
      </w:r>
      <w:r>
        <w:rPr>
          <w:sz w:val="20"/>
          <w:szCs w:val="20"/>
        </w:rPr>
        <w:t>ng new customers and maintaining existing customers. In the past, our efforts to build our brand have involved significant expenses, and we believe that this investment has resulted in strong brand recognition in the B2B market. Successful promotion and ma</w:t>
      </w:r>
      <w:r>
        <w:rPr>
          <w:sz w:val="20"/>
          <w:szCs w:val="20"/>
        </w:rPr>
        <w:t>intenance of our brands will depend largely on the effectiveness of our marketing efforts and on our ability to provide a reliable and useful CRM Platform at competitive prices. Brand promotion activities may not yield increased revenue, and even if they d</w:t>
      </w:r>
      <w:r>
        <w:rPr>
          <w:sz w:val="20"/>
          <w:szCs w:val="20"/>
        </w:rPr>
        <w:t>o, any increased revenue may not offset the expenses we incurred in building our brand. If we fail to successfully promote and maintain our brand, our business could suffer</w:t>
      </w:r>
      <w:r>
        <w:rPr>
          <w:sz w:val="20"/>
          <w:szCs w:val="20"/>
        </w:rPr>
        <w:t>.</w:t>
      </w:r>
    </w:p>
    <w:p w:rsidR="00000000" w:rsidRDefault="00805FA0">
      <w:pPr>
        <w:pStyle w:val="a3"/>
        <w:spacing w:before="200" w:beforeAutospacing="0" w:after="0" w:afterAutospacing="0"/>
        <w:rPr>
          <w:sz w:val="20"/>
          <w:szCs w:val="20"/>
        </w:rPr>
      </w:pPr>
      <w:r>
        <w:rPr>
          <w:b/>
          <w:bCs/>
          <w:i/>
          <w:iCs/>
          <w:sz w:val="20"/>
          <w:szCs w:val="20"/>
        </w:rPr>
        <w:t>If we fail to adapt and respond effectively to rapidly changing technology, evolvi</w:t>
      </w:r>
      <w:r>
        <w:rPr>
          <w:b/>
          <w:bCs/>
          <w:i/>
          <w:iCs/>
          <w:sz w:val="20"/>
          <w:szCs w:val="20"/>
        </w:rPr>
        <w:t>ng industry standards and changing customer needs or requirements, our CRM Platform may become less competitive</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future success depends on our ability to adapt and innovate our CRM Platform. To attract new customers and increase revenue from existing c</w:t>
      </w:r>
      <w:r>
        <w:rPr>
          <w:sz w:val="20"/>
          <w:szCs w:val="20"/>
        </w:rPr>
        <w:t xml:space="preserve">ustomers, we need to continue to enhance and improve our offerings to meet customer needs at prices that our customers are willing to pay. Such efforts will require adding new functionality and responding to technological advancements, which will increase </w:t>
      </w:r>
      <w:r>
        <w:rPr>
          <w:sz w:val="20"/>
          <w:szCs w:val="20"/>
        </w:rPr>
        <w:t>our research and development costs. If we are unable to develop new applications that address our customers’ needs, or to enhance and improve our platform in a timely manner, we may not be able to maintain or increase market acceptance of our platform. Our</w:t>
      </w:r>
      <w:r>
        <w:rPr>
          <w:sz w:val="20"/>
          <w:szCs w:val="20"/>
        </w:rPr>
        <w:t xml:space="preserve"> ability to grow is also subject to the risk of future disruptive technologies. Access and use of our CRM Platform is provided via the cloud, which, itself, was disruptive to the previous enterprise software model. If new technologies emerge that are able </w:t>
      </w:r>
      <w:r>
        <w:rPr>
          <w:sz w:val="20"/>
          <w:szCs w:val="20"/>
        </w:rPr>
        <w:t>to deliver inbound marketing software and related applications at lower prices, more efficiently, more conveniently or more securely, such technologies could adversely affect our ability to compete</w:t>
      </w:r>
      <w:r>
        <w:rPr>
          <w:sz w:val="20"/>
          <w:szCs w:val="20"/>
        </w:rPr>
        <w:t>.</w:t>
      </w:r>
    </w:p>
    <w:p w:rsidR="00000000" w:rsidRDefault="00805FA0">
      <w:pPr>
        <w:pStyle w:val="a3"/>
        <w:spacing w:before="200" w:beforeAutospacing="0" w:after="0" w:afterAutospacing="0"/>
        <w:rPr>
          <w:sz w:val="20"/>
          <w:szCs w:val="20"/>
        </w:rPr>
      </w:pPr>
      <w:r>
        <w:rPr>
          <w:b/>
          <w:bCs/>
          <w:i/>
          <w:iCs/>
          <w:sz w:val="20"/>
          <w:szCs w:val="20"/>
        </w:rPr>
        <w:t>If we fail to offer high-quality customer support, our bu</w:t>
      </w:r>
      <w:r>
        <w:rPr>
          <w:b/>
          <w:bCs/>
          <w:i/>
          <w:iCs/>
          <w:sz w:val="20"/>
          <w:szCs w:val="20"/>
        </w:rPr>
        <w:t>siness and reputation may suffer</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High-quality education, training and customer support are important for the successful marketing, sale and use of our CRM Platform and for the renewal of existing customers. Providing this education, training and support r</w:t>
      </w:r>
      <w:r>
        <w:rPr>
          <w:sz w:val="20"/>
          <w:szCs w:val="20"/>
        </w:rPr>
        <w:t>equires that our personnel who manage our online training resource, HubSpot Academy, or provide customer support have specific inbound experience domain knowledge and expertise, making it more difficult for us to hire qualified personnel and to scale up ou</w:t>
      </w:r>
      <w:r>
        <w:rPr>
          <w:sz w:val="20"/>
          <w:szCs w:val="20"/>
        </w:rPr>
        <w:t>r support operations. The importance of high-quality customer support will increase as we expand our business and pursue new customers. If we do not help our customers use multiple applications within our CRM Platform and provide effective ongoing support,</w:t>
      </w:r>
      <w:r>
        <w:rPr>
          <w:sz w:val="20"/>
          <w:szCs w:val="20"/>
        </w:rPr>
        <w:t xml:space="preserve"> our ability to sell additional functionality and services to, or to retain, existing customers may suffer and our reputation with existing or potential customers may be harmed</w:t>
      </w:r>
      <w:r>
        <w:rPr>
          <w:sz w:val="20"/>
          <w:szCs w:val="20"/>
        </w:rPr>
        <w:t>.</w:t>
      </w:r>
    </w:p>
    <w:p w:rsidR="00000000" w:rsidRDefault="00805FA0">
      <w:pPr>
        <w:pStyle w:val="a3"/>
        <w:spacing w:before="200" w:beforeAutospacing="0" w:after="0" w:afterAutospacing="0"/>
        <w:rPr>
          <w:sz w:val="20"/>
          <w:szCs w:val="20"/>
        </w:rPr>
      </w:pPr>
      <w:r>
        <w:rPr>
          <w:b/>
          <w:bCs/>
          <w:i/>
          <w:iCs/>
          <w:sz w:val="20"/>
          <w:szCs w:val="20"/>
        </w:rPr>
        <w:t>We may not be able to scale our business quickly enough to meet our customers’</w:t>
      </w:r>
      <w:r>
        <w:rPr>
          <w:b/>
          <w:bCs/>
          <w:i/>
          <w:iCs/>
          <w:sz w:val="20"/>
          <w:szCs w:val="20"/>
        </w:rPr>
        <w:t xml:space="preserve"> growing needs and if we are not able to grow efficiently, our operating results could be harmed</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As usage of our CRM Platform grows and as customers use our platform for additional inbound applications, such as sales and services, we will need to devote a</w:t>
      </w:r>
      <w:r>
        <w:rPr>
          <w:sz w:val="20"/>
          <w:szCs w:val="20"/>
        </w:rPr>
        <w:t>dditional resources to improving our application architecture, integrating with third-party systems and maintaining infrastructure performance. In addition, we will need to appropriately scale our internal business systems and our services organization, in</w:t>
      </w:r>
      <w:r>
        <w:rPr>
          <w:sz w:val="20"/>
          <w:szCs w:val="20"/>
        </w:rPr>
        <w:t>cluding customer support and professional services, to serve our growing customer base, particularly as our customer demographics change over time. Any failure of or delay in these efforts could cause impaired system performance and reduced customer satisf</w:t>
      </w:r>
      <w:r>
        <w:rPr>
          <w:sz w:val="20"/>
          <w:szCs w:val="20"/>
        </w:rPr>
        <w:t>action. These issues could reduce the attractiveness of our CRM Platform to customers, resulting in decreased sales to new customers, lower renewal rates by existing customers, the issuance of service credits, or requested refunds, which could impede our r</w:t>
      </w:r>
      <w:r>
        <w:rPr>
          <w:sz w:val="20"/>
          <w:szCs w:val="20"/>
        </w:rPr>
        <w:t>evenue growth and harm our reputation. Even if we are able to upgrade our systems and expand our staff, any such expansion will be expensive and complex, requiring management’s time and attention. We could also face inefficiencies or operational failures a</w:t>
      </w:r>
      <w:r>
        <w:rPr>
          <w:sz w:val="20"/>
          <w:szCs w:val="20"/>
        </w:rPr>
        <w:t>s a result of our efforts to scale our infrastructure. Moreover, there are inherent risks associated with upgrading, improving and expanding our information technology systems. We cannot be sure that the expansion and improvements to our infrastructure and</w:t>
      </w:r>
      <w:r>
        <w:rPr>
          <w:sz w:val="20"/>
          <w:szCs w:val="20"/>
        </w:rPr>
        <w:t xml:space="preserve"> systems will be fully or effectively implemented on a timely basis, if at all. These efforts may reduce revenue and our margins and adversely affect our financial results.</w:t>
      </w:r>
      <w:r>
        <w:rPr>
          <w:sz w:val="20"/>
          <w:szCs w:val="20"/>
        </w:rPr>
        <w:br/>
      </w:r>
      <w:r>
        <w:rPr>
          <w:sz w:val="20"/>
          <w:szCs w:val="20"/>
        </w:rPr>
        <w:br/>
      </w:r>
      <w:r>
        <w:rPr>
          <w:b/>
          <w:bCs/>
          <w:i/>
          <w:iCs/>
          <w:sz w:val="20"/>
          <w:szCs w:val="20"/>
        </w:rPr>
        <w:t>Our ability to introduce new products and features is dependent on adequate resear</w:t>
      </w:r>
      <w:r>
        <w:rPr>
          <w:b/>
          <w:bCs/>
          <w:i/>
          <w:iCs/>
          <w:sz w:val="20"/>
          <w:szCs w:val="20"/>
        </w:rPr>
        <w:t>ch and development resources. If we do not adequately fund our research and development efforts, we may not be able to compete effectively and our business and operating results may be harmed</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To remain competitive, we must continue to develop new product </w:t>
      </w:r>
      <w:r>
        <w:rPr>
          <w:sz w:val="20"/>
          <w:szCs w:val="20"/>
        </w:rPr>
        <w:t>offerings, applications, features and enhancements to our existing CRM Platform. Maintaining adequate research and development personnel and resources to meet the demands of the market is essential. If we are unable to develop our platform internally due t</w:t>
      </w:r>
      <w:r>
        <w:rPr>
          <w:sz w:val="20"/>
          <w:szCs w:val="20"/>
        </w:rPr>
        <w:t>o certain constraints, such as high employee turnover, lack of management ability or a lack of other research and development resources, we may miss market opportunities. Further, many of our competitors expend a considerably greater amount of funds on the</w:t>
      </w:r>
      <w:r>
        <w:rPr>
          <w:sz w:val="20"/>
          <w:szCs w:val="20"/>
        </w:rPr>
        <w:t>ir research and development programs, and those that do not may be acquired by larger companies that would allocate greater resources to our competitors’ research and development programs. Our failure to maintain adequate research and development resources</w:t>
      </w:r>
      <w:r>
        <w:rPr>
          <w:sz w:val="20"/>
          <w:szCs w:val="20"/>
        </w:rPr>
        <w:t xml:space="preserve"> or to compete effectively with the research and development programs of our competitors could materially adversely affect our business</w:t>
      </w:r>
      <w:r>
        <w:rPr>
          <w:sz w:val="20"/>
          <w:szCs w:val="20"/>
        </w:rPr>
        <w:t>.</w:t>
      </w:r>
    </w:p>
    <w:p w:rsidR="00000000" w:rsidRDefault="00805FA0">
      <w:pPr>
        <w:pStyle w:val="a3"/>
        <w:spacing w:before="240" w:beforeAutospacing="0" w:after="0" w:afterAutospacing="0"/>
        <w:jc w:val="center"/>
        <w:rPr>
          <w:sz w:val="20"/>
          <w:szCs w:val="20"/>
        </w:rPr>
      </w:pPr>
      <w:r>
        <w:rPr>
          <w:sz w:val="20"/>
          <w:szCs w:val="20"/>
        </w:rPr>
        <w:t>3</w:t>
      </w:r>
      <w:r>
        <w:rPr>
          <w:sz w:val="20"/>
          <w:szCs w:val="20"/>
        </w:rPr>
        <w:t>8</w:t>
      </w:r>
    </w:p>
    <w:p w:rsidR="00000000" w:rsidRDefault="00805FA0">
      <w:pPr>
        <w:rPr>
          <w:rFonts w:eastAsia="Times New Roman"/>
        </w:rPr>
      </w:pPr>
      <w:r>
        <w:rPr>
          <w:rFonts w:eastAsia="Times New Roman"/>
        </w:rPr>
        <w:pict>
          <v:rect id="_x0000_i1062"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i/>
          <w:iCs/>
          <w:sz w:val="20"/>
          <w:szCs w:val="20"/>
        </w:rPr>
        <w:t>Changes in the sizes or types of businesses that purchase our platform or in t</w:t>
      </w:r>
      <w:r>
        <w:rPr>
          <w:b/>
          <w:bCs/>
          <w:i/>
          <w:iCs/>
          <w:sz w:val="20"/>
          <w:szCs w:val="20"/>
        </w:rPr>
        <w:t>he applications within our CRM Platform purchased or used by our customers could negatively affect our operating results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strategy is to sell subscriptions to our CRM Platform to mid-sized businesses, but we have sold and will continue to sell to organ</w:t>
      </w:r>
      <w:r>
        <w:rPr>
          <w:sz w:val="20"/>
          <w:szCs w:val="20"/>
        </w:rPr>
        <w:t xml:space="preserve">izations ranging from small businesses to enterprises. Our gross margins can vary depending on numerous factors related to the implementation and use of our CRM Platform, including the sophistication and intensity of our customers’ use of our platform and </w:t>
      </w:r>
      <w:r>
        <w:rPr>
          <w:sz w:val="20"/>
          <w:szCs w:val="20"/>
        </w:rPr>
        <w:t xml:space="preserve">the level of professional services and support required by a customer. Sales to enterprise customers may entail longer sales cycles and more significant selling efforts. Selling to small businesses may involve greater credit risk and uncertainty. If there </w:t>
      </w:r>
      <w:r>
        <w:rPr>
          <w:sz w:val="20"/>
          <w:szCs w:val="20"/>
        </w:rPr>
        <w:t>are changes in the mix of businesses that purchase our platform or the mix of the product plans purchased by our customers, our gross margins could decrease and our operating results could be adversely affected</w:t>
      </w:r>
      <w:r>
        <w:rPr>
          <w:sz w:val="20"/>
          <w:szCs w:val="20"/>
        </w:rPr>
        <w:t>.</w:t>
      </w:r>
    </w:p>
    <w:p w:rsidR="00000000" w:rsidRDefault="00805FA0">
      <w:pPr>
        <w:pStyle w:val="a3"/>
        <w:spacing w:before="200" w:beforeAutospacing="0" w:after="0" w:afterAutospacing="0"/>
        <w:rPr>
          <w:sz w:val="20"/>
          <w:szCs w:val="20"/>
        </w:rPr>
      </w:pPr>
      <w:r>
        <w:rPr>
          <w:b/>
          <w:bCs/>
          <w:i/>
          <w:iCs/>
          <w:sz w:val="20"/>
          <w:szCs w:val="20"/>
        </w:rPr>
        <w:t>We have in the past completed acquisitions a</w:t>
      </w:r>
      <w:r>
        <w:rPr>
          <w:b/>
          <w:bCs/>
          <w:i/>
          <w:iCs/>
          <w:sz w:val="20"/>
          <w:szCs w:val="20"/>
        </w:rPr>
        <w:t>nd may acquire or invest in other companies or technologies in the future, which could divert management’s attention, fail to meet our expectations, result in additional dilution to our stockholders, increase expenses, disrupt our operations or harm our op</w:t>
      </w:r>
      <w:r>
        <w:rPr>
          <w:b/>
          <w:bCs/>
          <w:i/>
          <w:iCs/>
          <w:sz w:val="20"/>
          <w:szCs w:val="20"/>
        </w:rPr>
        <w:t>erating results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have in the past acquired, and we may in the future acquire or invest in, businesses, products or technologies that we believe could complement or expand our platform, enhance our technical capabilities or otherwise offer growth opportu</w:t>
      </w:r>
      <w:r>
        <w:rPr>
          <w:sz w:val="20"/>
          <w:szCs w:val="20"/>
        </w:rPr>
        <w:t>nities. We may not be able to fully realize the anticipated benefits of historical or any future acquisitions. The pursuit of potential acquisitions may divert the attention of management and cause us to incur various expenses related to identifying, inves</w:t>
      </w:r>
      <w:r>
        <w:rPr>
          <w:sz w:val="20"/>
          <w:szCs w:val="20"/>
        </w:rPr>
        <w:t>tigating and pursuing suitable acquisitions, whether or not they are consummated</w:t>
      </w:r>
      <w:r>
        <w:rPr>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There are inherent risks in integrating and managing acquisitions. If we acquire additional businesses, we may not be able to assimilate or integrate the acquired personnel, </w:t>
      </w:r>
      <w:r>
        <w:rPr>
          <w:sz w:val="20"/>
          <w:szCs w:val="20"/>
        </w:rPr>
        <w:t>operations and technologies successfully or effectively manage the combined business following the acquisition and our management may be distracted from operating our business. We also may not achieve the anticipated benefits from the acquired business due</w:t>
      </w:r>
      <w:r>
        <w:rPr>
          <w:sz w:val="20"/>
          <w:szCs w:val="20"/>
        </w:rPr>
        <w:t xml:space="preserve"> to a number of factors, including: unanticipated costs or liabilities associated with the acquisition; incurrence of acquisition-related costs, which would be recognized as a current period expense; inability to generate sufficient revenue to offset acqui</w:t>
      </w:r>
      <w:r>
        <w:rPr>
          <w:sz w:val="20"/>
          <w:szCs w:val="20"/>
        </w:rPr>
        <w:t>sition or investment costs; the inability to maintain relationships with customers and partners of the acquired business; the difficulty of incorporating acquired technology and rights into our platform and of maintaining quality and security standards con</w:t>
      </w:r>
      <w:r>
        <w:rPr>
          <w:sz w:val="20"/>
          <w:szCs w:val="20"/>
        </w:rPr>
        <w:t>sistent with our brand; delays in customer purchases due to uncertainty related to any acquisition; the need to integrate or implement additional controls, procedures and policies; challenges caused by distance, language and cultural differences; harm to o</w:t>
      </w:r>
      <w:r>
        <w:rPr>
          <w:sz w:val="20"/>
          <w:szCs w:val="20"/>
        </w:rPr>
        <w:t>ur existing business relationships with business partners and customers as a result of the acquisition; the potential loss of key employees; use of resources that are needed in other parts of our business and diversion of management and employee resources;</w:t>
      </w:r>
      <w:r>
        <w:rPr>
          <w:sz w:val="20"/>
          <w:szCs w:val="20"/>
        </w:rPr>
        <w:t xml:space="preserve"> the inability to recognize acquired deferred revenue in accordance with our revenue recognition policies; and use of substantial portions of our available cash or the incurrence of debt to consummate the acquisition. Acquisitions also increase the risk of</w:t>
      </w:r>
      <w:r>
        <w:rPr>
          <w:sz w:val="20"/>
          <w:szCs w:val="20"/>
        </w:rPr>
        <w:t xml:space="preserve"> unforeseen legal liability, including for potential violations of applicable law or industry rules and regulations, arising from prior or ongoing acts or omissions by the acquired businesses which are not discovered by due diligence during the acquisition</w:t>
      </w:r>
      <w:r>
        <w:rPr>
          <w:sz w:val="20"/>
          <w:szCs w:val="20"/>
        </w:rPr>
        <w:t xml:space="preserve"> process. Generally, if an acquired business fails to meet our expectations, our operating results, business and financial condition may suffer. Acquisitions could also result in dilutive issuances of equity securities or the incurrence of debt, which coul</w:t>
      </w:r>
      <w:r>
        <w:rPr>
          <w:sz w:val="20"/>
          <w:szCs w:val="20"/>
        </w:rPr>
        <w:t>d adversely affect our business, results of operations or financial condition</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In addition, a significant portion of the purchase price of companies we acquire may be allocated to goodwill and other intangible assets, which must be assessed for impairment</w:t>
      </w:r>
      <w:r>
        <w:rPr>
          <w:sz w:val="20"/>
          <w:szCs w:val="20"/>
        </w:rPr>
        <w:t xml:space="preserve"> at least annually. If our acquisitions do not ultimately yield expected returns, we may be required to make charges to our operating results based on our impairment assessment process, which could harm our results of operations</w:t>
      </w:r>
      <w:r>
        <w:rPr>
          <w:sz w:val="20"/>
          <w:szCs w:val="20"/>
        </w:rPr>
        <w:t>.</w:t>
      </w:r>
    </w:p>
    <w:p w:rsidR="00000000" w:rsidRDefault="00805FA0">
      <w:pPr>
        <w:pStyle w:val="a3"/>
        <w:spacing w:before="200" w:beforeAutospacing="0" w:after="0" w:afterAutospacing="0"/>
        <w:rPr>
          <w:sz w:val="20"/>
          <w:szCs w:val="20"/>
        </w:rPr>
      </w:pPr>
      <w:r>
        <w:rPr>
          <w:b/>
          <w:bCs/>
          <w:i/>
          <w:iCs/>
          <w:sz w:val="20"/>
          <w:szCs w:val="20"/>
        </w:rPr>
        <w:t>Because our long-term growth strategy involves further expansion of our sales to customers outside the United States, our business will be susceptible to risks associated with international operations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A component of our growth strategy involves the furthe</w:t>
      </w:r>
      <w:r>
        <w:rPr>
          <w:sz w:val="20"/>
          <w:szCs w:val="20"/>
        </w:rPr>
        <w:t>r expansion of our operations and customer base internationally. We have formed several international entities and plan to form additional entities in the future. These international operations focus primarily on sales, professional services and support, a</w:t>
      </w:r>
      <w:r>
        <w:rPr>
          <w:sz w:val="20"/>
          <w:szCs w:val="20"/>
        </w:rPr>
        <w:t>nd select international locations also have development teams. Our current international operations and future initiatives will involve a variety of risks, including</w:t>
      </w:r>
      <w:r>
        <w:rPr>
          <w:sz w:val="20"/>
          <w:szCs w:val="20"/>
        </w:rPr>
        <w:t>:</w:t>
      </w:r>
    </w:p>
    <w:p w:rsidR="00000000" w:rsidRDefault="00805FA0">
      <w:pPr>
        <w:divId w:val="840237991"/>
        <w:rPr>
          <w:rFonts w:eastAsia="Times New Roman"/>
        </w:rPr>
      </w:pPr>
      <w:r>
        <w:rPr>
          <w:rFonts w:eastAsia="Times New Roman"/>
          <w:sz w:val="20"/>
          <w:szCs w:val="20"/>
        </w:rPr>
        <w:t>•</w:t>
      </w:r>
    </w:p>
    <w:p w:rsidR="00000000" w:rsidRDefault="00805FA0">
      <w:pPr>
        <w:divId w:val="338313916"/>
        <w:rPr>
          <w:rFonts w:eastAsia="Times New Roman"/>
        </w:rPr>
      </w:pPr>
      <w:r>
        <w:rPr>
          <w:rFonts w:eastAsia="Times New Roman"/>
          <w:sz w:val="20"/>
          <w:szCs w:val="20"/>
        </w:rPr>
        <w:t>difficulties in maintaining our company culture with a dispersed and distant workforce</w:t>
      </w:r>
      <w:r>
        <w:rPr>
          <w:rFonts w:eastAsia="Times New Roman"/>
          <w:sz w:val="20"/>
          <w:szCs w:val="20"/>
        </w:rPr>
        <w:t>;</w:t>
      </w:r>
    </w:p>
    <w:p w:rsidR="00000000" w:rsidRDefault="00805FA0">
      <w:pPr>
        <w:divId w:val="1379402030"/>
        <w:rPr>
          <w:rFonts w:eastAsia="Times New Roman"/>
        </w:rPr>
      </w:pPr>
      <w:r>
        <w:rPr>
          <w:rFonts w:eastAsia="Times New Roman"/>
          <w:sz w:val="20"/>
          <w:szCs w:val="20"/>
        </w:rPr>
        <w:t>•</w:t>
      </w:r>
    </w:p>
    <w:p w:rsidR="00000000" w:rsidRDefault="00805FA0">
      <w:pPr>
        <w:divId w:val="503738832"/>
        <w:rPr>
          <w:rFonts w:eastAsia="Times New Roman"/>
        </w:rPr>
      </w:pPr>
      <w:r>
        <w:rPr>
          <w:rFonts w:eastAsia="Times New Roman"/>
          <w:sz w:val="20"/>
          <w:szCs w:val="20"/>
        </w:rPr>
        <w:t>more stringent regulations relating to data security and the unauthorized use of, or access to, commercial and personal data, particularly in the European Union</w:t>
      </w:r>
      <w:r>
        <w:rPr>
          <w:rFonts w:eastAsia="Times New Roman"/>
          <w:sz w:val="20"/>
          <w:szCs w:val="20"/>
        </w:rPr>
        <w:t>;</w:t>
      </w:r>
    </w:p>
    <w:p w:rsidR="00000000" w:rsidRDefault="00805FA0">
      <w:pPr>
        <w:divId w:val="1309045165"/>
        <w:rPr>
          <w:rFonts w:eastAsia="Times New Roman"/>
        </w:rPr>
      </w:pPr>
      <w:r>
        <w:rPr>
          <w:rFonts w:eastAsia="Times New Roman"/>
          <w:sz w:val="20"/>
          <w:szCs w:val="20"/>
        </w:rPr>
        <w:t>•</w:t>
      </w:r>
    </w:p>
    <w:p w:rsidR="00000000" w:rsidRDefault="00805FA0">
      <w:pPr>
        <w:divId w:val="1175918085"/>
        <w:rPr>
          <w:rFonts w:eastAsia="Times New Roman"/>
        </w:rPr>
      </w:pPr>
      <w:r>
        <w:rPr>
          <w:rFonts w:eastAsia="Times New Roman"/>
          <w:sz w:val="20"/>
          <w:szCs w:val="20"/>
        </w:rPr>
        <w:t>unexpected changes in regulatory requirements, taxes or trade laws</w:t>
      </w:r>
      <w:r>
        <w:rPr>
          <w:rFonts w:eastAsia="Times New Roman"/>
          <w:sz w:val="20"/>
          <w:szCs w:val="20"/>
        </w:rPr>
        <w:t>;</w:t>
      </w:r>
    </w:p>
    <w:p w:rsidR="00000000" w:rsidRDefault="00805FA0">
      <w:pPr>
        <w:divId w:val="538057745"/>
        <w:rPr>
          <w:rFonts w:eastAsia="Times New Roman"/>
        </w:rPr>
      </w:pPr>
      <w:r>
        <w:rPr>
          <w:rFonts w:eastAsia="Times New Roman"/>
          <w:sz w:val="20"/>
          <w:szCs w:val="20"/>
        </w:rPr>
        <w:t>•</w:t>
      </w:r>
    </w:p>
    <w:p w:rsidR="00000000" w:rsidRDefault="00805FA0">
      <w:pPr>
        <w:divId w:val="373847035"/>
        <w:rPr>
          <w:rFonts w:eastAsia="Times New Roman"/>
        </w:rPr>
      </w:pPr>
      <w:r>
        <w:rPr>
          <w:rFonts w:eastAsia="Times New Roman"/>
          <w:sz w:val="20"/>
          <w:szCs w:val="20"/>
        </w:rPr>
        <w:t>differing labor reg</w:t>
      </w:r>
      <w:r>
        <w:rPr>
          <w:rFonts w:eastAsia="Times New Roman"/>
          <w:sz w:val="20"/>
          <w:szCs w:val="20"/>
        </w:rPr>
        <w:t>ulations, especially in the European Union, where labor laws are generally more advantageous to employees as compared to the United States, including deemed hourly wage and overtime regulations in these locations</w:t>
      </w:r>
      <w:r>
        <w:rPr>
          <w:rFonts w:eastAsia="Times New Roman"/>
          <w:sz w:val="20"/>
          <w:szCs w:val="20"/>
        </w:rPr>
        <w:t>;</w:t>
      </w:r>
    </w:p>
    <w:p w:rsidR="00000000" w:rsidRDefault="00805FA0">
      <w:pPr>
        <w:pStyle w:val="a3"/>
        <w:spacing w:before="240" w:beforeAutospacing="0" w:after="0" w:afterAutospacing="0"/>
        <w:jc w:val="center"/>
        <w:rPr>
          <w:sz w:val="20"/>
          <w:szCs w:val="20"/>
        </w:rPr>
      </w:pPr>
      <w:r>
        <w:rPr>
          <w:sz w:val="20"/>
          <w:szCs w:val="20"/>
        </w:rPr>
        <w:t>3</w:t>
      </w:r>
      <w:r>
        <w:rPr>
          <w:sz w:val="20"/>
          <w:szCs w:val="20"/>
        </w:rPr>
        <w:t>9</w:t>
      </w:r>
    </w:p>
    <w:p w:rsidR="00000000" w:rsidRDefault="00805FA0">
      <w:pPr>
        <w:rPr>
          <w:rFonts w:eastAsia="Times New Roman"/>
        </w:rPr>
      </w:pPr>
      <w:r>
        <w:rPr>
          <w:rFonts w:eastAsia="Times New Roman"/>
        </w:rPr>
        <w:pict>
          <v:rect id="_x0000_i1063"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divId w:val="636645278"/>
        <w:rPr>
          <w:rFonts w:eastAsia="Times New Roman"/>
        </w:rPr>
      </w:pPr>
      <w:r>
        <w:rPr>
          <w:rFonts w:eastAsia="Times New Roman"/>
          <w:sz w:val="20"/>
          <w:szCs w:val="20"/>
        </w:rPr>
        <w:t>•</w:t>
      </w:r>
    </w:p>
    <w:p w:rsidR="00000000" w:rsidRDefault="00805FA0">
      <w:pPr>
        <w:divId w:val="1351756881"/>
        <w:rPr>
          <w:rFonts w:eastAsia="Times New Roman"/>
        </w:rPr>
      </w:pPr>
      <w:r>
        <w:rPr>
          <w:rFonts w:eastAsia="Times New Roman"/>
          <w:sz w:val="20"/>
          <w:szCs w:val="20"/>
        </w:rPr>
        <w:t>challenges inherent in efficiently managing an increased number of employees over large geographic distances, including the need to implement appropriate systems, policies, benefits and compliance programs</w:t>
      </w:r>
      <w:r>
        <w:rPr>
          <w:rFonts w:eastAsia="Times New Roman"/>
          <w:sz w:val="20"/>
          <w:szCs w:val="20"/>
        </w:rPr>
        <w:t>;</w:t>
      </w:r>
    </w:p>
    <w:p w:rsidR="00000000" w:rsidRDefault="00805FA0">
      <w:pPr>
        <w:divId w:val="2050491005"/>
        <w:rPr>
          <w:rFonts w:eastAsia="Times New Roman"/>
        </w:rPr>
      </w:pPr>
      <w:r>
        <w:rPr>
          <w:rFonts w:eastAsia="Times New Roman"/>
          <w:sz w:val="20"/>
          <w:szCs w:val="20"/>
        </w:rPr>
        <w:t>•</w:t>
      </w:r>
    </w:p>
    <w:p w:rsidR="00000000" w:rsidRDefault="00805FA0">
      <w:pPr>
        <w:divId w:val="714813917"/>
        <w:rPr>
          <w:rFonts w:eastAsia="Times New Roman"/>
        </w:rPr>
      </w:pPr>
      <w:r>
        <w:rPr>
          <w:rFonts w:eastAsia="Times New Roman"/>
          <w:sz w:val="20"/>
          <w:szCs w:val="20"/>
        </w:rPr>
        <w:t>difficulties in managing a business in new ma</w:t>
      </w:r>
      <w:r>
        <w:rPr>
          <w:rFonts w:eastAsia="Times New Roman"/>
          <w:sz w:val="20"/>
          <w:szCs w:val="20"/>
        </w:rPr>
        <w:t>rkets with diverse cultures, languages, customs, legal systems, alternative dispute systems and regulatory systems</w:t>
      </w:r>
      <w:r>
        <w:rPr>
          <w:rFonts w:eastAsia="Times New Roman"/>
          <w:sz w:val="20"/>
          <w:szCs w:val="20"/>
        </w:rPr>
        <w:t>;</w:t>
      </w:r>
    </w:p>
    <w:p w:rsidR="00000000" w:rsidRDefault="00805FA0">
      <w:pPr>
        <w:divId w:val="633684167"/>
        <w:rPr>
          <w:rFonts w:eastAsia="Times New Roman"/>
        </w:rPr>
      </w:pPr>
      <w:r>
        <w:rPr>
          <w:rFonts w:eastAsia="Times New Roman"/>
          <w:sz w:val="20"/>
          <w:szCs w:val="20"/>
        </w:rPr>
        <w:t>•</w:t>
      </w:r>
    </w:p>
    <w:p w:rsidR="00000000" w:rsidRDefault="00805FA0">
      <w:pPr>
        <w:divId w:val="1822891414"/>
        <w:rPr>
          <w:rFonts w:eastAsia="Times New Roman"/>
        </w:rPr>
      </w:pPr>
      <w:r>
        <w:rPr>
          <w:rFonts w:eastAsia="Times New Roman"/>
          <w:sz w:val="20"/>
          <w:szCs w:val="20"/>
        </w:rPr>
        <w:t>currency exchange rate fluctuations and the resulting effect on our revenue and expenses, and the cost and risk of entering into hedging t</w:t>
      </w:r>
      <w:r>
        <w:rPr>
          <w:rFonts w:eastAsia="Times New Roman"/>
          <w:sz w:val="20"/>
          <w:szCs w:val="20"/>
        </w:rPr>
        <w:t>ransactions if we chose to do so in the future</w:t>
      </w:r>
      <w:r>
        <w:rPr>
          <w:rFonts w:eastAsia="Times New Roman"/>
          <w:sz w:val="20"/>
          <w:szCs w:val="20"/>
        </w:rPr>
        <w:t>;</w:t>
      </w:r>
    </w:p>
    <w:p w:rsidR="00000000" w:rsidRDefault="00805FA0">
      <w:pPr>
        <w:divId w:val="1648245053"/>
        <w:rPr>
          <w:rFonts w:eastAsia="Times New Roman"/>
        </w:rPr>
      </w:pPr>
      <w:r>
        <w:rPr>
          <w:rFonts w:eastAsia="Times New Roman"/>
          <w:sz w:val="20"/>
          <w:szCs w:val="20"/>
        </w:rPr>
        <w:t>•</w:t>
      </w:r>
    </w:p>
    <w:p w:rsidR="00000000" w:rsidRDefault="00805FA0">
      <w:pPr>
        <w:divId w:val="696200544"/>
        <w:rPr>
          <w:rFonts w:eastAsia="Times New Roman"/>
        </w:rPr>
      </w:pPr>
      <w:r>
        <w:rPr>
          <w:rFonts w:eastAsia="Times New Roman"/>
          <w:sz w:val="20"/>
          <w:szCs w:val="20"/>
        </w:rPr>
        <w:t>global economic uncertainty caused by global political events and similar geopolitical developments</w:t>
      </w:r>
      <w:r>
        <w:rPr>
          <w:rFonts w:eastAsia="Times New Roman"/>
          <w:sz w:val="20"/>
          <w:szCs w:val="20"/>
        </w:rPr>
        <w:t>;</w:t>
      </w:r>
    </w:p>
    <w:p w:rsidR="00000000" w:rsidRDefault="00805FA0">
      <w:pPr>
        <w:divId w:val="23675007"/>
        <w:rPr>
          <w:rFonts w:eastAsia="Times New Roman"/>
        </w:rPr>
      </w:pPr>
      <w:r>
        <w:rPr>
          <w:rFonts w:eastAsia="Times New Roman"/>
          <w:sz w:val="20"/>
          <w:szCs w:val="20"/>
        </w:rPr>
        <w:t>•</w:t>
      </w:r>
    </w:p>
    <w:p w:rsidR="00000000" w:rsidRDefault="00805FA0">
      <w:pPr>
        <w:divId w:val="1827433309"/>
        <w:rPr>
          <w:rFonts w:eastAsia="Times New Roman"/>
        </w:rPr>
      </w:pPr>
      <w:r>
        <w:rPr>
          <w:rFonts w:eastAsia="Times New Roman"/>
          <w:sz w:val="20"/>
          <w:szCs w:val="20"/>
        </w:rPr>
        <w:t>limitations on our ability to reinvest earnings from operations in one country to fund the capital need</w:t>
      </w:r>
      <w:r>
        <w:rPr>
          <w:rFonts w:eastAsia="Times New Roman"/>
          <w:sz w:val="20"/>
          <w:szCs w:val="20"/>
        </w:rPr>
        <w:t>s of our operations in other countries</w:t>
      </w:r>
      <w:r>
        <w:rPr>
          <w:rFonts w:eastAsia="Times New Roman"/>
          <w:sz w:val="20"/>
          <w:szCs w:val="20"/>
        </w:rPr>
        <w:t>;</w:t>
      </w:r>
    </w:p>
    <w:p w:rsidR="00000000" w:rsidRDefault="00805FA0">
      <w:pPr>
        <w:divId w:val="200242527"/>
        <w:rPr>
          <w:rFonts w:eastAsia="Times New Roman"/>
        </w:rPr>
      </w:pPr>
      <w:r>
        <w:rPr>
          <w:rFonts w:eastAsia="Times New Roman"/>
          <w:sz w:val="20"/>
          <w:szCs w:val="20"/>
        </w:rPr>
        <w:t>•</w:t>
      </w:r>
    </w:p>
    <w:p w:rsidR="00000000" w:rsidRDefault="00805FA0">
      <w:pPr>
        <w:divId w:val="1778596895"/>
        <w:rPr>
          <w:rFonts w:eastAsia="Times New Roman"/>
        </w:rPr>
      </w:pPr>
      <w:r>
        <w:rPr>
          <w:rFonts w:eastAsia="Times New Roman"/>
          <w:sz w:val="20"/>
          <w:szCs w:val="20"/>
        </w:rPr>
        <w:t>limited or insufficient intellectual property protection</w:t>
      </w:r>
      <w:r>
        <w:rPr>
          <w:rFonts w:eastAsia="Times New Roman"/>
          <w:sz w:val="20"/>
          <w:szCs w:val="20"/>
        </w:rPr>
        <w:t>;</w:t>
      </w:r>
    </w:p>
    <w:p w:rsidR="00000000" w:rsidRDefault="00805FA0">
      <w:pPr>
        <w:divId w:val="930163961"/>
        <w:rPr>
          <w:rFonts w:eastAsia="Times New Roman"/>
        </w:rPr>
      </w:pPr>
      <w:r>
        <w:rPr>
          <w:rFonts w:eastAsia="Times New Roman"/>
          <w:sz w:val="20"/>
          <w:szCs w:val="20"/>
        </w:rPr>
        <w:t>•</w:t>
      </w:r>
    </w:p>
    <w:p w:rsidR="00000000" w:rsidRDefault="00805FA0">
      <w:pPr>
        <w:divId w:val="1686639018"/>
        <w:rPr>
          <w:rFonts w:eastAsia="Times New Roman"/>
        </w:rPr>
      </w:pPr>
      <w:r>
        <w:rPr>
          <w:rFonts w:eastAsia="Times New Roman"/>
          <w:sz w:val="20"/>
          <w:szCs w:val="20"/>
        </w:rPr>
        <w:t>international disputes, wars (such as the conflict between Russia and Ukraine), political instability or terrorist activities and resulting economic instability;</w:t>
      </w:r>
      <w:r>
        <w:rPr>
          <w:rFonts w:eastAsia="Times New Roman"/>
          <w:sz w:val="20"/>
          <w:szCs w:val="20"/>
        </w:rPr>
        <w:t xml:space="preserve"> </w:t>
      </w:r>
    </w:p>
    <w:p w:rsidR="00000000" w:rsidRDefault="00805FA0">
      <w:pPr>
        <w:divId w:val="246185707"/>
        <w:rPr>
          <w:rFonts w:eastAsia="Times New Roman"/>
        </w:rPr>
      </w:pPr>
      <w:r>
        <w:rPr>
          <w:rFonts w:eastAsia="Times New Roman"/>
          <w:sz w:val="20"/>
          <w:szCs w:val="20"/>
        </w:rPr>
        <w:t>•</w:t>
      </w:r>
    </w:p>
    <w:p w:rsidR="00000000" w:rsidRDefault="00805FA0">
      <w:pPr>
        <w:divId w:val="1888107328"/>
        <w:rPr>
          <w:rFonts w:eastAsia="Times New Roman"/>
        </w:rPr>
      </w:pPr>
      <w:r>
        <w:rPr>
          <w:rFonts w:eastAsia="Times New Roman"/>
          <w:sz w:val="20"/>
          <w:szCs w:val="20"/>
        </w:rPr>
        <w:t>likelihood of potential or actual violations of domestic and international anticorruption l</w:t>
      </w:r>
      <w:r>
        <w:rPr>
          <w:rFonts w:eastAsia="Times New Roman"/>
          <w:sz w:val="20"/>
          <w:szCs w:val="20"/>
        </w:rPr>
        <w:t>aws, such as the U.S. Foreign Corrupt Practices Act and the U.K. Bribery Act, or of U.S. and international export control and sanctions regulations, which likelihood may increase with an increase of sales or operations in foreign jurisdictions and operatio</w:t>
      </w:r>
      <w:r>
        <w:rPr>
          <w:rFonts w:eastAsia="Times New Roman"/>
          <w:sz w:val="20"/>
          <w:szCs w:val="20"/>
        </w:rPr>
        <w:t>ns in certain industries; an</w:t>
      </w:r>
      <w:r>
        <w:rPr>
          <w:rFonts w:eastAsia="Times New Roman"/>
          <w:sz w:val="20"/>
          <w:szCs w:val="20"/>
        </w:rPr>
        <w:t>d</w:t>
      </w:r>
    </w:p>
    <w:p w:rsidR="00000000" w:rsidRDefault="00805FA0">
      <w:pPr>
        <w:divId w:val="959921863"/>
        <w:rPr>
          <w:rFonts w:eastAsia="Times New Roman"/>
        </w:rPr>
      </w:pPr>
      <w:r>
        <w:rPr>
          <w:rFonts w:eastAsia="Times New Roman"/>
          <w:sz w:val="20"/>
          <w:szCs w:val="20"/>
        </w:rPr>
        <w:t>•</w:t>
      </w:r>
    </w:p>
    <w:p w:rsidR="00000000" w:rsidRDefault="00805FA0">
      <w:pPr>
        <w:divId w:val="765155996"/>
        <w:rPr>
          <w:rFonts w:eastAsia="Times New Roman"/>
        </w:rPr>
      </w:pPr>
      <w:r>
        <w:rPr>
          <w:rFonts w:eastAsia="Times New Roman"/>
          <w:sz w:val="20"/>
          <w:szCs w:val="20"/>
        </w:rPr>
        <w:t>adverse tax burdens and foreign exchange controls that could make it difficult to repatriate earnings and cash</w:t>
      </w:r>
      <w:r>
        <w:rPr>
          <w:rFonts w:eastAsia="Times New Roman"/>
          <w:sz w:val="20"/>
          <w:szCs w:val="20"/>
        </w:rPr>
        <w:t>.</w:t>
      </w:r>
    </w:p>
    <w:p w:rsidR="00000000" w:rsidRDefault="00805FA0">
      <w:pPr>
        <w:pStyle w:val="a3"/>
        <w:spacing w:before="200" w:beforeAutospacing="0" w:after="0" w:afterAutospacing="0"/>
        <w:ind w:firstLine="555"/>
        <w:rPr>
          <w:sz w:val="20"/>
          <w:szCs w:val="20"/>
        </w:rPr>
      </w:pPr>
      <w:r>
        <w:rPr>
          <w:sz w:val="20"/>
          <w:szCs w:val="20"/>
        </w:rPr>
        <w:t>Our limited experience in operating our business internationally increases the risk that any potential future ex</w:t>
      </w:r>
      <w:r>
        <w:rPr>
          <w:sz w:val="20"/>
          <w:szCs w:val="20"/>
        </w:rPr>
        <w:t>pansion efforts that we may undertake will not be successful. If we invest substantial time and resources to expand our international operations and are unable to do so successfully and in a timely manner, our business and operating results will suffer. We</w:t>
      </w:r>
      <w:r>
        <w:rPr>
          <w:sz w:val="20"/>
          <w:szCs w:val="20"/>
        </w:rPr>
        <w:t xml:space="preserve"> continue to implement policies and procedures to facilitate our compliance with U.S. laws and regulations applicable to or arising from our international business. Inadequacies in our past or current compliance practices may increase the risk of inadverte</w:t>
      </w:r>
      <w:r>
        <w:rPr>
          <w:sz w:val="20"/>
          <w:szCs w:val="20"/>
        </w:rPr>
        <w:t>nt violations of such laws and regulations, which could lead to financial and other penalties that could damage our reputation and impose costs on us</w:t>
      </w:r>
      <w:r>
        <w:rPr>
          <w:sz w:val="20"/>
          <w:szCs w:val="20"/>
        </w:rPr>
        <w:t>.</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Employee Matter</w:t>
      </w:r>
      <w:r>
        <w:rPr>
          <w:b/>
          <w:bCs/>
          <w:sz w:val="20"/>
          <w:szCs w:val="20"/>
        </w:rPr>
        <w:t>s</w:t>
      </w:r>
    </w:p>
    <w:p w:rsidR="00000000" w:rsidRDefault="00805FA0">
      <w:pPr>
        <w:pStyle w:val="a3"/>
        <w:spacing w:before="200" w:beforeAutospacing="0" w:after="0" w:afterAutospacing="0"/>
        <w:rPr>
          <w:sz w:val="20"/>
          <w:szCs w:val="20"/>
        </w:rPr>
      </w:pPr>
      <w:r>
        <w:rPr>
          <w:b/>
          <w:bCs/>
          <w:i/>
          <w:iCs/>
          <w:sz w:val="20"/>
          <w:szCs w:val="20"/>
        </w:rPr>
        <w:t>If we cannot maintain our company culture as we grow, we could lose the innovation, teamwork, passion and focus on execution that we believe contribute to our success and our business may be harmed</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believe that a critical component to our success has b</w:t>
      </w:r>
      <w:r>
        <w:rPr>
          <w:sz w:val="20"/>
          <w:szCs w:val="20"/>
        </w:rPr>
        <w:t xml:space="preserve">een our company culture, which is based on transparency and personal autonomy. We have invested substantial time and resources in building our team within this company culture. In 2020, we made the decision to permanently move to a hybrid workplace model, </w:t>
      </w:r>
      <w:r>
        <w:rPr>
          <w:sz w:val="20"/>
          <w:szCs w:val="20"/>
        </w:rPr>
        <w:t>which means our employees have the option to be fully remote, work full-time from one of our offices, or work both in the office and remotely. Preservation of our corporate culture has been made more difficult as a majority of our work force has been worki</w:t>
      </w:r>
      <w:r>
        <w:rPr>
          <w:sz w:val="20"/>
          <w:szCs w:val="20"/>
        </w:rPr>
        <w:t xml:space="preserve">ng from home in connection with our hybrid workplace model. Any failure to preserve our culture could negatively affect our ability to retain and recruit personnel and to effectively focus on and pursue our corporate objectives. As we grow and continue to </w:t>
      </w:r>
      <w:r>
        <w:rPr>
          <w:sz w:val="20"/>
          <w:szCs w:val="20"/>
        </w:rPr>
        <w:t>develop our company infrastructure, we may find it difficult to maintain these important aspects of our company culture and our business may be adversely impacted.</w:t>
      </w:r>
      <w:r>
        <w:rPr>
          <w:sz w:val="20"/>
          <w:szCs w:val="20"/>
        </w:rPr>
        <w:br/>
      </w:r>
      <w:r>
        <w:rPr>
          <w:sz w:val="20"/>
          <w:szCs w:val="20"/>
        </w:rPr>
        <w:br/>
      </w:r>
      <w:r>
        <w:rPr>
          <w:b/>
          <w:bCs/>
          <w:i/>
          <w:iCs/>
          <w:sz w:val="20"/>
          <w:szCs w:val="20"/>
        </w:rPr>
        <w:t>We rely on our management team and other key employees, and the loss of one or more key emp</w:t>
      </w:r>
      <w:r>
        <w:rPr>
          <w:b/>
          <w:bCs/>
          <w:i/>
          <w:iCs/>
          <w:sz w:val="20"/>
          <w:szCs w:val="20"/>
        </w:rPr>
        <w:t>loyees could harm our business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success and future growth depend upon the continued services of our management team, including our co-founders, Brian Halligan and Dharmesh Shah, our chief executive officer, Yamini Rangan, and other key employees in the</w:t>
      </w:r>
      <w:r>
        <w:rPr>
          <w:sz w:val="20"/>
          <w:szCs w:val="20"/>
        </w:rPr>
        <w:t xml:space="preserve"> areas of research and development, marketing, sales, services, operations, content management, and general and administrative functions. From time to time, there may be changes in our management team resulting from the hiring or departure of executives, w</w:t>
      </w:r>
      <w:r>
        <w:rPr>
          <w:sz w:val="20"/>
          <w:szCs w:val="20"/>
        </w:rPr>
        <w:t>hich could disrupt our business. We also are dependent on the continued service of our existing software engineers and information technology personnel because of the complexity of our platform, technologies and infrastructure. We may terminate any employe</w:t>
      </w:r>
      <w:r>
        <w:rPr>
          <w:sz w:val="20"/>
          <w:szCs w:val="20"/>
        </w:rPr>
        <w:t>e’s employment at any time, with or without cause, and any employee may resign at any time, with or without cause. We do not have employment agreements with any of our key personnel. The loss of one or more of our key employees could harm our business.</w:t>
      </w:r>
      <w:r>
        <w:rPr>
          <w:sz w:val="20"/>
          <w:szCs w:val="20"/>
        </w:rPr>
        <w:br/>
      </w:r>
      <w:r>
        <w:rPr>
          <w:sz w:val="20"/>
          <w:szCs w:val="20"/>
        </w:rPr>
        <w:br/>
      </w:r>
      <w:r>
        <w:rPr>
          <w:b/>
          <w:bCs/>
          <w:i/>
          <w:iCs/>
          <w:sz w:val="20"/>
          <w:szCs w:val="20"/>
        </w:rPr>
        <w:t>Th</w:t>
      </w:r>
      <w:r>
        <w:rPr>
          <w:b/>
          <w:bCs/>
          <w:i/>
          <w:iCs/>
          <w:sz w:val="20"/>
          <w:szCs w:val="20"/>
        </w:rPr>
        <w:t>e failure to attract and retain additional qualified personnel could prevent us from executing our business strategy</w:t>
      </w:r>
      <w:r>
        <w:rPr>
          <w:b/>
          <w:bCs/>
          <w:i/>
          <w:iCs/>
          <w:sz w:val="20"/>
          <w:szCs w:val="20"/>
        </w:rPr>
        <w:t>.</w:t>
      </w:r>
    </w:p>
    <w:p w:rsidR="00000000" w:rsidRDefault="00805FA0">
      <w:pPr>
        <w:pStyle w:val="a3"/>
        <w:spacing w:before="240" w:beforeAutospacing="0" w:after="0" w:afterAutospacing="0"/>
        <w:jc w:val="center"/>
        <w:rPr>
          <w:sz w:val="20"/>
          <w:szCs w:val="20"/>
        </w:rPr>
      </w:pPr>
      <w:r>
        <w:rPr>
          <w:sz w:val="20"/>
          <w:szCs w:val="20"/>
        </w:rPr>
        <w:t>4</w:t>
      </w:r>
      <w:r>
        <w:rPr>
          <w:sz w:val="20"/>
          <w:szCs w:val="20"/>
        </w:rPr>
        <w:t>0</w:t>
      </w:r>
    </w:p>
    <w:p w:rsidR="00000000" w:rsidRDefault="00805FA0">
      <w:pPr>
        <w:rPr>
          <w:rFonts w:eastAsia="Times New Roman"/>
        </w:rPr>
      </w:pPr>
      <w:r>
        <w:rPr>
          <w:rFonts w:eastAsia="Times New Roman"/>
        </w:rPr>
        <w:pict>
          <v:rect id="_x0000_i1064"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To execute our business strategy, we must attract and retain highly qualified personnel. In part</w:t>
      </w:r>
      <w:r>
        <w:rPr>
          <w:sz w:val="20"/>
          <w:szCs w:val="20"/>
        </w:rPr>
        <w:t>icular, we compete with many other companies for software developers with high levels of experience in designing, developing and managing cloud-based software, as well as for skilled information technology, marketing, sales and operations professionals, an</w:t>
      </w:r>
      <w:r>
        <w:rPr>
          <w:sz w:val="20"/>
          <w:szCs w:val="20"/>
        </w:rPr>
        <w:t xml:space="preserve">d we may not be successful in attracting and retaining the professionals we need. Also, inbound sales, marketing, services, operations, and content management domain experts are very important to our success and are difficult to replace. We have from time </w:t>
      </w:r>
      <w:r>
        <w:rPr>
          <w:sz w:val="20"/>
          <w:szCs w:val="20"/>
        </w:rPr>
        <w:t>to time in the past experienced, and we expect to continue to experience in the future, difficulty in hiring and difficulty in retaining highly skilled employees with appropriate qualifications. In particular, we have experienced a competitive hiring envir</w:t>
      </w:r>
      <w:r>
        <w:rPr>
          <w:sz w:val="20"/>
          <w:szCs w:val="20"/>
        </w:rPr>
        <w:t>onment in the Greater Boston area, where we are headquartered and will continue to experience a competitive hiring environment as we recruit for remote talent worldwide. Many of the companies with which we compete for experienced personnel have greater res</w:t>
      </w:r>
      <w:r>
        <w:rPr>
          <w:sz w:val="20"/>
          <w:szCs w:val="20"/>
        </w:rPr>
        <w:t>ources than we do. The change by companies to offer a remote or hybrid work environment may increase the competition for such employees from employers outside of our traditional office locations. In addition, if we choose to no longer offer a remote or hyb</w:t>
      </w:r>
      <w:r>
        <w:rPr>
          <w:sz w:val="20"/>
          <w:szCs w:val="20"/>
        </w:rPr>
        <w:t>rid work environment, we may face more difficulty in retaining our workforce. Further, labor is subject to external factors that are beyond our control, including our industry’s highly competitive market for skilled workers and leaders, cost inflation, and</w:t>
      </w:r>
      <w:r>
        <w:rPr>
          <w:sz w:val="20"/>
          <w:szCs w:val="20"/>
        </w:rPr>
        <w:t xml:space="preserve"> workforce participation rates. In addition, if our reputation were to be harmed, whether as a result of media, legislative, or regulatory scrutiny or otherwise, it could make it more difficult to attract and retain personnel that are critical to the succe</w:t>
      </w:r>
      <w:r>
        <w:rPr>
          <w:sz w:val="20"/>
          <w:szCs w:val="20"/>
        </w:rPr>
        <w:t>ss of our business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In addition, in making employment decisions, particularly in the software industry, job candidates often consider the value of the stock options or other equity incentives they are to receive in connection with their employment. If the</w:t>
      </w:r>
      <w:r>
        <w:rPr>
          <w:sz w:val="20"/>
          <w:szCs w:val="20"/>
        </w:rPr>
        <w:t xml:space="preserve"> price of our stock declines, or experiences significant volatility, our ability to attract or retain key employees will be adversely affected. If we fail to attract new personnel or fail to retain and motivate our current personnel, our growth prospects c</w:t>
      </w:r>
      <w:r>
        <w:rPr>
          <w:sz w:val="20"/>
          <w:szCs w:val="20"/>
        </w:rPr>
        <w:t>ould be severely harmed</w:t>
      </w:r>
      <w:r>
        <w:rPr>
          <w:sz w:val="20"/>
          <w:szCs w:val="20"/>
        </w:rPr>
        <w:t>.</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Global Economic Condition</w:t>
      </w:r>
      <w:r>
        <w:rPr>
          <w:b/>
          <w:bCs/>
          <w:sz w:val="20"/>
          <w:szCs w:val="20"/>
        </w:rPr>
        <w:t>s</w:t>
      </w:r>
    </w:p>
    <w:p w:rsidR="00000000" w:rsidRDefault="00805FA0">
      <w:pPr>
        <w:pStyle w:val="a3"/>
        <w:spacing w:before="200" w:beforeAutospacing="0" w:after="0" w:afterAutospacing="0"/>
        <w:rPr>
          <w:sz w:val="20"/>
          <w:szCs w:val="20"/>
        </w:rPr>
      </w:pPr>
      <w:r>
        <w:rPr>
          <w:b/>
          <w:bCs/>
          <w:i/>
          <w:iCs/>
          <w:sz w:val="20"/>
          <w:szCs w:val="20"/>
        </w:rPr>
        <w:t>We are exposed to fluctuations in currency exchange rates that could adversely affect our financial results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face exposure to movements in currency exchange rates, which may cause ou</w:t>
      </w:r>
      <w:r>
        <w:rPr>
          <w:sz w:val="20"/>
          <w:szCs w:val="20"/>
        </w:rPr>
        <w:t>r revenue and operating results to differ materially from expectations. As we have expanded our international operations, our exposure to exchange rate fluctuations has increased, in particular with respect to the Euro, British Pound Sterling, Australian D</w:t>
      </w:r>
      <w:r>
        <w:rPr>
          <w:sz w:val="20"/>
          <w:szCs w:val="20"/>
        </w:rPr>
        <w:t xml:space="preserve">ollar, Singapore Dollar, Japanese Yen, Colombian Peso, and Canadian Dollar. Fluctuations in the value of the U.S. dollar versus foreign currencies may impact our operating results when translated into U.S. dollars. Thus, our results of operations and cash </w:t>
      </w:r>
      <w:r>
        <w:rPr>
          <w:sz w:val="20"/>
          <w:szCs w:val="20"/>
        </w:rPr>
        <w:t>flows are subject to fluctuations due to changes in foreign currency exchange rates and may be adversely affected in the future due to changes in foreign currency exchange rates. As exchange rates vary, revenue, cost of revenue, operating expenses and othe</w:t>
      </w:r>
      <w:r>
        <w:rPr>
          <w:sz w:val="20"/>
          <w:szCs w:val="20"/>
        </w:rPr>
        <w:t>r operating results, when re-measured, may differ materially from expectations. In addition, our operating results are subject to fluctuation if our mix of U.S. and foreign currency denominated transactions and expenses changes in the future. While we have</w:t>
      </w:r>
      <w:r>
        <w:rPr>
          <w:sz w:val="20"/>
          <w:szCs w:val="20"/>
        </w:rPr>
        <w:t xml:space="preserve"> limited currency exchange exposure to the Russian, Belarusian and Ukrainian currencies, we expect exchange rates with respect to these currencies to be volatile and other exchange rates may also be more volatile than normal as a result of the ongoing conf</w:t>
      </w:r>
      <w:r>
        <w:rPr>
          <w:sz w:val="20"/>
          <w:szCs w:val="20"/>
        </w:rPr>
        <w:t>lict between Russia and Ukraine. Such volatility, even when it increases our revenues or decreases our expenses, impacts our ability to predict our future results and earnings accurately. Although we may apply certain strategies to mitigate foreign currenc</w:t>
      </w:r>
      <w:r>
        <w:rPr>
          <w:sz w:val="20"/>
          <w:szCs w:val="20"/>
        </w:rPr>
        <w:t>y risk, these strategies might not eliminate our exposure to foreign exchange rate fluctuations and would involve costs and risks of their own, such as ongoing management time and expertise, external costs to implement the strategies and potential accounti</w:t>
      </w:r>
      <w:r>
        <w:rPr>
          <w:sz w:val="20"/>
          <w:szCs w:val="20"/>
        </w:rPr>
        <w:t>ng implications. Additionally, as we anticipate growing our business further outside of the United States, the effects of movements in currency exchange rates will increase as our transaction volume outside of the United States increases</w:t>
      </w:r>
      <w:r>
        <w:rPr>
          <w:sz w:val="20"/>
          <w:szCs w:val="20"/>
        </w:rPr>
        <w:t>.</w:t>
      </w:r>
    </w:p>
    <w:p w:rsidR="00000000" w:rsidRDefault="00805FA0">
      <w:pPr>
        <w:pStyle w:val="a3"/>
        <w:spacing w:before="200" w:beforeAutospacing="0" w:after="0" w:afterAutospacing="0"/>
        <w:rPr>
          <w:sz w:val="20"/>
          <w:szCs w:val="20"/>
        </w:rPr>
      </w:pPr>
      <w:r>
        <w:rPr>
          <w:b/>
          <w:bCs/>
          <w:i/>
          <w:iCs/>
          <w:sz w:val="20"/>
          <w:szCs w:val="20"/>
        </w:rPr>
        <w:t>Weakened global e</w:t>
      </w:r>
      <w:r>
        <w:rPr>
          <w:b/>
          <w:bCs/>
          <w:i/>
          <w:iCs/>
          <w:sz w:val="20"/>
          <w:szCs w:val="20"/>
        </w:rPr>
        <w:t>conomic conditions may harm our industry, business and results of operations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Our overall performance depends in part on worldwide economic conditions. Global financial developments and downturns seemingly unrelated to us or the software industry may harm </w:t>
      </w:r>
      <w:r>
        <w:rPr>
          <w:sz w:val="20"/>
          <w:szCs w:val="20"/>
        </w:rPr>
        <w:t>us. The United States and other key international economies have been affected from time to time by falling demand for a variety of goods and services, restricted credit, poor liquidity, reduced corporate profitability, volatility in credit, equity and for</w:t>
      </w:r>
      <w:r>
        <w:rPr>
          <w:sz w:val="20"/>
          <w:szCs w:val="20"/>
        </w:rPr>
        <w:t xml:space="preserve">eign exchange markets, bankruptcies, inflation and overall uncertainty with respect to the economy, including with respect to tariff and trade issues. Weak economic conditions or significant uncertainty regarding the stability of financial markets related </w:t>
      </w:r>
      <w:r>
        <w:rPr>
          <w:sz w:val="20"/>
          <w:szCs w:val="20"/>
        </w:rPr>
        <w:t>to stock market volatility, inflation, recession, changes in tariffs, trade agreements or governmental fiscal, monetary and tax policies, among others, could adversely impact our business, financial condition and operating results</w:t>
      </w:r>
      <w:r>
        <w:rPr>
          <w:sz w:val="20"/>
          <w:szCs w:val="20"/>
        </w:rPr>
        <w:t>.</w:t>
      </w:r>
    </w:p>
    <w:p w:rsidR="00000000" w:rsidRDefault="00805FA0">
      <w:pPr>
        <w:pStyle w:val="a3"/>
        <w:spacing w:before="200" w:beforeAutospacing="0" w:after="0" w:afterAutospacing="0"/>
        <w:ind w:firstLine="555"/>
        <w:rPr>
          <w:sz w:val="20"/>
          <w:szCs w:val="20"/>
        </w:rPr>
      </w:pPr>
      <w:r>
        <w:rPr>
          <w:sz w:val="20"/>
          <w:szCs w:val="20"/>
        </w:rPr>
        <w:t>Further, the economies of countries in Europe have been experiencing weakness associated with high sovereign debt levels, weakness in the banking sector, uncertainty over the future of the Euro zone and volatility in the value of the pound sterling and the</w:t>
      </w:r>
      <w:r>
        <w:rPr>
          <w:sz w:val="20"/>
          <w:szCs w:val="20"/>
        </w:rPr>
        <w:t xml:space="preserve"> Euro and instability resulting from the ongoing conflict between Russia and Ukraine. The effect of the conflict between Russia and Ukraine, including any resulting sanctions, export controls or other restrictive actions that may be imposed against governm</w:t>
      </w:r>
      <w:r>
        <w:rPr>
          <w:sz w:val="20"/>
          <w:szCs w:val="20"/>
        </w:rPr>
        <w:t>ental or other entities in, for example, Russia, have in the past contributed and may in the future contribute to disruption, instability an</w:t>
      </w:r>
      <w:r>
        <w:rPr>
          <w:sz w:val="20"/>
          <w:szCs w:val="20"/>
        </w:rPr>
        <w:t>d</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4</w:t>
      </w:r>
      <w:r>
        <w:rPr>
          <w:sz w:val="20"/>
          <w:szCs w:val="20"/>
        </w:rPr>
        <w:t>1</w:t>
      </w:r>
    </w:p>
    <w:p w:rsidR="00000000" w:rsidRDefault="00805FA0">
      <w:pPr>
        <w:rPr>
          <w:rFonts w:eastAsia="Times New Roman"/>
        </w:rPr>
      </w:pPr>
      <w:r>
        <w:rPr>
          <w:rFonts w:eastAsia="Times New Roman"/>
        </w:rPr>
        <w:pict>
          <v:rect id="_x0000_i1065"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volatility in the global markets. We have operations, as well as current</w:t>
      </w:r>
      <w:r>
        <w:rPr>
          <w:sz w:val="20"/>
          <w:szCs w:val="20"/>
        </w:rPr>
        <w:t xml:space="preserve"> and potential new customers, throughout most of Europe. If economic conditions in Europe and other key markets for our platform continue to remain uncertain or deteriorate further, it could adversely affect our customers’ ability or willingness to subscri</w:t>
      </w:r>
      <w:r>
        <w:rPr>
          <w:sz w:val="20"/>
          <w:szCs w:val="20"/>
        </w:rPr>
        <w:t>be to our platform, delay prospective customers’ purchasing decisions, reduce the value or duration of their subscriptions or affect renewal rates, all of which could harm our operating results</w:t>
      </w:r>
      <w:r>
        <w:rPr>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More recently, inflation rates in the U.S. have increased to </w:t>
      </w:r>
      <w:r>
        <w:rPr>
          <w:sz w:val="20"/>
          <w:szCs w:val="20"/>
        </w:rPr>
        <w:t>levels not seen in several decades, which may result in decreased demand for our products and services, increases in our operating costs including our labor costs, constrained credit and liquidity, reduced government spending and volatility in financial ma</w:t>
      </w:r>
      <w:r>
        <w:rPr>
          <w:sz w:val="20"/>
          <w:szCs w:val="20"/>
        </w:rPr>
        <w:t>rkets. The Federal Reserve has raised, and may again raise, interest rates in response to concerns over inflation risk. Increases in interest rates on credit and debt that would increase the cost of any borrowing that we may make from time to time and coul</w:t>
      </w:r>
      <w:r>
        <w:rPr>
          <w:sz w:val="20"/>
          <w:szCs w:val="20"/>
        </w:rPr>
        <w:t>d impact our ability to access the capital markets. Increases in interest rates, especially if coupled with reduced government spending and volatility in financial markets, may have the effect of further increasing economic uncertainty and heightening thes</w:t>
      </w:r>
      <w:r>
        <w:rPr>
          <w:sz w:val="20"/>
          <w:szCs w:val="20"/>
        </w:rPr>
        <w:t>e risks. In an inflationary environment, we may be unable to raise the sales prices of our products and services at or above the rate at which our costs increase, which could/would reduce our profit margins and have a material adverse effect on our financi</w:t>
      </w:r>
      <w:r>
        <w:rPr>
          <w:sz w:val="20"/>
          <w:szCs w:val="20"/>
        </w:rPr>
        <w:t>al results and net income. We also may experience lower than expected sales and potential adverse impacts on our competitive position if there is a decrease in consumer spending or a negative reaction to our pricing. A reduction in our revenue would be det</w:t>
      </w:r>
      <w:r>
        <w:rPr>
          <w:sz w:val="20"/>
          <w:szCs w:val="20"/>
        </w:rPr>
        <w:t>rimental to our profitability and financial condition and could also have an adverse impact on our future growth</w:t>
      </w:r>
      <w:r>
        <w:rPr>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There continues to be uncertainty in the changing market and economic conditions, including the possibility of additional measures that could </w:t>
      </w:r>
      <w:r>
        <w:rPr>
          <w:sz w:val="20"/>
          <w:szCs w:val="20"/>
        </w:rPr>
        <w:t>be taken by the Federal Reserve and other government agencies, related to concerns over inflation risk. A sharp rise in interest rates could have an adverse impact on the fair market value of certain securities in our portfolio and investments in some fina</w:t>
      </w:r>
      <w:r>
        <w:rPr>
          <w:sz w:val="20"/>
          <w:szCs w:val="20"/>
        </w:rPr>
        <w:t>ncial instruments could pose risks arising from market liquidity and credit concerns, which could adversely affect our financial results</w:t>
      </w:r>
      <w:r>
        <w:rPr>
          <w:sz w:val="20"/>
          <w:szCs w:val="20"/>
        </w:rPr>
        <w:t>.</w:t>
      </w:r>
    </w:p>
    <w:p w:rsidR="00000000" w:rsidRDefault="00805FA0">
      <w:pPr>
        <w:pStyle w:val="a3"/>
        <w:spacing w:before="200" w:beforeAutospacing="0" w:after="0" w:afterAutospacing="0"/>
        <w:rPr>
          <w:sz w:val="20"/>
          <w:szCs w:val="20"/>
        </w:rPr>
      </w:pPr>
      <w:r>
        <w:rPr>
          <w:b/>
          <w:bCs/>
          <w:i/>
          <w:iCs/>
          <w:sz w:val="20"/>
          <w:szCs w:val="20"/>
        </w:rPr>
        <w:t>The current economic downturn may lead to decreased demand for our products and services and otherwise harm our busine</w:t>
      </w:r>
      <w:r>
        <w:rPr>
          <w:b/>
          <w:bCs/>
          <w:i/>
          <w:iCs/>
          <w:sz w:val="20"/>
          <w:szCs w:val="20"/>
        </w:rPr>
        <w:t>ss and results of operations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overall performance depends, in part, on worldwide economic conditions. In recent months, we have observed increased economic uncertainty in the United States and abroad. Impacts of such economic weakness include</w:t>
      </w:r>
      <w:r>
        <w:rPr>
          <w:sz w:val="20"/>
          <w:szCs w:val="20"/>
        </w:rPr>
        <w:t>:</w:t>
      </w:r>
    </w:p>
    <w:p w:rsidR="00000000" w:rsidRDefault="00805FA0">
      <w:pPr>
        <w:divId w:val="708451768"/>
        <w:rPr>
          <w:rFonts w:eastAsia="Times New Roman"/>
        </w:rPr>
      </w:pPr>
      <w:r>
        <w:rPr>
          <w:rFonts w:eastAsia="Times New Roman"/>
          <w:sz w:val="20"/>
          <w:szCs w:val="20"/>
        </w:rPr>
        <w:t>•</w:t>
      </w:r>
    </w:p>
    <w:p w:rsidR="00000000" w:rsidRDefault="00805FA0">
      <w:pPr>
        <w:divId w:val="55706485"/>
        <w:rPr>
          <w:rFonts w:eastAsia="Times New Roman"/>
        </w:rPr>
      </w:pPr>
      <w:r>
        <w:rPr>
          <w:rFonts w:eastAsia="Times New Roman"/>
          <w:sz w:val="20"/>
          <w:szCs w:val="20"/>
        </w:rPr>
        <w:t>fallin</w:t>
      </w:r>
      <w:r>
        <w:rPr>
          <w:rFonts w:eastAsia="Times New Roman"/>
          <w:sz w:val="20"/>
          <w:szCs w:val="20"/>
        </w:rPr>
        <w:t>g overall demand for goods and services, leading to reduced profitability</w:t>
      </w:r>
      <w:r>
        <w:rPr>
          <w:rFonts w:eastAsia="Times New Roman"/>
          <w:sz w:val="20"/>
          <w:szCs w:val="20"/>
        </w:rPr>
        <w:t>;</w:t>
      </w:r>
    </w:p>
    <w:p w:rsidR="00000000" w:rsidRDefault="00805FA0">
      <w:pPr>
        <w:divId w:val="384332153"/>
        <w:rPr>
          <w:rFonts w:eastAsia="Times New Roman"/>
        </w:rPr>
      </w:pPr>
      <w:r>
        <w:rPr>
          <w:rFonts w:eastAsia="Times New Roman"/>
          <w:sz w:val="20"/>
          <w:szCs w:val="20"/>
        </w:rPr>
        <w:t>•</w:t>
      </w:r>
    </w:p>
    <w:p w:rsidR="00000000" w:rsidRDefault="00805FA0">
      <w:pPr>
        <w:divId w:val="944314857"/>
        <w:rPr>
          <w:rFonts w:eastAsia="Times New Roman"/>
        </w:rPr>
      </w:pPr>
      <w:r>
        <w:rPr>
          <w:rFonts w:eastAsia="Times New Roman"/>
          <w:sz w:val="20"/>
          <w:szCs w:val="20"/>
        </w:rPr>
        <w:t>reduced credit availability</w:t>
      </w:r>
      <w:r>
        <w:rPr>
          <w:rFonts w:eastAsia="Times New Roman"/>
          <w:sz w:val="20"/>
          <w:szCs w:val="20"/>
        </w:rPr>
        <w:t>;</w:t>
      </w:r>
    </w:p>
    <w:p w:rsidR="00000000" w:rsidRDefault="00805FA0">
      <w:pPr>
        <w:divId w:val="146476468"/>
        <w:rPr>
          <w:rFonts w:eastAsia="Times New Roman"/>
        </w:rPr>
      </w:pPr>
      <w:r>
        <w:rPr>
          <w:rFonts w:eastAsia="Times New Roman"/>
          <w:sz w:val="20"/>
          <w:szCs w:val="20"/>
        </w:rPr>
        <w:t>•</w:t>
      </w:r>
    </w:p>
    <w:p w:rsidR="00000000" w:rsidRDefault="00805FA0">
      <w:pPr>
        <w:divId w:val="1754619327"/>
        <w:rPr>
          <w:rFonts w:eastAsia="Times New Roman"/>
        </w:rPr>
      </w:pPr>
      <w:r>
        <w:rPr>
          <w:rFonts w:eastAsia="Times New Roman"/>
          <w:sz w:val="20"/>
          <w:szCs w:val="20"/>
        </w:rPr>
        <w:t>higher borrowing costs;</w:t>
      </w:r>
      <w:r>
        <w:rPr>
          <w:rFonts w:eastAsia="Times New Roman"/>
          <w:sz w:val="20"/>
          <w:szCs w:val="20"/>
        </w:rPr>
        <w:t xml:space="preserve"> </w:t>
      </w:r>
    </w:p>
    <w:p w:rsidR="00000000" w:rsidRDefault="00805FA0">
      <w:pPr>
        <w:divId w:val="1994067055"/>
        <w:rPr>
          <w:rFonts w:eastAsia="Times New Roman"/>
        </w:rPr>
      </w:pPr>
      <w:r>
        <w:rPr>
          <w:rFonts w:eastAsia="Times New Roman"/>
          <w:sz w:val="20"/>
          <w:szCs w:val="20"/>
        </w:rPr>
        <w:t>•</w:t>
      </w:r>
    </w:p>
    <w:p w:rsidR="00000000" w:rsidRDefault="00805FA0">
      <w:pPr>
        <w:divId w:val="1171722825"/>
        <w:rPr>
          <w:rFonts w:eastAsia="Times New Roman"/>
        </w:rPr>
      </w:pPr>
      <w:r>
        <w:rPr>
          <w:rFonts w:eastAsia="Times New Roman"/>
          <w:sz w:val="20"/>
          <w:szCs w:val="20"/>
        </w:rPr>
        <w:t>reduced liquidity;</w:t>
      </w:r>
      <w:r>
        <w:rPr>
          <w:rFonts w:eastAsia="Times New Roman"/>
          <w:sz w:val="20"/>
          <w:szCs w:val="20"/>
        </w:rPr>
        <w:t xml:space="preserve"> </w:t>
      </w:r>
    </w:p>
    <w:p w:rsidR="00000000" w:rsidRDefault="00805FA0">
      <w:pPr>
        <w:divId w:val="2025936685"/>
        <w:rPr>
          <w:rFonts w:eastAsia="Times New Roman"/>
        </w:rPr>
      </w:pPr>
      <w:r>
        <w:rPr>
          <w:rFonts w:eastAsia="Times New Roman"/>
          <w:sz w:val="20"/>
          <w:szCs w:val="20"/>
        </w:rPr>
        <w:t>•</w:t>
      </w:r>
    </w:p>
    <w:p w:rsidR="00000000" w:rsidRDefault="00805FA0">
      <w:pPr>
        <w:divId w:val="282544516"/>
        <w:rPr>
          <w:rFonts w:eastAsia="Times New Roman"/>
        </w:rPr>
      </w:pPr>
      <w:r>
        <w:rPr>
          <w:rFonts w:eastAsia="Times New Roman"/>
          <w:sz w:val="20"/>
          <w:szCs w:val="20"/>
        </w:rPr>
        <w:t>volatility in credit, equity and foreign exchange markets; and</w:t>
      </w:r>
      <w:r>
        <w:rPr>
          <w:rFonts w:eastAsia="Times New Roman"/>
          <w:sz w:val="20"/>
          <w:szCs w:val="20"/>
        </w:rPr>
        <w:t xml:space="preserve"> </w:t>
      </w:r>
    </w:p>
    <w:p w:rsidR="00000000" w:rsidRDefault="00805FA0">
      <w:pPr>
        <w:divId w:val="1405420139"/>
        <w:rPr>
          <w:rFonts w:eastAsia="Times New Roman"/>
        </w:rPr>
      </w:pPr>
      <w:r>
        <w:rPr>
          <w:rFonts w:eastAsia="Times New Roman"/>
          <w:sz w:val="20"/>
          <w:szCs w:val="20"/>
        </w:rPr>
        <w:t>•</w:t>
      </w:r>
    </w:p>
    <w:p w:rsidR="00000000" w:rsidRDefault="00805FA0">
      <w:pPr>
        <w:divId w:val="1968850127"/>
        <w:rPr>
          <w:rFonts w:eastAsia="Times New Roman"/>
        </w:rPr>
      </w:pPr>
      <w:r>
        <w:rPr>
          <w:rFonts w:eastAsia="Times New Roman"/>
          <w:sz w:val="20"/>
          <w:szCs w:val="20"/>
        </w:rPr>
        <w:t>bankruptcies</w:t>
      </w:r>
      <w:r>
        <w:rPr>
          <w:rFonts w:eastAsia="Times New Roman"/>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ind w:firstLine="555"/>
        <w:rPr>
          <w:sz w:val="20"/>
          <w:szCs w:val="20"/>
        </w:rPr>
      </w:pPr>
      <w:r>
        <w:rPr>
          <w:sz w:val="20"/>
          <w:szCs w:val="20"/>
        </w:rPr>
        <w:t>These development</w:t>
      </w:r>
      <w:r>
        <w:rPr>
          <w:sz w:val="20"/>
          <w:szCs w:val="20"/>
        </w:rPr>
        <w:t>s could lead to inflation, higher interest rates, and uncertainty about business continuity, which may adversely affect our business and our results of operations. As our customers react to global economic conditions and the potential for a global recessio</w:t>
      </w:r>
      <w:r>
        <w:rPr>
          <w:sz w:val="20"/>
          <w:szCs w:val="20"/>
        </w:rPr>
        <w:t>n, we may see them reduce spending on our products and take additional precautionary measures to limit or delay expenditures and preserve capital and liquidity. Reductions in spending on our solutions, delays in purchasing decisions, lack of renewals, inab</w:t>
      </w:r>
      <w:r>
        <w:rPr>
          <w:sz w:val="20"/>
          <w:szCs w:val="20"/>
        </w:rPr>
        <w:t>ility to attract new customers, as well as pressure for extended billing terms or pricing discounts, would limit our ability to grow our business and could negatively affect our operating results and financial condition</w:t>
      </w:r>
      <w:r>
        <w:rPr>
          <w:sz w:val="20"/>
          <w:szCs w:val="20"/>
        </w:rPr>
        <w:t>.</w:t>
      </w:r>
      <w:r>
        <w:rPr>
          <w:sz w:val="20"/>
          <w:szCs w:val="20"/>
        </w:rPr>
        <w:t xml:space="preserve">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Our Technical Operations Infrastructure and Dependence on Third Partie</w:t>
      </w:r>
      <w:r>
        <w:rPr>
          <w:b/>
          <w:bCs/>
          <w:sz w:val="20"/>
          <w:szCs w:val="20"/>
        </w:rPr>
        <w:t>s</w:t>
      </w:r>
    </w:p>
    <w:p w:rsidR="00000000" w:rsidRDefault="00805FA0">
      <w:pPr>
        <w:pStyle w:val="a3"/>
        <w:spacing w:before="200" w:beforeAutospacing="0" w:after="0" w:afterAutospacing="0"/>
        <w:rPr>
          <w:sz w:val="20"/>
          <w:szCs w:val="20"/>
        </w:rPr>
      </w:pPr>
      <w:r>
        <w:rPr>
          <w:b/>
          <w:bCs/>
          <w:i/>
          <w:iCs/>
          <w:sz w:val="20"/>
          <w:szCs w:val="20"/>
        </w:rPr>
        <w:t xml:space="preserve">Interruptions or delays in service from our third-party data center providers could impair our ability to deliver our platform to our customers, resulting in customer </w:t>
      </w:r>
      <w:r>
        <w:rPr>
          <w:b/>
          <w:bCs/>
          <w:i/>
          <w:iCs/>
          <w:sz w:val="20"/>
          <w:szCs w:val="20"/>
        </w:rPr>
        <w:t>dissatisfaction, damage to our reputation, loss of customers, limited growth and reduction in revenue</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currently serve the majority of our platform functions from third-party data center hosting facilities operated by Amazon Web Services located in nort</w:t>
      </w:r>
      <w:r>
        <w:rPr>
          <w:sz w:val="20"/>
          <w:szCs w:val="20"/>
        </w:rPr>
        <w:t>hern Virginia and Frankfurt, Germany and Google Cloud Platform located in Frankfurt, Germany. In addition, we serve ancillary functions for our customers from third-party data center hosting facilities operated by Rackspace located in Dallas, Texas, with a</w:t>
      </w:r>
      <w:r>
        <w:rPr>
          <w:sz w:val="20"/>
          <w:szCs w:val="20"/>
        </w:rPr>
        <w:t xml:space="preserve"> backup facility in Chicago, Illinois. Our operations depend, in part, on our third-party facility providers’ abilities to protect these facilities against damage or interruption from natural disasters, such as earthquakes and hurricanes, actual or threate</w:t>
      </w:r>
      <w:r>
        <w:rPr>
          <w:sz w:val="20"/>
          <w:szCs w:val="20"/>
        </w:rPr>
        <w:t>ned public health emergencies (e.g., COVID-19), power or telecommunications failures, criminal acts and similar events. In the event that any of our third-party facilities arrangements is terminated, or if there is a lapse of service or damage to a facilit</w:t>
      </w:r>
      <w:r>
        <w:rPr>
          <w:sz w:val="20"/>
          <w:szCs w:val="20"/>
        </w:rPr>
        <w:t>y, we could experience interruptions in our platform as well as delays and additional expenses in arranging new facilities and services</w:t>
      </w:r>
      <w:r>
        <w:rPr>
          <w:sz w:val="20"/>
          <w:szCs w:val="20"/>
        </w:rPr>
        <w:t>.</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4</w:t>
      </w:r>
      <w:r>
        <w:rPr>
          <w:sz w:val="20"/>
          <w:szCs w:val="20"/>
        </w:rPr>
        <w:t>2</w:t>
      </w:r>
    </w:p>
    <w:p w:rsidR="00000000" w:rsidRDefault="00805FA0">
      <w:pPr>
        <w:rPr>
          <w:rFonts w:eastAsia="Times New Roman"/>
        </w:rPr>
      </w:pPr>
      <w:r>
        <w:rPr>
          <w:rFonts w:eastAsia="Times New Roman"/>
        </w:rPr>
        <w:pict>
          <v:rect id="_x0000_i1066"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Additionally, we may be at risk due to the increased frequency of sophistica</w:t>
      </w:r>
      <w:r>
        <w:rPr>
          <w:sz w:val="20"/>
          <w:szCs w:val="20"/>
        </w:rPr>
        <w:t>ted cyber-attacks coordinated by foreign nation states. For example, the ongoing conflict between Russia and Ukraine may result in a heightened threat environment and create unknown cyber risks, including increased risk of retaliatory cyber-attacks from Ru</w:t>
      </w:r>
      <w:r>
        <w:rPr>
          <w:sz w:val="20"/>
          <w:szCs w:val="20"/>
        </w:rPr>
        <w:t>ssian actors against U.S.-based companies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Any damage to, or failure of, the systems of our third-party providers could result in interruptions to our platform. Despite precautions taken at our data centers, the occurrence of spikes in usage volume, a nat</w:t>
      </w:r>
      <w:r>
        <w:rPr>
          <w:sz w:val="20"/>
          <w:szCs w:val="20"/>
        </w:rPr>
        <w:t xml:space="preserve">ural disaster, such as earthquakes or hurricane, an act of terrorism, vandalism or sabotage, a decision to close a facility without adequate notice, or other unanticipated problems at a facility could result in lengthy interruptions in the availability of </w:t>
      </w:r>
      <w:r>
        <w:rPr>
          <w:sz w:val="20"/>
          <w:szCs w:val="20"/>
        </w:rPr>
        <w:t>our on-demand software. Even with current and planned disaster recovery arrangements, our business could be harmed. Also, in the event of damage or interruption, our insurance policies may not adequately compensate us for any losses that we may incur. Thes</w:t>
      </w:r>
      <w:r>
        <w:rPr>
          <w:sz w:val="20"/>
          <w:szCs w:val="20"/>
        </w:rPr>
        <w:t>e factors in turn could further reduce our revenue, subject us to liability and cause us to issue credits or cause customers to fail to renew their subscriptions, any of which could materially adversely affect our business</w:t>
      </w:r>
      <w:r>
        <w:rPr>
          <w:sz w:val="20"/>
          <w:szCs w:val="20"/>
        </w:rPr>
        <w:t>.</w:t>
      </w:r>
    </w:p>
    <w:p w:rsidR="00000000" w:rsidRDefault="00805FA0">
      <w:pPr>
        <w:pStyle w:val="a3"/>
        <w:spacing w:before="200" w:beforeAutospacing="0" w:after="0" w:afterAutospacing="0"/>
        <w:rPr>
          <w:sz w:val="20"/>
          <w:szCs w:val="20"/>
        </w:rPr>
      </w:pPr>
      <w:r>
        <w:rPr>
          <w:b/>
          <w:bCs/>
          <w:i/>
          <w:iCs/>
          <w:sz w:val="20"/>
          <w:szCs w:val="20"/>
        </w:rPr>
        <w:t xml:space="preserve">If our CRM Platform has outages </w:t>
      </w:r>
      <w:r>
        <w:rPr>
          <w:b/>
          <w:bCs/>
          <w:i/>
          <w:iCs/>
          <w:sz w:val="20"/>
          <w:szCs w:val="20"/>
        </w:rPr>
        <w:t>or fails due to defects or similar problems, and if we fail to correct any defect or other software problems, we could lose customers, become subject to service performance or warranty claims or incur significant costs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Our CRM Platform and its underlying </w:t>
      </w:r>
      <w:r>
        <w:rPr>
          <w:sz w:val="20"/>
          <w:szCs w:val="20"/>
        </w:rPr>
        <w:t>infrastructure are inherently complex and may contain material defects or errors. We release modifications, updates, bug fixes and other changes to our software several times per day, without traditional human-performed quality control reviews for each rel</w:t>
      </w:r>
      <w:r>
        <w:rPr>
          <w:sz w:val="20"/>
          <w:szCs w:val="20"/>
        </w:rPr>
        <w:t xml:space="preserve">ease. We have from time to time found defects in our software and may discover additional defects in the future. We may not be able to detect and correct defects or errors before customers begin to use our platform or its applications. Consequently, we or </w:t>
      </w:r>
      <w:r>
        <w:rPr>
          <w:sz w:val="20"/>
          <w:szCs w:val="20"/>
        </w:rPr>
        <w:t>our customers may discover defects or errors after our platform has been implemented. Defects or errors could result in product outages and could also cause inaccuracies in the data we collect and process for our customers, or even the loss, damage or inad</w:t>
      </w:r>
      <w:r>
        <w:rPr>
          <w:sz w:val="20"/>
          <w:szCs w:val="20"/>
        </w:rPr>
        <w:t>vertent release of such confidential data. We implement bug fixes and upgrades as part of our regular system maintenance, which may lead to system downtime. Even if we are able to implement the bug fixes and upgrades in a timely manner, any history of prod</w:t>
      </w:r>
      <w:r>
        <w:rPr>
          <w:sz w:val="20"/>
          <w:szCs w:val="20"/>
        </w:rPr>
        <w:t>uct outages, defects or inaccuracies in the data we collect for our customers, or the loss, damage or inadvertent release of confidential data could cause our reputation to be harmed, and customers may elect not to purchase or renew their agreements with u</w:t>
      </w:r>
      <w:r>
        <w:rPr>
          <w:sz w:val="20"/>
          <w:szCs w:val="20"/>
        </w:rPr>
        <w:t>s. Furthermore, these issues could subject us to service performance credits (whether offered by us or required by contract), warranty claims or increased insurance costs. The costs associated with product outages, any material defects or errors in our pla</w:t>
      </w:r>
      <w:r>
        <w:rPr>
          <w:sz w:val="20"/>
          <w:szCs w:val="20"/>
        </w:rPr>
        <w:t>tform or other performance problems may be substantial and could materially adversely affect our operating results</w:t>
      </w:r>
      <w:r>
        <w:rPr>
          <w:sz w:val="20"/>
          <w:szCs w:val="20"/>
        </w:rPr>
        <w:t>.</w:t>
      </w:r>
    </w:p>
    <w:p w:rsidR="00000000" w:rsidRDefault="00805FA0">
      <w:pPr>
        <w:pStyle w:val="a3"/>
        <w:spacing w:before="200" w:beforeAutospacing="0" w:after="0" w:afterAutospacing="0"/>
        <w:ind w:firstLine="555"/>
        <w:rPr>
          <w:sz w:val="20"/>
          <w:szCs w:val="20"/>
        </w:rPr>
      </w:pPr>
      <w:r>
        <w:rPr>
          <w:sz w:val="20"/>
          <w:szCs w:val="20"/>
        </w:rPr>
        <w:t>In addition, third-party applications and features on our CRM Platform may not meet the same quality standards that we apply to our own deve</w:t>
      </w:r>
      <w:r>
        <w:rPr>
          <w:sz w:val="20"/>
          <w:szCs w:val="20"/>
        </w:rPr>
        <w:t>lopment efforts and, to the extent they contain bugs, vulnerabilities or defects, they may create disruptions in our customers’ use of our products, lead to data loss, unauthorized access to customer data, damage our brand and reputation and affect the con</w:t>
      </w:r>
      <w:r>
        <w:rPr>
          <w:sz w:val="20"/>
          <w:szCs w:val="20"/>
        </w:rPr>
        <w:t>tinued use of our products, any of which could harm our business, results of operations and financial condition</w:t>
      </w:r>
      <w:r>
        <w:rPr>
          <w:sz w:val="20"/>
          <w:szCs w:val="20"/>
        </w:rPr>
        <w:t>.</w:t>
      </w:r>
    </w:p>
    <w:p w:rsidR="00000000" w:rsidRDefault="00805FA0">
      <w:pPr>
        <w:pStyle w:val="a3"/>
        <w:spacing w:before="200" w:beforeAutospacing="0" w:after="0" w:afterAutospacing="0"/>
        <w:rPr>
          <w:sz w:val="20"/>
          <w:szCs w:val="20"/>
        </w:rPr>
      </w:pPr>
      <w:r>
        <w:rPr>
          <w:b/>
          <w:bCs/>
          <w:i/>
          <w:iCs/>
          <w:sz w:val="20"/>
          <w:szCs w:val="20"/>
        </w:rPr>
        <w:t>If our information technology systems, including our CRM Platform, have outages or fail due to defects or similar problems, and if we fail to c</w:t>
      </w:r>
      <w:r>
        <w:rPr>
          <w:b/>
          <w:bCs/>
          <w:i/>
          <w:iCs/>
          <w:sz w:val="20"/>
          <w:szCs w:val="20"/>
        </w:rPr>
        <w:t>orrect any defect or other software problems, it could disrupt our internal operations or services provided to customers, and could reduce our revenue, increase our expenses, damage our reputation and adversely affect our cash flows and stock price</w:t>
      </w:r>
      <w:r>
        <w:rPr>
          <w:b/>
          <w:bCs/>
          <w:i/>
          <w:iCs/>
          <w:sz w:val="20"/>
          <w:szCs w:val="20"/>
        </w:rPr>
        <w:t>.</w:t>
      </w:r>
      <w:r>
        <w:rPr>
          <w:b/>
          <w:bCs/>
          <w:i/>
          <w:iCs/>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We re</w:t>
      </w:r>
      <w:r>
        <w:rPr>
          <w:sz w:val="20"/>
          <w:szCs w:val="20"/>
        </w:rPr>
        <w:t>ly on our information technology systems, including the sustained and uninterrupted performance of our CRM Platform, to manage numerous aspects of our business, including marketing, sales, content management, customer service and other internal operations.</w:t>
      </w:r>
      <w:r>
        <w:rPr>
          <w:sz w:val="20"/>
          <w:szCs w:val="20"/>
        </w:rPr>
        <w:t xml:space="preserve"> Our information technology systems are an essential component of our business and any disruption could significantly limit our ability to manage and operate our business efficiently</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Our CRM Platform and its underlying infrastructure are inherently compl</w:t>
      </w:r>
      <w:r>
        <w:rPr>
          <w:sz w:val="20"/>
          <w:szCs w:val="20"/>
        </w:rPr>
        <w:t>ex and may contain material defects or errors. We release modifications, updates, bug fixes and other changes to our software several times per day, without traditional human-performed quality control reviews for each release. We have from time to time fou</w:t>
      </w:r>
      <w:r>
        <w:rPr>
          <w:sz w:val="20"/>
          <w:szCs w:val="20"/>
        </w:rPr>
        <w:t>nd defects in our software and may discover in the future additional defects, outages, delays or cessations of service, performance and quality problems or may produce errors in connection with systems integrations, migration work or other causes, which co</w:t>
      </w:r>
      <w:r>
        <w:rPr>
          <w:sz w:val="20"/>
          <w:szCs w:val="20"/>
        </w:rPr>
        <w:t>uld result in business disruptions and the process of remediating them could be more expensive, time-consuming, disruptive and resource intensive than planned. Such disruptions could adversely impact our internal operations and interrupt other processes. D</w:t>
      </w:r>
      <w:r>
        <w:rPr>
          <w:sz w:val="20"/>
          <w:szCs w:val="20"/>
        </w:rPr>
        <w:t>elayed sales, lower margins or lost customers resulting from these disruptions could reduce our revenue, increase our expenses, damage our reputation and adversely affect our cash flows and stock price</w:t>
      </w:r>
      <w:r>
        <w:rPr>
          <w:sz w:val="20"/>
          <w:szCs w:val="20"/>
        </w:rPr>
        <w:t>.</w:t>
      </w:r>
    </w:p>
    <w:p w:rsidR="00000000" w:rsidRDefault="00805FA0">
      <w:pPr>
        <w:pStyle w:val="a3"/>
        <w:spacing w:before="200" w:beforeAutospacing="0" w:after="0" w:afterAutospacing="0"/>
        <w:rPr>
          <w:sz w:val="20"/>
          <w:szCs w:val="20"/>
        </w:rPr>
      </w:pPr>
      <w:r>
        <w:rPr>
          <w:b/>
          <w:bCs/>
          <w:i/>
          <w:iCs/>
          <w:sz w:val="20"/>
          <w:szCs w:val="20"/>
        </w:rPr>
        <w:t>We are dependent on the continued availability of thi</w:t>
      </w:r>
      <w:r>
        <w:rPr>
          <w:b/>
          <w:bCs/>
          <w:i/>
          <w:iCs/>
          <w:sz w:val="20"/>
          <w:szCs w:val="20"/>
        </w:rPr>
        <w:t>rd-party data hosting and transmission services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A significant portion of our operating cost is from our third-party data hosting and transmission services, including Amazon Web Services (“AWS”), which hosts the substantial majority of our products and pla</w:t>
      </w:r>
      <w:r>
        <w:rPr>
          <w:sz w:val="20"/>
          <w:szCs w:val="20"/>
        </w:rPr>
        <w:t xml:space="preserve">tform. If the costs for such services increase due to vendor consolidation, regulation, contract renegotiation, or otherwise, we may not be able to increase the fees for our CRM Platform or services to cover the changes, which could have a negative impact </w:t>
      </w:r>
      <w:r>
        <w:rPr>
          <w:sz w:val="20"/>
          <w:szCs w:val="20"/>
        </w:rPr>
        <w:t>on our operating results</w:t>
      </w:r>
      <w:r>
        <w:rPr>
          <w:sz w:val="20"/>
          <w:szCs w:val="20"/>
        </w:rPr>
        <w:t>.</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4</w:t>
      </w:r>
      <w:r>
        <w:rPr>
          <w:sz w:val="20"/>
          <w:szCs w:val="20"/>
        </w:rPr>
        <w:t>3</w:t>
      </w:r>
    </w:p>
    <w:p w:rsidR="00000000" w:rsidRDefault="00805FA0">
      <w:pPr>
        <w:rPr>
          <w:rFonts w:eastAsia="Times New Roman"/>
        </w:rPr>
      </w:pPr>
      <w:r>
        <w:rPr>
          <w:rFonts w:eastAsia="Times New Roman"/>
        </w:rPr>
        <w:pict>
          <v:rect id="_x0000_i1067"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Additionally, our customers need to be able to access our platform at any time, without interruption or degradation of performance. AWS runs its own platform that we access, and we are, th</w:t>
      </w:r>
      <w:r>
        <w:rPr>
          <w:sz w:val="20"/>
          <w:szCs w:val="20"/>
        </w:rPr>
        <w:t xml:space="preserve">erefore, vulnerable to service interruptions at AWS. We have experienced, and expect that in the future we may experience interruptions, delays and outages in service and availability due to a variety of factors, including infrastructure changes, human or </w:t>
      </w:r>
      <w:r>
        <w:rPr>
          <w:sz w:val="20"/>
          <w:szCs w:val="20"/>
        </w:rPr>
        <w:t xml:space="preserve">software errors, website hosting disruptions and capacity constraints. In some instances, including because we do not control our service providers, we may not be able to identify the cause or causes of these problems within a period of time acceptable to </w:t>
      </w:r>
      <w:r>
        <w:rPr>
          <w:sz w:val="20"/>
          <w:szCs w:val="20"/>
        </w:rPr>
        <w:t>our customers. Additionally, as our business continues to grow, to the extent that we do not effectively address capacity constraints, through our providers of cloud infrastructure, our results of operations may be adversely affected. In addition, any chan</w:t>
      </w:r>
      <w:r>
        <w:rPr>
          <w:sz w:val="20"/>
          <w:szCs w:val="20"/>
        </w:rPr>
        <w:t>ges in service levels from our service providers may adversely affect our ability to meet our customers’ requirements, result in negative publicity which could harm our reputation and brand and may adversely affect the usage of our platform</w:t>
      </w:r>
      <w:r>
        <w:rPr>
          <w:sz w:val="20"/>
          <w:szCs w:val="20"/>
        </w:rPr>
        <w:t>.</w:t>
      </w:r>
    </w:p>
    <w:p w:rsidR="00000000" w:rsidRDefault="00805FA0">
      <w:pPr>
        <w:pStyle w:val="a3"/>
        <w:spacing w:before="200" w:beforeAutospacing="0" w:after="0" w:afterAutospacing="0"/>
        <w:rPr>
          <w:sz w:val="20"/>
          <w:szCs w:val="20"/>
        </w:rPr>
      </w:pPr>
      <w:r>
        <w:rPr>
          <w:b/>
          <w:bCs/>
          <w:i/>
          <w:iCs/>
          <w:sz w:val="20"/>
          <w:szCs w:val="20"/>
        </w:rPr>
        <w:t>If we do not o</w:t>
      </w:r>
      <w:r>
        <w:rPr>
          <w:b/>
          <w:bCs/>
          <w:i/>
          <w:iCs/>
          <w:sz w:val="20"/>
          <w:szCs w:val="20"/>
        </w:rPr>
        <w:t>r cannot maintain the compatibility of our CRM Platform with third-party applications that our customers use in their businesses, our revenue will decline</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A significant percentage of our customers choose to integrate our platform with certain capabilities provided by third-party application providers using application programming interfaces (“APIs”) published by these providers. The functionality and popular</w:t>
      </w:r>
      <w:r>
        <w:rPr>
          <w:sz w:val="20"/>
          <w:szCs w:val="20"/>
        </w:rPr>
        <w:t xml:space="preserve">ity of our CRM Platform depends, in part, on our ability to integrate our platform with third-party applications and platforms, including CRM, CMS, e-commerce, call center, analytics and social media sites that our customers use and from which they obtain </w:t>
      </w:r>
      <w:r>
        <w:rPr>
          <w:sz w:val="20"/>
          <w:szCs w:val="20"/>
        </w:rPr>
        <w:t>data. Third-party providers of applications and APIs may change the features of their applications and platforms, restrict our access to their applications and platforms, or alter the terms governing use of their applications and APIs and access to those a</w:t>
      </w:r>
      <w:r>
        <w:rPr>
          <w:sz w:val="20"/>
          <w:szCs w:val="20"/>
        </w:rPr>
        <w:t>pplications and platforms in an adverse manner. Such changes could functionally limit or terminate our ability to use these third-party applications and platforms in conjunction with our platform, which could negatively impact our offerings and harm our bu</w:t>
      </w:r>
      <w:r>
        <w:rPr>
          <w:sz w:val="20"/>
          <w:szCs w:val="20"/>
        </w:rPr>
        <w:t>siness. If we fail to integrate our platform with new third-party applications and platforms that our customers use for marketing, sales, services, operations or content management purposes, or fail to renew existing relationships pursuant to which we curr</w:t>
      </w:r>
      <w:r>
        <w:rPr>
          <w:sz w:val="20"/>
          <w:szCs w:val="20"/>
        </w:rPr>
        <w:t>ently provide such integration, we may not be able to offer the functionality that our customers need, which would negatively impact our ability to generate new revenue or maintain existing revenue and adversely impact our business</w:t>
      </w:r>
      <w:r>
        <w:rPr>
          <w:sz w:val="20"/>
          <w:szCs w:val="20"/>
        </w:rPr>
        <w:t>.</w:t>
      </w:r>
    </w:p>
    <w:p w:rsidR="00000000" w:rsidRDefault="00805FA0">
      <w:pPr>
        <w:pStyle w:val="a3"/>
        <w:spacing w:before="200" w:beforeAutospacing="0" w:after="0" w:afterAutospacing="0"/>
        <w:rPr>
          <w:sz w:val="20"/>
          <w:szCs w:val="20"/>
        </w:rPr>
      </w:pPr>
      <w:r>
        <w:rPr>
          <w:b/>
          <w:bCs/>
          <w:i/>
          <w:iCs/>
          <w:sz w:val="20"/>
          <w:szCs w:val="20"/>
        </w:rPr>
        <w:t>We rely on data provide</w:t>
      </w:r>
      <w:r>
        <w:rPr>
          <w:b/>
          <w:bCs/>
          <w:i/>
          <w:iCs/>
          <w:sz w:val="20"/>
          <w:szCs w:val="20"/>
        </w:rPr>
        <w:t>d by third parties, the loss of which could limit the functionality of our platform and disrupt our business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Select functionality of our CRM Platform depends on our ability to deliver data, including search engine results and social media updates, provide</w:t>
      </w:r>
      <w:r>
        <w:rPr>
          <w:sz w:val="20"/>
          <w:szCs w:val="20"/>
        </w:rPr>
        <w:t>d by unaffiliated third parties, such as Facebook, Google, LinkedIn and Twitter. Some of this data is provided to us pursuant to third-party data sharing policies and terms of use, under data sharing agreements by third-party providers or by customer conse</w:t>
      </w:r>
      <w:r>
        <w:rPr>
          <w:sz w:val="20"/>
          <w:szCs w:val="20"/>
        </w:rPr>
        <w:t>nt. In the future, any of these third parties could change its data sharing policies, including making them more restrictive, or alter its algorithms that determine the placement, display, and accessibility of search results and social media updates, any o</w:t>
      </w:r>
      <w:r>
        <w:rPr>
          <w:sz w:val="20"/>
          <w:szCs w:val="20"/>
        </w:rPr>
        <w:t>f which could result in the loss of, or significant impairment to, our ability to collect and provide useful data to our customers. These third parties could also interpret our, or our service providers’ data collection policies or practices as being incon</w:t>
      </w:r>
      <w:r>
        <w:rPr>
          <w:sz w:val="20"/>
          <w:szCs w:val="20"/>
        </w:rPr>
        <w:t>sistent with their policies, which could result in the loss of our ability to collect this data for our customers. Any such changes could impair our ability to deliver data to our customers and could adversely impact select functionality of our platform, i</w:t>
      </w:r>
      <w:r>
        <w:rPr>
          <w:sz w:val="20"/>
          <w:szCs w:val="20"/>
        </w:rPr>
        <w:t>mpairing the return on investment that our customers derive from using our solution, as well as adversely affecting our business and our ability to generate revenue</w:t>
      </w:r>
      <w:r>
        <w:rPr>
          <w:sz w:val="20"/>
          <w:szCs w:val="20"/>
        </w:rPr>
        <w:t>.</w:t>
      </w:r>
    </w:p>
    <w:p w:rsidR="00000000" w:rsidRDefault="00805FA0">
      <w:pPr>
        <w:pStyle w:val="a3"/>
        <w:spacing w:before="200" w:beforeAutospacing="0" w:after="0" w:afterAutospacing="0"/>
        <w:rPr>
          <w:sz w:val="20"/>
          <w:szCs w:val="20"/>
        </w:rPr>
      </w:pPr>
      <w:r>
        <w:rPr>
          <w:b/>
          <w:bCs/>
          <w:i/>
          <w:iCs/>
          <w:sz w:val="20"/>
          <w:szCs w:val="20"/>
        </w:rPr>
        <w:t>Privacy concerns and end users’ acceptance of Internet behavior tracking may limit the app</w:t>
      </w:r>
      <w:r>
        <w:rPr>
          <w:b/>
          <w:bCs/>
          <w:i/>
          <w:iCs/>
          <w:sz w:val="20"/>
          <w:szCs w:val="20"/>
        </w:rPr>
        <w:t>licability, use and adoption of our CRM Platform</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Privacy concerns may cause end users to resist providing the personal data necessary to allow our customers to use our platform effectively. We have implemented various features intended to enable our custo</w:t>
      </w:r>
      <w:r>
        <w:rPr>
          <w:sz w:val="20"/>
          <w:szCs w:val="20"/>
        </w:rPr>
        <w:t>mers to better protect end user privacy, but these measures may not alleviate all potential privacy concerns and threats. Even the perception of privacy concerns, whether or not valid, may inhibit market adoption of our platform, especially in certain indu</w:t>
      </w:r>
      <w:r>
        <w:rPr>
          <w:sz w:val="20"/>
          <w:szCs w:val="20"/>
        </w:rPr>
        <w:t>stries that rely on sensitive personal data. Privacy advocacy groups and the technology and other industries are considering various new, additional or different self-regulatory standards that may place additional burdens on us. The costs of compliance wit</w:t>
      </w:r>
      <w:r>
        <w:rPr>
          <w:sz w:val="20"/>
          <w:szCs w:val="20"/>
        </w:rPr>
        <w:t>h, and other burdens imposed by these groups’ policies and actions may limit the use and adoption of our CRM Platform and reduce overall demand for it, or lead to significant fines, penalties or liabilities for any noncompliance or loss of any such action</w:t>
      </w:r>
      <w:r>
        <w:rPr>
          <w:sz w:val="20"/>
          <w:szCs w:val="20"/>
        </w:rPr>
        <w:t>.</w:t>
      </w:r>
    </w:p>
    <w:p w:rsidR="00000000" w:rsidRDefault="00805FA0">
      <w:pPr>
        <w:pStyle w:val="a3"/>
        <w:spacing w:before="200" w:beforeAutospacing="0" w:after="0" w:afterAutospacing="0"/>
        <w:rPr>
          <w:sz w:val="20"/>
          <w:szCs w:val="20"/>
        </w:rPr>
      </w:pPr>
      <w:r>
        <w:rPr>
          <w:b/>
          <w:bCs/>
          <w:i/>
          <w:iCs/>
          <w:sz w:val="20"/>
          <w:szCs w:val="20"/>
        </w:rPr>
        <w:t>If our or our customers’ security measures are compromised or unauthorized access to data of our customers or their customers is otherwise obtained, our CRM Platform may be perceived as not being secure, our customers may be harmed and may curtail or ceas</w:t>
      </w:r>
      <w:r>
        <w:rPr>
          <w:b/>
          <w:bCs/>
          <w:i/>
          <w:iCs/>
          <w:sz w:val="20"/>
          <w:szCs w:val="20"/>
        </w:rPr>
        <w:t>e their use of our platform, our reputation may be damaged and we may incur significant liabilities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operations involve the storage and transmission of data of our customers and their customers, including personal data. Our storage is typically the sol</w:t>
      </w:r>
      <w:r>
        <w:rPr>
          <w:sz w:val="20"/>
          <w:szCs w:val="20"/>
        </w:rPr>
        <w:t xml:space="preserve">e source of record for portions of our customers’ businesses and end user data, such as initial contact information and online interactions. Security incidents could result in unauthorized access to, loss of or unauthorized disclosure of this information, </w:t>
      </w:r>
      <w:r>
        <w:rPr>
          <w:sz w:val="20"/>
          <w:szCs w:val="20"/>
        </w:rPr>
        <w:t>litigation, indemnity obligations and other possible liabilities, as well as negative publicity, which could damage our reputation, impair our sales and harm our customers and our business. Cyber-attacks and other malicious Internet-based activit</w:t>
      </w:r>
      <w:r>
        <w:rPr>
          <w:sz w:val="20"/>
          <w:szCs w:val="20"/>
        </w:rPr>
        <w:t>y</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4</w:t>
      </w:r>
      <w:r>
        <w:rPr>
          <w:sz w:val="20"/>
          <w:szCs w:val="20"/>
        </w:rPr>
        <w:t>4</w:t>
      </w:r>
    </w:p>
    <w:p w:rsidR="00000000" w:rsidRDefault="00805FA0">
      <w:pPr>
        <w:rPr>
          <w:rFonts w:eastAsia="Times New Roman"/>
        </w:rPr>
      </w:pPr>
      <w:r>
        <w:rPr>
          <w:rFonts w:eastAsia="Times New Roman"/>
        </w:rPr>
        <w:pict>
          <v:rect id="_x0000_i1068"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continue to increase generally, and cloud-based platform providers of marketing services have been targeted. If our security measures, or those of our service providers, are compromised as a result of third-party action, e</w:t>
      </w:r>
      <w:r>
        <w:rPr>
          <w:sz w:val="20"/>
          <w:szCs w:val="20"/>
        </w:rPr>
        <w:t>mployee or customer error, malfeasance, stolen or fraudulently obtained log-in credentials or otherwise, our reputation could be damaged, our business may be harmed and we could incur significant liability. Additionally, if third parties with whom we work,</w:t>
      </w:r>
      <w:r>
        <w:rPr>
          <w:sz w:val="20"/>
          <w:szCs w:val="20"/>
        </w:rPr>
        <w:t xml:space="preserve"> such as vendors or developers, violate applicable laws, our security policies or our acceptable use policy, such violations may also put our customers’ information at risk and could in turn have an adverse effect on our business. In addition, if the secur</w:t>
      </w:r>
      <w:r>
        <w:rPr>
          <w:sz w:val="20"/>
          <w:szCs w:val="20"/>
        </w:rPr>
        <w:t>ity measures of our customers or our service providers are compromised, even without any actual compromise of our own systems, we may face negative publicity or reputational harm if our customers or anyone else incorrectly attributes the blame for such sec</w:t>
      </w:r>
      <w:r>
        <w:rPr>
          <w:sz w:val="20"/>
          <w:szCs w:val="20"/>
        </w:rPr>
        <w:t>urity breaches to us or our systems. We may be unable to anticipate or prevent techniques used to obtain unauthorized access or to sabotage systems because they change frequently and generally are not detected until after an incident has occurred. As we in</w:t>
      </w:r>
      <w:r>
        <w:rPr>
          <w:sz w:val="20"/>
          <w:szCs w:val="20"/>
        </w:rPr>
        <w:t>crease our customer base and our brand becomes more widely known and recognized, we may become more of a target for third parties seeking to compromise our security systems or gain unauthorized access to our customers’ data. Additionally, we provide extens</w:t>
      </w:r>
      <w:r>
        <w:rPr>
          <w:sz w:val="20"/>
          <w:szCs w:val="20"/>
        </w:rPr>
        <w:t>ive access to our database, which stores our customer data, to our development team to facilitate our rapid pace of product development. If such access or our own operations cause the loss, damage or destruction of our customers’ business data, their sales</w:t>
      </w:r>
      <w:r>
        <w:rPr>
          <w:sz w:val="20"/>
          <w:szCs w:val="20"/>
        </w:rPr>
        <w:t>, lead generation, support and other business operations may be permanently harmed. As a result, our customers may bring claims against us for lost profits and other damages, or such concerns may cause us to limit access by our development team</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Cyber-att</w:t>
      </w:r>
      <w:r>
        <w:rPr>
          <w:sz w:val="20"/>
          <w:szCs w:val="20"/>
        </w:rPr>
        <w:t>acks, denial-of-service attacks, ransomware attacks, business email compromises, computer malware, viruses, and social engineering (including phishing) are prevalent in our industry, the industries of certain of our service providers and our customers' ind</w:t>
      </w:r>
      <w:r>
        <w:rPr>
          <w:sz w:val="20"/>
          <w:szCs w:val="20"/>
        </w:rPr>
        <w:t>ustries. Our internal computer systems and those of our current and any future strategic collaborators, vendors, and other contractors or consultants are vulnerable to damage from cyber-attacks, computer viruses, unauthorized access, natural disasters, cyb</w:t>
      </w:r>
      <w:r>
        <w:rPr>
          <w:sz w:val="20"/>
          <w:szCs w:val="20"/>
        </w:rPr>
        <w:t>ersecurity threats, terrorism, war and telecommunication and electrical failures. Accordingly, if our cybersecurity measures or those of our service providers fail to protect against unauthorized access, attacks (which may include sophisticated cyberattack</w:t>
      </w:r>
      <w:r>
        <w:rPr>
          <w:sz w:val="20"/>
          <w:szCs w:val="20"/>
        </w:rPr>
        <w:t>s), compromise or the mishandling of data by our employees and contractors, then our reputation, customer trust, business, results of operations and financial condition could be adversely affected. Cyber incidents have been increasing in sophistication and</w:t>
      </w:r>
      <w:r>
        <w:rPr>
          <w:sz w:val="20"/>
          <w:szCs w:val="20"/>
        </w:rPr>
        <w:t xml:space="preserve"> frequency and can include third parties gaining access to employee or customer data using stolen or inferred credentials, computer malware, viruses, spamming, phishing attacks, ransomware, card skimming code, and other deliberate attacks and attempts to g</w:t>
      </w:r>
      <w:r>
        <w:rPr>
          <w:sz w:val="20"/>
          <w:szCs w:val="20"/>
        </w:rPr>
        <w:t>ain unauthorized access. The techniques used to sabotage or to obtain unauthorized access to our platform, systems, networks, or physical facilities in which data is stored or through which data is transmitted change frequently, and we may be unable to imp</w:t>
      </w:r>
      <w:r>
        <w:rPr>
          <w:sz w:val="20"/>
          <w:szCs w:val="20"/>
        </w:rPr>
        <w:t>lement adequate preventative measures or stop security breaches while they are occurring. Because the techniques used by threat actors who may attempt to penetrate and sabotage our computer systems change frequently and may not be recognized until launched</w:t>
      </w:r>
      <w:r>
        <w:rPr>
          <w:sz w:val="20"/>
          <w:szCs w:val="20"/>
        </w:rPr>
        <w:t xml:space="preserve"> against a target, we may be unable to anticipate these techniques. Additionally, during the ongoing pandemic, and potentially beyond as remote work and resource access expand, there is an increased risk that we may experience cybersecurity-related events </w:t>
      </w:r>
      <w:r>
        <w:rPr>
          <w:sz w:val="20"/>
          <w:szCs w:val="20"/>
        </w:rPr>
        <w:t>such as COVID-19 themed phishing attacks, exploitation of any cybersecurity flaws that may exist, an increase in the number of cybersecurity threats or attacks, and other security challenges as a result of most of our employees and our service providers co</w:t>
      </w:r>
      <w:r>
        <w:rPr>
          <w:sz w:val="20"/>
          <w:szCs w:val="20"/>
        </w:rPr>
        <w:t>ntinuing to work remotely from non-corporate managed networks. There is also a risk of potential increase in such attacks due to cyberwarfare in connection with the ongoing conflict between Russia and Ukraine, and this could adversely affect our and our su</w:t>
      </w:r>
      <w:r>
        <w:rPr>
          <w:sz w:val="20"/>
          <w:szCs w:val="20"/>
        </w:rPr>
        <w:t>ppliers' ability to maintain or enhance key cybersecurity and data protection measures. We have previously been, and may in the future become, the target of cyber-attacks by third parties seeking unauthorized access to our or our customers' data or to disr</w:t>
      </w:r>
      <w:r>
        <w:rPr>
          <w:sz w:val="20"/>
          <w:szCs w:val="20"/>
        </w:rPr>
        <w:t>upt our operations or ability to provide our services</w:t>
      </w:r>
      <w:r>
        <w:rPr>
          <w:sz w:val="20"/>
          <w:szCs w:val="20"/>
        </w:rPr>
        <w:t>.</w:t>
      </w:r>
    </w:p>
    <w:p w:rsidR="00000000" w:rsidRDefault="00805FA0">
      <w:pPr>
        <w:pStyle w:val="a3"/>
        <w:spacing w:before="200" w:beforeAutospacing="0" w:after="0" w:afterAutospacing="0"/>
        <w:ind w:firstLine="555"/>
        <w:rPr>
          <w:sz w:val="20"/>
          <w:szCs w:val="20"/>
        </w:rPr>
      </w:pPr>
      <w:r>
        <w:rPr>
          <w:sz w:val="20"/>
          <w:szCs w:val="20"/>
        </w:rPr>
        <w:t>Additionally, it is also possible that unauthorized access to sensitive customer and business data may be obtained through inadequate use of security controls by our customers, suppliers or other vendo</w:t>
      </w:r>
      <w:r>
        <w:rPr>
          <w:sz w:val="20"/>
          <w:szCs w:val="20"/>
        </w:rPr>
        <w:t>rs. While we are not currently aware of any material impact that the SolarWinds, Log4j, Kaseya, or other recent supply chain attacks had on our business, new information on the scope of such attacks is continuing to emerge and there is a residual risk that</w:t>
      </w:r>
      <w:r>
        <w:rPr>
          <w:sz w:val="20"/>
          <w:szCs w:val="20"/>
        </w:rPr>
        <w:t xml:space="preserve"> we may experience a security breach arising from one of these, or a similar, supply chain attack in the future. Supply chain attacks are becoming increasingly common, and we may not be able to anticipate and prevent negative impacts from such an attack. I</w:t>
      </w:r>
      <w:r>
        <w:rPr>
          <w:sz w:val="20"/>
          <w:szCs w:val="20"/>
        </w:rPr>
        <w:t>f we are impacted by a supply chain attack, we could incur liability, our competitive position could be harmed and the further development and commercialization of our product and services could be hindered or delayed</w:t>
      </w:r>
      <w:r>
        <w:rPr>
          <w:sz w:val="20"/>
          <w:szCs w:val="20"/>
        </w:rPr>
        <w:t>.</w:t>
      </w:r>
    </w:p>
    <w:p w:rsidR="00000000" w:rsidRDefault="00805FA0">
      <w:pPr>
        <w:pStyle w:val="a3"/>
        <w:spacing w:before="200" w:beforeAutospacing="0" w:after="0" w:afterAutospacing="0"/>
        <w:ind w:firstLine="555"/>
        <w:rPr>
          <w:sz w:val="20"/>
          <w:szCs w:val="20"/>
        </w:rPr>
      </w:pPr>
      <w:r>
        <w:rPr>
          <w:sz w:val="20"/>
          <w:szCs w:val="20"/>
        </w:rPr>
        <w:t>Recent high-profile security breaches</w:t>
      </w:r>
      <w:r>
        <w:rPr>
          <w:sz w:val="20"/>
          <w:szCs w:val="20"/>
        </w:rPr>
        <w:t xml:space="preserve"> and related disclosures of sensitive data by large institutions suggest that the risk of such events is significant, even if privacy protection and security measures are implemented and enforced. If we were to experience a cyber-attack and suffer interrup</w:t>
      </w:r>
      <w:r>
        <w:rPr>
          <w:sz w:val="20"/>
          <w:szCs w:val="20"/>
        </w:rPr>
        <w:t>tions in our operations, it could result in a material disruption of our development programs and our business operations, whether due to a loss of our trade secrets or other proprietary information or other disruptions. These cyber-attacks could be carrie</w:t>
      </w:r>
      <w:r>
        <w:rPr>
          <w:sz w:val="20"/>
          <w:szCs w:val="20"/>
        </w:rPr>
        <w:t>d out by threat actors of all types (including but not limited to nation states, organized crime, other criminal enterprises, individual actors and/or advanced persistent threat groups). In addition, we may experience intrusions on our physical premises by</w:t>
      </w:r>
      <w:r>
        <w:rPr>
          <w:sz w:val="20"/>
          <w:szCs w:val="20"/>
        </w:rPr>
        <w:t xml:space="preserve"> any of these threat actors. To the extent that any disruption or security breach were to result in a loss of, or damage to, our data or applications, or inappropriate disclosure of confidential or proprietary information, we could incur liability, incur s</w:t>
      </w:r>
      <w:r>
        <w:rPr>
          <w:sz w:val="20"/>
          <w:szCs w:val="20"/>
        </w:rPr>
        <w:t>ignificant costs associated with remediation and the implementation of additional security measures, including costs to deploy additional personnel and protection technologies, train employees, and engage third-party experts and consultants, and our compet</w:t>
      </w:r>
      <w:r>
        <w:rPr>
          <w:sz w:val="20"/>
          <w:szCs w:val="20"/>
        </w:rPr>
        <w:t>itive position could be harmed. Any breach, loss, or compromise of personal data may also subject us to civil fines and penalties, or claims for damages either under the General Data Protection Regulation (the “GDPR”) and relevant member state law in the E</w:t>
      </w:r>
      <w:r>
        <w:rPr>
          <w:sz w:val="20"/>
          <w:szCs w:val="20"/>
        </w:rPr>
        <w:t>uropean Union, other foreign laws, and other relevant state and federal privacy laws in the United States</w:t>
      </w:r>
      <w:r>
        <w:rPr>
          <w:sz w:val="20"/>
          <w:szCs w:val="20"/>
        </w:rPr>
        <w:t>.</w:t>
      </w:r>
    </w:p>
    <w:p w:rsidR="00000000" w:rsidRDefault="00805FA0">
      <w:pPr>
        <w:pStyle w:val="a3"/>
        <w:spacing w:before="240" w:beforeAutospacing="0" w:after="0" w:afterAutospacing="0"/>
        <w:jc w:val="center"/>
        <w:rPr>
          <w:sz w:val="20"/>
          <w:szCs w:val="20"/>
        </w:rPr>
      </w:pPr>
      <w:r>
        <w:rPr>
          <w:sz w:val="20"/>
          <w:szCs w:val="20"/>
        </w:rPr>
        <w:t>4</w:t>
      </w:r>
      <w:r>
        <w:rPr>
          <w:sz w:val="20"/>
          <w:szCs w:val="20"/>
        </w:rPr>
        <w:t>5</w:t>
      </w:r>
    </w:p>
    <w:p w:rsidR="00000000" w:rsidRDefault="00805FA0">
      <w:pPr>
        <w:rPr>
          <w:rFonts w:eastAsia="Times New Roman"/>
        </w:rPr>
      </w:pPr>
      <w:r>
        <w:rPr>
          <w:rFonts w:eastAsia="Times New Roman"/>
        </w:rPr>
        <w:pict>
          <v:rect id="_x0000_i1069"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Many governments have enacted laws requiring companies to notify individuals of data security incidents or unauthorized transfers involving certain types of personal data. In addition, the data processing agreements we execute with our customers contractua</w:t>
      </w:r>
      <w:r>
        <w:rPr>
          <w:sz w:val="20"/>
          <w:szCs w:val="20"/>
        </w:rPr>
        <w:t>lly requires us to notify them of any personal data breach. Under payment card network rules and our contracts with our payment processors, if there is a breach of payment card information that we store, or that is stored by our direct payment card process</w:t>
      </w:r>
      <w:r>
        <w:rPr>
          <w:sz w:val="20"/>
          <w:szCs w:val="20"/>
        </w:rPr>
        <w:t>ing vendors, we could be liable to the payment card issuing banks for their cost of issuing new cards and related expenses. Data breaches and other data security compromises experienced by our competitors, by our customers or by us may lead to public discl</w:t>
      </w:r>
      <w:r>
        <w:rPr>
          <w:sz w:val="20"/>
          <w:szCs w:val="20"/>
        </w:rPr>
        <w:t>osures, which may lead to widespread negative publicity. Any security compromise in our industry, whether actual or perceived, could harm our reputation, erode customer confidence in the effectiveness of our security measures, negatively impact our ability</w:t>
      </w:r>
      <w:r>
        <w:rPr>
          <w:sz w:val="20"/>
          <w:szCs w:val="20"/>
        </w:rPr>
        <w:t xml:space="preserve"> to attract new customers, cause existing customers to elect not to renew their subscriptions or subject us to third-party lawsuits, regulatory fines or other action or liability, which could materially and adversely affect our business and operating resul</w:t>
      </w:r>
      <w:r>
        <w:rPr>
          <w:sz w:val="20"/>
          <w:szCs w:val="20"/>
        </w:rPr>
        <w:t>ts</w:t>
      </w:r>
      <w:r>
        <w:rPr>
          <w:sz w:val="20"/>
          <w:szCs w:val="20"/>
        </w:rPr>
        <w:t>.</w:t>
      </w:r>
    </w:p>
    <w:p w:rsidR="00000000" w:rsidRDefault="00805FA0">
      <w:pPr>
        <w:pStyle w:val="a3"/>
        <w:spacing w:before="200" w:beforeAutospacing="0" w:after="0" w:afterAutospacing="0"/>
        <w:ind w:firstLine="555"/>
        <w:rPr>
          <w:sz w:val="20"/>
          <w:szCs w:val="20"/>
        </w:rPr>
      </w:pPr>
      <w:r>
        <w:rPr>
          <w:sz w:val="20"/>
          <w:szCs w:val="20"/>
        </w:rPr>
        <w:t>There can be no assurance that any limitations of liability provisions in our contracts for a security breach would be enforceable or adequate or would otherwise protect us from any such liabilities or damages with respect to any particular claim. We a</w:t>
      </w:r>
      <w:r>
        <w:rPr>
          <w:sz w:val="20"/>
          <w:szCs w:val="20"/>
        </w:rPr>
        <w:t>lso cannot be sure that our existing general liability insurance coverage and coverage for errors or omissions will continue to be available on acceptable terms or will be available in sufficient amounts to cover one or more large claims, or that the insur</w:t>
      </w:r>
      <w:r>
        <w:rPr>
          <w:sz w:val="20"/>
          <w:szCs w:val="20"/>
        </w:rPr>
        <w:t>er will not deny coverage as to any future claim. The successful assertion of one or more large claims against us that exceed available insurance coverage, or the occurrence of changes in our insurance policies, including premium increases or the impositio</w:t>
      </w:r>
      <w:r>
        <w:rPr>
          <w:sz w:val="20"/>
          <w:szCs w:val="20"/>
        </w:rPr>
        <w:t>n of large deductible or co-insurance requirements, could have a material adverse effect on our business, financial condition and operating results</w:t>
      </w:r>
      <w:r>
        <w:rPr>
          <w:sz w:val="20"/>
          <w:szCs w:val="20"/>
        </w:rPr>
        <w:t>.</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Intellectual Propert</w:t>
      </w:r>
      <w:r>
        <w:rPr>
          <w:b/>
          <w:bCs/>
          <w:sz w:val="20"/>
          <w:szCs w:val="20"/>
        </w:rPr>
        <w:t>y</w:t>
      </w:r>
    </w:p>
    <w:p w:rsidR="00000000" w:rsidRDefault="00805FA0">
      <w:pPr>
        <w:pStyle w:val="a3"/>
        <w:spacing w:before="200" w:beforeAutospacing="0" w:after="0" w:afterAutospacing="0"/>
        <w:rPr>
          <w:sz w:val="20"/>
          <w:szCs w:val="20"/>
        </w:rPr>
      </w:pPr>
      <w:r>
        <w:rPr>
          <w:b/>
          <w:bCs/>
          <w:i/>
          <w:iCs/>
          <w:sz w:val="20"/>
          <w:szCs w:val="20"/>
        </w:rPr>
        <w:t>Our business may suffer if it is alleged or determined that our te</w:t>
      </w:r>
      <w:r>
        <w:rPr>
          <w:b/>
          <w:bCs/>
          <w:i/>
          <w:iCs/>
          <w:sz w:val="20"/>
          <w:szCs w:val="20"/>
        </w:rPr>
        <w:t>chnology infringes the intellectual property rights of others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The software industry is characterized by the existence of a large number of patents, copyrights, trademarks, trade secrets and other intellectual and proprietary rights. Companies in the softw</w:t>
      </w:r>
      <w:r>
        <w:rPr>
          <w:sz w:val="20"/>
          <w:szCs w:val="20"/>
        </w:rPr>
        <w:t>are industry, including those in marketing software, are often required to defend against litigation claims based on allegations of infringement or other violations of intellectual property rights. Many of our competitors and other industry participants ha</w:t>
      </w:r>
      <w:r>
        <w:rPr>
          <w:sz w:val="20"/>
          <w:szCs w:val="20"/>
        </w:rPr>
        <w:t>ve been issued patents and/or have filed patent applications and may assert patent or other intellectual property rights within the industry. Moreover, in recent years, individuals and groups that are non-practicing entities, commonly referred to as “paten</w:t>
      </w:r>
      <w:r>
        <w:rPr>
          <w:sz w:val="20"/>
          <w:szCs w:val="20"/>
        </w:rPr>
        <w:t>t trolls,” have purchased patents and other intellectual property assets for the purpose of making claims of infringement in order to extract settlements. From time to time, we may receive threatening letters or notices or may be the subject of claims that</w:t>
      </w:r>
      <w:r>
        <w:rPr>
          <w:sz w:val="20"/>
          <w:szCs w:val="20"/>
        </w:rPr>
        <w:t xml:space="preserve"> our services and/or platform and underlying technology infringe or violate the intellectual property rights of others. Responding to such claims, regardless of their merit, can be time consuming, costly to defend in litigation, divert management’s attenti</w:t>
      </w:r>
      <w:r>
        <w:rPr>
          <w:sz w:val="20"/>
          <w:szCs w:val="20"/>
        </w:rPr>
        <w:t>on and resources, damage our reputation and brand and cause us to incur significant expenses. Our technologies may not be able to withstand any third-party claims or rights against their use. Claims of intellectual property infringement might require us to</w:t>
      </w:r>
      <w:r>
        <w:rPr>
          <w:sz w:val="20"/>
          <w:szCs w:val="20"/>
        </w:rPr>
        <w:t xml:space="preserve"> redesign our application, delay releases, enter into costly settlement or license agreements or pay costly damage awards, or face a temporary or permanent injunction prohibiting us from marketing or selling our platform. If we cannot or do not license the</w:t>
      </w:r>
      <w:r>
        <w:rPr>
          <w:sz w:val="20"/>
          <w:szCs w:val="20"/>
        </w:rPr>
        <w:t xml:space="preserve"> infringed technology on reasonable terms or at all, or substitute similar technology from another source, our revenue and operating results could be adversely impacted. Additionally, our customers may not purchase our CRM Platform if they are concerned th</w:t>
      </w:r>
      <w:r>
        <w:rPr>
          <w:sz w:val="20"/>
          <w:szCs w:val="20"/>
        </w:rPr>
        <w:t>at they may infringe third-party intellectual property rights. The occurrence of any of these events may have a material adverse effect on our business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In our subscription agreements with our customers, we generally do not agree to indemnify our customer</w:t>
      </w:r>
      <w:r>
        <w:rPr>
          <w:sz w:val="20"/>
          <w:szCs w:val="20"/>
        </w:rPr>
        <w:t>s against any losses or costs incurred in connection with claims by a third party alleging that a customer’s use of our services or platform infringes the intellectual property rights of the third party. There can be no assurance, however, that customers w</w:t>
      </w:r>
      <w:r>
        <w:rPr>
          <w:sz w:val="20"/>
          <w:szCs w:val="20"/>
        </w:rPr>
        <w:t>ill not assert a common law indemnity claim or that any existing limitations of liability provisions in our contracts would be enforceable or adequate, or would otherwise protect us from any such liabilities or damages with respect to any particular claim.</w:t>
      </w:r>
      <w:r>
        <w:rPr>
          <w:sz w:val="20"/>
          <w:szCs w:val="20"/>
        </w:rPr>
        <w:t xml:space="preserve"> Our customers who are accused of intellectual property infringement may in the future seek indemnification from us under common law or other legal theories. If such claims are successful, or if we are required to indemnify or defend our customers from the</w:t>
      </w:r>
      <w:r>
        <w:rPr>
          <w:sz w:val="20"/>
          <w:szCs w:val="20"/>
        </w:rPr>
        <w:t>se or other claims, these matters could be disruptive to our business and management and have a material adverse effect on our business, operating results and financial condition</w:t>
      </w:r>
      <w:r>
        <w:rPr>
          <w:sz w:val="20"/>
          <w:szCs w:val="20"/>
        </w:rPr>
        <w:t>.</w:t>
      </w:r>
    </w:p>
    <w:p w:rsidR="00000000" w:rsidRDefault="00805FA0">
      <w:pPr>
        <w:pStyle w:val="a3"/>
        <w:spacing w:before="200" w:beforeAutospacing="0" w:after="0" w:afterAutospacing="0"/>
        <w:rPr>
          <w:sz w:val="20"/>
          <w:szCs w:val="20"/>
        </w:rPr>
      </w:pPr>
      <w:r>
        <w:rPr>
          <w:b/>
          <w:bCs/>
          <w:i/>
          <w:iCs/>
          <w:sz w:val="20"/>
          <w:szCs w:val="20"/>
        </w:rPr>
        <w:t>If we fail to adequately protect our proprietary rights, in the United States and abroad, our competitive position could be impaired and we may lose valuable assets, experience reduced revenue and incur costly litigation to protect our rights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Our success </w:t>
      </w:r>
      <w:r>
        <w:rPr>
          <w:sz w:val="20"/>
          <w:szCs w:val="20"/>
        </w:rPr>
        <w:t>is dependent, in part, upon protecting our proprietary technology. We rely on a combination of copyrights, trademarks, service marks, trade secret laws and contractual restrictions to establish and protect our proprietary rights in our products and service</w:t>
      </w:r>
      <w:r>
        <w:rPr>
          <w:sz w:val="20"/>
          <w:szCs w:val="20"/>
        </w:rPr>
        <w:t xml:space="preserve">s. However, the steps we take to protect our intellectual property may be inadequate. We will not be able to protect our intellectual property if we are unable to enforce our rights or if we do not detect unauthorized use of our intellectual property. Any </w:t>
      </w:r>
      <w:r>
        <w:rPr>
          <w:sz w:val="20"/>
          <w:szCs w:val="20"/>
        </w:rPr>
        <w:t>of our trademarks or other intellectual property rights may be challenged by others or invalidated through administrative process or litigation. Furthermore, legal standards relating to the validity, enforceability and scope of protection of intellectual p</w:t>
      </w:r>
      <w:r>
        <w:rPr>
          <w:sz w:val="20"/>
          <w:szCs w:val="20"/>
        </w:rPr>
        <w:t>roperty rights are uncertain. Despite our precautions, it may be possible for unauthorized third parties to copy our technology and use information tha</w:t>
      </w:r>
      <w:r>
        <w:rPr>
          <w:sz w:val="20"/>
          <w:szCs w:val="20"/>
        </w:rPr>
        <w:t>t</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4</w:t>
      </w:r>
      <w:r>
        <w:rPr>
          <w:sz w:val="20"/>
          <w:szCs w:val="20"/>
        </w:rPr>
        <w:t>6</w:t>
      </w:r>
    </w:p>
    <w:p w:rsidR="00000000" w:rsidRDefault="00805FA0">
      <w:pPr>
        <w:rPr>
          <w:rFonts w:eastAsia="Times New Roman"/>
        </w:rPr>
      </w:pPr>
      <w:r>
        <w:rPr>
          <w:rFonts w:eastAsia="Times New Roman"/>
        </w:rPr>
        <w:pict>
          <v:rect id="_x0000_i1070"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we regard as proprietary to create products and services tha</w:t>
      </w:r>
      <w:r>
        <w:rPr>
          <w:sz w:val="20"/>
          <w:szCs w:val="20"/>
        </w:rPr>
        <w:t xml:space="preserve">t compete with ours. Some license provisions protecting against unauthorized use, copying, transfer and disclosure of our offerings may be unenforceable under the laws of certain jurisdictions and foreign countries. In addition, the laws of some countries </w:t>
      </w:r>
      <w:r>
        <w:rPr>
          <w:sz w:val="20"/>
          <w:szCs w:val="20"/>
        </w:rPr>
        <w:t>do not protect proprietary rights to the same extent as the laws of the United States. To the extent we expand our international activities, our exposure to unauthorized copying and use of our technology and proprietary information may increase</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 xml:space="preserve">We enter </w:t>
      </w:r>
      <w:r>
        <w:rPr>
          <w:sz w:val="20"/>
          <w:szCs w:val="20"/>
        </w:rPr>
        <w:t>into confidentiality and invention assignment agreements with our employees and consultants and enter into confidentiality agreements with the parties with whom we have strategic relationships and business alliances. No assurance can be given that these ag</w:t>
      </w:r>
      <w:r>
        <w:rPr>
          <w:sz w:val="20"/>
          <w:szCs w:val="20"/>
        </w:rPr>
        <w:t>reements will be effective in controlling access to and distribution of our products and proprietary information. Further, these agreements may not prevent our competitors from independently developing technologies that are substantially equivalent or supe</w:t>
      </w:r>
      <w:r>
        <w:rPr>
          <w:sz w:val="20"/>
          <w:szCs w:val="20"/>
        </w:rPr>
        <w:t>rior to our platform and offerings</w:t>
      </w:r>
      <w:r>
        <w:rPr>
          <w:sz w:val="20"/>
          <w:szCs w:val="20"/>
        </w:rPr>
        <w:t>.</w:t>
      </w:r>
    </w:p>
    <w:p w:rsidR="00000000" w:rsidRDefault="00805FA0">
      <w:pPr>
        <w:pStyle w:val="a3"/>
        <w:spacing w:before="200" w:beforeAutospacing="0" w:after="0" w:afterAutospacing="0"/>
        <w:ind w:firstLine="555"/>
        <w:rPr>
          <w:sz w:val="20"/>
          <w:szCs w:val="20"/>
        </w:rPr>
      </w:pPr>
      <w:r>
        <w:rPr>
          <w:sz w:val="20"/>
          <w:szCs w:val="20"/>
        </w:rPr>
        <w:t>We may be required to spend significant resources to monitor and protect our intellectual property rights. Litigation may be necessary in the future to enforce our intellectual property rights and to protect our trade se</w:t>
      </w:r>
      <w:r>
        <w:rPr>
          <w:sz w:val="20"/>
          <w:szCs w:val="20"/>
        </w:rPr>
        <w:t>crets. Such litigation could be costly, time consuming and distracting to management and could result in the impairment or loss of portions of our intellectual property. Furthermore, our efforts to enforce our intellectual property rights may be met with d</w:t>
      </w:r>
      <w:r>
        <w:rPr>
          <w:sz w:val="20"/>
          <w:szCs w:val="20"/>
        </w:rPr>
        <w:t>efenses, counterclaims and countersuits attacking the validity and enforceability of our intellectual property rights. Our inability to protect our proprietary technology against unauthorized copying or use, as well as any costly litigation, could delay fu</w:t>
      </w:r>
      <w:r>
        <w:rPr>
          <w:sz w:val="20"/>
          <w:szCs w:val="20"/>
        </w:rPr>
        <w:t xml:space="preserve">rther sales or the implementation of our platform and offerings, impair the functionality of our platform and offerings, delay introductions of new features or enhancements, result in our substituting inferior or more costly technologies into our platform </w:t>
      </w:r>
      <w:r>
        <w:rPr>
          <w:sz w:val="20"/>
          <w:szCs w:val="20"/>
        </w:rPr>
        <w:t>and offerings, or injure our reputation</w:t>
      </w:r>
      <w:r>
        <w:rPr>
          <w:sz w:val="20"/>
          <w:szCs w:val="20"/>
        </w:rPr>
        <w:t>.</w:t>
      </w:r>
    </w:p>
    <w:p w:rsidR="00000000" w:rsidRDefault="00805FA0">
      <w:pPr>
        <w:pStyle w:val="a3"/>
        <w:spacing w:before="200" w:beforeAutospacing="0" w:after="0" w:afterAutospacing="0"/>
        <w:rPr>
          <w:sz w:val="20"/>
          <w:szCs w:val="20"/>
        </w:rPr>
      </w:pPr>
      <w:r>
        <w:rPr>
          <w:b/>
          <w:bCs/>
          <w:i/>
          <w:iCs/>
          <w:sz w:val="20"/>
          <w:szCs w:val="20"/>
        </w:rPr>
        <w:t>Our use of “open source” software could negatively affect our ability to offer our platform and subject us to possible litigation</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A substantial portion of our cloud-based platform incorporates so-called “open sourc</w:t>
      </w:r>
      <w:r>
        <w:rPr>
          <w:sz w:val="20"/>
          <w:szCs w:val="20"/>
        </w:rPr>
        <w:t>e” software, and we may incorporate additional open source software in the future. Open source software is generally freely accessible, usable and modifiable. Certain open source licenses may, in certain circumstances, require us to offer the components of</w:t>
      </w:r>
      <w:r>
        <w:rPr>
          <w:sz w:val="20"/>
          <w:szCs w:val="20"/>
        </w:rPr>
        <w:t xml:space="preserve"> our platform that incorporate the open source software for no cost, that we make available source code for modifications or derivative works we create based upon, incorporating or using the open source software and that we license such modifications or de</w:t>
      </w:r>
      <w:r>
        <w:rPr>
          <w:sz w:val="20"/>
          <w:szCs w:val="20"/>
        </w:rPr>
        <w:t>rivative works under the terms of the particular open source license. If an author or other third party that distributes open source software we use were to allege that we had not complied with the conditions of one or more of these licenses, we could be r</w:t>
      </w:r>
      <w:r>
        <w:rPr>
          <w:sz w:val="20"/>
          <w:szCs w:val="20"/>
        </w:rPr>
        <w:t>equired to incur significant legal expenses defending against such allegations and could be subject to significant damages, including being enjoined from the offering of the components of our platform that contained the open source software and being requi</w:t>
      </w:r>
      <w:r>
        <w:rPr>
          <w:sz w:val="20"/>
          <w:szCs w:val="20"/>
        </w:rPr>
        <w:t>red to comply with the foregoing conditions, which could disrupt our ability to offer the affected software. We could also be subject to suits by parties claiming ownership of what we believe to be open source software. Litigation could be costly for us to</w:t>
      </w:r>
      <w:r>
        <w:rPr>
          <w:sz w:val="20"/>
          <w:szCs w:val="20"/>
        </w:rPr>
        <w:t xml:space="preserve"> defend, have a negative effect on our operating results and financial condition and require us to devote additional research and development resources to change our products</w:t>
      </w:r>
      <w:r>
        <w:rPr>
          <w:sz w:val="20"/>
          <w:szCs w:val="20"/>
        </w:rPr>
        <w:t>.</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Government Regulatio</w:t>
      </w:r>
      <w:r>
        <w:rPr>
          <w:b/>
          <w:bCs/>
          <w:sz w:val="20"/>
          <w:szCs w:val="20"/>
        </w:rPr>
        <w:t>n</w:t>
      </w:r>
      <w:r>
        <w:rPr>
          <w:b/>
          <w:bCs/>
          <w:sz w:val="20"/>
          <w:szCs w:val="20"/>
        </w:rPr>
        <w:t xml:space="preserve"> </w:t>
      </w:r>
    </w:p>
    <w:p w:rsidR="00000000" w:rsidRDefault="00805FA0">
      <w:pPr>
        <w:pStyle w:val="a3"/>
        <w:spacing w:before="200" w:beforeAutospacing="0" w:after="0" w:afterAutospacing="0"/>
        <w:rPr>
          <w:sz w:val="20"/>
          <w:szCs w:val="20"/>
        </w:rPr>
      </w:pPr>
      <w:r>
        <w:rPr>
          <w:b/>
          <w:bCs/>
          <w:i/>
          <w:iCs/>
          <w:sz w:val="20"/>
          <w:szCs w:val="20"/>
        </w:rPr>
        <w:t>We are subject to governmental regulat</w:t>
      </w:r>
      <w:r>
        <w:rPr>
          <w:b/>
          <w:bCs/>
          <w:i/>
          <w:iCs/>
          <w:sz w:val="20"/>
          <w:szCs w:val="20"/>
        </w:rPr>
        <w:t>ion and other legal obligations, particularly related to privacy, data protection and information security, and our actual or perceived failure to comply with such obligations could harm our business. Compliance with such laws could also impair our efforts</w:t>
      </w:r>
      <w:r>
        <w:rPr>
          <w:b/>
          <w:bCs/>
          <w:i/>
          <w:iCs/>
          <w:sz w:val="20"/>
          <w:szCs w:val="20"/>
        </w:rPr>
        <w:t xml:space="preserve"> to maintain and expand our customer base, and thereby decrease our revenue</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handling of data is subject to a variety of laws and regulations, including regulation by various government agencies, including the U.S. Federal Trade Commission ("FTC"), and</w:t>
      </w:r>
      <w:r>
        <w:rPr>
          <w:sz w:val="20"/>
          <w:szCs w:val="20"/>
        </w:rPr>
        <w:t xml:space="preserve"> various state, local and foreign agencies. We collect personal data and other data from our customers, prospects, and partners. We also handle personal data about our customers’ customers. We use this information to provide services to our customers, to s</w:t>
      </w:r>
      <w:r>
        <w:rPr>
          <w:sz w:val="20"/>
          <w:szCs w:val="20"/>
        </w:rPr>
        <w:t>upport, expand and improve our business. We may also share customers’ personal data with third parties as authorized by the customer or as described in our privacy policy</w:t>
      </w:r>
      <w:r>
        <w:rPr>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The U.S. federal and various state and foreign governments have adopted or proposed </w:t>
      </w:r>
      <w:r>
        <w:rPr>
          <w:sz w:val="20"/>
          <w:szCs w:val="20"/>
        </w:rPr>
        <w:t>limitations on the collection, distribution, use and storage of personal data of individuals. In the United States, the FTC and many state attorneys general are applying federal and state consumer protection laws to impose standards for the online collecti</w:t>
      </w:r>
      <w:r>
        <w:rPr>
          <w:sz w:val="20"/>
          <w:szCs w:val="20"/>
        </w:rPr>
        <w:t>on, use and dissemination of personal data and other. However, these obligations may be interpreted and applied in a manner that is inconsistent from one jurisdiction to another and may conflict with other requirements or our practices. Any failure or perc</w:t>
      </w:r>
      <w:r>
        <w:rPr>
          <w:sz w:val="20"/>
          <w:szCs w:val="20"/>
        </w:rPr>
        <w:t xml:space="preserve">eived failure by us to comply with privacy or security laws, policies, legal obligations or industry standards or any security incident that results in the unauthorized, disclosure, release or transfer of personal data or other customer data may result in </w:t>
      </w:r>
      <w:r>
        <w:rPr>
          <w:sz w:val="20"/>
          <w:szCs w:val="20"/>
        </w:rPr>
        <w:t>governmental enforcement actions, litigation, fines and penalties and/or adverse publicity, and could cause our customers to lose trust in us, which could have an adverse effect on our reputation and business</w:t>
      </w:r>
      <w:r>
        <w:rPr>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Laws and regulations concerning privacy, data </w:t>
      </w:r>
      <w:r>
        <w:rPr>
          <w:sz w:val="20"/>
          <w:szCs w:val="20"/>
        </w:rPr>
        <w:t>protection and information security are evolving, and changes to such laws and regulations could require us to change features of our platform or restrict our customers’ ability to collect and use email addresses, page viewing data and other personal data,</w:t>
      </w:r>
      <w:r>
        <w:rPr>
          <w:sz w:val="20"/>
          <w:szCs w:val="20"/>
        </w:rPr>
        <w:t xml:space="preserve"> which may reduce demand for our platform. Our failure to comply with federal, state an</w:t>
      </w:r>
      <w:r>
        <w:rPr>
          <w:sz w:val="20"/>
          <w:szCs w:val="20"/>
        </w:rPr>
        <w:t>d</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4</w:t>
      </w:r>
      <w:r>
        <w:rPr>
          <w:sz w:val="20"/>
          <w:szCs w:val="20"/>
        </w:rPr>
        <w:t>7</w:t>
      </w:r>
    </w:p>
    <w:p w:rsidR="00000000" w:rsidRDefault="00805FA0">
      <w:pPr>
        <w:rPr>
          <w:rFonts w:eastAsia="Times New Roman"/>
        </w:rPr>
      </w:pPr>
      <w:r>
        <w:rPr>
          <w:rFonts w:eastAsia="Times New Roman"/>
        </w:rPr>
        <w:pict>
          <v:rect id="_x0000_i1071"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international data privacy laws and regulations could harm our ability to successfully operate our business and pursue our b</w:t>
      </w:r>
      <w:r>
        <w:rPr>
          <w:sz w:val="20"/>
          <w:szCs w:val="20"/>
        </w:rPr>
        <w:t>usiness goals. For example, the California Consumer Privacy Act (the “CCPA”), among other things, require covered companies to provide disclosures to California consumers and afford such consumers the ability to opt-out of sales of personal data</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Addition</w:t>
      </w:r>
      <w:r>
        <w:rPr>
          <w:sz w:val="20"/>
          <w:szCs w:val="20"/>
        </w:rPr>
        <w:t>ally, a new California ballot initiative, the California Privacy Rights Act ("CPRA"), was passed in November 2020. Effective on January 1, 2023, the CPRA imposes additional obligations on companies covered by the legislation and will significantly modify t</w:t>
      </w:r>
      <w:r>
        <w:rPr>
          <w:sz w:val="20"/>
          <w:szCs w:val="20"/>
        </w:rPr>
        <w:t>he CCPA, including by expanding consumers’ rights with respect to certain sensitive personal data. The CPRA also creates a new state agency that will be vested with authority to implement regulations and enforce the CCPA and the CPRA. It is not yet fully c</w:t>
      </w:r>
      <w:r>
        <w:rPr>
          <w:sz w:val="20"/>
          <w:szCs w:val="20"/>
        </w:rPr>
        <w:t>lear how the CCPA and CPRA will be enforced and how certain of its requirements will be interpreted. The effects of the CCPA and CPRA are potentially significant and may require us to modify our data collection or processing practices and policies and to i</w:t>
      </w:r>
      <w:r>
        <w:rPr>
          <w:sz w:val="20"/>
          <w:szCs w:val="20"/>
        </w:rPr>
        <w:t>ncur substantial costs and expenses in an effort to comply and increase our potential exposure to regulatory enforcement and/or litigation</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Certain other state laws impose similar privacy obligations and we also expect that more states may enact legislati</w:t>
      </w:r>
      <w:r>
        <w:rPr>
          <w:sz w:val="20"/>
          <w:szCs w:val="20"/>
        </w:rPr>
        <w:t>on similar to the CCPA, which provides consumers with new privacy rights and increases the privacy and security obligations of entities handling certain personal data of such consumers. The CCPA has prompted a number of proposals for new federal and state-</w:t>
      </w:r>
      <w:r>
        <w:rPr>
          <w:sz w:val="20"/>
          <w:szCs w:val="20"/>
        </w:rPr>
        <w:t xml:space="preserve">level privacy legislation. Such proposed legislation, if enacted, may add additional complexity, variation in requirements, restrictions and potential legal risk, require additional investment of resources in compliance programs, impact strategies and the </w:t>
      </w:r>
      <w:r>
        <w:rPr>
          <w:sz w:val="20"/>
          <w:szCs w:val="20"/>
        </w:rPr>
        <w:t>availability of previously useful data and could result in increased compliance costs and/or changes in business practices and policies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For example, on March 2, 2021, Virginia enacted the Consumer Data Protection Act (the “CDPA”). The CDPA will become ef</w:t>
      </w:r>
      <w:r>
        <w:rPr>
          <w:sz w:val="20"/>
          <w:szCs w:val="20"/>
        </w:rPr>
        <w:t>fective January 1, 2023. The CDPA will regulate how businesses (which the CDPA refers to as “controllers”) collect and share personal data. While the CDPA incorporates many similar concepts of the CCPA and CPRA, there are also several key differences in th</w:t>
      </w:r>
      <w:r>
        <w:rPr>
          <w:sz w:val="20"/>
          <w:szCs w:val="20"/>
        </w:rPr>
        <w:t xml:space="preserve">e scope, application, and enforcement of the law that will change the operational practices of controllers. The new law will impact how controllers collect and process personal sensitive data, conduct data protection assessments, transfer personal data to </w:t>
      </w:r>
      <w:r>
        <w:rPr>
          <w:sz w:val="20"/>
          <w:szCs w:val="20"/>
        </w:rPr>
        <w:t>affiliates, and respond to consumer rights requests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Also, on July 8, 2021, Colorado’s governor signed the Colorado Privacy Act (“CPA”) into law. The CPA will become effective July 1, 2023. The CPA is similar to Virginia’s CPDA but also contains additiona</w:t>
      </w:r>
      <w:r>
        <w:rPr>
          <w:sz w:val="20"/>
          <w:szCs w:val="20"/>
        </w:rPr>
        <w:t xml:space="preserve">l requirements. The new measure applies to companies conducting business in Colorado or who produce or deliver commercial products or services intentionally targeted to its residents of the state that either: (1) control or process the personal data of at </w:t>
      </w:r>
      <w:r>
        <w:rPr>
          <w:sz w:val="20"/>
          <w:szCs w:val="20"/>
        </w:rPr>
        <w:t>least 100,000 consumers during a calendar year; or (2) derive revenue or receive a discount on the price of goods or services from the sale of personal data and process or control the personal data of at least 25,000 consumers. In addition, on March 24, 20</w:t>
      </w:r>
      <w:r>
        <w:rPr>
          <w:sz w:val="20"/>
          <w:szCs w:val="20"/>
        </w:rPr>
        <w:t>22, Utah enacted the Utah Consumer Privacy Act (“UCPA”), which will become effective on December 31, 2023. Also, in May 2022, Connecticut Governor Lamont signed the Connecticut Data Privacy Act (CTDPA) into law. The UCPA and CTDPA draw heavily upon their p</w:t>
      </w:r>
      <w:r>
        <w:rPr>
          <w:sz w:val="20"/>
          <w:szCs w:val="20"/>
        </w:rPr>
        <w:t>redecessors in Virginia and Colorado</w:t>
      </w:r>
      <w:r>
        <w:rPr>
          <w:sz w:val="20"/>
          <w:szCs w:val="20"/>
        </w:rPr>
        <w:t>.</w:t>
      </w:r>
    </w:p>
    <w:p w:rsidR="00000000" w:rsidRDefault="00805FA0">
      <w:pPr>
        <w:pStyle w:val="a3"/>
        <w:spacing w:before="200" w:beforeAutospacing="0" w:after="0" w:afterAutospacing="0"/>
        <w:ind w:firstLine="555"/>
        <w:rPr>
          <w:sz w:val="20"/>
          <w:szCs w:val="20"/>
        </w:rPr>
      </w:pPr>
      <w:r>
        <w:rPr>
          <w:sz w:val="20"/>
          <w:szCs w:val="20"/>
        </w:rPr>
        <w:t>With the CTDPA, Connecticut became the fifth state to enact a comprehensive privacy law. A number of additional other states have proposed bills for comprehensive consumer privacy laws and it is quite possible that certain of these bills will pass. The exi</w:t>
      </w:r>
      <w:r>
        <w:rPr>
          <w:sz w:val="20"/>
          <w:szCs w:val="20"/>
        </w:rPr>
        <w:t>stence of comprehensive privacy laws in different states in the country, if enacted, will add additional complexity, variation in requirements, restrictions and potential legal risk, require additional investment of resources in compliance programs, impact</w:t>
      </w:r>
      <w:r>
        <w:rPr>
          <w:sz w:val="20"/>
          <w:szCs w:val="20"/>
        </w:rPr>
        <w:t xml:space="preserve"> strategies and the availability of previously useful data, and has resulted in and will result in increased compliance costs and/or changes in business practices and policies. At the federal level, there is a significant and potentially transformative bip</w:t>
      </w:r>
      <w:r>
        <w:rPr>
          <w:sz w:val="20"/>
          <w:szCs w:val="20"/>
        </w:rPr>
        <w:t>artisan bill being debated. If passed, this proposed legislation, the American Data Privacy and Protection Act, would help to streamline certain of our privacy obligations, but would also introduce new stringent privacy and data security obligations that w</w:t>
      </w:r>
      <w:r>
        <w:rPr>
          <w:sz w:val="20"/>
          <w:szCs w:val="20"/>
        </w:rPr>
        <w:t>ould apply to personal data collected from throughout the United States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 xml:space="preserve">In addition, many foreign jurisdictions in which we do business, including the European Union, Japan, United Kingdom, Canada, Australia, and others have laws and regulations dealing </w:t>
      </w:r>
      <w:r>
        <w:rPr>
          <w:sz w:val="20"/>
          <w:szCs w:val="20"/>
        </w:rPr>
        <w:t>with the collection and use of personal data obtained from their residents, which are more restrictive in certain respects than those in the U.S. Laws and regulations in these jurisdictions apply broadly to the collection, use, storage, disclosure and secu</w:t>
      </w:r>
      <w:r>
        <w:rPr>
          <w:sz w:val="20"/>
          <w:szCs w:val="20"/>
        </w:rPr>
        <w:t xml:space="preserve">rity of personal data that identifies or may be used to identify an individual. In relevant part, these laws and regulations may affect our ability to engage in lead generation activities by imposing heightened requirements, such as affirmative opt-ins or </w:t>
      </w:r>
      <w:r>
        <w:rPr>
          <w:sz w:val="20"/>
          <w:szCs w:val="20"/>
        </w:rPr>
        <w:t>consent prior to sending commercial correspondence or engaging in electronic tracking activities that aid our marketing and business intelligence. We may be required to modify our policies, procedures, and data processing measures in order to address requi</w:t>
      </w:r>
      <w:r>
        <w:rPr>
          <w:sz w:val="20"/>
          <w:szCs w:val="20"/>
        </w:rPr>
        <w:t>rements under these or other privacy, data protection, or cyber security regimes, and may face claims, litigation, investigations, or other proceedings regarding them and may incur related liabilities, expenses, costs, and operational losses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In Japan, fo</w:t>
      </w:r>
      <w:r>
        <w:rPr>
          <w:sz w:val="20"/>
          <w:szCs w:val="20"/>
        </w:rPr>
        <w:t>r example, the Act on the Protection of Personal Information (“APPI”) of Japan regulates privacy protection issues in Japan. The APPI shares similarities with the GDPR, including extraterritorial application and obligations to provide certain notices and r</w:t>
      </w:r>
      <w:r>
        <w:rPr>
          <w:sz w:val="20"/>
          <w:szCs w:val="20"/>
        </w:rPr>
        <w:t>ights to citizens of Japan. In Japan, our email marketing activities are also subject to stringent regulation under the Law Concerning the Proper Transmission of Specified Electronic Mail and the Law for the Partial Amendment to the Law Concerning Specifie</w:t>
      </w:r>
      <w:r>
        <w:rPr>
          <w:sz w:val="20"/>
          <w:szCs w:val="20"/>
        </w:rPr>
        <w:t>d Commercial Transactions</w:t>
      </w:r>
      <w:r>
        <w:rPr>
          <w:sz w:val="20"/>
          <w:szCs w:val="20"/>
        </w:rPr>
        <w:t>.</w:t>
      </w:r>
    </w:p>
    <w:p w:rsidR="00000000" w:rsidRDefault="00805FA0">
      <w:pPr>
        <w:pStyle w:val="a3"/>
        <w:spacing w:before="240" w:beforeAutospacing="0" w:after="0" w:afterAutospacing="0"/>
        <w:jc w:val="center"/>
        <w:rPr>
          <w:sz w:val="20"/>
          <w:szCs w:val="20"/>
        </w:rPr>
      </w:pPr>
      <w:r>
        <w:rPr>
          <w:sz w:val="20"/>
          <w:szCs w:val="20"/>
        </w:rPr>
        <w:t>4</w:t>
      </w:r>
      <w:r>
        <w:rPr>
          <w:sz w:val="20"/>
          <w:szCs w:val="20"/>
        </w:rPr>
        <w:t>8</w:t>
      </w:r>
    </w:p>
    <w:p w:rsidR="00000000" w:rsidRDefault="00805FA0">
      <w:pPr>
        <w:rPr>
          <w:rFonts w:eastAsia="Times New Roman"/>
        </w:rPr>
      </w:pPr>
      <w:r>
        <w:rPr>
          <w:rFonts w:eastAsia="Times New Roman"/>
        </w:rPr>
        <w:pict>
          <v:rect id="_x0000_i1072"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In Canada, our collection, use, disclosure, and management of personal information must comply with both federal and provincial privacy laws, which impose separate requirements, but may ov</w:t>
      </w:r>
      <w:r>
        <w:rPr>
          <w:sz w:val="20"/>
          <w:szCs w:val="20"/>
        </w:rPr>
        <w:t>erlap in some instances. The Personal Information Protection and Electronic Documents Act, or PIPEDA, applies in all Canadian provinces except Alberta, British Columbia and Québec, as well as to the transfer of consumer data across provincial borders. PIPE</w:t>
      </w:r>
      <w:r>
        <w:rPr>
          <w:sz w:val="20"/>
          <w:szCs w:val="20"/>
        </w:rPr>
        <w:t xml:space="preserve">DA imposes stringent consumer data protection obligations, requires privacy breach reporting, and limits the purposes for which organizations may collect, use, and disclose consumer data. The provinces of Alberta, British Columbia, and Québec have enacted </w:t>
      </w:r>
      <w:r>
        <w:rPr>
          <w:sz w:val="20"/>
          <w:szCs w:val="20"/>
        </w:rPr>
        <w:t>separate data privacy laws that are substantially similar to PIPEDA, but all three additionally apply to our handling of our own employees’ personal data within their respective provinces. Notably, Québec’s Act respecting the protection of personal informa</w:t>
      </w:r>
      <w:r>
        <w:rPr>
          <w:sz w:val="20"/>
          <w:szCs w:val="20"/>
        </w:rPr>
        <w:t>tion in the private sector, or the Private Sector Act, was amended by Bill 64, an Act to modernize legislative provisions as regards the protection of personal information, which introduced major amendments to the Private Sector Act, notably, to impose sig</w:t>
      </w:r>
      <w:r>
        <w:rPr>
          <w:sz w:val="20"/>
          <w:szCs w:val="20"/>
        </w:rPr>
        <w:t>nificant and stringent new obligations on Québec businesses while increasing the powers of Quebec’s supervisory authority. We may incur additional costs and expenses related to compliance with these laws and may incur significant liability if we are not ab</w:t>
      </w:r>
      <w:r>
        <w:rPr>
          <w:sz w:val="20"/>
          <w:szCs w:val="20"/>
        </w:rPr>
        <w:t xml:space="preserve">le to comply with these laws. We are also subject to Canada’s anti-spam legislation, or CASL, which includes rules governing commercial electronic messages, which include marketing emails, text messages, and social media advertisements. Under these rules, </w:t>
      </w:r>
      <w:r>
        <w:rPr>
          <w:sz w:val="20"/>
          <w:szCs w:val="20"/>
        </w:rPr>
        <w:t>we must follow certain standards when sending marketing communications, are prohibited from sending them to customers without their consent and can be held liable for violations</w:t>
      </w:r>
      <w:r>
        <w:rPr>
          <w:sz w:val="20"/>
          <w:szCs w:val="20"/>
        </w:rPr>
        <w:t>.</w:t>
      </w:r>
    </w:p>
    <w:p w:rsidR="00000000" w:rsidRDefault="00805FA0">
      <w:pPr>
        <w:pStyle w:val="a3"/>
        <w:spacing w:before="200" w:beforeAutospacing="0" w:after="0" w:afterAutospacing="0"/>
        <w:ind w:firstLine="555"/>
        <w:rPr>
          <w:sz w:val="20"/>
          <w:szCs w:val="20"/>
        </w:rPr>
      </w:pPr>
      <w:r>
        <w:rPr>
          <w:sz w:val="20"/>
          <w:szCs w:val="20"/>
        </w:rPr>
        <w:t>Within the European Union, legislators adopted the GDPR, which became effecti</w:t>
      </w:r>
      <w:r>
        <w:rPr>
          <w:sz w:val="20"/>
          <w:szCs w:val="20"/>
        </w:rPr>
        <w:t>ve in May 2018, and which imposes heightened obligations and risk upon our business and which may substantially increase the penalties to which we could be subject in the event of any non-compliance. In addition, further to the United Kingdom's exit from t</w:t>
      </w:r>
      <w:r>
        <w:rPr>
          <w:sz w:val="20"/>
          <w:szCs w:val="20"/>
        </w:rPr>
        <w:t xml:space="preserve">he European Union on January 31, 2020, the GDPR ceased to apply in the United Kingdom at the end of the transition period on December 31, 2020. However, as of January 1, 2021, the United Kingdom’s European Union (Withdrawal) Act 2018 incorporated the GDPR </w:t>
      </w:r>
      <w:r>
        <w:rPr>
          <w:sz w:val="20"/>
          <w:szCs w:val="20"/>
        </w:rPr>
        <w:t>(as it existed on December 31, 2020 but subject to certain United Kingdom specific amendments) into United Kingdom law (the “UK GDPR”). The UK GDPR and the UK Data Protection Act 2018 set out the United Kingdom’s data protection regime, which is independen</w:t>
      </w:r>
      <w:r>
        <w:rPr>
          <w:sz w:val="20"/>
          <w:szCs w:val="20"/>
        </w:rPr>
        <w:t xml:space="preserve">t from but aligned to the European Union’s data protection regime. Non-compliance with the UK GDPR may result in monetary penalties of up to £17.5 million or 4% of worldwide revenue, whichever is higher. Like the European Union GDPR, the UK GDPR restricts </w:t>
      </w:r>
      <w:r>
        <w:rPr>
          <w:sz w:val="20"/>
          <w:szCs w:val="20"/>
        </w:rPr>
        <w:t>personal data transfers outside the United Kingdom to countries not regarded by the United Kingdom as providing adequate protection (this means that personal data transfers from the United Kingdom to the European Economic Area remain free flowing)</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The pr</w:t>
      </w:r>
      <w:r>
        <w:rPr>
          <w:sz w:val="20"/>
          <w:szCs w:val="20"/>
        </w:rPr>
        <w:t>oliferation of privacy and data protection laws has heightened risks and uncertainties concerning cross-border transfers of personal data and other data, which could impose significant compliance costs and expenses on our business, increase our potential e</w:t>
      </w:r>
      <w:r>
        <w:rPr>
          <w:sz w:val="20"/>
          <w:szCs w:val="20"/>
        </w:rPr>
        <w:t>xposure to regulatory enforcement and/or litigation, and have a negative effect on our existing business and on our ability to attract and retain new customers. On July 16, 2020, the European Court of Justice invalidated the EU–US Privacy Shield ruling tha</w:t>
      </w:r>
      <w:r>
        <w:rPr>
          <w:sz w:val="20"/>
          <w:szCs w:val="20"/>
        </w:rPr>
        <w:t>t facilitated transfers of personal data from the European Economic Area to the U.S. because it failed to offer adequate protections for personal data. The European Court of Justice, in the same decision, deemed that the Standard Contractual Clauses ("SCCs</w:t>
      </w:r>
      <w:r>
        <w:rPr>
          <w:sz w:val="20"/>
          <w:szCs w:val="20"/>
        </w:rPr>
        <w:t>"), approved by the European Commission for transfers of personal data between European Economic Area controllers and non-European Economic Area processors are valid, however the European Court of Justice deemed that transfers made pursuant to the SCCs nee</w:t>
      </w:r>
      <w:r>
        <w:rPr>
          <w:sz w:val="20"/>
          <w:szCs w:val="20"/>
        </w:rPr>
        <w:t>d to be analyzed on a case-by-case basis to ensure the European Economic Area's standards of data protection are met. Our customer agreements include SCCs. However, as a result of this decision, companies may be required to adopt additional measures to acc</w:t>
      </w:r>
      <w:r>
        <w:rPr>
          <w:sz w:val="20"/>
          <w:szCs w:val="20"/>
        </w:rPr>
        <w:t>omplish transfers of personal data to the United States and other third countries in compliance with the GDPR, and there continue to be concerns about whether the SCCs will face additional challenges. Until the remaining legal uncertainties regarding how t</w:t>
      </w:r>
      <w:r>
        <w:rPr>
          <w:sz w:val="20"/>
          <w:szCs w:val="20"/>
        </w:rPr>
        <w:t xml:space="preserve">o legally continue these transfers are settled, we will continue to face uncertainty as to whether our customers will be permitted to transfer personal data to the United States for processing by us as part of our platform services. Our customers may view </w:t>
      </w:r>
      <w:r>
        <w:rPr>
          <w:sz w:val="20"/>
          <w:szCs w:val="20"/>
        </w:rPr>
        <w:t>alternative data transfer mechanisms as being too costly, too burdensome, too legally uncertain or otherwise objectionable and therefore decide not to do business with us. For example, some of our customers or potential customers who do business in the Eur</w:t>
      </w:r>
      <w:r>
        <w:rPr>
          <w:sz w:val="20"/>
          <w:szCs w:val="20"/>
        </w:rPr>
        <w:t>opean Economic Area may require their vendors to host all personal data within the European Economic Area and may decide to do business with one of our competitors who hosts personal data within the European Economic Area instead of doing business with us.</w:t>
      </w:r>
      <w:r>
        <w:rPr>
          <w:sz w:val="20"/>
          <w:szCs w:val="20"/>
        </w:rPr>
        <w:t xml:space="preserve"> In addition, some companies based in Europe may be reluctant to transfer personal data to us for processing outside the European Economic Area because of the burden on some requirements to conduct transfer impact assessments in order to rely on the SCCs a</w:t>
      </w:r>
      <w:r>
        <w:rPr>
          <w:sz w:val="20"/>
          <w:szCs w:val="20"/>
        </w:rPr>
        <w:t>s well as the substantial obligations that the recently updated SCCs impose upon data exporters. On March 21, 2022, the United Kingdom adopted new international data transfer agreement templates ("IDTAs")and/or UK Addendum to facilitate transfers of person</w:t>
      </w:r>
      <w:r>
        <w:rPr>
          <w:sz w:val="20"/>
          <w:szCs w:val="20"/>
        </w:rPr>
        <w:t>al data from the United Kingdom. The IDTAs and/or UK Addendumallow for a transition period in which controllers and processors may move to the new forms. We are in the process of transitioning to the IDTAs and UK Addendum and doing so will require signific</w:t>
      </w:r>
      <w:r>
        <w:rPr>
          <w:sz w:val="20"/>
          <w:szCs w:val="20"/>
        </w:rPr>
        <w:t>ant effort and cost. The European Commission and the U.S. White House announced that they had reached an agreement in principle on a data transfer framework to replace the Privacy Shield 2.0. However, it is too soon to tell how this future framework will e</w:t>
      </w:r>
      <w:r>
        <w:rPr>
          <w:sz w:val="20"/>
          <w:szCs w:val="20"/>
        </w:rPr>
        <w:t>volve and what impact it will have on our cross-border activities. We continue to monitor developments with respect to cross-border transfers and any prospective impacts on our activities</w:t>
      </w:r>
      <w:r>
        <w:rPr>
          <w:sz w:val="20"/>
          <w:szCs w:val="20"/>
        </w:rPr>
        <w:t>.</w:t>
      </w:r>
    </w:p>
    <w:p w:rsidR="00000000" w:rsidRDefault="00805FA0">
      <w:pPr>
        <w:pStyle w:val="a3"/>
        <w:spacing w:before="200" w:beforeAutospacing="0" w:after="0" w:afterAutospacing="0"/>
        <w:ind w:firstLine="555"/>
        <w:rPr>
          <w:sz w:val="20"/>
          <w:szCs w:val="20"/>
        </w:rPr>
      </w:pPr>
      <w:r>
        <w:rPr>
          <w:sz w:val="20"/>
          <w:szCs w:val="20"/>
        </w:rPr>
        <w:t>The regulatory framework governing the collection, processing, stor</w:t>
      </w:r>
      <w:r>
        <w:rPr>
          <w:sz w:val="20"/>
          <w:szCs w:val="20"/>
        </w:rPr>
        <w:t>age, use and sharing of certain information, particularly financial and other personal data, is rapidly evolving and is likely to continue to be subject to uncertainty and varying interpretations. In addition to new and strengthened laws and regulations in</w:t>
      </w:r>
      <w:r>
        <w:rPr>
          <w:sz w:val="20"/>
          <w:szCs w:val="20"/>
        </w:rPr>
        <w:t xml:space="preserve"> the U.S., European Union, and United Kingdom, many foreign jurisdictions have passed new laws, strengthened existing laws, or are contemplating new laws regulating personal data. For example, South Africa’s Protection of Personal Information Act came into</w:t>
      </w:r>
      <w:r>
        <w:rPr>
          <w:sz w:val="20"/>
          <w:szCs w:val="20"/>
        </w:rPr>
        <w:t xml:space="preserve"> force on July 1, 2021, and imposes significant new requirements</w:t>
      </w:r>
      <w:r>
        <w:rPr>
          <w:sz w:val="20"/>
          <w:szCs w:val="20"/>
        </w:rPr>
        <w:t>,</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4</w:t>
      </w:r>
      <w:r>
        <w:rPr>
          <w:sz w:val="20"/>
          <w:szCs w:val="20"/>
        </w:rPr>
        <w:t>9</w:t>
      </w:r>
    </w:p>
    <w:p w:rsidR="00000000" w:rsidRDefault="00805FA0">
      <w:pPr>
        <w:rPr>
          <w:rFonts w:eastAsia="Times New Roman"/>
        </w:rPr>
      </w:pPr>
      <w:r>
        <w:rPr>
          <w:rFonts w:eastAsia="Times New Roman"/>
        </w:rPr>
        <w:pict>
          <v:rect id="_x0000_i1073"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with potentially significant penalties for non-compliance, on businesses that operate in South Africa. India is contemplating a new Personal Data Pr</w:t>
      </w:r>
      <w:r>
        <w:rPr>
          <w:sz w:val="20"/>
          <w:szCs w:val="20"/>
        </w:rPr>
        <w:t>otection Bill that would, among other things, make it challenging to transfer personal data from India to countries outside of India. It is possible that these laws may impose, or may be interpreted and applied to impose, requirements that are inconsistent</w:t>
      </w:r>
      <w:r>
        <w:rPr>
          <w:sz w:val="20"/>
          <w:szCs w:val="20"/>
        </w:rPr>
        <w:t xml:space="preserve"> with our existing data management practices or the features of our services and platform capabilities. Any failure or perceived failure by us, or any third parties with which we do business, to comply with our posted privacy policies, changing consumer ex</w:t>
      </w:r>
      <w:r>
        <w:rPr>
          <w:sz w:val="20"/>
          <w:szCs w:val="20"/>
        </w:rPr>
        <w:t>pectations, evolving laws, rules and regulations, industry standards, or contractual obligations to which we or such third parties are or may become subject, may result in actions or other claims against us by governmental entities or private actors, the e</w:t>
      </w:r>
      <w:r>
        <w:rPr>
          <w:sz w:val="20"/>
          <w:szCs w:val="20"/>
        </w:rPr>
        <w:t>xpenditure of substantial costs, time and other resources or the incurrence of significant fines, penalties or other liabilities. In addition, any such action, particularly to the extent we were found to be guilty of violations or otherwise liable for dama</w:t>
      </w:r>
      <w:r>
        <w:rPr>
          <w:sz w:val="20"/>
          <w:szCs w:val="20"/>
        </w:rPr>
        <w:t>ges, would damage our reputation and adversely affect our business, financial condition and results of operations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We publicly post documentation regarding our practices concerning the collection, processing, use and disclosure of data. Although we endeav</w:t>
      </w:r>
      <w:r>
        <w:rPr>
          <w:sz w:val="20"/>
          <w:szCs w:val="20"/>
        </w:rPr>
        <w:t>or to comply with our published policies and documentation, we may at times fail to do so or be alleged to have failed to do so. Any failure or perceived failure by us to comply with our privacy policies or any applicable privacy, security or data protecti</w:t>
      </w:r>
      <w:r>
        <w:rPr>
          <w:sz w:val="20"/>
          <w:szCs w:val="20"/>
        </w:rPr>
        <w:t>on, information security or consumer-protection related laws, regulations, orders or industry standards could expose us to costly litigation, significant awards, fines or judgments, civil and/or criminal penalties or negative publicity, and could materiall</w:t>
      </w:r>
      <w:r>
        <w:rPr>
          <w:sz w:val="20"/>
          <w:szCs w:val="20"/>
        </w:rPr>
        <w:t xml:space="preserve">y and adversely affect our business, financial condition and results of operations. The publication of our privacy policy and other documentation that provide promises and assurances about privacy and security can subject us to potential state and federal </w:t>
      </w:r>
      <w:r>
        <w:rPr>
          <w:sz w:val="20"/>
          <w:szCs w:val="20"/>
        </w:rPr>
        <w:t>action if they are found to be deceptive, unfair, or misrepresentative of our actual practices, which could, individually or in the aggregate, materially and adversely affect our business, financial condition and results of operations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If our privacy or d</w:t>
      </w:r>
      <w:r>
        <w:rPr>
          <w:sz w:val="20"/>
          <w:szCs w:val="20"/>
        </w:rPr>
        <w:t>ata security measures fail to comply with current or future laws and regulations, we may be subject to claims, legal proceedings or other actions by individuals or governmental authorities based on privacy or data protection regulations and our commitments</w:t>
      </w:r>
      <w:r>
        <w:rPr>
          <w:sz w:val="20"/>
          <w:szCs w:val="20"/>
        </w:rPr>
        <w:t xml:space="preserve"> to customers or others, as well as negative publicity and a potential loss of business. Moreover, if future laws and regulations limit our subscribers’ ability to use and share personal data or our ability to store, process and share personal data, demand</w:t>
      </w:r>
      <w:r>
        <w:rPr>
          <w:sz w:val="20"/>
          <w:szCs w:val="20"/>
        </w:rPr>
        <w:t xml:space="preserve"> for our solutions could decrease, our costs could increase, and our business, results of operations and financial condition could be harmed</w:t>
      </w:r>
      <w:r>
        <w:rPr>
          <w:sz w:val="20"/>
          <w:szCs w:val="20"/>
        </w:rPr>
        <w:t>.</w:t>
      </w:r>
    </w:p>
    <w:p w:rsidR="00000000" w:rsidRDefault="00805FA0">
      <w:pPr>
        <w:pStyle w:val="a3"/>
        <w:spacing w:before="200" w:beforeAutospacing="0" w:after="0" w:afterAutospacing="0"/>
        <w:rPr>
          <w:sz w:val="20"/>
          <w:szCs w:val="20"/>
        </w:rPr>
      </w:pPr>
      <w:r>
        <w:rPr>
          <w:b/>
          <w:bCs/>
          <w:i/>
          <w:iCs/>
          <w:sz w:val="20"/>
          <w:szCs w:val="20"/>
        </w:rPr>
        <w:t>We could face liability, or our reputation might be harmed, as a result of the activities of our customers, the co</w:t>
      </w:r>
      <w:r>
        <w:rPr>
          <w:b/>
          <w:bCs/>
          <w:i/>
          <w:iCs/>
          <w:sz w:val="20"/>
          <w:szCs w:val="20"/>
        </w:rPr>
        <w:t>ntent of their websites or the data they store on our servers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As a provider of a cloud-based inbound marketing, sales and customer service software platform, we may be subject to potential liability for the activities of our customers on or in connection </w:t>
      </w:r>
      <w:r>
        <w:rPr>
          <w:sz w:val="20"/>
          <w:szCs w:val="20"/>
        </w:rPr>
        <w:t>with the data they store on our servers. Although our customer terms of use prohibit illegal use of our services by our customers and permit us to take down websites or take other appropriate actions for illegal use, customers may nonetheless engage in pro</w:t>
      </w:r>
      <w:r>
        <w:rPr>
          <w:sz w:val="20"/>
          <w:szCs w:val="20"/>
        </w:rPr>
        <w:t>hibited activities or upload or store content with us in violation of applicable law or the customer’s own policies, which could subject us to liability or harm our reputation. Furthermore, customers may upload, store, or use content on our CRM Platform th</w:t>
      </w:r>
      <w:r>
        <w:rPr>
          <w:sz w:val="20"/>
          <w:szCs w:val="20"/>
        </w:rPr>
        <w:t>at may violate our policy on acceptable use which prohibits content that is threatening, abusive, harassing, deceptive, false, misleading, vulgar, obscene, or indecent. While such content may not be illegal, use of our CRM Platform for such content could h</w:t>
      </w:r>
      <w:r>
        <w:rPr>
          <w:sz w:val="20"/>
          <w:szCs w:val="20"/>
        </w:rPr>
        <w:t>arm our reputation resulting in a loss of business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Several U.S. federal statutes may apply to us with respect to various customer activities</w:t>
      </w:r>
      <w:r>
        <w:rPr>
          <w:sz w:val="20"/>
          <w:szCs w:val="20"/>
        </w:rPr>
        <w:t>:</w:t>
      </w:r>
    </w:p>
    <w:p w:rsidR="00000000" w:rsidRDefault="00805FA0">
      <w:pPr>
        <w:divId w:val="1632904477"/>
        <w:rPr>
          <w:rFonts w:eastAsia="Times New Roman"/>
        </w:rPr>
      </w:pPr>
      <w:r>
        <w:rPr>
          <w:rFonts w:eastAsia="Times New Roman"/>
          <w:sz w:val="20"/>
          <w:szCs w:val="20"/>
        </w:rPr>
        <w:t>•</w:t>
      </w:r>
    </w:p>
    <w:p w:rsidR="00000000" w:rsidRDefault="00805FA0">
      <w:pPr>
        <w:divId w:val="1102607631"/>
        <w:rPr>
          <w:rFonts w:eastAsia="Times New Roman"/>
        </w:rPr>
      </w:pPr>
      <w:r>
        <w:rPr>
          <w:rFonts w:eastAsia="Times New Roman"/>
          <w:sz w:val="20"/>
          <w:szCs w:val="20"/>
        </w:rPr>
        <w:t>The Digital Millennium Copyright Act of 1998 ("DMCA"), provides recourse for owners of copyrighted material wh</w:t>
      </w:r>
      <w:r>
        <w:rPr>
          <w:rFonts w:eastAsia="Times New Roman"/>
          <w:sz w:val="20"/>
          <w:szCs w:val="20"/>
        </w:rPr>
        <w:t>o believe that their rights under U.S. copyright law have been infringed on the Internet. Under the DMCA, based on our current business activity as an Internet service provider that does not own or control website content posted by our customers, we genera</w:t>
      </w:r>
      <w:r>
        <w:rPr>
          <w:rFonts w:eastAsia="Times New Roman"/>
          <w:sz w:val="20"/>
          <w:szCs w:val="20"/>
        </w:rPr>
        <w:t xml:space="preserve">lly are not liable for infringing content posted by our customers or other third parties, provided that we follow the procedures for handling copyright infringement claims set forth in the DMCA. Generally, if we receive a proper notice from, or on behalf, </w:t>
      </w:r>
      <w:r>
        <w:rPr>
          <w:rFonts w:eastAsia="Times New Roman"/>
          <w:sz w:val="20"/>
          <w:szCs w:val="20"/>
        </w:rPr>
        <w:t>of a copyright owner alleging infringement of copyrighted material located on websites we host, and we fail to expeditiously remove or disable access to the allegedly infringing material or otherwise fail to meet the requirements of the safe harbor provide</w:t>
      </w:r>
      <w:r>
        <w:rPr>
          <w:rFonts w:eastAsia="Times New Roman"/>
          <w:sz w:val="20"/>
          <w:szCs w:val="20"/>
        </w:rPr>
        <w:t>d by the DMCA, the copyright owner may seek to impose liability on us. Technical mistakes in complying with the detailed DMCA take-down procedures could subject us to liability for copyright infringement</w:t>
      </w:r>
      <w:r>
        <w:rPr>
          <w:rFonts w:eastAsia="Times New Roman"/>
          <w:sz w:val="20"/>
          <w:szCs w:val="20"/>
        </w:rPr>
        <w:t>.</w:t>
      </w:r>
    </w:p>
    <w:p w:rsidR="00000000" w:rsidRDefault="00805FA0">
      <w:pPr>
        <w:divId w:val="2068917605"/>
        <w:rPr>
          <w:rFonts w:eastAsia="Times New Roman"/>
        </w:rPr>
      </w:pPr>
      <w:r>
        <w:rPr>
          <w:rFonts w:eastAsia="Times New Roman"/>
          <w:sz w:val="20"/>
          <w:szCs w:val="20"/>
        </w:rPr>
        <w:t>•</w:t>
      </w:r>
    </w:p>
    <w:p w:rsidR="00000000" w:rsidRDefault="00805FA0">
      <w:pPr>
        <w:divId w:val="1751391848"/>
        <w:rPr>
          <w:rFonts w:eastAsia="Times New Roman"/>
        </w:rPr>
      </w:pPr>
      <w:r>
        <w:rPr>
          <w:rFonts w:eastAsia="Times New Roman"/>
          <w:sz w:val="20"/>
          <w:szCs w:val="20"/>
        </w:rPr>
        <w:t>The Communications Decency Act of 1996 ("CDA"), g</w:t>
      </w:r>
      <w:r>
        <w:rPr>
          <w:rFonts w:eastAsia="Times New Roman"/>
          <w:sz w:val="20"/>
          <w:szCs w:val="20"/>
        </w:rPr>
        <w:t>enerally protects online service providers, such as us, from liability for certain activities of their customers, such as the posting of defamatory or obscene content, unless the online service provider is participating in the unlawful conduct. Under the C</w:t>
      </w:r>
      <w:r>
        <w:rPr>
          <w:rFonts w:eastAsia="Times New Roman"/>
          <w:sz w:val="20"/>
          <w:szCs w:val="20"/>
        </w:rPr>
        <w:t>DA, we are generally not responsible for the customer-created content hosted on our servers. Consequently, we do not monitor hosted websites or prescreen the content placed by our customers on their sites. However, the CDA does not apply in foreign jurisdi</w:t>
      </w:r>
      <w:r>
        <w:rPr>
          <w:rFonts w:eastAsia="Times New Roman"/>
          <w:sz w:val="20"/>
          <w:szCs w:val="20"/>
        </w:rPr>
        <w:t>ctions and we may nonetheless be brought into disputes between our customers and third parties which would require us to devote management time and resources to resolve such matters and any publicity from such matters could also have an adverse effect on o</w:t>
      </w:r>
      <w:r>
        <w:rPr>
          <w:rFonts w:eastAsia="Times New Roman"/>
          <w:sz w:val="20"/>
          <w:szCs w:val="20"/>
        </w:rPr>
        <w:t>ur reputation and therefore our business.</w:t>
      </w:r>
      <w:r>
        <w:rPr>
          <w:rFonts w:eastAsia="Times New Roman"/>
          <w:sz w:val="20"/>
          <w:szCs w:val="20"/>
        </w:rPr>
        <w:t xml:space="preserve"> </w:t>
      </w:r>
    </w:p>
    <w:p w:rsidR="00000000" w:rsidRDefault="00805FA0">
      <w:pPr>
        <w:pStyle w:val="a3"/>
        <w:spacing w:before="240" w:beforeAutospacing="0" w:after="0" w:afterAutospacing="0"/>
        <w:jc w:val="center"/>
        <w:rPr>
          <w:sz w:val="20"/>
          <w:szCs w:val="20"/>
        </w:rPr>
      </w:pPr>
      <w:r>
        <w:rPr>
          <w:sz w:val="20"/>
          <w:szCs w:val="20"/>
        </w:rPr>
        <w:t>5</w:t>
      </w:r>
      <w:r>
        <w:rPr>
          <w:sz w:val="20"/>
          <w:szCs w:val="20"/>
        </w:rPr>
        <w:t>0</w:t>
      </w:r>
    </w:p>
    <w:p w:rsidR="00000000" w:rsidRDefault="00805FA0">
      <w:pPr>
        <w:rPr>
          <w:rFonts w:eastAsia="Times New Roman"/>
        </w:rPr>
      </w:pPr>
      <w:r>
        <w:rPr>
          <w:rFonts w:eastAsia="Times New Roman"/>
        </w:rPr>
        <w:pict>
          <v:rect id="_x0000_i1074"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divId w:val="986055994"/>
        <w:rPr>
          <w:rFonts w:eastAsia="Times New Roman"/>
        </w:rPr>
      </w:pPr>
      <w:r>
        <w:rPr>
          <w:rFonts w:eastAsia="Times New Roman"/>
          <w:sz w:val="20"/>
          <w:szCs w:val="20"/>
        </w:rPr>
        <w:t>•</w:t>
      </w:r>
    </w:p>
    <w:p w:rsidR="00000000" w:rsidRDefault="00805FA0">
      <w:pPr>
        <w:divId w:val="396439043"/>
        <w:rPr>
          <w:rFonts w:eastAsia="Times New Roman"/>
        </w:rPr>
      </w:pPr>
      <w:r>
        <w:rPr>
          <w:rFonts w:eastAsia="Times New Roman"/>
          <w:sz w:val="20"/>
          <w:szCs w:val="20"/>
        </w:rPr>
        <w:t>In addition to the CDA, the Securing the Protection of our Enduring and Established Constitutional Heritage Act (the "SPEECH Act"), provides a statutory exception to the enforcement by a U.S. court of a foreign judgm</w:t>
      </w:r>
      <w:r>
        <w:rPr>
          <w:rFonts w:eastAsia="Times New Roman"/>
          <w:sz w:val="20"/>
          <w:szCs w:val="20"/>
        </w:rPr>
        <w:t>ent for defamation under certain circumstances. Generally, the exception applies if the defamation law applied in the foreign court did not provide at least as much protection for freedom of speech and press as would be provided by the First Amendment of t</w:t>
      </w:r>
      <w:r>
        <w:rPr>
          <w:rFonts w:eastAsia="Times New Roman"/>
          <w:sz w:val="20"/>
          <w:szCs w:val="20"/>
        </w:rPr>
        <w:t>he U.S. Constitution or by the constitution and law of the state in which the U.S. court is located, or if no finding of defamation would be supported under the First Amendment of the U.S. Constitution or under the constitution and law of the state in whic</w:t>
      </w:r>
      <w:r>
        <w:rPr>
          <w:rFonts w:eastAsia="Times New Roman"/>
          <w:sz w:val="20"/>
          <w:szCs w:val="20"/>
        </w:rPr>
        <w:t>h the U.S. court is located. Although the SPEECH Act may protect us from the enforcement of foreign judgments in the United States, it does not affect the enforceability of the judgment in the foreign country that issued the judgment. Given our internation</w:t>
      </w:r>
      <w:r>
        <w:rPr>
          <w:rFonts w:eastAsia="Times New Roman"/>
          <w:sz w:val="20"/>
          <w:szCs w:val="20"/>
        </w:rPr>
        <w:t>al presence, we may therefore, nonetheless, have to defend against or comply with any foreign judgments made against us, which could take up substantial management time and resources and damage our reputation</w:t>
      </w:r>
      <w:r>
        <w:rPr>
          <w:rFonts w:eastAsia="Times New Roman"/>
          <w:sz w:val="20"/>
          <w:szCs w:val="20"/>
        </w:rPr>
        <w:t>.</w:t>
      </w:r>
    </w:p>
    <w:p w:rsidR="00000000" w:rsidRDefault="00805FA0">
      <w:pPr>
        <w:pStyle w:val="a3"/>
        <w:spacing w:before="200" w:beforeAutospacing="0" w:after="0" w:afterAutospacing="0"/>
        <w:ind w:firstLine="555"/>
        <w:rPr>
          <w:sz w:val="20"/>
          <w:szCs w:val="20"/>
        </w:rPr>
      </w:pPr>
      <w:r>
        <w:rPr>
          <w:sz w:val="20"/>
          <w:szCs w:val="20"/>
        </w:rPr>
        <w:t>Although these statutes and case law in the Un</w:t>
      </w:r>
      <w:r>
        <w:rPr>
          <w:sz w:val="20"/>
          <w:szCs w:val="20"/>
        </w:rPr>
        <w:t>ited States have generally shielded us from liability for customer activities to date, court rulings in pending or future litigation may narrow the scope of protection afforded us under these laws. In addition, laws governing these activities are unsettled</w:t>
      </w:r>
      <w:r>
        <w:rPr>
          <w:sz w:val="20"/>
          <w:szCs w:val="20"/>
        </w:rPr>
        <w:t xml:space="preserve"> in many international jurisdictions, or may prove difficult or impossible for us to comply with in some international jurisdictions. Also, notwithstanding the exculpatory language of these bodies of law, we may become involved in complaints and lawsuits w</w:t>
      </w:r>
      <w:r>
        <w:rPr>
          <w:sz w:val="20"/>
          <w:szCs w:val="20"/>
        </w:rPr>
        <w:t>hich, even if ultimately resolved in our favor, add cost to our doing business and may divert management’s time and attention. Finally, other existing bodies of law, including the criminal laws of various states, may be deemed to apply or new statutes or r</w:t>
      </w:r>
      <w:r>
        <w:rPr>
          <w:sz w:val="20"/>
          <w:szCs w:val="20"/>
        </w:rPr>
        <w:t>egulations may be adopted in the future, any of which could expose us to further liability and increase our costs of doing business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Additionally, Payments, our end-to-end payment solution built natively as part of our CRM Platform, is susceptible to pote</w:t>
      </w:r>
      <w:r>
        <w:rPr>
          <w:sz w:val="20"/>
          <w:szCs w:val="20"/>
        </w:rPr>
        <w:t xml:space="preserve">ntially illegal or improper uses, including money laundering, terrorist financing, fraudulent or illegal sales of goods or services, piracy of software, movies, music, and other copyrighted or trademarked information, bank fraud, securities fraud, pyramid </w:t>
      </w:r>
      <w:r>
        <w:rPr>
          <w:sz w:val="20"/>
          <w:szCs w:val="20"/>
        </w:rPr>
        <w:t>or ponzi schemes, or the facilitation of other illegal or improper activity. While we engage a third party as our registered payment facilitator, the use of Payments for illegal or improper uses may subject us to claims (including claims brought by our thi</w:t>
      </w:r>
      <w:r>
        <w:rPr>
          <w:sz w:val="20"/>
          <w:szCs w:val="20"/>
        </w:rPr>
        <w:t xml:space="preserve">rd-party payment processor), government and regulatory requests, inquiries, or investigations that could result in liability, and harm our reputation. Moreover, certain activity that may be legal in one jurisdiction may be illegal in another jurisdiction, </w:t>
      </w:r>
      <w:r>
        <w:rPr>
          <w:sz w:val="20"/>
          <w:szCs w:val="20"/>
        </w:rPr>
        <w:t>and a merchant may be found responsible for intentionally or inadvertently importing or exporting illegal goods, resulting in liability for us. Owners of intellectual property rights or government authorities may seek to bring legal action against provider</w:t>
      </w:r>
      <w:r>
        <w:rPr>
          <w:sz w:val="20"/>
          <w:szCs w:val="20"/>
        </w:rPr>
        <w:t>s of payments solutions, including Payments, that are peripherally involved in the sale of infringing or allegedly infringing items. Any threatened or resulting claims could result in reputational harm, and any resulting liabilities, loss of transaction vo</w:t>
      </w:r>
      <w:r>
        <w:rPr>
          <w:sz w:val="20"/>
          <w:szCs w:val="20"/>
        </w:rPr>
        <w:t>lume, or increased costs could harm our business</w:t>
      </w:r>
      <w:r>
        <w:rPr>
          <w:sz w:val="20"/>
          <w:szCs w:val="20"/>
        </w:rPr>
        <w:t>.</w:t>
      </w:r>
    </w:p>
    <w:p w:rsidR="00000000" w:rsidRDefault="00805FA0">
      <w:pPr>
        <w:pStyle w:val="a3"/>
        <w:spacing w:before="200" w:beforeAutospacing="0" w:after="0" w:afterAutospacing="0"/>
        <w:ind w:firstLine="555"/>
        <w:rPr>
          <w:sz w:val="20"/>
          <w:szCs w:val="20"/>
        </w:rPr>
      </w:pPr>
      <w:r>
        <w:rPr>
          <w:sz w:val="20"/>
          <w:szCs w:val="20"/>
        </w:rPr>
        <w:t>If Payments is used for illegal or improper uses, we may incur substantial losses as a result of claims from merchants and consumers. Allowances for transaction losses that we have established may be insuff</w:t>
      </w:r>
      <w:r>
        <w:rPr>
          <w:sz w:val="20"/>
          <w:szCs w:val="20"/>
        </w:rPr>
        <w:t>icient to cover incurred losses. Moreover, if measures to detect and reduce the risk of fraud are not effective and our loss rate is higher than anticipated, Payments and our business could be negatively impacted</w:t>
      </w:r>
      <w:r>
        <w:rPr>
          <w:sz w:val="20"/>
          <w:szCs w:val="20"/>
        </w:rPr>
        <w:t>.</w:t>
      </w:r>
      <w:r>
        <w:rPr>
          <w:sz w:val="20"/>
          <w:szCs w:val="20"/>
        </w:rPr>
        <w:t xml:space="preserve"> </w:t>
      </w:r>
    </w:p>
    <w:p w:rsidR="00000000" w:rsidRDefault="00805FA0">
      <w:pPr>
        <w:pStyle w:val="a3"/>
        <w:spacing w:before="200" w:beforeAutospacing="0" w:after="0" w:afterAutospacing="0"/>
        <w:rPr>
          <w:sz w:val="20"/>
          <w:szCs w:val="20"/>
        </w:rPr>
      </w:pPr>
      <w:r>
        <w:rPr>
          <w:b/>
          <w:bCs/>
          <w:i/>
          <w:iCs/>
          <w:sz w:val="20"/>
          <w:szCs w:val="20"/>
        </w:rPr>
        <w:t>The standards that private entities use t</w:t>
      </w:r>
      <w:r>
        <w:rPr>
          <w:b/>
          <w:bCs/>
          <w:i/>
          <w:iCs/>
          <w:sz w:val="20"/>
          <w:szCs w:val="20"/>
        </w:rPr>
        <w:t>o regulate the use of email have in the past interfered with, and may in the future interfere with, the effectiveness of our CRM Platform and our ability to conduct business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customers rely on email to communicate with their existing or prospective cus</w:t>
      </w:r>
      <w:r>
        <w:rPr>
          <w:sz w:val="20"/>
          <w:szCs w:val="20"/>
        </w:rPr>
        <w:t xml:space="preserve">tomers. Various private entities attempt to regulate the use of email for commercial solicitation. These entities often advocate standards of conduct or practice that significantly exceed current legal requirements and classify certain email solicitations </w:t>
      </w:r>
      <w:r>
        <w:rPr>
          <w:sz w:val="20"/>
          <w:szCs w:val="20"/>
        </w:rPr>
        <w:t xml:space="preserve">that comply with current legal requirements as spam. Some of these entities maintain “blacklists” of companies and individuals, and the websites, internet service providers and internet protocol addresses associated with those entities or individuals that </w:t>
      </w:r>
      <w:r>
        <w:rPr>
          <w:sz w:val="20"/>
          <w:szCs w:val="20"/>
        </w:rPr>
        <w:t>do not adhere to those standards of conduct or practices for commercial email solicitations that the blacklisting entity believes are appropriate. If a company’s internet protocol addresses are listed by a blacklisting entity, emails sent from those addres</w:t>
      </w:r>
      <w:r>
        <w:rPr>
          <w:sz w:val="20"/>
          <w:szCs w:val="20"/>
        </w:rPr>
        <w:t>ses may be blocked if they are sent to any internet domain or internet address that subscribes to the blacklisting entity’s service or purchases its blacklist</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From time to time, some of our internet protocol addresses may become listed with one or more b</w:t>
      </w:r>
      <w:r>
        <w:rPr>
          <w:sz w:val="20"/>
          <w:szCs w:val="20"/>
        </w:rPr>
        <w:t>lacklisting entities due to the messaging practices of our customers. There can be no guarantee that we will be able to successfully remove ourselves from those lists. Blacklisting of this type could interfere with our ability to market our CRM Platform an</w:t>
      </w:r>
      <w:r>
        <w:rPr>
          <w:sz w:val="20"/>
          <w:szCs w:val="20"/>
        </w:rPr>
        <w:t>d services and communicate with our customers and, because we fulfill email delivery on behalf of our customers, could undermine the effectiveness of our customers’ email marketing campaigns, all of which could have a material negative impact on our busine</w:t>
      </w:r>
      <w:r>
        <w:rPr>
          <w:sz w:val="20"/>
          <w:szCs w:val="20"/>
        </w:rPr>
        <w:t>ss and results of operations</w:t>
      </w:r>
      <w:r>
        <w:rPr>
          <w:sz w:val="20"/>
          <w:szCs w:val="20"/>
        </w:rPr>
        <w:t>.</w:t>
      </w:r>
    </w:p>
    <w:p w:rsidR="00000000" w:rsidRDefault="00805FA0">
      <w:pPr>
        <w:pStyle w:val="a3"/>
        <w:spacing w:before="200" w:beforeAutospacing="0" w:after="0" w:afterAutospacing="0"/>
        <w:rPr>
          <w:sz w:val="20"/>
          <w:szCs w:val="20"/>
        </w:rPr>
      </w:pPr>
      <w:r>
        <w:rPr>
          <w:b/>
          <w:bCs/>
          <w:i/>
          <w:iCs/>
          <w:sz w:val="20"/>
          <w:szCs w:val="20"/>
        </w:rPr>
        <w:t>Existing federal, state and foreign laws regulate Internet tracking software, the senders of commercial emails and text messages, website owners and other activities, and could impact the use of our CRM Platform and potentiall</w:t>
      </w:r>
      <w:r>
        <w:rPr>
          <w:b/>
          <w:bCs/>
          <w:i/>
          <w:iCs/>
          <w:sz w:val="20"/>
          <w:szCs w:val="20"/>
        </w:rPr>
        <w:t>y subject us to regulatory enforcement or private litigation</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Certain aspects of how our customers utilize our platform are subject to regulations in the United States, European Union and elsewhere. In recent years, U.S. and European lawmakers and regulato</w:t>
      </w:r>
      <w:r>
        <w:rPr>
          <w:sz w:val="20"/>
          <w:szCs w:val="20"/>
        </w:rPr>
        <w:t>rs have expressed concern over the use of third-party cookies o</w:t>
      </w:r>
      <w:r>
        <w:rPr>
          <w:sz w:val="20"/>
          <w:szCs w:val="20"/>
        </w:rPr>
        <w:t>r</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5</w:t>
      </w:r>
      <w:r>
        <w:rPr>
          <w:sz w:val="20"/>
          <w:szCs w:val="20"/>
        </w:rPr>
        <w:t>1</w:t>
      </w:r>
    </w:p>
    <w:p w:rsidR="00000000" w:rsidRDefault="00805FA0">
      <w:pPr>
        <w:rPr>
          <w:rFonts w:eastAsia="Times New Roman"/>
        </w:rPr>
      </w:pPr>
      <w:r>
        <w:rPr>
          <w:rFonts w:eastAsia="Times New Roman"/>
        </w:rPr>
        <w:pict>
          <v:rect id="_x0000_i1075"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web beacons for online behavioral advertising, and legislation adopted recently in the European Union requires informed consent for the placement of</w:t>
      </w:r>
      <w:r>
        <w:rPr>
          <w:sz w:val="20"/>
          <w:szCs w:val="20"/>
        </w:rPr>
        <w:t xml:space="preserve"> a cookie on a user’s device. Regulation of cookies and web beacons may lead to restrictions on our activities, such as efforts to understand users’ Internet usage. New and expanding “Do Not Track” regulations have recently been enacted or proposed that pr</w:t>
      </w:r>
      <w:r>
        <w:rPr>
          <w:sz w:val="20"/>
          <w:szCs w:val="20"/>
        </w:rPr>
        <w:t>otect users’ right to choose whether or not to be tracked online. These regulations seek, among other things, to allow end users to have greater control over the use of private information collected online, to forbid the collection or use of online informa</w:t>
      </w:r>
      <w:r>
        <w:rPr>
          <w:sz w:val="20"/>
          <w:szCs w:val="20"/>
        </w:rPr>
        <w:t>tion, to demand a business to comply with their choice to opt out of such collection or use, and to place limits upon the disclosure of information to third-party websites. These policies could have a significant impact on the operation of our CRM Platform</w:t>
      </w:r>
      <w:r>
        <w:rPr>
          <w:sz w:val="20"/>
          <w:szCs w:val="20"/>
        </w:rPr>
        <w:t xml:space="preserve"> and could impair our attractiveness to customers, which would harm our business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Many of our customers and potential customers in the healthcare, financial services and other industries are subject to substantial regulation regarding their collection, us</w:t>
      </w:r>
      <w:r>
        <w:rPr>
          <w:sz w:val="20"/>
          <w:szCs w:val="20"/>
        </w:rPr>
        <w:t>e and protection of data and may be the subject of further regulation in the future. Accordingly, these laws or significant new laws or regulations or changes in, or repeals of, existing laws, regulations or governmental policy may change the way these cus</w:t>
      </w:r>
      <w:r>
        <w:rPr>
          <w:sz w:val="20"/>
          <w:szCs w:val="20"/>
        </w:rPr>
        <w:t>tomers do business and may require us to implement additional features or offer additional contractual terms to satisfy customer and regulatory requirements, or could cause the demand for and sales of our CRM Platform to decrease and adversely impact our f</w:t>
      </w:r>
      <w:r>
        <w:rPr>
          <w:sz w:val="20"/>
          <w:szCs w:val="20"/>
        </w:rPr>
        <w:t>inancial results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In addition, the Controlling the Assault of Non-Solicited Pornography and Marketing Act of 2003 ("CAN-SPAM Act"), establishes certain requirements for commercial email messages and specifies penalties for the transmission of commercial e</w:t>
      </w:r>
      <w:r>
        <w:rPr>
          <w:sz w:val="20"/>
          <w:szCs w:val="20"/>
        </w:rPr>
        <w:t>mail messages that are intended to deceive the recipient as to source or content. The CAN-SPAM Act, among other things, obligates the sender of commercial emails to provide recipients with the ability to opt out of receiving future commercial emails from t</w:t>
      </w:r>
      <w:r>
        <w:rPr>
          <w:sz w:val="20"/>
          <w:szCs w:val="20"/>
        </w:rPr>
        <w:t>he sender. The ability of our customers’ message recipients to opt out of receiving commercial emails may minimize the effectiveness of the email components of our CRM Platform. In addition, certain states and foreign jurisdictions, such as Australia, Cana</w:t>
      </w:r>
      <w:r>
        <w:rPr>
          <w:sz w:val="20"/>
          <w:szCs w:val="20"/>
        </w:rPr>
        <w:t>da and the European Union, have enacted laws that regulate sending email, and some of these laws are more restrictive than U.S. laws. For example, some foreign laws prohibit sending unsolicited email unless the recipient has provided the sender advance con</w:t>
      </w:r>
      <w:r>
        <w:rPr>
          <w:sz w:val="20"/>
          <w:szCs w:val="20"/>
        </w:rPr>
        <w:t>sent to receipt of such email, or in other words has “opted-in” to receiving it. A requirement that recipients opt into, or the ability of recipients to opt out of, receiving commercial emails may minimize the effectiveness of our platform</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While these la</w:t>
      </w:r>
      <w:r>
        <w:rPr>
          <w:sz w:val="20"/>
          <w:szCs w:val="20"/>
        </w:rPr>
        <w:t>ws and regulations generally govern our customers’ use of our CRM Platform, we may be subject to certain laws as a data processor on behalf of, or as a business associate of, our customers. For example, laws and regulations governing the collection, use an</w:t>
      </w:r>
      <w:r>
        <w:rPr>
          <w:sz w:val="20"/>
          <w:szCs w:val="20"/>
        </w:rPr>
        <w:t>d disclosure of personal data include, in the United States, rules and regulations promulgated under the authority of the Federal Trade Commission, the Health Insurance Portability and Accountability Act of 1996, the Gramm-Leach-Bliley Act of 1999 and stat</w:t>
      </w:r>
      <w:r>
        <w:rPr>
          <w:sz w:val="20"/>
          <w:szCs w:val="20"/>
        </w:rPr>
        <w:t>e breach notification laws, and internationally, the GDPR and other privacy and data protection laws. If we were found to be in violation of any of these laws or regulations as a result of government enforcement or private litigation, we could be subjected</w:t>
      </w:r>
      <w:r>
        <w:rPr>
          <w:sz w:val="20"/>
          <w:szCs w:val="20"/>
        </w:rPr>
        <w:t xml:space="preserve"> to civil and criminal sanctions, including both monetary fines and injunctive action that could force us to change our business practices, all of which could adversely affect our financial performance and significantly harm our reputation and our business</w:t>
      </w:r>
      <w:r>
        <w:rPr>
          <w:sz w:val="20"/>
          <w:szCs w:val="20"/>
        </w:rPr>
        <w:t>.</w:t>
      </w:r>
    </w:p>
    <w:p w:rsidR="00000000" w:rsidRDefault="00805FA0">
      <w:pPr>
        <w:pStyle w:val="a3"/>
        <w:spacing w:before="200" w:beforeAutospacing="0" w:after="0" w:afterAutospacing="0"/>
        <w:rPr>
          <w:sz w:val="20"/>
          <w:szCs w:val="20"/>
        </w:rPr>
      </w:pPr>
      <w:r>
        <w:rPr>
          <w:b/>
          <w:bCs/>
          <w:i/>
          <w:iCs/>
          <w:sz w:val="20"/>
          <w:szCs w:val="20"/>
        </w:rPr>
        <w:t>We are subject to governmental export controls and economic sanctions laws that could impair our ability to compete in international markets and subject us to liability if we are not in full compliance with applicable laws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business activities are su</w:t>
      </w:r>
      <w:r>
        <w:rPr>
          <w:sz w:val="20"/>
          <w:szCs w:val="20"/>
        </w:rPr>
        <w:t>bject to various restrictions under U.S. export controls and trade and economic sanctions laws, including the U.S. Commerce Department’s Export Administration Regulations and economic and trade sanctions regulations maintained by the U.S. Treasury Departme</w:t>
      </w:r>
      <w:r>
        <w:rPr>
          <w:sz w:val="20"/>
          <w:szCs w:val="20"/>
        </w:rPr>
        <w:t>nt’s Office of Foreign Assets Control. If we fail to comply with these laws and regulations, we and certain of our employees could be subject to civil or criminal penalties and reputational harm. Obtaining the necessary authorizations, including any requir</w:t>
      </w:r>
      <w:r>
        <w:rPr>
          <w:sz w:val="20"/>
          <w:szCs w:val="20"/>
        </w:rPr>
        <w:t>ed license, for a particular transaction may be time-consuming, is not guaranteed, and may result in the delay or loss of sales opportunities. Furthermore, U.S. export control laws and economic sanctions laws prohibit certain transactions with U.S. embargo</w:t>
      </w:r>
      <w:r>
        <w:rPr>
          <w:sz w:val="20"/>
          <w:szCs w:val="20"/>
        </w:rPr>
        <w:t xml:space="preserve">ed or sanctioned countries, governments, persons and entities. These sanctions laws with which we must comply may also change rapidly from time to time as a result of geopolitical events, such as the recent imposition of sanctions on Russia as a result of </w:t>
      </w:r>
      <w:r>
        <w:rPr>
          <w:sz w:val="20"/>
          <w:szCs w:val="20"/>
        </w:rPr>
        <w:t>the conflict between Russia and Ukraine. Although we take precautions to prevent transactions with U.S. sanction targets, the possibility exists that we could inadvertently provide our solutions to persons prohibited by U.S. sanctions. This could result in</w:t>
      </w:r>
      <w:r>
        <w:rPr>
          <w:sz w:val="20"/>
          <w:szCs w:val="20"/>
        </w:rPr>
        <w:t xml:space="preserve"> negative consequences to us, including government investigations, penalties and reputational harm</w:t>
      </w:r>
      <w:r>
        <w:rPr>
          <w:sz w:val="20"/>
          <w:szCs w:val="20"/>
        </w:rPr>
        <w:t>.</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Taxatio</w:t>
      </w:r>
      <w:r>
        <w:rPr>
          <w:b/>
          <w:bCs/>
          <w:sz w:val="20"/>
          <w:szCs w:val="20"/>
        </w:rPr>
        <w:t>n</w:t>
      </w:r>
    </w:p>
    <w:p w:rsidR="00000000" w:rsidRDefault="00805FA0">
      <w:pPr>
        <w:pStyle w:val="a3"/>
        <w:spacing w:before="200" w:beforeAutospacing="0" w:after="0" w:afterAutospacing="0"/>
        <w:rPr>
          <w:sz w:val="20"/>
          <w:szCs w:val="20"/>
        </w:rPr>
      </w:pPr>
      <w:r>
        <w:rPr>
          <w:b/>
          <w:bCs/>
          <w:i/>
          <w:iCs/>
          <w:sz w:val="20"/>
          <w:szCs w:val="20"/>
        </w:rPr>
        <w:t>We may be subject to additional obligations to collect and remit sales tax and other taxes, and we may be subject to tax liabili</w:t>
      </w:r>
      <w:r>
        <w:rPr>
          <w:b/>
          <w:bCs/>
          <w:i/>
          <w:iCs/>
          <w:sz w:val="20"/>
          <w:szCs w:val="20"/>
        </w:rPr>
        <w:t>ty for past sales, which could harm our business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State, local, and non-U.S. jurisdictions have differing rules and regulations governing sales, use, value added, Digital Services Tax, and other taxes, and these rules and regulations are subject to varying interpretations that may change over time. In par</w:t>
      </w:r>
      <w:r>
        <w:rPr>
          <w:sz w:val="20"/>
          <w:szCs w:val="20"/>
        </w:rPr>
        <w:t xml:space="preserve">ticular, the applicability of such taxes to our CRM Platform in various jurisdictions is unclear. Further, these jurisdictions’ rules regarding tax nexus are complex and vary significantly. As a result, we could face the possibility of tax assessments and </w:t>
      </w:r>
      <w:r>
        <w:rPr>
          <w:sz w:val="20"/>
          <w:szCs w:val="20"/>
        </w:rPr>
        <w:t>audits, and our liability fo</w:t>
      </w:r>
      <w:r>
        <w:rPr>
          <w:sz w:val="20"/>
          <w:szCs w:val="20"/>
        </w:rPr>
        <w:t>r</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5</w:t>
      </w:r>
      <w:r>
        <w:rPr>
          <w:sz w:val="20"/>
          <w:szCs w:val="20"/>
        </w:rPr>
        <w:t>2</w:t>
      </w:r>
    </w:p>
    <w:p w:rsidR="00000000" w:rsidRDefault="00805FA0">
      <w:pPr>
        <w:rPr>
          <w:rFonts w:eastAsia="Times New Roman"/>
        </w:rPr>
      </w:pPr>
      <w:r>
        <w:rPr>
          <w:rFonts w:eastAsia="Times New Roman"/>
        </w:rPr>
        <w:pict>
          <v:rect id="_x0000_i1076"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these taxes and associated penalties could exceed our original estimates. A successful assertion that we should be collecting additional sales, use, value added or other taxes in those</w:t>
      </w:r>
      <w:r>
        <w:rPr>
          <w:sz w:val="20"/>
          <w:szCs w:val="20"/>
        </w:rPr>
        <w:t xml:space="preserve"> jurisdictions where we have not historically done so and do not accrue for such taxes could result in substantial tax liabilities and related penalties for past sales, discourage customers from purchasing our application or otherwise harm our business and</w:t>
      </w:r>
      <w:r>
        <w:rPr>
          <w:sz w:val="20"/>
          <w:szCs w:val="20"/>
        </w:rPr>
        <w:t xml:space="preserve"> operating results</w:t>
      </w:r>
      <w:r>
        <w:rPr>
          <w:sz w:val="20"/>
          <w:szCs w:val="20"/>
        </w:rPr>
        <w:t>.</w:t>
      </w:r>
    </w:p>
    <w:p w:rsidR="00000000" w:rsidRDefault="00805FA0">
      <w:pPr>
        <w:pStyle w:val="a3"/>
        <w:spacing w:before="200" w:beforeAutospacing="0" w:after="0" w:afterAutospacing="0"/>
        <w:rPr>
          <w:sz w:val="20"/>
          <w:szCs w:val="20"/>
        </w:rPr>
      </w:pPr>
      <w:r>
        <w:rPr>
          <w:b/>
          <w:bCs/>
          <w:i/>
          <w:iCs/>
          <w:sz w:val="20"/>
          <w:szCs w:val="20"/>
        </w:rPr>
        <w:t>Changes in tax laws or regulations that are applied adversely to us or our customers could increase the costs of our CRM Platform and adversely impact our business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New income, sales, use or other tax laws, statutes, rules, regulations </w:t>
      </w:r>
      <w:r>
        <w:rPr>
          <w:sz w:val="20"/>
          <w:szCs w:val="20"/>
        </w:rPr>
        <w:t>or ordinances could be enacted at any time. Any new taxes could adversely affect our domestic and international business operations, and our business and financial performance. Further, existing tax laws, statutes, rules, regulations or ordinances could be</w:t>
      </w:r>
      <w:r>
        <w:rPr>
          <w:sz w:val="20"/>
          <w:szCs w:val="20"/>
        </w:rPr>
        <w:t xml:space="preserve"> interpreted, changed, modified or applied adversely to us. These events could require us or our customers to pay additional tax amounts on a prospective or retroactive basis, as well as require us or our customers to pay fines and/or penalties and interes</w:t>
      </w:r>
      <w:r>
        <w:rPr>
          <w:sz w:val="20"/>
          <w:szCs w:val="20"/>
        </w:rPr>
        <w:t>t for past amounts deemed to be due. If we raise our prices to offset the costs of these changes, existing and potential future customers may elect not to continue or purchase our CRM Platform in the future. Additionally, new, changed, modified or newly in</w:t>
      </w:r>
      <w:r>
        <w:rPr>
          <w:sz w:val="20"/>
          <w:szCs w:val="20"/>
        </w:rPr>
        <w:t>terpreted or applied tax laws could increase our customers’ and our compliance, operating and other costs, as well as the costs of our platform. Any or all of these events could adversely impact our business, cash flows and financial performance. Furthermo</w:t>
      </w:r>
      <w:r>
        <w:rPr>
          <w:sz w:val="20"/>
          <w:szCs w:val="20"/>
        </w:rPr>
        <w:t>re, as our employees continue to work remotely from geographic locations across the United States and internationally, we may become subject to additional taxes and our compliance burdens with respect to the tax laws of additional jurisdictions may be incr</w:t>
      </w:r>
      <w:r>
        <w:rPr>
          <w:sz w:val="20"/>
          <w:szCs w:val="20"/>
        </w:rPr>
        <w:t>eased</w:t>
      </w:r>
      <w:r>
        <w:rPr>
          <w:sz w:val="20"/>
          <w:szCs w:val="20"/>
        </w:rPr>
        <w:t>.</w:t>
      </w:r>
    </w:p>
    <w:p w:rsidR="00000000" w:rsidRDefault="00805FA0">
      <w:pPr>
        <w:pStyle w:val="a3"/>
        <w:spacing w:before="200" w:beforeAutospacing="0" w:after="0" w:afterAutospacing="0"/>
        <w:rPr>
          <w:sz w:val="20"/>
          <w:szCs w:val="20"/>
        </w:rPr>
      </w:pPr>
      <w:r>
        <w:rPr>
          <w:b/>
          <w:bCs/>
          <w:i/>
          <w:iCs/>
          <w:sz w:val="20"/>
          <w:szCs w:val="20"/>
        </w:rPr>
        <w:t>We are a multinational organization faced with increasingly complex tax issues in many jurisdictions, and we could be obligated to pay additional taxes in various jurisdictions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As a multinational organization, we may be subject to taxation in sever</w:t>
      </w:r>
      <w:r>
        <w:rPr>
          <w:sz w:val="20"/>
          <w:szCs w:val="20"/>
        </w:rPr>
        <w:t>al jurisdictions around the world with increasingly complex tax laws, the application of which can be uncertain. The amount of taxes we pay in these jurisdictions could increase substantially as a result of changes in the applicable tax principles, includi</w:t>
      </w:r>
      <w:r>
        <w:rPr>
          <w:sz w:val="20"/>
          <w:szCs w:val="20"/>
        </w:rPr>
        <w:t>ng increased tax rates, new tax laws or revised interpretations of existing tax laws and precedents, or challenges to our tax positions by tax authorities, any of which could have a material adverse effect on our liquidity, financial condition or operating</w:t>
      </w:r>
      <w:r>
        <w:rPr>
          <w:sz w:val="20"/>
          <w:szCs w:val="20"/>
        </w:rPr>
        <w:t xml:space="preserve"> results. In addition, the authorities in these jurisdictions could review our tax returns and impose additional tax, interest and penalties, and the authorities could claim that various withholding requirements apply to us or our subsidiaries or assert th</w:t>
      </w:r>
      <w:r>
        <w:rPr>
          <w:sz w:val="20"/>
          <w:szCs w:val="20"/>
        </w:rPr>
        <w:t>at benefits of tax treaties are not available to us or our subsidiaries, or assert that we are subject to tax in a jurisdiction where we believe we have not established a taxable nexus, often referred to as a “permanent establishment” under international t</w:t>
      </w:r>
      <w:r>
        <w:rPr>
          <w:sz w:val="20"/>
          <w:szCs w:val="20"/>
        </w:rPr>
        <w:t>ax treaties, any of which could have a material impact on us, our financial condition or our operating results</w:t>
      </w:r>
      <w:r>
        <w:rPr>
          <w:sz w:val="20"/>
          <w:szCs w:val="20"/>
        </w:rPr>
        <w:t>.</w:t>
      </w:r>
    </w:p>
    <w:p w:rsidR="00000000" w:rsidRDefault="00805FA0">
      <w:pPr>
        <w:pStyle w:val="a3"/>
        <w:spacing w:before="200" w:beforeAutospacing="0" w:after="0" w:afterAutospacing="0"/>
        <w:rPr>
          <w:sz w:val="20"/>
          <w:szCs w:val="20"/>
        </w:rPr>
      </w:pPr>
      <w:r>
        <w:rPr>
          <w:b/>
          <w:bCs/>
          <w:i/>
          <w:iCs/>
          <w:sz w:val="20"/>
          <w:szCs w:val="20"/>
        </w:rPr>
        <w:t>We may not be able to utilize a significant portion of our net operating loss carryforwards, which could adversely affect our profitability</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have incurred losses during our history and do not expect to become profitable in the near future, and we may never achieve profitability. As of December 31, 2021, we had $1.2 billion of U.S. federal and $737.8 million of state net operating loss carryf</w:t>
      </w:r>
      <w:r>
        <w:rPr>
          <w:sz w:val="20"/>
          <w:szCs w:val="20"/>
        </w:rPr>
        <w:t>orwards due to prior period losses, which, if not utilized, some of which will begin to expire in 2027 for federal purposes and begin to expire in 2023 for state purposes. These net operating loss carryforwards could expire unused and be unavailable to off</w:t>
      </w:r>
      <w:r>
        <w:rPr>
          <w:sz w:val="20"/>
          <w:szCs w:val="20"/>
        </w:rPr>
        <w:t xml:space="preserve">set future income tax liabilities, which could adversely affect our profitability. Under current law, U.S federal and certain state net operating loss carryforwards incurred for periods beginning on or after January 1, 2018 would not expire unused because </w:t>
      </w:r>
      <w:r>
        <w:rPr>
          <w:sz w:val="20"/>
          <w:szCs w:val="20"/>
        </w:rPr>
        <w:t>they can be carried forward indefinitely. Our unused U.S. federal net operating losses arising in taxable years beginning after December 31, 2017 and before January 1, 2021 may generally be carried back to each of the two taxable years preceding the tax ye</w:t>
      </w:r>
      <w:r>
        <w:rPr>
          <w:sz w:val="20"/>
          <w:szCs w:val="20"/>
        </w:rPr>
        <w:t xml:space="preserve">ar of such losses, but those losses arising in taxable years beginning after December 31, 2017 may not be carried back. Moreover, for taxable years beginning after December 31, 2017, the deductibility of our U.S. federal net operating losses is limited to </w:t>
      </w:r>
      <w:r>
        <w:rPr>
          <w:sz w:val="20"/>
          <w:szCs w:val="20"/>
        </w:rPr>
        <w:t>80% of our taxable income in any future taxable year. States have varying carryback and carryforward periods. Moreover, certain states have enacted rules that limit the utilization of loss carryforwards, which also change from time-to-time. In addition, un</w:t>
      </w:r>
      <w:r>
        <w:rPr>
          <w:sz w:val="20"/>
          <w:szCs w:val="20"/>
        </w:rPr>
        <w:t>der Section 382 and Section 383 of the Internal Revenue Code of 1986, as amended, which we refer to as the Code, our ability to utilize net operating loss carryforwards or other tax attributes, such as research tax credits, in any taxable year may be furth</w:t>
      </w:r>
      <w:r>
        <w:rPr>
          <w:sz w:val="20"/>
          <w:szCs w:val="20"/>
        </w:rPr>
        <w:t>er limited if we experience an “ownership change.” An ownership change generally occurs if one or more stockholders or groups of stockholders who own at least 5% of our stock increase their ownership by more than 50 percentage points over their lowest owne</w:t>
      </w:r>
      <w:r>
        <w:rPr>
          <w:sz w:val="20"/>
          <w:szCs w:val="20"/>
        </w:rPr>
        <w:t>rship percentage (by value) within a rolling three-year period. Similar rules may apply under state tax laws. We may have experienced an ownership change in the past, and future issuances of our stock could cause an ownership change. It is possible that an</w:t>
      </w:r>
      <w:r>
        <w:rPr>
          <w:sz w:val="20"/>
          <w:szCs w:val="20"/>
        </w:rPr>
        <w:t>y such ownership change could have a material effect on the use of our net operating loss carryforwards or other tax attributes accrued prior to such ownership change, which could adversely affect our profitability</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5</w:t>
      </w:r>
      <w:r>
        <w:rPr>
          <w:sz w:val="20"/>
          <w:szCs w:val="20"/>
        </w:rPr>
        <w:t>3</w:t>
      </w:r>
    </w:p>
    <w:p w:rsidR="00000000" w:rsidRDefault="00805FA0">
      <w:pPr>
        <w:rPr>
          <w:rFonts w:eastAsia="Times New Roman"/>
        </w:rPr>
      </w:pPr>
      <w:r>
        <w:rPr>
          <w:rFonts w:eastAsia="Times New Roman"/>
        </w:rPr>
        <w:pict>
          <v:rect id="_x0000_i1077"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Our Operating Results and Financial Conditio</w:t>
      </w:r>
      <w:r>
        <w:rPr>
          <w:b/>
          <w:bCs/>
          <w:sz w:val="20"/>
          <w:szCs w:val="20"/>
        </w:rPr>
        <w:t>n</w:t>
      </w:r>
    </w:p>
    <w:p w:rsidR="00000000" w:rsidRDefault="00805FA0">
      <w:pPr>
        <w:pStyle w:val="a3"/>
        <w:spacing w:before="200" w:beforeAutospacing="0" w:after="0" w:afterAutospacing="0"/>
        <w:rPr>
          <w:sz w:val="20"/>
          <w:szCs w:val="20"/>
        </w:rPr>
      </w:pPr>
      <w:r>
        <w:rPr>
          <w:b/>
          <w:bCs/>
          <w:i/>
          <w:iCs/>
          <w:sz w:val="20"/>
          <w:szCs w:val="20"/>
        </w:rPr>
        <w:t>We have a history of losses and may not achieve profitability in the future</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generated net losses of $97.1 million and $61.5 million for the nine months ended September 30, 2022 and 2021</w:t>
      </w:r>
      <w:r>
        <w:rPr>
          <w:sz w:val="20"/>
          <w:szCs w:val="20"/>
        </w:rPr>
        <w:t xml:space="preserve">, respectively. As of September 30, 2022, we had an accumulated deficit of $626.7 million. We will need to generate and sustain increased revenue levels in future periods to become profitable, and, even if we do, we may not be able to maintain or increase </w:t>
      </w:r>
      <w:r>
        <w:rPr>
          <w:sz w:val="20"/>
          <w:szCs w:val="20"/>
        </w:rPr>
        <w:t>our level of profitability. We have spent and intend to continue to expend funds to grow our marketing, sales, customer service, operations, and content management operations, develop and enhance our CRM Platform, scale our data center infrastructure and s</w:t>
      </w:r>
      <w:r>
        <w:rPr>
          <w:sz w:val="20"/>
          <w:szCs w:val="20"/>
        </w:rPr>
        <w:t>ervices capabilities and expand into new markets. Our efforts to grow our business may be more costly than we expect, and we may not be able to increase our revenue enough to offset our higher operating expenses. We may incur significant losses in the futu</w:t>
      </w:r>
      <w:r>
        <w:rPr>
          <w:sz w:val="20"/>
          <w:szCs w:val="20"/>
        </w:rPr>
        <w:t>re for a number of reasons, including the other risks described in this Quarterly Report on Form 10-Q, and unforeseen expenses, difficulties, complications and delays and other unknown events. If we are unable to achieve and sustain profitability, the mark</w:t>
      </w:r>
      <w:r>
        <w:rPr>
          <w:sz w:val="20"/>
          <w:szCs w:val="20"/>
        </w:rPr>
        <w:t>et price of our common stock may significantly decrease</w:t>
      </w:r>
      <w:r>
        <w:rPr>
          <w:sz w:val="20"/>
          <w:szCs w:val="20"/>
        </w:rPr>
        <w:t>.</w:t>
      </w:r>
      <w:r>
        <w:rPr>
          <w:sz w:val="20"/>
          <w:szCs w:val="20"/>
        </w:rPr>
        <w:t xml:space="preserve"> </w:t>
      </w:r>
    </w:p>
    <w:p w:rsidR="00000000" w:rsidRDefault="00805FA0">
      <w:pPr>
        <w:pStyle w:val="a3"/>
        <w:spacing w:before="200" w:beforeAutospacing="0" w:after="0" w:afterAutospacing="0"/>
        <w:rPr>
          <w:sz w:val="20"/>
          <w:szCs w:val="20"/>
        </w:rPr>
      </w:pPr>
      <w:r>
        <w:rPr>
          <w:b/>
          <w:bCs/>
          <w:i/>
          <w:iCs/>
          <w:sz w:val="20"/>
          <w:szCs w:val="20"/>
        </w:rPr>
        <w:t>From time to time, we may invest funds in social impact investment funds, and may receive no return on our investment or lose our entire investment</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From time to time, we may invest in social impact</w:t>
      </w:r>
      <w:r>
        <w:rPr>
          <w:sz w:val="20"/>
          <w:szCs w:val="20"/>
        </w:rPr>
        <w:t xml:space="preserve"> investment funds. For example, in December 2020, we committed $20 million to social impact investing. Our first allocation of those funds was a $12.5 million investment in the Black Economic Development Fund (“BEDF”) by December 2023. As of the date of th</w:t>
      </w:r>
      <w:r>
        <w:rPr>
          <w:sz w:val="20"/>
          <w:szCs w:val="20"/>
        </w:rPr>
        <w:t>is report, we have made contributions of $6.3 million in cash for an aggregate of 5% ownership interest and income share in the BEDF. The BEDF is managed by the Local Initiatives Support Corporation (“LISC”), which expects to make investments from the BEDF</w:t>
      </w:r>
      <w:r>
        <w:rPr>
          <w:sz w:val="20"/>
          <w:szCs w:val="20"/>
        </w:rPr>
        <w:t xml:space="preserve"> in the form of bank deposits, bridge financing, and other financing to Black-led businesses, financial institutions, and anchor institutions. In December 2021, we invested the remaining commitment of $7.5 million in support of Minority Depository Institut</w:t>
      </w:r>
      <w:r>
        <w:rPr>
          <w:sz w:val="20"/>
          <w:szCs w:val="20"/>
        </w:rPr>
        <w:t>ions to help close the racial wealth, health and opportunity gap. There is no guarantee as to the performance of this investment or any similar investments we make in the future. Depending on the performance of this investment and future investments we may</w:t>
      </w:r>
      <w:r>
        <w:rPr>
          <w:sz w:val="20"/>
          <w:szCs w:val="20"/>
        </w:rPr>
        <w:t xml:space="preserve"> make, we may not receive any return on our investment or we may lose our entire investment, which could have an adverse effect on our business</w:t>
      </w:r>
      <w:r>
        <w:rPr>
          <w:sz w:val="20"/>
          <w:szCs w:val="20"/>
        </w:rPr>
        <w:t>.</w:t>
      </w:r>
    </w:p>
    <w:p w:rsidR="00000000" w:rsidRDefault="00805FA0">
      <w:pPr>
        <w:pStyle w:val="a3"/>
        <w:spacing w:before="200" w:beforeAutospacing="0" w:after="0" w:afterAutospacing="0"/>
        <w:rPr>
          <w:sz w:val="20"/>
          <w:szCs w:val="20"/>
        </w:rPr>
      </w:pPr>
      <w:r>
        <w:rPr>
          <w:b/>
          <w:bCs/>
          <w:i/>
          <w:iCs/>
          <w:sz w:val="20"/>
          <w:szCs w:val="20"/>
        </w:rPr>
        <w:t>We may experience quarterly fluctuations in our operating results due to a number of factors, which makes our f</w:t>
      </w:r>
      <w:r>
        <w:rPr>
          <w:b/>
          <w:bCs/>
          <w:i/>
          <w:iCs/>
          <w:sz w:val="20"/>
          <w:szCs w:val="20"/>
        </w:rPr>
        <w:t>uture results difficult to predict and could cause our operating results to fall below expectations or our guidance</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quarterly operating results have fluctuated in the past and are expected to fluctuate in the future due to a variety of factors, many o</w:t>
      </w:r>
      <w:r>
        <w:rPr>
          <w:sz w:val="20"/>
          <w:szCs w:val="20"/>
        </w:rPr>
        <w:t>f which are outside of our control. As a result, our past results may not be indicative of our future performance, and comparing our operating results on a period-to-period basis may not be meaningful. In addition to the other risks described in this Quart</w:t>
      </w:r>
      <w:r>
        <w:rPr>
          <w:sz w:val="20"/>
          <w:szCs w:val="20"/>
        </w:rPr>
        <w:t>erly Report on Form 10-Q, factors that may affect our quarterly operating results include the following</w:t>
      </w:r>
      <w:r>
        <w:rPr>
          <w:sz w:val="20"/>
          <w:szCs w:val="20"/>
        </w:rPr>
        <w:t>:</w:t>
      </w:r>
    </w:p>
    <w:p w:rsidR="00000000" w:rsidRDefault="00805FA0">
      <w:pPr>
        <w:divId w:val="1913467210"/>
        <w:rPr>
          <w:rFonts w:eastAsia="Times New Roman"/>
        </w:rPr>
      </w:pPr>
      <w:r>
        <w:rPr>
          <w:rFonts w:eastAsia="Times New Roman"/>
          <w:sz w:val="20"/>
          <w:szCs w:val="20"/>
        </w:rPr>
        <w:t>•</w:t>
      </w:r>
    </w:p>
    <w:p w:rsidR="00000000" w:rsidRDefault="00805FA0">
      <w:pPr>
        <w:divId w:val="43875323"/>
        <w:rPr>
          <w:rFonts w:eastAsia="Times New Roman"/>
        </w:rPr>
      </w:pPr>
      <w:r>
        <w:rPr>
          <w:rFonts w:eastAsia="Times New Roman"/>
          <w:sz w:val="20"/>
          <w:szCs w:val="20"/>
        </w:rPr>
        <w:t>changes in spending on marketing, sales and customer service software by our current or prospective customers</w:t>
      </w:r>
      <w:r>
        <w:rPr>
          <w:rFonts w:eastAsia="Times New Roman"/>
          <w:sz w:val="20"/>
          <w:szCs w:val="20"/>
        </w:rPr>
        <w:t>;</w:t>
      </w:r>
    </w:p>
    <w:p w:rsidR="00000000" w:rsidRDefault="00805FA0">
      <w:pPr>
        <w:divId w:val="205265273"/>
        <w:rPr>
          <w:rFonts w:eastAsia="Times New Roman"/>
        </w:rPr>
      </w:pPr>
      <w:r>
        <w:rPr>
          <w:rFonts w:eastAsia="Times New Roman"/>
          <w:sz w:val="20"/>
          <w:szCs w:val="20"/>
        </w:rPr>
        <w:t>•</w:t>
      </w:r>
    </w:p>
    <w:p w:rsidR="00000000" w:rsidRDefault="00805FA0">
      <w:pPr>
        <w:divId w:val="36201326"/>
        <w:rPr>
          <w:rFonts w:eastAsia="Times New Roman"/>
        </w:rPr>
      </w:pPr>
      <w:r>
        <w:rPr>
          <w:rFonts w:eastAsia="Times New Roman"/>
          <w:sz w:val="20"/>
          <w:szCs w:val="20"/>
        </w:rPr>
        <w:t>pricing our CRM Platform subscriptions effectively so that we are able to attract and retain customers without compromising our profitability</w:t>
      </w:r>
      <w:r>
        <w:rPr>
          <w:rFonts w:eastAsia="Times New Roman"/>
          <w:sz w:val="20"/>
          <w:szCs w:val="20"/>
        </w:rPr>
        <w:t>;</w:t>
      </w:r>
    </w:p>
    <w:p w:rsidR="00000000" w:rsidRDefault="00805FA0">
      <w:pPr>
        <w:divId w:val="103237396"/>
        <w:rPr>
          <w:rFonts w:eastAsia="Times New Roman"/>
        </w:rPr>
      </w:pPr>
      <w:r>
        <w:rPr>
          <w:rFonts w:eastAsia="Times New Roman"/>
          <w:sz w:val="20"/>
          <w:szCs w:val="20"/>
        </w:rPr>
        <w:t>•</w:t>
      </w:r>
    </w:p>
    <w:p w:rsidR="00000000" w:rsidRDefault="00805FA0">
      <w:pPr>
        <w:divId w:val="1461267666"/>
        <w:rPr>
          <w:rFonts w:eastAsia="Times New Roman"/>
        </w:rPr>
      </w:pPr>
      <w:r>
        <w:rPr>
          <w:rFonts w:eastAsia="Times New Roman"/>
          <w:sz w:val="20"/>
          <w:szCs w:val="20"/>
        </w:rPr>
        <w:t>attracting new customers for our marketing, sales, customer service, operations, and content management softwar</w:t>
      </w:r>
      <w:r>
        <w:rPr>
          <w:rFonts w:eastAsia="Times New Roman"/>
          <w:sz w:val="20"/>
          <w:szCs w:val="20"/>
        </w:rPr>
        <w:t>e, increasing our existing customers’ use of our platform and providing our customers with excellent customer support</w:t>
      </w:r>
      <w:r>
        <w:rPr>
          <w:rFonts w:eastAsia="Times New Roman"/>
          <w:sz w:val="20"/>
          <w:szCs w:val="20"/>
        </w:rPr>
        <w:t>;</w:t>
      </w:r>
    </w:p>
    <w:p w:rsidR="00000000" w:rsidRDefault="00805FA0">
      <w:pPr>
        <w:divId w:val="1613591729"/>
        <w:rPr>
          <w:rFonts w:eastAsia="Times New Roman"/>
        </w:rPr>
      </w:pPr>
      <w:r>
        <w:rPr>
          <w:rFonts w:eastAsia="Times New Roman"/>
          <w:sz w:val="20"/>
          <w:szCs w:val="20"/>
        </w:rPr>
        <w:t>•</w:t>
      </w:r>
    </w:p>
    <w:p w:rsidR="00000000" w:rsidRDefault="00805FA0">
      <w:pPr>
        <w:divId w:val="1587494338"/>
        <w:rPr>
          <w:rFonts w:eastAsia="Times New Roman"/>
        </w:rPr>
      </w:pPr>
      <w:r>
        <w:rPr>
          <w:rFonts w:eastAsia="Times New Roman"/>
          <w:sz w:val="20"/>
          <w:szCs w:val="20"/>
        </w:rPr>
        <w:t>customer renewal rates and the amounts for which agreements are renewed</w:t>
      </w:r>
      <w:r>
        <w:rPr>
          <w:rFonts w:eastAsia="Times New Roman"/>
          <w:sz w:val="20"/>
          <w:szCs w:val="20"/>
        </w:rPr>
        <w:t>;</w:t>
      </w:r>
    </w:p>
    <w:p w:rsidR="00000000" w:rsidRDefault="00805FA0">
      <w:pPr>
        <w:divId w:val="1039477621"/>
        <w:rPr>
          <w:rFonts w:eastAsia="Times New Roman"/>
        </w:rPr>
      </w:pPr>
      <w:r>
        <w:rPr>
          <w:rFonts w:eastAsia="Times New Roman"/>
          <w:sz w:val="20"/>
          <w:szCs w:val="20"/>
        </w:rPr>
        <w:t>•</w:t>
      </w:r>
    </w:p>
    <w:p w:rsidR="00000000" w:rsidRDefault="00805FA0">
      <w:pPr>
        <w:divId w:val="1557164759"/>
        <w:rPr>
          <w:rFonts w:eastAsia="Times New Roman"/>
        </w:rPr>
      </w:pPr>
      <w:r>
        <w:rPr>
          <w:rFonts w:eastAsia="Times New Roman"/>
          <w:sz w:val="20"/>
          <w:szCs w:val="20"/>
        </w:rPr>
        <w:t>global awareness of our thought leadership and brand;</w:t>
      </w:r>
      <w:r>
        <w:rPr>
          <w:rFonts w:eastAsia="Times New Roman"/>
          <w:sz w:val="20"/>
          <w:szCs w:val="20"/>
        </w:rPr>
        <w:t xml:space="preserve"> </w:t>
      </w:r>
    </w:p>
    <w:p w:rsidR="00000000" w:rsidRDefault="00805FA0">
      <w:pPr>
        <w:divId w:val="1600673504"/>
        <w:rPr>
          <w:rFonts w:eastAsia="Times New Roman"/>
        </w:rPr>
      </w:pPr>
      <w:r>
        <w:rPr>
          <w:rFonts w:eastAsia="Times New Roman"/>
          <w:sz w:val="20"/>
          <w:szCs w:val="20"/>
        </w:rPr>
        <w:t>•</w:t>
      </w:r>
    </w:p>
    <w:p w:rsidR="00000000" w:rsidRDefault="00805FA0">
      <w:pPr>
        <w:divId w:val="943926791"/>
        <w:rPr>
          <w:rFonts w:eastAsia="Times New Roman"/>
        </w:rPr>
      </w:pPr>
      <w:r>
        <w:rPr>
          <w:rFonts w:eastAsia="Times New Roman"/>
          <w:sz w:val="20"/>
          <w:szCs w:val="20"/>
        </w:rPr>
        <w:t>cha</w:t>
      </w:r>
      <w:r>
        <w:rPr>
          <w:rFonts w:eastAsia="Times New Roman"/>
          <w:sz w:val="20"/>
          <w:szCs w:val="20"/>
        </w:rPr>
        <w:t>nges in the competitive dynamics of our market, including consolidation among competitors or customers and the introduction of new products or product enhancements;</w:t>
      </w:r>
      <w:r>
        <w:rPr>
          <w:rFonts w:eastAsia="Times New Roman"/>
          <w:sz w:val="20"/>
          <w:szCs w:val="20"/>
        </w:rPr>
        <w:t xml:space="preserve"> </w:t>
      </w:r>
    </w:p>
    <w:p w:rsidR="00000000" w:rsidRDefault="00805FA0">
      <w:pPr>
        <w:divId w:val="790392502"/>
        <w:rPr>
          <w:rFonts w:eastAsia="Times New Roman"/>
        </w:rPr>
      </w:pPr>
      <w:r>
        <w:rPr>
          <w:rFonts w:eastAsia="Times New Roman"/>
          <w:sz w:val="20"/>
          <w:szCs w:val="20"/>
        </w:rPr>
        <w:t>•</w:t>
      </w:r>
    </w:p>
    <w:p w:rsidR="00000000" w:rsidRDefault="00805FA0">
      <w:pPr>
        <w:divId w:val="2139059853"/>
        <w:rPr>
          <w:rFonts w:eastAsia="Times New Roman"/>
        </w:rPr>
      </w:pPr>
      <w:r>
        <w:rPr>
          <w:rFonts w:eastAsia="Times New Roman"/>
          <w:sz w:val="20"/>
          <w:szCs w:val="20"/>
        </w:rPr>
        <w:t>changes to the commission plans, quotas and other compensation-related metrics for our s</w:t>
      </w:r>
      <w:r>
        <w:rPr>
          <w:rFonts w:eastAsia="Times New Roman"/>
          <w:sz w:val="20"/>
          <w:szCs w:val="20"/>
        </w:rPr>
        <w:t>ales representatives</w:t>
      </w:r>
      <w:r>
        <w:rPr>
          <w:rFonts w:eastAsia="Times New Roman"/>
          <w:sz w:val="20"/>
          <w:szCs w:val="20"/>
        </w:rPr>
        <w:t>;</w:t>
      </w:r>
    </w:p>
    <w:p w:rsidR="00000000" w:rsidRDefault="00805FA0">
      <w:pPr>
        <w:divId w:val="55473458"/>
        <w:rPr>
          <w:rFonts w:eastAsia="Times New Roman"/>
        </w:rPr>
      </w:pPr>
      <w:r>
        <w:rPr>
          <w:rFonts w:eastAsia="Times New Roman"/>
          <w:sz w:val="20"/>
          <w:szCs w:val="20"/>
        </w:rPr>
        <w:t>•</w:t>
      </w:r>
    </w:p>
    <w:p w:rsidR="00000000" w:rsidRDefault="00805FA0">
      <w:pPr>
        <w:divId w:val="1624732874"/>
        <w:rPr>
          <w:rFonts w:eastAsia="Times New Roman"/>
        </w:rPr>
      </w:pPr>
      <w:r>
        <w:rPr>
          <w:rFonts w:eastAsia="Times New Roman"/>
          <w:sz w:val="20"/>
          <w:szCs w:val="20"/>
        </w:rPr>
        <w:t>the amount and timing of payment for operating expenses, particularly research and development, sales and marketing expenses and employee benefit expenses;</w:t>
      </w:r>
      <w:r>
        <w:rPr>
          <w:rFonts w:eastAsia="Times New Roman"/>
          <w:sz w:val="20"/>
          <w:szCs w:val="20"/>
        </w:rPr>
        <w:t xml:space="preserve"> </w:t>
      </w:r>
    </w:p>
    <w:p w:rsidR="00000000" w:rsidRDefault="00805FA0">
      <w:pPr>
        <w:divId w:val="1327057266"/>
        <w:rPr>
          <w:rFonts w:eastAsia="Times New Roman"/>
        </w:rPr>
      </w:pPr>
      <w:r>
        <w:rPr>
          <w:rFonts w:eastAsia="Times New Roman"/>
          <w:sz w:val="20"/>
          <w:szCs w:val="20"/>
        </w:rPr>
        <w:t>•</w:t>
      </w:r>
    </w:p>
    <w:p w:rsidR="00000000" w:rsidRDefault="00805FA0">
      <w:pPr>
        <w:divId w:val="571625850"/>
        <w:rPr>
          <w:rFonts w:eastAsia="Times New Roman"/>
        </w:rPr>
      </w:pPr>
      <w:r>
        <w:rPr>
          <w:rFonts w:eastAsia="Times New Roman"/>
          <w:sz w:val="20"/>
          <w:szCs w:val="20"/>
        </w:rPr>
        <w:t>the amount and timing of costs associated with recruiting, training and i</w:t>
      </w:r>
      <w:r>
        <w:rPr>
          <w:rFonts w:eastAsia="Times New Roman"/>
          <w:sz w:val="20"/>
          <w:szCs w:val="20"/>
        </w:rPr>
        <w:t>ntegrating new employees while maintaining our company culture</w:t>
      </w:r>
      <w:r>
        <w:rPr>
          <w:rFonts w:eastAsia="Times New Roman"/>
          <w:sz w:val="20"/>
          <w:szCs w:val="20"/>
        </w:rPr>
        <w:t>;</w:t>
      </w:r>
    </w:p>
    <w:p w:rsidR="00000000" w:rsidRDefault="00805FA0">
      <w:pPr>
        <w:pStyle w:val="a3"/>
        <w:spacing w:before="240" w:beforeAutospacing="0" w:after="0" w:afterAutospacing="0"/>
        <w:jc w:val="center"/>
        <w:rPr>
          <w:sz w:val="20"/>
          <w:szCs w:val="20"/>
        </w:rPr>
      </w:pPr>
      <w:r>
        <w:rPr>
          <w:sz w:val="20"/>
          <w:szCs w:val="20"/>
        </w:rPr>
        <w:t>5</w:t>
      </w:r>
      <w:r>
        <w:rPr>
          <w:sz w:val="20"/>
          <w:szCs w:val="20"/>
        </w:rPr>
        <w:t>4</w:t>
      </w:r>
    </w:p>
    <w:p w:rsidR="00000000" w:rsidRDefault="00805FA0">
      <w:pPr>
        <w:rPr>
          <w:rFonts w:eastAsia="Times New Roman"/>
        </w:rPr>
      </w:pPr>
      <w:r>
        <w:rPr>
          <w:rFonts w:eastAsia="Times New Roman"/>
        </w:rPr>
        <w:pict>
          <v:rect id="_x0000_i1078"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divId w:val="1911697388"/>
        <w:rPr>
          <w:rFonts w:eastAsia="Times New Roman"/>
        </w:rPr>
      </w:pPr>
      <w:r>
        <w:rPr>
          <w:rFonts w:eastAsia="Times New Roman"/>
          <w:sz w:val="20"/>
          <w:szCs w:val="20"/>
        </w:rPr>
        <w:t>•</w:t>
      </w:r>
    </w:p>
    <w:p w:rsidR="00000000" w:rsidRDefault="00805FA0">
      <w:pPr>
        <w:divId w:val="864055430"/>
        <w:rPr>
          <w:rFonts w:eastAsia="Times New Roman"/>
        </w:rPr>
      </w:pPr>
      <w:r>
        <w:rPr>
          <w:rFonts w:eastAsia="Times New Roman"/>
          <w:sz w:val="20"/>
          <w:szCs w:val="20"/>
        </w:rPr>
        <w:t>our ability to manage our existing business and future growth, including increases in the number of customers on our platform and the introduction a</w:t>
      </w:r>
      <w:r>
        <w:rPr>
          <w:rFonts w:eastAsia="Times New Roman"/>
          <w:sz w:val="20"/>
          <w:szCs w:val="20"/>
        </w:rPr>
        <w:t>nd adoption of our CRM Platform in new markets outside of the United States</w:t>
      </w:r>
      <w:r>
        <w:rPr>
          <w:rFonts w:eastAsia="Times New Roman"/>
          <w:sz w:val="20"/>
          <w:szCs w:val="20"/>
        </w:rPr>
        <w:t>;</w:t>
      </w:r>
    </w:p>
    <w:p w:rsidR="00000000" w:rsidRDefault="00805FA0">
      <w:pPr>
        <w:divId w:val="753668971"/>
        <w:rPr>
          <w:rFonts w:eastAsia="Times New Roman"/>
        </w:rPr>
      </w:pPr>
      <w:r>
        <w:rPr>
          <w:rFonts w:eastAsia="Times New Roman"/>
          <w:sz w:val="20"/>
          <w:szCs w:val="20"/>
        </w:rPr>
        <w:t>•</w:t>
      </w:r>
    </w:p>
    <w:p w:rsidR="00000000" w:rsidRDefault="00805FA0">
      <w:pPr>
        <w:divId w:val="271279933"/>
        <w:rPr>
          <w:rFonts w:eastAsia="Times New Roman"/>
        </w:rPr>
      </w:pPr>
      <w:r>
        <w:rPr>
          <w:rFonts w:eastAsia="Times New Roman"/>
          <w:sz w:val="20"/>
          <w:szCs w:val="20"/>
        </w:rPr>
        <w:t>unforeseen costs and expenses related to the expansion of our business, operations and infrastructure, including disruptions in our hosting network infrastructure and privacy an</w:t>
      </w:r>
      <w:r>
        <w:rPr>
          <w:rFonts w:eastAsia="Times New Roman"/>
          <w:sz w:val="20"/>
          <w:szCs w:val="20"/>
        </w:rPr>
        <w:t>d data security</w:t>
      </w:r>
      <w:r>
        <w:rPr>
          <w:rFonts w:eastAsia="Times New Roman"/>
          <w:sz w:val="20"/>
          <w:szCs w:val="20"/>
        </w:rPr>
        <w:t>;</w:t>
      </w:r>
    </w:p>
    <w:p w:rsidR="00000000" w:rsidRDefault="00805FA0">
      <w:pPr>
        <w:divId w:val="1406680479"/>
        <w:rPr>
          <w:rFonts w:eastAsia="Times New Roman"/>
        </w:rPr>
      </w:pPr>
      <w:r>
        <w:rPr>
          <w:rFonts w:eastAsia="Times New Roman"/>
          <w:sz w:val="20"/>
          <w:szCs w:val="20"/>
        </w:rPr>
        <w:t>•</w:t>
      </w:r>
    </w:p>
    <w:p w:rsidR="00000000" w:rsidRDefault="00805FA0">
      <w:pPr>
        <w:divId w:val="2101489379"/>
        <w:rPr>
          <w:rFonts w:eastAsia="Times New Roman"/>
        </w:rPr>
      </w:pPr>
      <w:r>
        <w:rPr>
          <w:rFonts w:eastAsia="Times New Roman"/>
          <w:sz w:val="20"/>
          <w:szCs w:val="20"/>
        </w:rPr>
        <w:t>foreign currency exchange rate fluctuations;</w:t>
      </w:r>
      <w:r>
        <w:rPr>
          <w:rFonts w:eastAsia="Times New Roman"/>
          <w:sz w:val="20"/>
          <w:szCs w:val="20"/>
        </w:rPr>
        <w:t xml:space="preserve"> </w:t>
      </w:r>
    </w:p>
    <w:p w:rsidR="00000000" w:rsidRDefault="00805FA0">
      <w:pPr>
        <w:divId w:val="1982298168"/>
        <w:rPr>
          <w:rFonts w:eastAsia="Times New Roman"/>
        </w:rPr>
      </w:pPr>
      <w:r>
        <w:rPr>
          <w:rFonts w:eastAsia="Times New Roman"/>
          <w:sz w:val="20"/>
          <w:szCs w:val="20"/>
        </w:rPr>
        <w:t>•</w:t>
      </w:r>
    </w:p>
    <w:p w:rsidR="00000000" w:rsidRDefault="00805FA0">
      <w:pPr>
        <w:divId w:val="96759088"/>
        <w:rPr>
          <w:rFonts w:eastAsia="Times New Roman"/>
        </w:rPr>
      </w:pPr>
      <w:r>
        <w:rPr>
          <w:rFonts w:eastAsia="Times New Roman"/>
          <w:sz w:val="20"/>
          <w:szCs w:val="20"/>
        </w:rPr>
        <w:t>rising inflation in the economies in which we operate and our ability to control costs, including operating expenses; an</w:t>
      </w:r>
      <w:r>
        <w:rPr>
          <w:rFonts w:eastAsia="Times New Roman"/>
          <w:sz w:val="20"/>
          <w:szCs w:val="20"/>
        </w:rPr>
        <w:t>d</w:t>
      </w:r>
    </w:p>
    <w:p w:rsidR="00000000" w:rsidRDefault="00805FA0">
      <w:pPr>
        <w:divId w:val="1577863507"/>
        <w:rPr>
          <w:rFonts w:eastAsia="Times New Roman"/>
        </w:rPr>
      </w:pPr>
      <w:r>
        <w:rPr>
          <w:rFonts w:eastAsia="Times New Roman"/>
          <w:sz w:val="20"/>
          <w:szCs w:val="20"/>
        </w:rPr>
        <w:t>•</w:t>
      </w:r>
    </w:p>
    <w:p w:rsidR="00000000" w:rsidRDefault="00805FA0">
      <w:pPr>
        <w:divId w:val="883172424"/>
        <w:rPr>
          <w:rFonts w:eastAsia="Times New Roman"/>
        </w:rPr>
      </w:pPr>
      <w:r>
        <w:rPr>
          <w:rFonts w:eastAsia="Times New Roman"/>
          <w:sz w:val="20"/>
          <w:szCs w:val="20"/>
        </w:rPr>
        <w:t>general economic and political conditions in our domestic and international markets</w:t>
      </w:r>
      <w:r>
        <w:rPr>
          <w:rFonts w:eastAsia="Times New Roman"/>
          <w:sz w:val="20"/>
          <w:szCs w:val="20"/>
        </w:rPr>
        <w:t>.</w:t>
      </w:r>
    </w:p>
    <w:p w:rsidR="00000000" w:rsidRDefault="00805FA0">
      <w:pPr>
        <w:pStyle w:val="a3"/>
        <w:spacing w:before="200" w:beforeAutospacing="0" w:after="0" w:afterAutospacing="0"/>
        <w:ind w:firstLine="555"/>
        <w:rPr>
          <w:sz w:val="20"/>
          <w:szCs w:val="20"/>
        </w:rPr>
      </w:pPr>
      <w:r>
        <w:rPr>
          <w:sz w:val="20"/>
          <w:szCs w:val="20"/>
        </w:rPr>
        <w:t>We may not be able to accurately forecast the amount and mix of future subscriptions, revenue and expenses and, as a result, our operating results may fall below our estim</w:t>
      </w:r>
      <w:r>
        <w:rPr>
          <w:sz w:val="20"/>
          <w:szCs w:val="20"/>
        </w:rPr>
        <w:t>ates or the expectations of public market analysts and investors. If our revenue or operating results fall below the expectations of investors or securities analysts, or below any guidance we may provide, the price of our common stock could decline</w:t>
      </w:r>
      <w:r>
        <w:rPr>
          <w:sz w:val="20"/>
          <w:szCs w:val="20"/>
        </w:rPr>
        <w:t>.</w:t>
      </w:r>
    </w:p>
    <w:p w:rsidR="00000000" w:rsidRDefault="00805FA0">
      <w:pPr>
        <w:pStyle w:val="a3"/>
        <w:spacing w:before="200" w:beforeAutospacing="0" w:after="0" w:afterAutospacing="0"/>
        <w:rPr>
          <w:sz w:val="20"/>
          <w:szCs w:val="20"/>
        </w:rPr>
      </w:pPr>
      <w:r>
        <w:rPr>
          <w:b/>
          <w:bCs/>
          <w:i/>
          <w:iCs/>
          <w:sz w:val="20"/>
          <w:szCs w:val="20"/>
        </w:rPr>
        <w:t xml:space="preserve">If we </w:t>
      </w:r>
      <w:r>
        <w:rPr>
          <w:b/>
          <w:bCs/>
          <w:i/>
          <w:iCs/>
          <w:sz w:val="20"/>
          <w:szCs w:val="20"/>
        </w:rPr>
        <w:t>do not accurately predict subscription renewal rates or otherwise fail to forecast our revenue accurately, or if we fail to match our expenditures with corresponding revenue, our operating results could be adversely affected</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Because our recent growth has </w:t>
      </w:r>
      <w:r>
        <w:rPr>
          <w:sz w:val="20"/>
          <w:szCs w:val="20"/>
        </w:rPr>
        <w:t>resulted in the rapid expansion of our business, we do not have a long history upon which to base forecasts of renewal rates with customers or future operating revenue. As a result, our operating results in future reporting periods may be significantly bel</w:t>
      </w:r>
      <w:r>
        <w:rPr>
          <w:sz w:val="20"/>
          <w:szCs w:val="20"/>
        </w:rPr>
        <w:t>ow the expectations of the public market, equity research analysts or investors, which could harm the price of our common stock</w:t>
      </w:r>
      <w:r>
        <w:rPr>
          <w:sz w:val="20"/>
          <w:szCs w:val="20"/>
        </w:rPr>
        <w:t>.</w:t>
      </w:r>
    </w:p>
    <w:p w:rsidR="00000000" w:rsidRDefault="00805FA0">
      <w:pPr>
        <w:pStyle w:val="a3"/>
        <w:spacing w:before="200" w:beforeAutospacing="0" w:after="0" w:afterAutospacing="0"/>
        <w:rPr>
          <w:sz w:val="20"/>
          <w:szCs w:val="20"/>
        </w:rPr>
      </w:pPr>
      <w:r>
        <w:rPr>
          <w:b/>
          <w:bCs/>
          <w:i/>
          <w:iCs/>
          <w:sz w:val="20"/>
          <w:szCs w:val="20"/>
        </w:rPr>
        <w:t>Because we generally recognize revenue from subscriptions ratably over the term of the agreement, near term changes in sales ma</w:t>
      </w:r>
      <w:r>
        <w:rPr>
          <w:b/>
          <w:bCs/>
          <w:i/>
          <w:iCs/>
          <w:sz w:val="20"/>
          <w:szCs w:val="20"/>
        </w:rPr>
        <w:t>y not be reflected immediately in our operating results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We offer our CRM Platform primarily through a mix of monthly, quarterly and single-year subscription agreements and generally recognize revenue ratably over the related subscription period. As a resu</w:t>
      </w:r>
      <w:r>
        <w:rPr>
          <w:sz w:val="20"/>
          <w:szCs w:val="20"/>
        </w:rPr>
        <w:t>lt, much of the revenue we report in each quarter is derived from agreements entered into during prior months, quarters or years. In addition, we do not record deferred revenue beyond amounts invoiced as a liability on our balance sheet. A decline in new o</w:t>
      </w:r>
      <w:r>
        <w:rPr>
          <w:sz w:val="20"/>
          <w:szCs w:val="20"/>
        </w:rPr>
        <w:t>r renewed subscriptions or marketing solutions agreements in any one quarter is not likely to be reflected immediately in our revenue results for that quarter. Such declines, however, would negatively affect our revenue and deferred revenue balances in fut</w:t>
      </w:r>
      <w:r>
        <w:rPr>
          <w:sz w:val="20"/>
          <w:szCs w:val="20"/>
        </w:rPr>
        <w:t>ure periods, and the effect of significant downturns in sales and market acceptance of our platform, and potential changes in our rate of renewals, may not be fully reflected in our results of operations until future periods. Our subscription model also ma</w:t>
      </w:r>
      <w:r>
        <w:rPr>
          <w:sz w:val="20"/>
          <w:szCs w:val="20"/>
        </w:rPr>
        <w:t>kes it difficult for us to rapidly increase our total revenue and deferred revenue balance through additional sales in any period, as revenue from new customers must be recognized over the applicable subscription term</w:t>
      </w:r>
      <w:r>
        <w:rPr>
          <w:sz w:val="20"/>
          <w:szCs w:val="20"/>
        </w:rPr>
        <w:t>.</w:t>
      </w:r>
    </w:p>
    <w:p w:rsidR="00000000" w:rsidRDefault="00805FA0">
      <w:pPr>
        <w:pStyle w:val="a3"/>
        <w:spacing w:before="200" w:beforeAutospacing="0" w:after="0" w:afterAutospacing="0"/>
        <w:ind w:firstLine="555"/>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Our Note</w:t>
      </w:r>
      <w:r>
        <w:rPr>
          <w:b/>
          <w:bCs/>
          <w:sz w:val="20"/>
          <w:szCs w:val="20"/>
        </w:rPr>
        <w:t>s</w:t>
      </w:r>
    </w:p>
    <w:p w:rsidR="00000000" w:rsidRDefault="00805FA0">
      <w:pPr>
        <w:pStyle w:val="a3"/>
        <w:spacing w:before="200" w:beforeAutospacing="0" w:after="0" w:afterAutospacing="0"/>
        <w:rPr>
          <w:sz w:val="20"/>
          <w:szCs w:val="20"/>
        </w:rPr>
      </w:pPr>
      <w:r>
        <w:rPr>
          <w:b/>
          <w:bCs/>
          <w:i/>
          <w:iCs/>
          <w:sz w:val="20"/>
          <w:szCs w:val="20"/>
        </w:rPr>
        <w:t>Servicin</w:t>
      </w:r>
      <w:r>
        <w:rPr>
          <w:b/>
          <w:bCs/>
          <w:i/>
          <w:iCs/>
          <w:sz w:val="20"/>
          <w:szCs w:val="20"/>
        </w:rPr>
        <w:t>g our debt may require a significant amount of cash. We may not have sufficient cash flow from our business to pay our indebtedness, and we may not have the ability to raise the funds necessary to settle for cash conversions of the Notes or to repurchase t</w:t>
      </w:r>
      <w:r>
        <w:rPr>
          <w:b/>
          <w:bCs/>
          <w:i/>
          <w:iCs/>
          <w:sz w:val="20"/>
          <w:szCs w:val="20"/>
        </w:rPr>
        <w:t>he Notes for cash upon a fundamental change, which could adversely affect our business and results of operations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In June 2020, we incurred indebtedness in the aggregate principal amount of $460.0 million in connection with the issuance of our 0.375% conve</w:t>
      </w:r>
      <w:r>
        <w:rPr>
          <w:sz w:val="20"/>
          <w:szCs w:val="20"/>
        </w:rPr>
        <w:t xml:space="preserve">rtible senior notes due June 1, 2025 (the “2025 Notes”). Our ability to make scheduled payments of the principal of, to pay interest on or to refinance our indebtedness, including the Notes, depends on our future performance, which is subject to economic, </w:t>
      </w:r>
      <w:r>
        <w:rPr>
          <w:sz w:val="20"/>
          <w:szCs w:val="20"/>
        </w:rPr>
        <w:t>financial, competitive and other factors beyond our control. Our business may not continue to generate cash flow from operations in the future sufficient to service our debt and make necessary capital expenditures. If we are unable to generate such cash fl</w:t>
      </w:r>
      <w:r>
        <w:rPr>
          <w:sz w:val="20"/>
          <w:szCs w:val="20"/>
        </w:rPr>
        <w:t xml:space="preserve">ow, we may be required to adopt one or more alternatives, such as selling assets, restructuring debt or obtaining additional debt financing or equity capital on terms that may be onerous or highly dilutive. Our ability to refinance any future indebtedness </w:t>
      </w:r>
      <w:r>
        <w:rPr>
          <w:sz w:val="20"/>
          <w:szCs w:val="20"/>
        </w:rPr>
        <w:t>will depend on the capital markets and our financial condition at such time. We may not be able to engage in any of these activities or engage in these activities on desirable terms, which could result in a default on our debt obligations. In addition, any</w:t>
      </w:r>
      <w:r>
        <w:rPr>
          <w:sz w:val="20"/>
          <w:szCs w:val="20"/>
        </w:rPr>
        <w:t xml:space="preserve"> of our future debt agreements may contain restrictive covenants that may prohibit us from adopting any of these alternatives. Our failure to comply with these covenants could result in an event of default which, if not cured or waived, could result in the</w:t>
      </w:r>
      <w:r>
        <w:rPr>
          <w:sz w:val="20"/>
          <w:szCs w:val="20"/>
        </w:rPr>
        <w:t xml:space="preserve"> acceleration of our debt</w:t>
      </w:r>
      <w:r>
        <w:rPr>
          <w:sz w:val="20"/>
          <w:szCs w:val="20"/>
        </w:rPr>
        <w:t>.</w:t>
      </w:r>
    </w:p>
    <w:p w:rsidR="00000000" w:rsidRDefault="00805FA0">
      <w:pPr>
        <w:pStyle w:val="a3"/>
        <w:spacing w:before="200" w:beforeAutospacing="0" w:after="0" w:afterAutospacing="0"/>
        <w:ind w:firstLine="555"/>
        <w:rPr>
          <w:sz w:val="20"/>
          <w:szCs w:val="20"/>
        </w:rPr>
      </w:pPr>
      <w:r>
        <w:rPr>
          <w:sz w:val="20"/>
          <w:szCs w:val="20"/>
        </w:rPr>
        <w:t>In addition, holders of the Notes have the right to require us to repurchase their Notes upon the occurrence of a fundamental change at a fundamental change repurchase price equal to 100% of the principal amount of the Notes to b</w:t>
      </w:r>
      <w:r>
        <w:rPr>
          <w:sz w:val="20"/>
          <w:szCs w:val="20"/>
        </w:rPr>
        <w:t>e repurchased, plus accrued and unpaid interest, if any. Upon conversion of the Notes, unless we elect to deliver solely shares of our common stock to settle suc</w:t>
      </w:r>
      <w:r>
        <w:rPr>
          <w:sz w:val="20"/>
          <w:szCs w:val="20"/>
        </w:rPr>
        <w:t>h</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5</w:t>
      </w:r>
      <w:r>
        <w:rPr>
          <w:sz w:val="20"/>
          <w:szCs w:val="20"/>
        </w:rPr>
        <w:t>5</w:t>
      </w:r>
    </w:p>
    <w:p w:rsidR="00000000" w:rsidRDefault="00805FA0">
      <w:pPr>
        <w:rPr>
          <w:rFonts w:eastAsia="Times New Roman"/>
        </w:rPr>
      </w:pPr>
      <w:r>
        <w:rPr>
          <w:rFonts w:eastAsia="Times New Roman"/>
        </w:rPr>
        <w:pict>
          <v:rect id="_x0000_i1079"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conversion (other than paying cash in lieu of delivering any fractional share), we will be required to make cash payments in respect of the Notes being converted. We may not have enough available cash or be able to obtain financing at the time we are requi</w:t>
      </w:r>
      <w:r>
        <w:rPr>
          <w:sz w:val="20"/>
          <w:szCs w:val="20"/>
        </w:rPr>
        <w:t>red to make repurchases of Notes surrendered therefore or Notes being converted. In addition, our ability to repurchase the Notes or to pay cash upon conversions of the Notes may be limited by law, by regulatory authority or by agreements governing our fut</w:t>
      </w:r>
      <w:r>
        <w:rPr>
          <w:sz w:val="20"/>
          <w:szCs w:val="20"/>
        </w:rPr>
        <w:t>ure indebtedness. Our failure to repurchase Notes at a time when the repurchase is required by the indenture governing the Notes or to pay any cash payable on future conversions of the Notes as required by such indenture would constitute a default under su</w:t>
      </w:r>
      <w:r>
        <w:rPr>
          <w:sz w:val="20"/>
          <w:szCs w:val="20"/>
        </w:rPr>
        <w:t>ch indenture. A default under the indenture or the fundamental change itself could also lead to a default under agreements governing our future indebtedness. If the repayment of the related indebtedness were to be accelerated after any applicable notice or</w:t>
      </w:r>
      <w:r>
        <w:rPr>
          <w:sz w:val="20"/>
          <w:szCs w:val="20"/>
        </w:rPr>
        <w:t xml:space="preserve"> grace periods, we may not have sufficient funds to repay the indebtedness and repurchase the Notes or make cash payments upon conversions thereof</w:t>
      </w:r>
      <w:r>
        <w:rPr>
          <w:sz w:val="20"/>
          <w:szCs w:val="20"/>
        </w:rPr>
        <w:t>.</w:t>
      </w:r>
    </w:p>
    <w:p w:rsidR="00000000" w:rsidRDefault="00805FA0">
      <w:pPr>
        <w:pStyle w:val="a3"/>
        <w:spacing w:before="200" w:beforeAutospacing="0" w:after="0" w:afterAutospacing="0"/>
        <w:ind w:firstLine="555"/>
        <w:rPr>
          <w:sz w:val="20"/>
          <w:szCs w:val="20"/>
        </w:rPr>
      </w:pPr>
      <w:r>
        <w:rPr>
          <w:sz w:val="20"/>
          <w:szCs w:val="20"/>
        </w:rPr>
        <w:t>In addition, our indebtedness, combined with our other financial obligations and contractual commitments, co</w:t>
      </w:r>
      <w:r>
        <w:rPr>
          <w:sz w:val="20"/>
          <w:szCs w:val="20"/>
        </w:rPr>
        <w:t>uld have other important consequences. For example, it could</w:t>
      </w:r>
      <w:r>
        <w:rPr>
          <w:sz w:val="20"/>
          <w:szCs w:val="20"/>
        </w:rPr>
        <w:t>:</w:t>
      </w:r>
    </w:p>
    <w:p w:rsidR="00000000" w:rsidRDefault="00805FA0">
      <w:pPr>
        <w:divId w:val="95517237"/>
        <w:rPr>
          <w:rFonts w:eastAsia="Times New Roman"/>
        </w:rPr>
      </w:pPr>
      <w:r>
        <w:rPr>
          <w:rFonts w:eastAsia="Times New Roman"/>
          <w:sz w:val="20"/>
          <w:szCs w:val="20"/>
        </w:rPr>
        <w:t>•</w:t>
      </w:r>
    </w:p>
    <w:p w:rsidR="00000000" w:rsidRDefault="00805FA0">
      <w:pPr>
        <w:divId w:val="199559078"/>
        <w:rPr>
          <w:rFonts w:eastAsia="Times New Roman"/>
        </w:rPr>
      </w:pPr>
      <w:r>
        <w:rPr>
          <w:rFonts w:eastAsia="Times New Roman"/>
          <w:sz w:val="20"/>
          <w:szCs w:val="20"/>
        </w:rPr>
        <w:t>make us more vulnerable to adverse changes in general U.S. and worldwide economic, industry and competitive conditions and adverse changes in government regulation</w:t>
      </w:r>
      <w:r>
        <w:rPr>
          <w:rFonts w:eastAsia="Times New Roman"/>
          <w:sz w:val="20"/>
          <w:szCs w:val="20"/>
        </w:rPr>
        <w:t>;</w:t>
      </w:r>
    </w:p>
    <w:p w:rsidR="00000000" w:rsidRDefault="00805FA0">
      <w:pPr>
        <w:divId w:val="2074086218"/>
        <w:rPr>
          <w:rFonts w:eastAsia="Times New Roman"/>
        </w:rPr>
      </w:pPr>
      <w:r>
        <w:rPr>
          <w:rFonts w:eastAsia="Times New Roman"/>
          <w:sz w:val="20"/>
          <w:szCs w:val="20"/>
        </w:rPr>
        <w:t>•</w:t>
      </w:r>
    </w:p>
    <w:p w:rsidR="00000000" w:rsidRDefault="00805FA0">
      <w:pPr>
        <w:divId w:val="1777552232"/>
        <w:rPr>
          <w:rFonts w:eastAsia="Times New Roman"/>
        </w:rPr>
      </w:pPr>
      <w:r>
        <w:rPr>
          <w:rFonts w:eastAsia="Times New Roman"/>
          <w:sz w:val="20"/>
          <w:szCs w:val="20"/>
        </w:rPr>
        <w:t xml:space="preserve">limit our flexibility in </w:t>
      </w:r>
      <w:r>
        <w:rPr>
          <w:rFonts w:eastAsia="Times New Roman"/>
          <w:sz w:val="20"/>
          <w:szCs w:val="20"/>
        </w:rPr>
        <w:t>planning for, or reacting to, changes in our business and our industry</w:t>
      </w:r>
      <w:r>
        <w:rPr>
          <w:rFonts w:eastAsia="Times New Roman"/>
          <w:sz w:val="20"/>
          <w:szCs w:val="20"/>
        </w:rPr>
        <w:t>;</w:t>
      </w:r>
    </w:p>
    <w:p w:rsidR="00000000" w:rsidRDefault="00805FA0">
      <w:pPr>
        <w:divId w:val="1966305633"/>
        <w:rPr>
          <w:rFonts w:eastAsia="Times New Roman"/>
        </w:rPr>
      </w:pPr>
      <w:r>
        <w:rPr>
          <w:rFonts w:eastAsia="Times New Roman"/>
          <w:sz w:val="20"/>
          <w:szCs w:val="20"/>
        </w:rPr>
        <w:t>•</w:t>
      </w:r>
    </w:p>
    <w:p w:rsidR="00000000" w:rsidRDefault="00805FA0">
      <w:pPr>
        <w:divId w:val="665592080"/>
        <w:rPr>
          <w:rFonts w:eastAsia="Times New Roman"/>
        </w:rPr>
      </w:pPr>
      <w:r>
        <w:rPr>
          <w:rFonts w:eastAsia="Times New Roman"/>
          <w:sz w:val="20"/>
          <w:szCs w:val="20"/>
        </w:rPr>
        <w:t>place us at a disadvantage compared to our competitors who have less debt; an</w:t>
      </w:r>
      <w:r>
        <w:rPr>
          <w:rFonts w:eastAsia="Times New Roman"/>
          <w:sz w:val="20"/>
          <w:szCs w:val="20"/>
        </w:rPr>
        <w:t>d</w:t>
      </w:r>
    </w:p>
    <w:p w:rsidR="00000000" w:rsidRDefault="00805FA0">
      <w:pPr>
        <w:divId w:val="2101363389"/>
        <w:rPr>
          <w:rFonts w:eastAsia="Times New Roman"/>
        </w:rPr>
      </w:pPr>
      <w:r>
        <w:rPr>
          <w:rFonts w:eastAsia="Times New Roman"/>
          <w:sz w:val="20"/>
          <w:szCs w:val="20"/>
        </w:rPr>
        <w:t>•</w:t>
      </w:r>
    </w:p>
    <w:p w:rsidR="00000000" w:rsidRDefault="00805FA0">
      <w:pPr>
        <w:divId w:val="939483860"/>
        <w:rPr>
          <w:rFonts w:eastAsia="Times New Roman"/>
        </w:rPr>
      </w:pPr>
      <w:r>
        <w:rPr>
          <w:rFonts w:eastAsia="Times New Roman"/>
          <w:sz w:val="20"/>
          <w:szCs w:val="20"/>
        </w:rPr>
        <w:t>limit our ability to borrow additional amounts to fund acquisitions, for working capital and for other general corporate purposes</w:t>
      </w:r>
      <w:r>
        <w:rPr>
          <w:rFonts w:eastAsia="Times New Roman"/>
          <w:sz w:val="20"/>
          <w:szCs w:val="20"/>
        </w:rPr>
        <w:t>.</w:t>
      </w:r>
    </w:p>
    <w:p w:rsidR="00000000" w:rsidRDefault="00805FA0">
      <w:pPr>
        <w:pStyle w:val="a3"/>
        <w:spacing w:before="200" w:beforeAutospacing="0" w:after="0" w:afterAutospacing="0"/>
        <w:ind w:firstLine="555"/>
        <w:rPr>
          <w:sz w:val="20"/>
          <w:szCs w:val="20"/>
        </w:rPr>
      </w:pPr>
      <w:r>
        <w:rPr>
          <w:sz w:val="20"/>
          <w:szCs w:val="20"/>
        </w:rPr>
        <w:t>Any of these factors could materially and adversely affect our business, financial condition and results of operations. In ad</w:t>
      </w:r>
      <w:r>
        <w:rPr>
          <w:sz w:val="20"/>
          <w:szCs w:val="20"/>
        </w:rPr>
        <w:t>dition, if we incur additional indebtedness, the risks related to our business and our ability to service or repay our indebtedness would increase</w:t>
      </w:r>
      <w:r>
        <w:rPr>
          <w:sz w:val="20"/>
          <w:szCs w:val="20"/>
        </w:rPr>
        <w:t>.</w:t>
      </w:r>
    </w:p>
    <w:p w:rsidR="00000000" w:rsidRDefault="00805FA0">
      <w:pPr>
        <w:pStyle w:val="a3"/>
        <w:spacing w:before="200" w:beforeAutospacing="0" w:after="0" w:afterAutospacing="0"/>
        <w:rPr>
          <w:sz w:val="20"/>
          <w:szCs w:val="20"/>
        </w:rPr>
      </w:pPr>
      <w:r>
        <w:rPr>
          <w:b/>
          <w:bCs/>
          <w:i/>
          <w:iCs/>
          <w:sz w:val="20"/>
          <w:szCs w:val="20"/>
        </w:rPr>
        <w:t xml:space="preserve">The conditional conversion feature of the Notes, if triggered, may adversely affect our financial condition </w:t>
      </w:r>
      <w:r>
        <w:rPr>
          <w:b/>
          <w:bCs/>
          <w:i/>
          <w:iCs/>
          <w:sz w:val="20"/>
          <w:szCs w:val="20"/>
        </w:rPr>
        <w:t>and operating results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In the event the conditional conversion feature of the 2025 Notes is triggered, the holders thereof will be entitled to convert the 2025 Notes at any time during specified periods at their option. During the three months ended Septem</w:t>
      </w:r>
      <w:r>
        <w:rPr>
          <w:sz w:val="20"/>
          <w:szCs w:val="20"/>
        </w:rPr>
        <w:t>ber 30, 2022, the 2025 Notes did not meet the Conversion Option and are not convertible. Whether the Notes that remain outstanding will be convertible following the calendar quarter ending September 30, 2022 will depend on the continued satisfaction of thi</w:t>
      </w:r>
      <w:r>
        <w:rPr>
          <w:sz w:val="20"/>
          <w:szCs w:val="20"/>
        </w:rPr>
        <w:t>s condition or another conversion condition in the future. If one or more holders elect to convert their Notes, unless we elect to satisfy our conversion obligation by delivering solely shares of our common stock (other than paying cash in lieu of deliveri</w:t>
      </w:r>
      <w:r>
        <w:rPr>
          <w:sz w:val="20"/>
          <w:szCs w:val="20"/>
        </w:rPr>
        <w:t>ng any fractional share), we would be required to settle a portion or all of our conversion obligation through the payment of cash, which could adversely affect our liquidity. In addition, even if holders do not elect to convert their Notes, we could be re</w:t>
      </w:r>
      <w:r>
        <w:rPr>
          <w:sz w:val="20"/>
          <w:szCs w:val="20"/>
        </w:rPr>
        <w:t>quired under applicable accounting rules to reclassify all or a portion of the outstanding principal of the Notes as a current rather than long-term liability, which would result in a material reduction of our net working capital</w:t>
      </w:r>
      <w:r>
        <w:rPr>
          <w:sz w:val="20"/>
          <w:szCs w:val="20"/>
        </w:rPr>
        <w:t>.</w:t>
      </w:r>
      <w:r>
        <w:rPr>
          <w:sz w:val="20"/>
          <w:szCs w:val="20"/>
        </w:rPr>
        <w:t xml:space="preserve"> </w:t>
      </w:r>
    </w:p>
    <w:p w:rsidR="00000000" w:rsidRDefault="00805FA0">
      <w:pPr>
        <w:pStyle w:val="a3"/>
        <w:spacing w:before="200" w:beforeAutospacing="0" w:after="0" w:afterAutospacing="0"/>
        <w:rPr>
          <w:sz w:val="20"/>
          <w:szCs w:val="20"/>
        </w:rPr>
      </w:pPr>
      <w:r>
        <w:rPr>
          <w:b/>
          <w:bCs/>
          <w:i/>
          <w:iCs/>
          <w:sz w:val="20"/>
          <w:szCs w:val="20"/>
        </w:rPr>
        <w:t>The accounting method fo</w:t>
      </w:r>
      <w:r>
        <w:rPr>
          <w:b/>
          <w:bCs/>
          <w:i/>
          <w:iCs/>
          <w:sz w:val="20"/>
          <w:szCs w:val="20"/>
        </w:rPr>
        <w:t>r convertible debt securities that may be settled in cash, such as the Notes, could have a material effect on our reported financial results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Under Financial Accounting Standards Board (“ FASB”) Accounting Standards Codification 470-20, Debt with Conversio</w:t>
      </w:r>
      <w:r>
        <w:rPr>
          <w:sz w:val="20"/>
          <w:szCs w:val="20"/>
        </w:rPr>
        <w:t>n and Other Options, which we refer to as ASC 470-20, an entity must separately account for the liability and equity components of convertible debt instruments (such as the Notes) that may be settled entirely or partially in cash upon conversion in a manne</w:t>
      </w:r>
      <w:r>
        <w:rPr>
          <w:sz w:val="20"/>
          <w:szCs w:val="20"/>
        </w:rPr>
        <w:t>r that reflects the issuer’s economic interest cost. ASC 470-20 requires the value of the conversion option of the Notes, representing the equity component, to be recorded as additional paid-in capital within stockholders’ equity in our consolidated balanc</w:t>
      </w:r>
      <w:r>
        <w:rPr>
          <w:sz w:val="20"/>
          <w:szCs w:val="20"/>
        </w:rPr>
        <w:t>e sheet and as a discount to the Notes, which reduces their initial carrying value. The carrying value of the Notes, net of the discount recorded, will be accreted up to the principal amount of the Notes from the issuance date until maturity, which will re</w:t>
      </w:r>
      <w:r>
        <w:rPr>
          <w:sz w:val="20"/>
          <w:szCs w:val="20"/>
        </w:rPr>
        <w:t>sult in non-cash charges to interest expense in our consolidated statement of operations. Accordingly, we will report lower net income or higher net loss in our financial results because ASC 470-20 requires interest to include both the current period’s acc</w:t>
      </w:r>
      <w:r>
        <w:rPr>
          <w:sz w:val="20"/>
          <w:szCs w:val="20"/>
        </w:rPr>
        <w:t>retion of the debt discount and the instrument’s coupon interest, which could adversely affect our reported or future financial results, the trading price of our common stock and the trading price of the Notes. In addition, convertible debt instruments (su</w:t>
      </w:r>
      <w:r>
        <w:rPr>
          <w:sz w:val="20"/>
          <w:szCs w:val="20"/>
        </w:rPr>
        <w:t>ch as the Notes) that may be settled entirely or partly cash were accounted for utilizing the treasury stock method, the effect of which is that the shares issuable upon conversion of the Notes are not included in the calculation of diluted earnings per sh</w:t>
      </w:r>
      <w:r>
        <w:rPr>
          <w:sz w:val="20"/>
          <w:szCs w:val="20"/>
        </w:rPr>
        <w:t>are except to the extent that the conversion value of the Notes exceeds their principal amount</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 xml:space="preserve">In August 2020, the FASB published an Accounting Standards Update (“ASU”) 2020-06, which amends the accounting standards for convertible debt instruments that </w:t>
      </w:r>
      <w:r>
        <w:rPr>
          <w:sz w:val="20"/>
          <w:szCs w:val="20"/>
        </w:rPr>
        <w:t>may be settled entirely or partially in cash upon conversion. The new standard eliminates requirements to separately account for liability and equity components of such convertible debt instruments and requires the use of the if-converted method for calcul</w:t>
      </w:r>
      <w:r>
        <w:rPr>
          <w:sz w:val="20"/>
          <w:szCs w:val="20"/>
        </w:rPr>
        <w:t>ating the diluted earnings per share for convertible debt instruments. We adopted th</w:t>
      </w:r>
      <w:r>
        <w:rPr>
          <w:sz w:val="20"/>
          <w:szCs w:val="20"/>
        </w:rPr>
        <w:t>e</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5</w:t>
      </w:r>
      <w:r>
        <w:rPr>
          <w:sz w:val="20"/>
          <w:szCs w:val="20"/>
        </w:rPr>
        <w:t>6</w:t>
      </w:r>
    </w:p>
    <w:p w:rsidR="00000000" w:rsidRDefault="00805FA0">
      <w:pPr>
        <w:rPr>
          <w:rFonts w:eastAsia="Times New Roman"/>
        </w:rPr>
      </w:pPr>
      <w:r>
        <w:rPr>
          <w:rFonts w:eastAsia="Times New Roman"/>
        </w:rPr>
        <w:pict>
          <v:rect id="_x0000_i1080"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guidance on January 1, 2022, using the modified retrospective method. Future interest expense of the convertible notes will be l</w:t>
      </w:r>
      <w:r>
        <w:rPr>
          <w:sz w:val="20"/>
          <w:szCs w:val="20"/>
        </w:rPr>
        <w:t>ower as a result of adoption of this guidance and net loss per share will be computed using the if-converted method for these securities. See Note 8 of the consolidated financial statements for more details</w:t>
      </w:r>
      <w:r>
        <w:rPr>
          <w:sz w:val="20"/>
          <w:szCs w:val="20"/>
        </w:rPr>
        <w:t>.</w:t>
      </w:r>
      <w:r>
        <w:rPr>
          <w:sz w:val="20"/>
          <w:szCs w:val="20"/>
        </w:rPr>
        <w:t xml:space="preserve"> </w:t>
      </w:r>
    </w:p>
    <w:p w:rsidR="00000000" w:rsidRDefault="00805FA0">
      <w:pPr>
        <w:pStyle w:val="a3"/>
        <w:spacing w:before="20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Risks Related to Our Common Stoc</w:t>
      </w:r>
      <w:r>
        <w:rPr>
          <w:b/>
          <w:bCs/>
          <w:sz w:val="20"/>
          <w:szCs w:val="20"/>
        </w:rPr>
        <w:t>k</w:t>
      </w:r>
    </w:p>
    <w:p w:rsidR="00000000" w:rsidRDefault="00805FA0">
      <w:pPr>
        <w:pStyle w:val="a3"/>
        <w:spacing w:before="200" w:beforeAutospacing="0" w:after="0" w:afterAutospacing="0"/>
        <w:rPr>
          <w:sz w:val="20"/>
          <w:szCs w:val="20"/>
        </w:rPr>
      </w:pPr>
      <w:r>
        <w:rPr>
          <w:b/>
          <w:bCs/>
          <w:i/>
          <w:iCs/>
          <w:sz w:val="20"/>
          <w:szCs w:val="20"/>
        </w:rPr>
        <w:t>Our stock p</w:t>
      </w:r>
      <w:r>
        <w:rPr>
          <w:b/>
          <w:bCs/>
          <w:i/>
          <w:iCs/>
          <w:sz w:val="20"/>
          <w:szCs w:val="20"/>
        </w:rPr>
        <w:t>rice may be volatile and you may be unable to sell your shares at or above the price you purchased them</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The trading prices of the securities of technology companies, including providers of software via the cloud-based model, have been highly volatile. Sin</w:t>
      </w:r>
      <w:r>
        <w:rPr>
          <w:sz w:val="20"/>
          <w:szCs w:val="20"/>
        </w:rPr>
        <w:t>ce shares of our common stock were sold in our initial public offering in October 2014 at a price of $25.00 per share, our stock price has ranged from $25.79 to $866.00 through September 30, 2022. The market price of our common stock may fluctuate signific</w:t>
      </w:r>
      <w:r>
        <w:rPr>
          <w:sz w:val="20"/>
          <w:szCs w:val="20"/>
        </w:rPr>
        <w:t>antly in response to numerous factors, many of which are beyond our control, including</w:t>
      </w:r>
      <w:r>
        <w:rPr>
          <w:sz w:val="20"/>
          <w:szCs w:val="20"/>
        </w:rPr>
        <w:t>:</w:t>
      </w:r>
    </w:p>
    <w:p w:rsidR="00000000" w:rsidRDefault="00805FA0">
      <w:pPr>
        <w:divId w:val="1051727749"/>
        <w:rPr>
          <w:rFonts w:eastAsia="Times New Roman"/>
        </w:rPr>
      </w:pPr>
      <w:r>
        <w:rPr>
          <w:rFonts w:eastAsia="Times New Roman"/>
          <w:sz w:val="20"/>
          <w:szCs w:val="20"/>
        </w:rPr>
        <w:t>•</w:t>
      </w:r>
    </w:p>
    <w:p w:rsidR="00000000" w:rsidRDefault="00805FA0">
      <w:pPr>
        <w:divId w:val="1918400412"/>
        <w:rPr>
          <w:rFonts w:eastAsia="Times New Roman"/>
        </w:rPr>
      </w:pPr>
      <w:r>
        <w:rPr>
          <w:rFonts w:eastAsia="Times New Roman"/>
          <w:sz w:val="20"/>
          <w:szCs w:val="20"/>
        </w:rPr>
        <w:t>actual or anticipated fluctuations in our revenue and other operating results, including as a result of the addition or loss of any number of customers</w:t>
      </w:r>
      <w:r>
        <w:rPr>
          <w:rFonts w:eastAsia="Times New Roman"/>
          <w:sz w:val="20"/>
          <w:szCs w:val="20"/>
        </w:rPr>
        <w:t>;</w:t>
      </w:r>
    </w:p>
    <w:p w:rsidR="00000000" w:rsidRDefault="00805FA0">
      <w:pPr>
        <w:divId w:val="519395204"/>
        <w:rPr>
          <w:rFonts w:eastAsia="Times New Roman"/>
        </w:rPr>
      </w:pPr>
      <w:r>
        <w:rPr>
          <w:rFonts w:eastAsia="Times New Roman"/>
          <w:sz w:val="20"/>
          <w:szCs w:val="20"/>
        </w:rPr>
        <w:t>•</w:t>
      </w:r>
    </w:p>
    <w:p w:rsidR="00000000" w:rsidRDefault="00805FA0">
      <w:pPr>
        <w:divId w:val="1551920190"/>
        <w:rPr>
          <w:rFonts w:eastAsia="Times New Roman"/>
        </w:rPr>
      </w:pPr>
      <w:r>
        <w:rPr>
          <w:rFonts w:eastAsia="Times New Roman"/>
          <w:sz w:val="20"/>
          <w:szCs w:val="20"/>
        </w:rPr>
        <w:t>announcemen</w:t>
      </w:r>
      <w:r>
        <w:rPr>
          <w:rFonts w:eastAsia="Times New Roman"/>
          <w:sz w:val="20"/>
          <w:szCs w:val="20"/>
        </w:rPr>
        <w:t>ts by us or our competitors of significant technical innovations, acquisitions, strategic partnerships, joint ventures or capital commitments</w:t>
      </w:r>
      <w:r>
        <w:rPr>
          <w:rFonts w:eastAsia="Times New Roman"/>
          <w:sz w:val="20"/>
          <w:szCs w:val="20"/>
        </w:rPr>
        <w:t>;</w:t>
      </w:r>
    </w:p>
    <w:p w:rsidR="00000000" w:rsidRDefault="00805FA0">
      <w:pPr>
        <w:divId w:val="1267882752"/>
        <w:rPr>
          <w:rFonts w:eastAsia="Times New Roman"/>
        </w:rPr>
      </w:pPr>
      <w:r>
        <w:rPr>
          <w:rFonts w:eastAsia="Times New Roman"/>
          <w:sz w:val="20"/>
          <w:szCs w:val="20"/>
        </w:rPr>
        <w:t>•</w:t>
      </w:r>
    </w:p>
    <w:p w:rsidR="00000000" w:rsidRDefault="00805FA0">
      <w:pPr>
        <w:divId w:val="2107001326"/>
        <w:rPr>
          <w:rFonts w:eastAsia="Times New Roman"/>
        </w:rPr>
      </w:pPr>
      <w:r>
        <w:rPr>
          <w:rFonts w:eastAsia="Times New Roman"/>
          <w:sz w:val="20"/>
          <w:szCs w:val="20"/>
        </w:rPr>
        <w:t>the financial projections we may provide to the public, any changes in these projections or our failure to meet</w:t>
      </w:r>
      <w:r>
        <w:rPr>
          <w:rFonts w:eastAsia="Times New Roman"/>
          <w:sz w:val="20"/>
          <w:szCs w:val="20"/>
        </w:rPr>
        <w:t xml:space="preserve"> these projections</w:t>
      </w:r>
      <w:r>
        <w:rPr>
          <w:rFonts w:eastAsia="Times New Roman"/>
          <w:sz w:val="20"/>
          <w:szCs w:val="20"/>
        </w:rPr>
        <w:t>;</w:t>
      </w:r>
    </w:p>
    <w:p w:rsidR="00000000" w:rsidRDefault="00805FA0">
      <w:pPr>
        <w:divId w:val="1345397846"/>
        <w:rPr>
          <w:rFonts w:eastAsia="Times New Roman"/>
        </w:rPr>
      </w:pPr>
      <w:r>
        <w:rPr>
          <w:rFonts w:eastAsia="Times New Roman"/>
          <w:sz w:val="20"/>
          <w:szCs w:val="20"/>
        </w:rPr>
        <w:t>•</w:t>
      </w:r>
    </w:p>
    <w:p w:rsidR="00000000" w:rsidRDefault="00805FA0">
      <w:pPr>
        <w:divId w:val="822893423"/>
        <w:rPr>
          <w:rFonts w:eastAsia="Times New Roman"/>
        </w:rPr>
      </w:pPr>
      <w:r>
        <w:rPr>
          <w:rFonts w:eastAsia="Times New Roman"/>
          <w:sz w:val="20"/>
          <w:szCs w:val="20"/>
        </w:rPr>
        <w:t>failure of securities analysts to initiate or maintain coverage of us, changes in ratings and financial estimates and the publication of other news by any securities analysts who follow our company, or our failure to meet these estima</w:t>
      </w:r>
      <w:r>
        <w:rPr>
          <w:rFonts w:eastAsia="Times New Roman"/>
          <w:sz w:val="20"/>
          <w:szCs w:val="20"/>
        </w:rPr>
        <w:t>tes or the expectations of investors</w:t>
      </w:r>
      <w:r>
        <w:rPr>
          <w:rFonts w:eastAsia="Times New Roman"/>
          <w:sz w:val="20"/>
          <w:szCs w:val="20"/>
        </w:rPr>
        <w:t>;</w:t>
      </w:r>
    </w:p>
    <w:p w:rsidR="00000000" w:rsidRDefault="00805FA0">
      <w:pPr>
        <w:divId w:val="1584682875"/>
        <w:rPr>
          <w:rFonts w:eastAsia="Times New Roman"/>
        </w:rPr>
      </w:pPr>
      <w:r>
        <w:rPr>
          <w:rFonts w:eastAsia="Times New Roman"/>
          <w:sz w:val="20"/>
          <w:szCs w:val="20"/>
        </w:rPr>
        <w:t>•</w:t>
      </w:r>
    </w:p>
    <w:p w:rsidR="00000000" w:rsidRDefault="00805FA0">
      <w:pPr>
        <w:divId w:val="344796302"/>
        <w:rPr>
          <w:rFonts w:eastAsia="Times New Roman"/>
        </w:rPr>
      </w:pPr>
      <w:r>
        <w:rPr>
          <w:rFonts w:eastAsia="Times New Roman"/>
          <w:sz w:val="20"/>
          <w:szCs w:val="20"/>
        </w:rPr>
        <w:t>changes in operating performance and stock market valuations of cloud-based software or other technology companies, or those in our industry in particular</w:t>
      </w:r>
      <w:r>
        <w:rPr>
          <w:rFonts w:eastAsia="Times New Roman"/>
          <w:sz w:val="20"/>
          <w:szCs w:val="20"/>
        </w:rPr>
        <w:t>;</w:t>
      </w:r>
    </w:p>
    <w:p w:rsidR="00000000" w:rsidRDefault="00805FA0">
      <w:pPr>
        <w:divId w:val="1188104142"/>
        <w:rPr>
          <w:rFonts w:eastAsia="Times New Roman"/>
        </w:rPr>
      </w:pPr>
      <w:r>
        <w:rPr>
          <w:rFonts w:eastAsia="Times New Roman"/>
          <w:sz w:val="20"/>
          <w:szCs w:val="20"/>
        </w:rPr>
        <w:t>•</w:t>
      </w:r>
    </w:p>
    <w:p w:rsidR="00000000" w:rsidRDefault="00805FA0">
      <w:pPr>
        <w:divId w:val="701320966"/>
        <w:rPr>
          <w:rFonts w:eastAsia="Times New Roman"/>
        </w:rPr>
      </w:pPr>
      <w:r>
        <w:rPr>
          <w:rFonts w:eastAsia="Times New Roman"/>
          <w:sz w:val="20"/>
          <w:szCs w:val="20"/>
        </w:rPr>
        <w:t xml:space="preserve">price and volume fluctuations in the trading of our common stock and in the overall stock market, </w:t>
      </w:r>
      <w:r>
        <w:rPr>
          <w:rFonts w:eastAsia="Times New Roman"/>
          <w:sz w:val="20"/>
          <w:szCs w:val="20"/>
        </w:rPr>
        <w:t>including as a result of trends in the economy as a whole</w:t>
      </w:r>
      <w:r>
        <w:rPr>
          <w:rFonts w:eastAsia="Times New Roman"/>
          <w:sz w:val="20"/>
          <w:szCs w:val="20"/>
        </w:rPr>
        <w:t>;</w:t>
      </w:r>
    </w:p>
    <w:p w:rsidR="00000000" w:rsidRDefault="00805FA0">
      <w:pPr>
        <w:divId w:val="1109816005"/>
        <w:rPr>
          <w:rFonts w:eastAsia="Times New Roman"/>
        </w:rPr>
      </w:pPr>
      <w:r>
        <w:rPr>
          <w:rFonts w:eastAsia="Times New Roman"/>
          <w:sz w:val="20"/>
          <w:szCs w:val="20"/>
        </w:rPr>
        <w:t>•</w:t>
      </w:r>
    </w:p>
    <w:p w:rsidR="00000000" w:rsidRDefault="00805FA0">
      <w:pPr>
        <w:divId w:val="1946426025"/>
        <w:rPr>
          <w:rFonts w:eastAsia="Times New Roman"/>
        </w:rPr>
      </w:pPr>
      <w:r>
        <w:rPr>
          <w:rFonts w:eastAsia="Times New Roman"/>
          <w:sz w:val="20"/>
          <w:szCs w:val="20"/>
        </w:rPr>
        <w:t>sales of large blocks of our common stock or the dilutive effect of our Notes or any other equity or equity-linked financings</w:t>
      </w:r>
      <w:r>
        <w:rPr>
          <w:rFonts w:eastAsia="Times New Roman"/>
          <w:sz w:val="20"/>
          <w:szCs w:val="20"/>
        </w:rPr>
        <w:t>;</w:t>
      </w:r>
    </w:p>
    <w:p w:rsidR="00000000" w:rsidRDefault="00805FA0">
      <w:pPr>
        <w:divId w:val="771096728"/>
        <w:rPr>
          <w:rFonts w:eastAsia="Times New Roman"/>
        </w:rPr>
      </w:pPr>
      <w:r>
        <w:rPr>
          <w:rFonts w:eastAsia="Times New Roman"/>
          <w:sz w:val="20"/>
          <w:szCs w:val="20"/>
        </w:rPr>
        <w:t>•</w:t>
      </w:r>
    </w:p>
    <w:p w:rsidR="00000000" w:rsidRDefault="00805FA0">
      <w:pPr>
        <w:divId w:val="150365966"/>
        <w:rPr>
          <w:rFonts w:eastAsia="Times New Roman"/>
        </w:rPr>
      </w:pPr>
      <w:r>
        <w:rPr>
          <w:rFonts w:eastAsia="Times New Roman"/>
          <w:sz w:val="20"/>
          <w:szCs w:val="20"/>
        </w:rPr>
        <w:t>new laws or regulations or new interpretations of existing laws or</w:t>
      </w:r>
      <w:r>
        <w:rPr>
          <w:rFonts w:eastAsia="Times New Roman"/>
          <w:sz w:val="20"/>
          <w:szCs w:val="20"/>
        </w:rPr>
        <w:t xml:space="preserve"> regulations applicable to our business or industry, including data privacy and data security</w:t>
      </w:r>
      <w:r>
        <w:rPr>
          <w:rFonts w:eastAsia="Times New Roman"/>
          <w:sz w:val="20"/>
          <w:szCs w:val="20"/>
        </w:rPr>
        <w:t>;</w:t>
      </w:r>
    </w:p>
    <w:p w:rsidR="00000000" w:rsidRDefault="00805FA0">
      <w:pPr>
        <w:divId w:val="607003715"/>
        <w:rPr>
          <w:rFonts w:eastAsia="Times New Roman"/>
        </w:rPr>
      </w:pPr>
      <w:r>
        <w:rPr>
          <w:rFonts w:eastAsia="Times New Roman"/>
          <w:sz w:val="20"/>
          <w:szCs w:val="20"/>
        </w:rPr>
        <w:t>•</w:t>
      </w:r>
    </w:p>
    <w:p w:rsidR="00000000" w:rsidRDefault="00805FA0">
      <w:pPr>
        <w:divId w:val="1464075265"/>
        <w:rPr>
          <w:rFonts w:eastAsia="Times New Roman"/>
        </w:rPr>
      </w:pPr>
      <w:r>
        <w:rPr>
          <w:rFonts w:eastAsia="Times New Roman"/>
          <w:sz w:val="20"/>
          <w:szCs w:val="20"/>
        </w:rPr>
        <w:t>lawsuits threatened or filed against us</w:t>
      </w:r>
      <w:r>
        <w:rPr>
          <w:rFonts w:eastAsia="Times New Roman"/>
          <w:sz w:val="20"/>
          <w:szCs w:val="20"/>
        </w:rPr>
        <w:t>;</w:t>
      </w:r>
    </w:p>
    <w:p w:rsidR="00000000" w:rsidRDefault="00805FA0">
      <w:pPr>
        <w:divId w:val="723914118"/>
        <w:rPr>
          <w:rFonts w:eastAsia="Times New Roman"/>
        </w:rPr>
      </w:pPr>
      <w:r>
        <w:rPr>
          <w:rFonts w:eastAsia="Times New Roman"/>
          <w:sz w:val="20"/>
          <w:szCs w:val="20"/>
        </w:rPr>
        <w:t>•</w:t>
      </w:r>
    </w:p>
    <w:p w:rsidR="00000000" w:rsidRDefault="00805FA0">
      <w:pPr>
        <w:divId w:val="777410070"/>
        <w:rPr>
          <w:rFonts w:eastAsia="Times New Roman"/>
        </w:rPr>
      </w:pPr>
      <w:r>
        <w:rPr>
          <w:rFonts w:eastAsia="Times New Roman"/>
          <w:sz w:val="20"/>
          <w:szCs w:val="20"/>
        </w:rPr>
        <w:t>changes in key personnel; an</w:t>
      </w:r>
      <w:r>
        <w:rPr>
          <w:rFonts w:eastAsia="Times New Roman"/>
          <w:sz w:val="20"/>
          <w:szCs w:val="20"/>
        </w:rPr>
        <w:t>d</w:t>
      </w:r>
    </w:p>
    <w:p w:rsidR="00000000" w:rsidRDefault="00805FA0">
      <w:pPr>
        <w:divId w:val="245767949"/>
        <w:rPr>
          <w:rFonts w:eastAsia="Times New Roman"/>
        </w:rPr>
      </w:pPr>
      <w:r>
        <w:rPr>
          <w:rFonts w:eastAsia="Times New Roman"/>
          <w:sz w:val="20"/>
          <w:szCs w:val="20"/>
        </w:rPr>
        <w:t>•</w:t>
      </w:r>
    </w:p>
    <w:p w:rsidR="00000000" w:rsidRDefault="00805FA0">
      <w:pPr>
        <w:divId w:val="1510868125"/>
        <w:rPr>
          <w:rFonts w:eastAsia="Times New Roman"/>
        </w:rPr>
      </w:pPr>
      <w:r>
        <w:rPr>
          <w:rFonts w:eastAsia="Times New Roman"/>
          <w:sz w:val="20"/>
          <w:szCs w:val="20"/>
        </w:rPr>
        <w:t xml:space="preserve">other events or factors, including changes in general economic, industry and market </w:t>
      </w:r>
      <w:r>
        <w:rPr>
          <w:rFonts w:eastAsia="Times New Roman"/>
          <w:sz w:val="20"/>
          <w:szCs w:val="20"/>
        </w:rPr>
        <w:t>conditions and trends, international disputes, wars (such as the conflict between Russia and Ukraine), and political stability.</w:t>
      </w:r>
      <w:r>
        <w:rPr>
          <w:rFonts w:eastAsia="Times New Roman"/>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In addition, the stock markets have experienced extreme price and volume fluctuations that have affected and continue to affect</w:t>
      </w:r>
      <w:r>
        <w:rPr>
          <w:sz w:val="20"/>
          <w:szCs w:val="20"/>
        </w:rPr>
        <w:t xml:space="preserve"> the market prices of equity securities of many technology companies. Stock prices of many technology companies have fluctuated in a manner unrelated or disproportionate to the operating performance of those companies</w:t>
      </w:r>
      <w:r>
        <w:rPr>
          <w:sz w:val="20"/>
          <w:szCs w:val="20"/>
        </w:rPr>
        <w:t>.</w:t>
      </w:r>
    </w:p>
    <w:p w:rsidR="00000000" w:rsidRDefault="00805FA0">
      <w:pPr>
        <w:pStyle w:val="a3"/>
        <w:spacing w:before="200" w:beforeAutospacing="0" w:after="0" w:afterAutospacing="0"/>
        <w:ind w:firstLine="555"/>
        <w:rPr>
          <w:sz w:val="20"/>
          <w:szCs w:val="20"/>
        </w:rPr>
      </w:pPr>
      <w:r>
        <w:rPr>
          <w:sz w:val="20"/>
          <w:szCs w:val="20"/>
        </w:rPr>
        <w:t>In the past, stockholders have instit</w:t>
      </w:r>
      <w:r>
        <w:rPr>
          <w:sz w:val="20"/>
          <w:szCs w:val="20"/>
        </w:rPr>
        <w:t>uted securities class action litigation following periods of market volatility. If we were to become involved in securities litigation, it could subject us to substantial costs, divert resources and the attention of management from our business and adverse</w:t>
      </w:r>
      <w:r>
        <w:rPr>
          <w:sz w:val="20"/>
          <w:szCs w:val="20"/>
        </w:rPr>
        <w:t>ly affect our business</w:t>
      </w:r>
      <w:r>
        <w:rPr>
          <w:sz w:val="20"/>
          <w:szCs w:val="20"/>
        </w:rPr>
        <w:t>.</w:t>
      </w:r>
    </w:p>
    <w:p w:rsidR="00000000" w:rsidRDefault="00805FA0">
      <w:pPr>
        <w:pStyle w:val="a3"/>
        <w:spacing w:before="200" w:beforeAutospacing="0" w:after="0" w:afterAutospacing="0"/>
        <w:rPr>
          <w:sz w:val="20"/>
          <w:szCs w:val="20"/>
        </w:rPr>
      </w:pPr>
      <w:r>
        <w:rPr>
          <w:b/>
          <w:bCs/>
          <w:i/>
          <w:iCs/>
          <w:sz w:val="20"/>
          <w:szCs w:val="20"/>
        </w:rPr>
        <w:t>If we fail to maintain an effective system of disclosure controls and internal control over financial reporting, our ability to produce timely and accurate financial statements or comply with applicable regulations could be impaired</w:t>
      </w:r>
      <w:r>
        <w:rPr>
          <w:b/>
          <w:bCs/>
          <w:i/>
          <w:iCs/>
          <w:sz w:val="20"/>
          <w:szCs w:val="20"/>
        </w:rPr>
        <w:t>.</w:t>
      </w:r>
      <w:r>
        <w:rPr>
          <w:b/>
          <w:bCs/>
          <w:i/>
          <w:iCs/>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As a public company we are subject to the reporting requirements of the Securities Exchange Act of 1934, as amended (the “Exchange Act”), the Sarbanes-Oxley Act of 2002 (the “Sarbanes-Oxley Act”), the Dodd-Frank Wall Street Reform and Consumer Protectio</w:t>
      </w:r>
      <w:r>
        <w:rPr>
          <w:sz w:val="20"/>
          <w:szCs w:val="20"/>
        </w:rPr>
        <w:t>n Act (the “Dodd-Frank Act”), and the rules and regulations of the New York Stock Exchange (the “NYSE”). We expect tha</w:t>
      </w:r>
      <w:r>
        <w:rPr>
          <w:sz w:val="20"/>
          <w:szCs w:val="20"/>
        </w:rPr>
        <w:t>t</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5</w:t>
      </w:r>
      <w:r>
        <w:rPr>
          <w:sz w:val="20"/>
          <w:szCs w:val="20"/>
        </w:rPr>
        <w:t>7</w:t>
      </w:r>
    </w:p>
    <w:p w:rsidR="00000000" w:rsidRDefault="00805FA0">
      <w:pPr>
        <w:rPr>
          <w:rFonts w:eastAsia="Times New Roman"/>
        </w:rPr>
      </w:pPr>
      <w:r>
        <w:rPr>
          <w:rFonts w:eastAsia="Times New Roman"/>
        </w:rPr>
        <w:pict>
          <v:rect id="_x0000_i1081"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compliance with these rules and regulations will continue to increase our legal, accounting and financial compliance costs, make some activities more difficult, time consuming and costly, and place significant strain on our personnel, systems and resources</w:t>
      </w:r>
      <w:r>
        <w:rPr>
          <w:sz w:val="20"/>
          <w:szCs w:val="20"/>
        </w:rPr>
        <w:t>.</w:t>
      </w:r>
    </w:p>
    <w:p w:rsidR="00000000" w:rsidRDefault="00805FA0">
      <w:pPr>
        <w:pStyle w:val="a3"/>
        <w:spacing w:before="200" w:beforeAutospacing="0" w:after="0" w:afterAutospacing="0"/>
        <w:ind w:firstLine="555"/>
        <w:rPr>
          <w:sz w:val="20"/>
          <w:szCs w:val="20"/>
        </w:rPr>
      </w:pPr>
      <w:r>
        <w:rPr>
          <w:sz w:val="20"/>
          <w:szCs w:val="20"/>
        </w:rPr>
        <w:t>The Sarbanes-Oxley Act requires, among other things, that we assess the effectiveness of our internal control over financial reporting annually and the effectiveness of our disclosure controls and procedures quarterly. In particular, Section 404 of the S</w:t>
      </w:r>
      <w:r>
        <w:rPr>
          <w:sz w:val="20"/>
          <w:szCs w:val="20"/>
        </w:rPr>
        <w:t>arbanes-Oxley Act (“Section 404”), requires us to perform system and process evaluation and testing of our internal control over financial reporting to allow management to report on, and our independent registered public accounting firm to attest to, the e</w:t>
      </w:r>
      <w:r>
        <w:rPr>
          <w:sz w:val="20"/>
          <w:szCs w:val="20"/>
        </w:rPr>
        <w:t>ffectiveness of our internal control over financial reporting. Our compliance with applicable provisions of Section 404 requires that we incur substantial accounting expenses and expend significant management time on compliance-related issues as we impleme</w:t>
      </w:r>
      <w:r>
        <w:rPr>
          <w:sz w:val="20"/>
          <w:szCs w:val="20"/>
        </w:rPr>
        <w:t>nt additional corporate governance practices and comply with reporting requirements. Moreover, if we are not able to comply with the requirements of Section 404 applicable to us in a timely manner, or if we or our independent registered public accounting f</w:t>
      </w:r>
      <w:r>
        <w:rPr>
          <w:sz w:val="20"/>
          <w:szCs w:val="20"/>
        </w:rPr>
        <w:t>irm identifies deficiencies in our internal control over financial reporting that are deemed to be material weaknesses, the market price of our stock could decline and we could be subject to sanctions or investigations by the SEC or other regulatory author</w:t>
      </w:r>
      <w:r>
        <w:rPr>
          <w:sz w:val="20"/>
          <w:szCs w:val="20"/>
        </w:rPr>
        <w:t>ities, which would require additional financial and management resources</w:t>
      </w:r>
      <w:r>
        <w:rPr>
          <w:sz w:val="20"/>
          <w:szCs w:val="20"/>
        </w:rPr>
        <w:t>.</w:t>
      </w:r>
    </w:p>
    <w:p w:rsidR="00000000" w:rsidRDefault="00805FA0">
      <w:pPr>
        <w:pStyle w:val="a3"/>
        <w:spacing w:before="200" w:beforeAutospacing="0" w:after="0" w:afterAutospacing="0"/>
        <w:ind w:firstLine="555"/>
        <w:rPr>
          <w:sz w:val="20"/>
          <w:szCs w:val="20"/>
        </w:rPr>
      </w:pPr>
      <w:r>
        <w:rPr>
          <w:sz w:val="20"/>
          <w:szCs w:val="20"/>
        </w:rPr>
        <w:t>Furthermore, investor perceptions of our company may suffer if deficiencies are found, and this could cause a decline in the market price of our stock. Irrespective of compliance wit</w:t>
      </w:r>
      <w:r>
        <w:rPr>
          <w:sz w:val="20"/>
          <w:szCs w:val="20"/>
        </w:rPr>
        <w:t xml:space="preserve">h Section 404, any failure of our internal control over financial reporting could have a material adverse effect on our stated operating results and harm our reputation. If we are unable to implement these requirements effectively or efficiently, it could </w:t>
      </w:r>
      <w:r>
        <w:rPr>
          <w:sz w:val="20"/>
          <w:szCs w:val="20"/>
        </w:rPr>
        <w:t>harm our operations, financial reporting, or financial results and could result in an adverse opinion on our internal controls from our independent registered public accounting firm. In addition, as a result of our hybrid culture, many of our employees – i</w:t>
      </w:r>
      <w:r>
        <w:rPr>
          <w:sz w:val="20"/>
          <w:szCs w:val="20"/>
        </w:rPr>
        <w:t>ncluding those critical to maintaining an effective system of disclosure controls and internal control over financial reporting – are working, and are expected to continue to work for the near term, in a remote environment and not in the office environment</w:t>
      </w:r>
      <w:r>
        <w:rPr>
          <w:sz w:val="20"/>
          <w:szCs w:val="20"/>
        </w:rPr>
        <w:t xml:space="preserve"> from which they have historically performed their duties. We have limited experience maintaining effective control systems with our employees working in remote environments, and risks that we have not contemplated may arise and result in our failure to ma</w:t>
      </w:r>
      <w:r>
        <w:rPr>
          <w:sz w:val="20"/>
          <w:szCs w:val="20"/>
        </w:rPr>
        <w:t>intain effective disclosure controls or internal control over financial reporting</w:t>
      </w:r>
      <w:r>
        <w:rPr>
          <w:sz w:val="20"/>
          <w:szCs w:val="20"/>
        </w:rPr>
        <w:t>.</w:t>
      </w:r>
    </w:p>
    <w:p w:rsidR="00000000" w:rsidRDefault="00805FA0">
      <w:pPr>
        <w:pStyle w:val="a3"/>
        <w:spacing w:before="200" w:beforeAutospacing="0" w:after="0" w:afterAutospacing="0"/>
        <w:rPr>
          <w:sz w:val="20"/>
          <w:szCs w:val="20"/>
        </w:rPr>
      </w:pPr>
      <w:r>
        <w:rPr>
          <w:b/>
          <w:bCs/>
          <w:i/>
          <w:iCs/>
          <w:sz w:val="20"/>
          <w:szCs w:val="20"/>
        </w:rPr>
        <w:t>Anti-takeover provisions in our charter documents and Delaware law may delay or prevent an acquisition of our company</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amended and restated certificate of incorporation, amended and restated bylaws and Delaware law contain provisions that may have the effect of delaying or preventing a change in control of us or changes in our management. Our amended and restated certi</w:t>
      </w:r>
      <w:r>
        <w:rPr>
          <w:sz w:val="20"/>
          <w:szCs w:val="20"/>
        </w:rPr>
        <w:t>ficate of incorporation and bylaws include provisions that</w:t>
      </w:r>
      <w:r>
        <w:rPr>
          <w:sz w:val="20"/>
          <w:szCs w:val="20"/>
        </w:rPr>
        <w:t>:</w:t>
      </w:r>
    </w:p>
    <w:p w:rsidR="00000000" w:rsidRDefault="00805FA0">
      <w:pPr>
        <w:divId w:val="1598055861"/>
        <w:rPr>
          <w:rFonts w:eastAsia="Times New Roman"/>
        </w:rPr>
      </w:pPr>
      <w:r>
        <w:rPr>
          <w:rFonts w:eastAsia="Times New Roman"/>
          <w:sz w:val="20"/>
          <w:szCs w:val="20"/>
        </w:rPr>
        <w:t>•</w:t>
      </w:r>
    </w:p>
    <w:p w:rsidR="00000000" w:rsidRDefault="00805FA0">
      <w:pPr>
        <w:divId w:val="1381981703"/>
        <w:rPr>
          <w:rFonts w:eastAsia="Times New Roman"/>
        </w:rPr>
      </w:pPr>
      <w:r>
        <w:rPr>
          <w:rFonts w:eastAsia="Times New Roman"/>
          <w:sz w:val="20"/>
          <w:szCs w:val="20"/>
        </w:rPr>
        <w:t>authorize “blank check” preferred stock, which could be issued by the board without stockholder approval and may contain voting, liquidation, dividend and other rights superior to our common sto</w:t>
      </w:r>
      <w:r>
        <w:rPr>
          <w:rFonts w:eastAsia="Times New Roman"/>
          <w:sz w:val="20"/>
          <w:szCs w:val="20"/>
        </w:rPr>
        <w:t>ck</w:t>
      </w:r>
      <w:r>
        <w:rPr>
          <w:rFonts w:eastAsia="Times New Roman"/>
          <w:sz w:val="20"/>
          <w:szCs w:val="20"/>
        </w:rPr>
        <w:t>;</w:t>
      </w:r>
    </w:p>
    <w:p w:rsidR="00000000" w:rsidRDefault="00805FA0">
      <w:pPr>
        <w:divId w:val="1055155529"/>
        <w:rPr>
          <w:rFonts w:eastAsia="Times New Roman"/>
        </w:rPr>
      </w:pPr>
      <w:r>
        <w:rPr>
          <w:rFonts w:eastAsia="Times New Roman"/>
          <w:sz w:val="20"/>
          <w:szCs w:val="20"/>
        </w:rPr>
        <w:t>•</w:t>
      </w:r>
    </w:p>
    <w:p w:rsidR="00000000" w:rsidRDefault="00805FA0">
      <w:pPr>
        <w:divId w:val="1928421691"/>
        <w:rPr>
          <w:rFonts w:eastAsia="Times New Roman"/>
        </w:rPr>
      </w:pPr>
      <w:r>
        <w:rPr>
          <w:rFonts w:eastAsia="Times New Roman"/>
          <w:sz w:val="20"/>
          <w:szCs w:val="20"/>
        </w:rPr>
        <w:t>provide for a classified board of directors whose members serve staggered three-year terms</w:t>
      </w:r>
      <w:r>
        <w:rPr>
          <w:rFonts w:eastAsia="Times New Roman"/>
          <w:sz w:val="20"/>
          <w:szCs w:val="20"/>
        </w:rPr>
        <w:t>;</w:t>
      </w:r>
    </w:p>
    <w:p w:rsidR="00000000" w:rsidRDefault="00805FA0">
      <w:pPr>
        <w:divId w:val="1741368391"/>
        <w:rPr>
          <w:rFonts w:eastAsia="Times New Roman"/>
        </w:rPr>
      </w:pPr>
      <w:r>
        <w:rPr>
          <w:rFonts w:eastAsia="Times New Roman"/>
          <w:sz w:val="20"/>
          <w:szCs w:val="20"/>
        </w:rPr>
        <w:t>•</w:t>
      </w:r>
    </w:p>
    <w:p w:rsidR="00000000" w:rsidRDefault="00805FA0">
      <w:pPr>
        <w:divId w:val="1430807315"/>
        <w:rPr>
          <w:rFonts w:eastAsia="Times New Roman"/>
        </w:rPr>
      </w:pPr>
      <w:r>
        <w:rPr>
          <w:rFonts w:eastAsia="Times New Roman"/>
          <w:sz w:val="20"/>
          <w:szCs w:val="20"/>
        </w:rPr>
        <w:t>specify that special meetings of our stockholders can be called only by our board of directors, the chairperson of the board, the chief executive officer or</w:t>
      </w:r>
      <w:r>
        <w:rPr>
          <w:rFonts w:eastAsia="Times New Roman"/>
          <w:sz w:val="20"/>
          <w:szCs w:val="20"/>
        </w:rPr>
        <w:t xml:space="preserve"> the president</w:t>
      </w:r>
      <w:r>
        <w:rPr>
          <w:rFonts w:eastAsia="Times New Roman"/>
          <w:sz w:val="20"/>
          <w:szCs w:val="20"/>
        </w:rPr>
        <w:t>;</w:t>
      </w:r>
    </w:p>
    <w:p w:rsidR="00000000" w:rsidRDefault="00805FA0">
      <w:pPr>
        <w:divId w:val="1524585802"/>
        <w:rPr>
          <w:rFonts w:eastAsia="Times New Roman"/>
        </w:rPr>
      </w:pPr>
      <w:r>
        <w:rPr>
          <w:rFonts w:eastAsia="Times New Roman"/>
          <w:sz w:val="20"/>
          <w:szCs w:val="20"/>
        </w:rPr>
        <w:t>•</w:t>
      </w:r>
    </w:p>
    <w:p w:rsidR="00000000" w:rsidRDefault="00805FA0">
      <w:pPr>
        <w:divId w:val="1187982808"/>
        <w:rPr>
          <w:rFonts w:eastAsia="Times New Roman"/>
        </w:rPr>
      </w:pPr>
      <w:r>
        <w:rPr>
          <w:rFonts w:eastAsia="Times New Roman"/>
          <w:sz w:val="20"/>
          <w:szCs w:val="20"/>
        </w:rPr>
        <w:t>prohibit stockholder action by written consent</w:t>
      </w:r>
      <w:r>
        <w:rPr>
          <w:rFonts w:eastAsia="Times New Roman"/>
          <w:sz w:val="20"/>
          <w:szCs w:val="20"/>
        </w:rPr>
        <w:t>;</w:t>
      </w:r>
    </w:p>
    <w:p w:rsidR="00000000" w:rsidRDefault="00805FA0">
      <w:pPr>
        <w:divId w:val="163206460"/>
        <w:rPr>
          <w:rFonts w:eastAsia="Times New Roman"/>
        </w:rPr>
      </w:pPr>
      <w:r>
        <w:rPr>
          <w:rFonts w:eastAsia="Times New Roman"/>
          <w:sz w:val="20"/>
          <w:szCs w:val="20"/>
        </w:rPr>
        <w:t>•</w:t>
      </w:r>
    </w:p>
    <w:p w:rsidR="00000000" w:rsidRDefault="00805FA0">
      <w:pPr>
        <w:divId w:val="716587199"/>
        <w:rPr>
          <w:rFonts w:eastAsia="Times New Roman"/>
        </w:rPr>
      </w:pPr>
      <w:r>
        <w:rPr>
          <w:rFonts w:eastAsia="Times New Roman"/>
          <w:sz w:val="20"/>
          <w:szCs w:val="20"/>
        </w:rPr>
        <w:t>establish an advance notice procedure for stockholder approvals to be brought before an annual meeting of our stockholders, including proposed nominations of persons for election to our bo</w:t>
      </w:r>
      <w:r>
        <w:rPr>
          <w:rFonts w:eastAsia="Times New Roman"/>
          <w:sz w:val="20"/>
          <w:szCs w:val="20"/>
        </w:rPr>
        <w:t>ard of directors</w:t>
      </w:r>
      <w:r>
        <w:rPr>
          <w:rFonts w:eastAsia="Times New Roman"/>
          <w:sz w:val="20"/>
          <w:szCs w:val="20"/>
        </w:rPr>
        <w:t>;</w:t>
      </w:r>
    </w:p>
    <w:p w:rsidR="00000000" w:rsidRDefault="00805FA0">
      <w:pPr>
        <w:divId w:val="713894263"/>
        <w:rPr>
          <w:rFonts w:eastAsia="Times New Roman"/>
        </w:rPr>
      </w:pPr>
      <w:r>
        <w:rPr>
          <w:rFonts w:eastAsia="Times New Roman"/>
          <w:sz w:val="20"/>
          <w:szCs w:val="20"/>
        </w:rPr>
        <w:t>•</w:t>
      </w:r>
    </w:p>
    <w:p w:rsidR="00000000" w:rsidRDefault="00805FA0">
      <w:pPr>
        <w:divId w:val="2105220749"/>
        <w:rPr>
          <w:rFonts w:eastAsia="Times New Roman"/>
        </w:rPr>
      </w:pPr>
      <w:r>
        <w:rPr>
          <w:rFonts w:eastAsia="Times New Roman"/>
          <w:sz w:val="20"/>
          <w:szCs w:val="20"/>
        </w:rPr>
        <w:t>provide that our directors may be removed only for cause</w:t>
      </w:r>
      <w:r>
        <w:rPr>
          <w:rFonts w:eastAsia="Times New Roman"/>
          <w:sz w:val="20"/>
          <w:szCs w:val="20"/>
        </w:rPr>
        <w:t>;</w:t>
      </w:r>
    </w:p>
    <w:p w:rsidR="00000000" w:rsidRDefault="00805FA0">
      <w:pPr>
        <w:divId w:val="957107352"/>
        <w:rPr>
          <w:rFonts w:eastAsia="Times New Roman"/>
        </w:rPr>
      </w:pPr>
      <w:r>
        <w:rPr>
          <w:rFonts w:eastAsia="Times New Roman"/>
          <w:sz w:val="20"/>
          <w:szCs w:val="20"/>
        </w:rPr>
        <w:t>•</w:t>
      </w:r>
    </w:p>
    <w:p w:rsidR="00000000" w:rsidRDefault="00805FA0">
      <w:pPr>
        <w:divId w:val="1292782328"/>
        <w:rPr>
          <w:rFonts w:eastAsia="Times New Roman"/>
        </w:rPr>
      </w:pPr>
      <w:r>
        <w:rPr>
          <w:rFonts w:eastAsia="Times New Roman"/>
          <w:sz w:val="20"/>
          <w:szCs w:val="20"/>
        </w:rPr>
        <w:t>provide that vacancies on our board of directors may be filled only by a majority of directors then in office, even though less than a quorum</w:t>
      </w:r>
      <w:r>
        <w:rPr>
          <w:rFonts w:eastAsia="Times New Roman"/>
          <w:sz w:val="20"/>
          <w:szCs w:val="20"/>
        </w:rPr>
        <w:t>;</w:t>
      </w:r>
    </w:p>
    <w:p w:rsidR="00000000" w:rsidRDefault="00805FA0">
      <w:pPr>
        <w:divId w:val="697007778"/>
        <w:rPr>
          <w:rFonts w:eastAsia="Times New Roman"/>
        </w:rPr>
      </w:pPr>
      <w:r>
        <w:rPr>
          <w:rFonts w:eastAsia="Times New Roman"/>
          <w:sz w:val="20"/>
          <w:szCs w:val="20"/>
        </w:rPr>
        <w:t>•</w:t>
      </w:r>
    </w:p>
    <w:p w:rsidR="00000000" w:rsidRDefault="00805FA0">
      <w:pPr>
        <w:divId w:val="105125273"/>
        <w:rPr>
          <w:rFonts w:eastAsia="Times New Roman"/>
        </w:rPr>
      </w:pPr>
      <w:r>
        <w:rPr>
          <w:rFonts w:eastAsia="Times New Roman"/>
          <w:sz w:val="20"/>
          <w:szCs w:val="20"/>
        </w:rPr>
        <w:t xml:space="preserve">specify that no stockholder is </w:t>
      </w:r>
      <w:r>
        <w:rPr>
          <w:rFonts w:eastAsia="Times New Roman"/>
          <w:sz w:val="20"/>
          <w:szCs w:val="20"/>
        </w:rPr>
        <w:t>permitted to cumulate votes at any election of directors</w:t>
      </w:r>
      <w:r>
        <w:rPr>
          <w:rFonts w:eastAsia="Times New Roman"/>
          <w:sz w:val="20"/>
          <w:szCs w:val="20"/>
        </w:rPr>
        <w:t>;</w:t>
      </w:r>
    </w:p>
    <w:p w:rsidR="00000000" w:rsidRDefault="00805FA0">
      <w:pPr>
        <w:divId w:val="700399676"/>
        <w:rPr>
          <w:rFonts w:eastAsia="Times New Roman"/>
        </w:rPr>
      </w:pPr>
      <w:r>
        <w:rPr>
          <w:rFonts w:eastAsia="Times New Roman"/>
          <w:sz w:val="20"/>
          <w:szCs w:val="20"/>
        </w:rPr>
        <w:t>•</w:t>
      </w:r>
    </w:p>
    <w:p w:rsidR="00000000" w:rsidRDefault="00805FA0">
      <w:pPr>
        <w:divId w:val="1259679958"/>
        <w:rPr>
          <w:rFonts w:eastAsia="Times New Roman"/>
        </w:rPr>
      </w:pPr>
      <w:r>
        <w:rPr>
          <w:rFonts w:eastAsia="Times New Roman"/>
          <w:sz w:val="20"/>
          <w:szCs w:val="20"/>
        </w:rPr>
        <w:t>authorize our board of directors to modify, alter or repeal our amended and restated bylaws; an</w:t>
      </w:r>
      <w:r>
        <w:rPr>
          <w:rFonts w:eastAsia="Times New Roman"/>
          <w:sz w:val="20"/>
          <w:szCs w:val="20"/>
        </w:rPr>
        <w:t>d</w:t>
      </w:r>
    </w:p>
    <w:p w:rsidR="00000000" w:rsidRDefault="00805FA0">
      <w:pPr>
        <w:divId w:val="2130276686"/>
        <w:rPr>
          <w:rFonts w:eastAsia="Times New Roman"/>
        </w:rPr>
      </w:pPr>
      <w:r>
        <w:rPr>
          <w:rFonts w:eastAsia="Times New Roman"/>
          <w:sz w:val="20"/>
          <w:szCs w:val="20"/>
        </w:rPr>
        <w:t>•</w:t>
      </w:r>
    </w:p>
    <w:p w:rsidR="00000000" w:rsidRDefault="00805FA0">
      <w:pPr>
        <w:divId w:val="1562522761"/>
        <w:rPr>
          <w:rFonts w:eastAsia="Times New Roman"/>
        </w:rPr>
      </w:pPr>
      <w:r>
        <w:rPr>
          <w:rFonts w:eastAsia="Times New Roman"/>
          <w:sz w:val="20"/>
          <w:szCs w:val="20"/>
        </w:rPr>
        <w:t>require supermajority votes of the holders of our common stock to amend specified provisions of o</w:t>
      </w:r>
      <w:r>
        <w:rPr>
          <w:rFonts w:eastAsia="Times New Roman"/>
          <w:sz w:val="20"/>
          <w:szCs w:val="20"/>
        </w:rPr>
        <w:t>ur charter documents</w:t>
      </w:r>
      <w:r>
        <w:rPr>
          <w:rFonts w:eastAsia="Times New Roman"/>
          <w:sz w:val="20"/>
          <w:szCs w:val="20"/>
        </w:rPr>
        <w:t>.</w:t>
      </w:r>
    </w:p>
    <w:p w:rsidR="00000000" w:rsidRDefault="00805FA0">
      <w:pPr>
        <w:pStyle w:val="a3"/>
        <w:spacing w:before="200" w:beforeAutospacing="0" w:after="0" w:afterAutospacing="0"/>
        <w:ind w:firstLine="555"/>
        <w:rPr>
          <w:sz w:val="20"/>
          <w:szCs w:val="20"/>
        </w:rPr>
      </w:pPr>
      <w:r>
        <w:rPr>
          <w:sz w:val="20"/>
          <w:szCs w:val="20"/>
        </w:rPr>
        <w:t>These provisions, alone or together, could delay or prevent hostile takeovers and changes in control or changes in our management</w:t>
      </w:r>
      <w:r>
        <w:rPr>
          <w:sz w:val="20"/>
          <w:szCs w:val="20"/>
        </w:rPr>
        <w:t>.</w:t>
      </w:r>
    </w:p>
    <w:p w:rsidR="00000000" w:rsidRDefault="00805FA0">
      <w:pPr>
        <w:pStyle w:val="a3"/>
        <w:spacing w:before="200" w:beforeAutospacing="0" w:after="0" w:afterAutospacing="0"/>
        <w:ind w:firstLine="555"/>
        <w:rPr>
          <w:sz w:val="20"/>
          <w:szCs w:val="20"/>
        </w:rPr>
      </w:pPr>
      <w:r>
        <w:rPr>
          <w:sz w:val="20"/>
          <w:szCs w:val="20"/>
        </w:rPr>
        <w:t xml:space="preserve">In addition, because we are incorporated in Delaware, we are governed by the provisions of Section 203 </w:t>
      </w:r>
      <w:r>
        <w:rPr>
          <w:sz w:val="20"/>
          <w:szCs w:val="20"/>
        </w:rPr>
        <w:t>of the Delaware General Corporation Law, which limits the ability of stockholders owning in excess of 15% of our outstanding voting stock to merge or combine with us in certain circumstances</w:t>
      </w:r>
      <w:r>
        <w:rPr>
          <w:sz w:val="20"/>
          <w:szCs w:val="20"/>
        </w:rPr>
        <w:t>.</w:t>
      </w:r>
    </w:p>
    <w:p w:rsidR="00000000" w:rsidRDefault="00805FA0">
      <w:pPr>
        <w:pStyle w:val="a3"/>
        <w:spacing w:before="240" w:beforeAutospacing="0" w:after="0" w:afterAutospacing="0"/>
        <w:jc w:val="center"/>
        <w:rPr>
          <w:sz w:val="20"/>
          <w:szCs w:val="20"/>
        </w:rPr>
      </w:pPr>
      <w:r>
        <w:rPr>
          <w:sz w:val="20"/>
          <w:szCs w:val="20"/>
        </w:rPr>
        <w:t>5</w:t>
      </w:r>
      <w:r>
        <w:rPr>
          <w:sz w:val="20"/>
          <w:szCs w:val="20"/>
        </w:rPr>
        <w:t>8</w:t>
      </w:r>
    </w:p>
    <w:p w:rsidR="00000000" w:rsidRDefault="00805FA0">
      <w:pPr>
        <w:rPr>
          <w:rFonts w:eastAsia="Times New Roman"/>
        </w:rPr>
      </w:pPr>
      <w:r>
        <w:rPr>
          <w:rFonts w:eastAsia="Times New Roman"/>
        </w:rPr>
        <w:pict>
          <v:rect id="_x0000_i1082"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ind w:firstLine="555"/>
        <w:rPr>
          <w:sz w:val="20"/>
          <w:szCs w:val="20"/>
        </w:rPr>
      </w:pPr>
      <w:r>
        <w:rPr>
          <w:sz w:val="20"/>
          <w:szCs w:val="20"/>
        </w:rPr>
        <w:t>Any provision of our amended and restated certificate of incorporation or amended and restated bylaws or Delaware law that has the effect of delaying or deterring a change in control could limit the opportunity for our stockholders to receive a premium for</w:t>
      </w:r>
      <w:r>
        <w:rPr>
          <w:sz w:val="20"/>
          <w:szCs w:val="20"/>
        </w:rPr>
        <w:t xml:space="preserve"> their shares of our common stock, and could also affect the price that some investors are willing to pay for our common stock</w:t>
      </w:r>
      <w:r>
        <w:rPr>
          <w:sz w:val="20"/>
          <w:szCs w:val="20"/>
        </w:rPr>
        <w:t>.</w:t>
      </w:r>
    </w:p>
    <w:p w:rsidR="00000000" w:rsidRDefault="00805FA0">
      <w:pPr>
        <w:pStyle w:val="a3"/>
        <w:spacing w:before="200" w:beforeAutospacing="0" w:after="0" w:afterAutospacing="0"/>
        <w:ind w:firstLine="555"/>
        <w:rPr>
          <w:sz w:val="20"/>
          <w:szCs w:val="20"/>
        </w:rPr>
      </w:pPr>
      <w:r>
        <w:rPr>
          <w:sz w:val="20"/>
          <w:szCs w:val="20"/>
        </w:rPr>
        <w:t> </w:t>
      </w:r>
    </w:p>
    <w:p w:rsidR="00000000" w:rsidRDefault="00805FA0">
      <w:pPr>
        <w:pStyle w:val="a3"/>
        <w:spacing w:before="200" w:beforeAutospacing="0" w:after="0" w:afterAutospacing="0"/>
        <w:rPr>
          <w:sz w:val="20"/>
          <w:szCs w:val="20"/>
        </w:rPr>
      </w:pPr>
      <w:r>
        <w:rPr>
          <w:b/>
          <w:bCs/>
          <w:sz w:val="20"/>
          <w:szCs w:val="20"/>
        </w:rPr>
        <w:t>General Risk</w:t>
      </w:r>
      <w:r>
        <w:rPr>
          <w:b/>
          <w:bCs/>
          <w:sz w:val="20"/>
          <w:szCs w:val="20"/>
        </w:rPr>
        <w:t>s</w:t>
      </w:r>
    </w:p>
    <w:p w:rsidR="00000000" w:rsidRDefault="00805FA0">
      <w:pPr>
        <w:pStyle w:val="a3"/>
        <w:spacing w:before="200" w:beforeAutospacing="0" w:after="0" w:afterAutospacing="0"/>
        <w:rPr>
          <w:sz w:val="20"/>
          <w:szCs w:val="20"/>
        </w:rPr>
      </w:pPr>
      <w:r>
        <w:rPr>
          <w:b/>
          <w:bCs/>
          <w:i/>
          <w:iCs/>
          <w:sz w:val="20"/>
          <w:szCs w:val="20"/>
        </w:rPr>
        <w:t>The continuing effects of the COVID-19 pandemic are highly unpredictable and could be significant, and the durat</w:t>
      </w:r>
      <w:r>
        <w:rPr>
          <w:b/>
          <w:bCs/>
          <w:i/>
          <w:iCs/>
          <w:sz w:val="20"/>
          <w:szCs w:val="20"/>
        </w:rPr>
        <w:t>ion and extent to which this will impact our future results of operations and overall financial performance remains uncertain</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The COVID-19 pandemic and virus containment measures taken by federal and state governments have resulted in, and may continue to</w:t>
      </w:r>
      <w:r>
        <w:rPr>
          <w:sz w:val="20"/>
          <w:szCs w:val="20"/>
        </w:rPr>
        <w:t xml:space="preserve"> result in, business slowdowns or shutdowns, weakened economic conditions, economic uncertainty, and volatility in the financial markets, both regionally and worldwide. During the height of the COVID-19 pandemic , we responded with substantial modification</w:t>
      </w:r>
      <w:r>
        <w:rPr>
          <w:sz w:val="20"/>
          <w:szCs w:val="20"/>
        </w:rPr>
        <w:t>s to employee travel and where employees work, as well as virtualization, postponement, or cancellation of certain events, among other changes. We have re-opened our offices on a staggered, region-by-region basis in accordance with local authority guidelin</w:t>
      </w:r>
      <w:r>
        <w:rPr>
          <w:sz w:val="20"/>
          <w:szCs w:val="20"/>
        </w:rPr>
        <w:t xml:space="preserve">es. Although we have been able to navigate workplace restrictions and limitations with minimal disruptions to our business operations to date, we may further modify our business practices and real estate needs in response to the risks and negative impacts </w:t>
      </w:r>
      <w:r>
        <w:rPr>
          <w:sz w:val="20"/>
          <w:szCs w:val="20"/>
        </w:rPr>
        <w:t xml:space="preserve">caused by the COVID-19 pandemic, but we cannot be certain that these measures will continue to be successful. We continue to actively monitor the situation and may take further actions to alter our business operations as may be required by federal, state, </w:t>
      </w:r>
      <w:r>
        <w:rPr>
          <w:sz w:val="20"/>
          <w:szCs w:val="20"/>
        </w:rPr>
        <w:t>or local authorities, or that we determine are in the best interests of our employees, customers, partners, suppliers, and stockholders, including in response to outbreaks and variants</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While we have not been materially adversely affected to date, the con</w:t>
      </w:r>
      <w:r>
        <w:rPr>
          <w:sz w:val="20"/>
          <w:szCs w:val="20"/>
        </w:rPr>
        <w:t xml:space="preserve">ditions caused by the pandemic may affect the rate of spending on software products and may adversely affect our customers’ ability or willingness to purchase our offerings; the timing of our current or prospective customers’ purchasing decisions; pricing </w:t>
      </w:r>
      <w:r>
        <w:rPr>
          <w:sz w:val="20"/>
          <w:szCs w:val="20"/>
        </w:rPr>
        <w:t>discounts or extended payment terms; reductions in the amount or duration of customers’ subscription contracts; or increase customer attrition rates, all of which could adversely affect our future sales, operating results and overall financial performance.</w:t>
      </w:r>
      <w:r>
        <w:rPr>
          <w:sz w:val="20"/>
          <w:szCs w:val="20"/>
        </w:rPr>
        <w:t xml:space="preserve"> If the pandemic and its residual effects have a substantial impact on the ability of our customers to purchase our offerings, our results of operations, and overall financial performance may be harmed</w:t>
      </w:r>
      <w:r>
        <w:rPr>
          <w:sz w:val="20"/>
          <w:szCs w:val="20"/>
        </w:rPr>
        <w:t>.</w:t>
      </w:r>
    </w:p>
    <w:p w:rsidR="00000000" w:rsidRDefault="00805FA0">
      <w:pPr>
        <w:pStyle w:val="a3"/>
        <w:spacing w:before="200" w:beforeAutospacing="0" w:after="0" w:afterAutospacing="0"/>
        <w:ind w:firstLine="555"/>
        <w:rPr>
          <w:sz w:val="20"/>
          <w:szCs w:val="20"/>
        </w:rPr>
      </w:pPr>
      <w:r>
        <w:rPr>
          <w:sz w:val="20"/>
          <w:szCs w:val="20"/>
        </w:rPr>
        <w:t>The extent to which the pandemic impacts our business</w:t>
      </w:r>
      <w:r>
        <w:rPr>
          <w:sz w:val="20"/>
          <w:szCs w:val="20"/>
        </w:rPr>
        <w:t xml:space="preserve"> operations in future periods will depend on multiple factors that cannot be accurately predicted at this time, such as the duration and scope of the pandemic, future spikes of COVID-19 infections (including the spread of variants or mutant strains, and th</w:t>
      </w:r>
      <w:r>
        <w:rPr>
          <w:sz w:val="20"/>
          <w:szCs w:val="20"/>
        </w:rPr>
        <w:t xml:space="preserve">e degree of transmissibility and severity thereof), the extent and effectiveness of containment actions, the disruption caused by such actions, and the impact of these and other factors on our employees, customers, partners and vendors. If we are not able </w:t>
      </w:r>
      <w:r>
        <w:rPr>
          <w:sz w:val="20"/>
          <w:szCs w:val="20"/>
        </w:rPr>
        <w:t>to respond to and manage the impact of such events effectively, our business will be harmed. In addition, supply chain disruption and resulting inflationary pressures, a global labor shortage, the ebb and flow of COVID-19, including in specific geographies</w:t>
      </w:r>
      <w:r>
        <w:rPr>
          <w:sz w:val="20"/>
          <w:szCs w:val="20"/>
        </w:rPr>
        <w:t>, and changes in economic policy could impact our outlook</w:t>
      </w:r>
      <w:r>
        <w:rPr>
          <w:sz w:val="20"/>
          <w:szCs w:val="20"/>
        </w:rPr>
        <w:t>.</w:t>
      </w:r>
      <w:r>
        <w:rPr>
          <w:sz w:val="20"/>
          <w:szCs w:val="20"/>
        </w:rPr>
        <w:t xml:space="preserve"> </w:t>
      </w:r>
    </w:p>
    <w:p w:rsidR="00000000" w:rsidRDefault="00805FA0">
      <w:pPr>
        <w:pStyle w:val="a3"/>
        <w:spacing w:before="200" w:beforeAutospacing="0" w:after="0" w:afterAutospacing="0"/>
        <w:ind w:firstLine="555"/>
        <w:rPr>
          <w:sz w:val="20"/>
          <w:szCs w:val="20"/>
        </w:rPr>
      </w:pPr>
      <w:r>
        <w:rPr>
          <w:sz w:val="20"/>
          <w:szCs w:val="20"/>
        </w:rPr>
        <w:t>To the extent the pandemic adversely affects our business and financial results, it may also have the effect of heightening many of the other risks described in this “Risk Factors” section, includ</w:t>
      </w:r>
      <w:r>
        <w:rPr>
          <w:sz w:val="20"/>
          <w:szCs w:val="20"/>
        </w:rPr>
        <w:t>ing, in particular, risks related to our dependence on customer renewals, the addition of new customers and increased revenue from existing customer, risks that our operating results could be negatively affected by changes in the sizes or types of business</w:t>
      </w:r>
      <w:r>
        <w:rPr>
          <w:sz w:val="20"/>
          <w:szCs w:val="20"/>
        </w:rPr>
        <w:t>es that purchase our platform and the risk that weakened global economic conditions may harm our industry, business and results of operations</w:t>
      </w:r>
      <w:r>
        <w:rPr>
          <w:sz w:val="20"/>
          <w:szCs w:val="20"/>
        </w:rPr>
        <w:t>.</w:t>
      </w:r>
    </w:p>
    <w:p w:rsidR="00000000" w:rsidRDefault="00805FA0">
      <w:pPr>
        <w:pStyle w:val="a3"/>
        <w:spacing w:before="200" w:beforeAutospacing="0" w:after="0" w:afterAutospacing="0"/>
        <w:rPr>
          <w:sz w:val="20"/>
          <w:szCs w:val="20"/>
        </w:rPr>
      </w:pPr>
      <w:r>
        <w:rPr>
          <w:b/>
          <w:bCs/>
          <w:i/>
          <w:iCs/>
          <w:sz w:val="20"/>
          <w:szCs w:val="20"/>
        </w:rPr>
        <w:t>Failure to comply with laws and regulations could harm our business</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business is subject to regulation by var</w:t>
      </w:r>
      <w:r>
        <w:rPr>
          <w:sz w:val="20"/>
          <w:szCs w:val="20"/>
        </w:rPr>
        <w:t xml:space="preserve">ious federal, state, local and foreign governmental agencies, including agencies responsible for monitoring and enforcing employment and labor laws, workplace safety, environmental laws, consumer protection laws, anti-bribery laws, import/export controls, </w:t>
      </w:r>
      <w:r>
        <w:rPr>
          <w:sz w:val="20"/>
          <w:szCs w:val="20"/>
        </w:rPr>
        <w:t>federal securities laws and tax laws and regulations. In certain jurisdictions, these regulatory requirements may be more stringent than those in the United States. Noncompliance with applicable regulations or requirements could subject us to investigation</w:t>
      </w:r>
      <w:r>
        <w:rPr>
          <w:sz w:val="20"/>
          <w:szCs w:val="20"/>
        </w:rPr>
        <w:t>s, sanctions, mandatory recalls, enforcement actions, disgorgement of profits, fines, damages, civil and criminal penalties or injunctions</w:t>
      </w:r>
      <w:r>
        <w:rPr>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b/>
          <w:bCs/>
          <w:i/>
          <w:iCs/>
          <w:sz w:val="20"/>
          <w:szCs w:val="20"/>
        </w:rPr>
        <w:t>Our ability to raise capital in the future may be limited, and our failure to raise capital when needed could prev</w:t>
      </w:r>
      <w:r>
        <w:rPr>
          <w:b/>
          <w:bCs/>
          <w:i/>
          <w:iCs/>
          <w:sz w:val="20"/>
          <w:szCs w:val="20"/>
        </w:rPr>
        <w:t>ent us from growing</w:t>
      </w:r>
      <w:r>
        <w:rPr>
          <w:b/>
          <w:bCs/>
          <w:i/>
          <w:iCs/>
          <w:sz w:val="20"/>
          <w:szCs w:val="20"/>
        </w:rPr>
        <w:t>.</w:t>
      </w:r>
    </w:p>
    <w:p w:rsidR="00000000" w:rsidRDefault="00805FA0">
      <w:pPr>
        <w:pStyle w:val="a3"/>
        <w:spacing w:before="200" w:beforeAutospacing="0" w:after="0" w:afterAutospacing="0"/>
        <w:ind w:firstLine="555"/>
        <w:rPr>
          <w:sz w:val="20"/>
          <w:szCs w:val="20"/>
        </w:rPr>
      </w:pPr>
      <w:r>
        <w:rPr>
          <w:sz w:val="20"/>
          <w:szCs w:val="20"/>
        </w:rPr>
        <w:t>Our business and operations may consume resources faster than we anticipate. In the future, we may need to raise additional funds to invest in future growth opportunities. Additional financing may not be available on favorable terms, i</w:t>
      </w:r>
      <w:r>
        <w:rPr>
          <w:sz w:val="20"/>
          <w:szCs w:val="20"/>
        </w:rPr>
        <w:t>f at all. In addition, recent volatility in capital markets and lower market prices for many securities may affect our ability to access new capital through sales of shares of our common stock or issuance of indebtedness, which may materially harm our liqu</w:t>
      </w:r>
      <w:r>
        <w:rPr>
          <w:sz w:val="20"/>
          <w:szCs w:val="20"/>
        </w:rPr>
        <w:t>idity, limit our ability to grow our business, pursue acquisitions or improve our operating infrastructure and restrict our ability to compete in ou</w:t>
      </w:r>
      <w:r>
        <w:rPr>
          <w:sz w:val="20"/>
          <w:szCs w:val="20"/>
        </w:rPr>
        <w:t>r</w:t>
      </w:r>
      <w:r>
        <w:rPr>
          <w:sz w:val="20"/>
          <w:szCs w:val="20"/>
        </w:rPr>
        <w:t xml:space="preserve"> </w:t>
      </w:r>
    </w:p>
    <w:p w:rsidR="00000000" w:rsidRDefault="00805FA0">
      <w:pPr>
        <w:pStyle w:val="a3"/>
        <w:spacing w:before="240" w:beforeAutospacing="0" w:after="0" w:afterAutospacing="0"/>
        <w:jc w:val="center"/>
        <w:rPr>
          <w:sz w:val="20"/>
          <w:szCs w:val="20"/>
        </w:rPr>
      </w:pPr>
      <w:r>
        <w:rPr>
          <w:sz w:val="20"/>
          <w:szCs w:val="20"/>
        </w:rPr>
        <w:t>5</w:t>
      </w:r>
      <w:r>
        <w:rPr>
          <w:sz w:val="20"/>
          <w:szCs w:val="20"/>
        </w:rPr>
        <w:t>9</w:t>
      </w:r>
    </w:p>
    <w:p w:rsidR="00000000" w:rsidRDefault="00805FA0">
      <w:pPr>
        <w:rPr>
          <w:rFonts w:eastAsia="Times New Roman"/>
        </w:rPr>
      </w:pPr>
      <w:r>
        <w:rPr>
          <w:rFonts w:eastAsia="Times New Roman"/>
        </w:rPr>
        <w:pict>
          <v:rect id="_x0000_i1083"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00" w:beforeAutospacing="0" w:after="0" w:afterAutospacing="0"/>
        <w:rPr>
          <w:sz w:val="20"/>
          <w:szCs w:val="20"/>
        </w:rPr>
      </w:pPr>
      <w:r>
        <w:rPr>
          <w:sz w:val="20"/>
          <w:szCs w:val="20"/>
        </w:rPr>
        <w:t>markets.</w:t>
      </w:r>
      <w:r>
        <w:rPr>
          <w:sz w:val="20"/>
          <w:szCs w:val="20"/>
        </w:rPr>
        <w:br/>
      </w:r>
      <w:r>
        <w:rPr>
          <w:sz w:val="20"/>
          <w:szCs w:val="20"/>
        </w:rPr>
        <w:br/>
      </w:r>
      <w:r>
        <w:rPr>
          <w:sz w:val="20"/>
          <w:szCs w:val="20"/>
        </w:rPr>
        <w:t> </w:t>
      </w:r>
    </w:p>
    <w:p w:rsidR="00000000" w:rsidRDefault="00805FA0">
      <w:pPr>
        <w:pStyle w:val="a3"/>
        <w:spacing w:before="200" w:beforeAutospacing="0" w:after="0" w:afterAutospacing="0"/>
        <w:ind w:firstLine="555"/>
        <w:rPr>
          <w:sz w:val="20"/>
          <w:szCs w:val="20"/>
        </w:rPr>
      </w:pPr>
      <w:r>
        <w:rPr>
          <w:sz w:val="20"/>
          <w:szCs w:val="20"/>
        </w:rPr>
        <w:t>If adequate funds are not available on acceptable te</w:t>
      </w:r>
      <w:r>
        <w:rPr>
          <w:sz w:val="20"/>
          <w:szCs w:val="20"/>
        </w:rPr>
        <w:t>rms, we may be unable to invest in future growth opportunities, which could seriously harm our business and operating results. If we incur debt, the debt holders would have rights senior to common stockholders to make claims on our assets, and the terms of</w:t>
      </w:r>
      <w:r>
        <w:rPr>
          <w:sz w:val="20"/>
          <w:szCs w:val="20"/>
        </w:rPr>
        <w:t xml:space="preserve"> any debt could restrict our operations, including our ability to pay dividends on our common stock. Furthermore, if we issue equity securities, stockholders will experience dilution, and the new equity securities could have rights senior to those of our c</w:t>
      </w:r>
      <w:r>
        <w:rPr>
          <w:sz w:val="20"/>
          <w:szCs w:val="20"/>
        </w:rPr>
        <w:t>ommon stock. The Notes are and any additional equity or equity-linked financings would be dilutive to our stockholders. Because our decision to issue securities in any future offering will depend on market conditions and other factors beyond our control, w</w:t>
      </w:r>
      <w:r>
        <w:rPr>
          <w:sz w:val="20"/>
          <w:szCs w:val="20"/>
        </w:rPr>
        <w:t>e cannot predict or estimate the amount, timing or nature of our future offerings. As a result, our stockholders bear the risk of our future securities offerings reducing the market price of our common stock and diluting their interest</w:t>
      </w:r>
      <w:r>
        <w:rPr>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ind w:hanging="1220"/>
        <w:rPr>
          <w:sz w:val="20"/>
          <w:szCs w:val="20"/>
        </w:rPr>
      </w:pPr>
      <w:r>
        <w:rPr>
          <w:b/>
          <w:bCs/>
          <w:sz w:val="20"/>
          <w:szCs w:val="20"/>
        </w:rPr>
        <w:t>Item 2. Unregis</w:t>
      </w:r>
      <w:r>
        <w:rPr>
          <w:b/>
          <w:bCs/>
          <w:sz w:val="20"/>
          <w:szCs w:val="20"/>
        </w:rPr>
        <w:t>tered Sales of Equ</w:t>
      </w:r>
      <w:r>
        <w:rPr>
          <w:b/>
          <w:bCs/>
          <w:sz w:val="20"/>
          <w:szCs w:val="20"/>
        </w:rPr>
        <w:t>i</w:t>
      </w:r>
      <w:r>
        <w:rPr>
          <w:b/>
          <w:bCs/>
          <w:sz w:val="20"/>
          <w:szCs w:val="20"/>
        </w:rPr>
        <w:t>ty Securities and Use of Proceed</w:t>
      </w:r>
      <w:r>
        <w:rPr>
          <w:b/>
          <w:bCs/>
          <w:sz w:val="20"/>
          <w:szCs w:val="20"/>
        </w:rPr>
        <w:t>s</w:t>
      </w:r>
    </w:p>
    <w:p w:rsidR="00000000" w:rsidRDefault="00805FA0">
      <w:pPr>
        <w:pStyle w:val="a3"/>
        <w:spacing w:before="120" w:beforeAutospacing="0" w:after="0" w:afterAutospacing="0"/>
        <w:ind w:firstLine="555"/>
        <w:rPr>
          <w:sz w:val="20"/>
          <w:szCs w:val="20"/>
        </w:rPr>
      </w:pPr>
      <w:r>
        <w:rPr>
          <w:sz w:val="20"/>
          <w:szCs w:val="20"/>
        </w:rPr>
        <w:t>None</w:t>
      </w:r>
      <w:r>
        <w:rPr>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ind w:hanging="1220"/>
        <w:rPr>
          <w:sz w:val="20"/>
          <w:szCs w:val="20"/>
        </w:rPr>
      </w:pPr>
      <w:r>
        <w:rPr>
          <w:b/>
          <w:bCs/>
          <w:sz w:val="20"/>
          <w:szCs w:val="20"/>
        </w:rPr>
        <w:t>Item 3. Defaults o</w:t>
      </w:r>
      <w:r>
        <w:rPr>
          <w:b/>
          <w:bCs/>
          <w:sz w:val="20"/>
          <w:szCs w:val="20"/>
        </w:rPr>
        <w:t>n</w:t>
      </w:r>
      <w:r>
        <w:rPr>
          <w:b/>
          <w:bCs/>
          <w:sz w:val="20"/>
          <w:szCs w:val="20"/>
        </w:rPr>
        <w:t xml:space="preserve"> Senior Securitie</w:t>
      </w:r>
      <w:r>
        <w:rPr>
          <w:b/>
          <w:bCs/>
          <w:sz w:val="20"/>
          <w:szCs w:val="20"/>
        </w:rPr>
        <w:t>s</w:t>
      </w:r>
    </w:p>
    <w:p w:rsidR="00000000" w:rsidRDefault="00805FA0">
      <w:pPr>
        <w:pStyle w:val="a3"/>
        <w:spacing w:before="120" w:beforeAutospacing="0" w:after="0" w:afterAutospacing="0"/>
        <w:ind w:firstLine="555"/>
        <w:rPr>
          <w:sz w:val="20"/>
          <w:szCs w:val="20"/>
        </w:rPr>
      </w:pPr>
      <w:r>
        <w:rPr>
          <w:sz w:val="20"/>
          <w:szCs w:val="20"/>
        </w:rPr>
        <w:t>None</w:t>
      </w:r>
      <w:r>
        <w:rPr>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ind w:hanging="1220"/>
        <w:rPr>
          <w:sz w:val="20"/>
          <w:szCs w:val="20"/>
        </w:rPr>
      </w:pPr>
      <w:r>
        <w:rPr>
          <w:b/>
          <w:bCs/>
          <w:sz w:val="20"/>
          <w:szCs w:val="20"/>
        </w:rPr>
        <w:t>Item 4. Mine Sa</w:t>
      </w:r>
      <w:r>
        <w:rPr>
          <w:b/>
          <w:bCs/>
          <w:sz w:val="20"/>
          <w:szCs w:val="20"/>
        </w:rPr>
        <w:t>f</w:t>
      </w:r>
      <w:r>
        <w:rPr>
          <w:b/>
          <w:bCs/>
          <w:sz w:val="20"/>
          <w:szCs w:val="20"/>
        </w:rPr>
        <w:t>ety Disclosure</w:t>
      </w:r>
      <w:r>
        <w:rPr>
          <w:b/>
          <w:bCs/>
          <w:sz w:val="20"/>
          <w:szCs w:val="20"/>
        </w:rPr>
        <w:t>s</w:t>
      </w:r>
    </w:p>
    <w:p w:rsidR="00000000" w:rsidRDefault="00805FA0">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ind w:hanging="1220"/>
        <w:rPr>
          <w:sz w:val="20"/>
          <w:szCs w:val="20"/>
        </w:rPr>
      </w:pPr>
      <w:r>
        <w:rPr>
          <w:b/>
          <w:bCs/>
          <w:sz w:val="20"/>
          <w:szCs w:val="20"/>
        </w:rPr>
        <w:t>Item 5. Othe</w:t>
      </w:r>
      <w:r>
        <w:rPr>
          <w:b/>
          <w:bCs/>
          <w:sz w:val="20"/>
          <w:szCs w:val="20"/>
        </w:rPr>
        <w:t>r</w:t>
      </w:r>
      <w:r>
        <w:rPr>
          <w:b/>
          <w:bCs/>
          <w:sz w:val="20"/>
          <w:szCs w:val="20"/>
        </w:rPr>
        <w:t xml:space="preserve"> Informatio</w:t>
      </w:r>
      <w:r>
        <w:rPr>
          <w:b/>
          <w:bCs/>
          <w:sz w:val="20"/>
          <w:szCs w:val="20"/>
        </w:rPr>
        <w:t>n</w:t>
      </w:r>
    </w:p>
    <w:p w:rsidR="00000000" w:rsidRDefault="00805FA0">
      <w:pPr>
        <w:pStyle w:val="a3"/>
        <w:spacing w:before="120" w:beforeAutospacing="0" w:after="0" w:afterAutospacing="0"/>
        <w:ind w:firstLine="555"/>
        <w:rPr>
          <w:sz w:val="20"/>
          <w:szCs w:val="20"/>
        </w:rPr>
      </w:pPr>
      <w:r>
        <w:rPr>
          <w:sz w:val="20"/>
          <w:szCs w:val="20"/>
        </w:rPr>
        <w:t>None</w:t>
      </w:r>
      <w:r>
        <w:rPr>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6</w:t>
      </w:r>
      <w:r>
        <w:rPr>
          <w:sz w:val="20"/>
          <w:szCs w:val="20"/>
        </w:rPr>
        <w:t>0</w:t>
      </w:r>
    </w:p>
    <w:p w:rsidR="00000000" w:rsidRDefault="00805FA0">
      <w:pPr>
        <w:rPr>
          <w:rFonts w:eastAsia="Times New Roman"/>
        </w:rPr>
      </w:pPr>
      <w:r>
        <w:rPr>
          <w:rFonts w:eastAsia="Times New Roman"/>
        </w:rPr>
        <w:pict>
          <v:rect id="_x0000_i1084"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ind w:hanging="1220"/>
        <w:rPr>
          <w:sz w:val="20"/>
          <w:szCs w:val="20"/>
        </w:rPr>
      </w:pPr>
      <w:r>
        <w:rPr>
          <w:b/>
          <w:bCs/>
          <w:sz w:val="20"/>
          <w:szCs w:val="20"/>
        </w:rPr>
        <w:t>Item 6.</w:t>
      </w:r>
      <w:r>
        <w:rPr>
          <w:b/>
          <w:bCs/>
          <w:sz w:val="20"/>
          <w:szCs w:val="20"/>
        </w:rPr>
        <w:t xml:space="preserve"> </w:t>
      </w:r>
      <w:r>
        <w:rPr>
          <w:b/>
          <w:bCs/>
          <w:sz w:val="20"/>
          <w:szCs w:val="20"/>
        </w:rPr>
        <w:t>Exhibit</w:t>
      </w:r>
      <w:r>
        <w:rPr>
          <w:b/>
          <w:bCs/>
          <w:sz w:val="20"/>
          <w:szCs w:val="20"/>
        </w:rPr>
        <w:t>s</w:t>
      </w:r>
    </w:p>
    <w:p w:rsidR="00000000" w:rsidRDefault="00805FA0">
      <w:pPr>
        <w:pStyle w:val="a3"/>
        <w:spacing w:before="120" w:beforeAutospacing="0" w:after="0" w:afterAutospacing="0"/>
        <w:ind w:firstLine="555"/>
        <w:rPr>
          <w:sz w:val="20"/>
          <w:szCs w:val="20"/>
        </w:rPr>
      </w:pPr>
      <w:r>
        <w:rPr>
          <w:sz w:val="20"/>
          <w:szCs w:val="20"/>
        </w:rPr>
        <w:t>The exhibits listed below are filed or incorporated by reference into this Report</w:t>
      </w:r>
      <w:r>
        <w:rPr>
          <w:sz w:val="20"/>
          <w:szCs w:val="20"/>
        </w:rPr>
        <w:t>.</w:t>
      </w:r>
    </w:p>
    <w:p w:rsidR="00000000" w:rsidRDefault="00805FA0">
      <w:pPr>
        <w:pStyle w:val="a3"/>
        <w:spacing w:before="12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5"/>
        <w:gridCol w:w="110"/>
        <w:gridCol w:w="7171"/>
      </w:tblGrid>
      <w:tr w:rsidR="00000000">
        <w:trPr>
          <w:tblCellSpacing w:w="15" w:type="dxa"/>
        </w:trPr>
        <w:tc>
          <w:tcPr>
            <w:tcW w:w="491" w:type="pct"/>
            <w:vAlign w:val="center"/>
            <w:hideMark/>
          </w:tcPr>
          <w:p w:rsidR="00000000" w:rsidRDefault="00805FA0">
            <w:pPr>
              <w:rPr>
                <w:sz w:val="20"/>
                <w:szCs w:val="20"/>
              </w:rPr>
            </w:pPr>
          </w:p>
        </w:tc>
        <w:tc>
          <w:tcPr>
            <w:tcW w:w="50" w:type="pct"/>
            <w:vAlign w:val="center"/>
            <w:hideMark/>
          </w:tcPr>
          <w:p w:rsidR="00000000" w:rsidRDefault="00805FA0">
            <w:pPr>
              <w:rPr>
                <w:rFonts w:eastAsia="Times New Roman"/>
                <w:sz w:val="20"/>
                <w:szCs w:val="20"/>
              </w:rPr>
            </w:pPr>
          </w:p>
        </w:tc>
        <w:tc>
          <w:tcPr>
            <w:tcW w:w="4458" w:type="pct"/>
            <w:vAlign w:val="center"/>
            <w:hideMark/>
          </w:tcPr>
          <w:p w:rsidR="00000000" w:rsidRDefault="00805FA0">
            <w:pPr>
              <w:rPr>
                <w:rFonts w:eastAsia="Times New Roman"/>
                <w:sz w:val="20"/>
                <w:szCs w:val="20"/>
              </w:rPr>
            </w:pPr>
          </w:p>
        </w:tc>
      </w:tr>
      <w:tr w:rsidR="00000000">
        <w:trPr>
          <w:trHeight w:val="160"/>
          <w:tblCellSpacing w:w="15" w:type="dxa"/>
        </w:trPr>
        <w:tc>
          <w:tcPr>
            <w:tcW w:w="0" w:type="auto"/>
            <w:vAlign w:val="bottom"/>
            <w:hideMark/>
          </w:tcPr>
          <w:p w:rsidR="00000000" w:rsidRDefault="00805FA0">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805FA0">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vAlign w:val="bottom"/>
            <w:hideMark/>
          </w:tcPr>
          <w:p w:rsidR="00000000" w:rsidRDefault="00805FA0">
            <w:pPr>
              <w:pStyle w:val="a3"/>
              <w:spacing w:before="0" w:beforeAutospacing="0" w:after="0" w:afterAutospacing="0"/>
              <w:rPr>
                <w:sz w:val="16"/>
                <w:szCs w:val="16"/>
              </w:rPr>
            </w:pPr>
            <w:r>
              <w:rPr>
                <w:sz w:val="16"/>
                <w:szCs w:val="16"/>
              </w:rPr>
              <w:t> </w:t>
            </w:r>
          </w:p>
        </w:tc>
        <w:tc>
          <w:tcPr>
            <w:tcW w:w="0" w:type="auto"/>
            <w:vAlign w:val="bottom"/>
            <w:hideMark/>
          </w:tcPr>
          <w:p w:rsidR="00000000" w:rsidRDefault="00805FA0">
            <w:pPr>
              <w:pStyle w:val="a3"/>
              <w:spacing w:before="0" w:beforeAutospacing="0" w:after="0" w:afterAutospacing="0"/>
              <w:jc w:val="center"/>
              <w:rPr>
                <w:sz w:val="16"/>
                <w:szCs w:val="16"/>
              </w:rPr>
            </w:pPr>
            <w:r>
              <w:rPr>
                <w:b/>
                <w:bCs/>
                <w:sz w:val="16"/>
                <w:szCs w:val="16"/>
              </w:rPr>
              <w:t>Exhibit Titl</w:t>
            </w:r>
            <w:r>
              <w:rPr>
                <w:b/>
                <w:bCs/>
                <w:sz w:val="16"/>
                <w:szCs w:val="16"/>
              </w:rPr>
              <w:t>e</w:t>
            </w:r>
          </w:p>
        </w:tc>
      </w:tr>
      <w:tr w:rsidR="00000000">
        <w:trPr>
          <w:trHeight w:val="86"/>
          <w:tblCellSpacing w:w="15" w:type="dxa"/>
        </w:trPr>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jc w:val="center"/>
              <w:rPr>
                <w:sz w:val="20"/>
                <w:szCs w:val="20"/>
              </w:rPr>
            </w:pPr>
            <w:r>
              <w:rPr>
                <w:sz w:val="20"/>
                <w:szCs w:val="20"/>
              </w:rPr>
              <w:t>3.1(1</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hyperlink r:id="rId4" w:history="1">
              <w:r>
                <w:rPr>
                  <w:rStyle w:val="a4"/>
                  <w:sz w:val="20"/>
                  <w:szCs w:val="20"/>
                </w:rPr>
                <w:t>Seventh Amended and Restated Certificate of Incorporation of the Registran</w:t>
              </w:r>
              <w:r>
                <w:rPr>
                  <w:rStyle w:val="a4"/>
                  <w:sz w:val="20"/>
                  <w:szCs w:val="20"/>
                </w:rPr>
                <w:t>t</w:t>
              </w:r>
            </w:hyperlink>
          </w:p>
        </w:tc>
      </w:tr>
      <w:tr w:rsidR="00000000">
        <w:trPr>
          <w:trHeight w:val="86"/>
          <w:tblCellSpacing w:w="15" w:type="dxa"/>
        </w:trPr>
        <w:tc>
          <w:tcPr>
            <w:tcW w:w="0" w:type="auto"/>
            <w:hideMark/>
          </w:tcPr>
          <w:p w:rsidR="00000000" w:rsidRDefault="00805FA0">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jc w:val="center"/>
              <w:rPr>
                <w:sz w:val="20"/>
                <w:szCs w:val="20"/>
              </w:rPr>
            </w:pPr>
            <w:r>
              <w:rPr>
                <w:sz w:val="20"/>
                <w:szCs w:val="20"/>
              </w:rPr>
              <w:t>3.2(2</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hyperlink r:id="rId5" w:history="1">
              <w:r>
                <w:rPr>
                  <w:rStyle w:val="a4"/>
                  <w:sz w:val="20"/>
                  <w:szCs w:val="20"/>
                </w:rPr>
                <w:t>Third Amended and Restated Bylaws of the Registran</w:t>
              </w:r>
              <w:r>
                <w:rPr>
                  <w:rStyle w:val="a4"/>
                  <w:sz w:val="20"/>
                  <w:szCs w:val="20"/>
                </w:rPr>
                <w:t>t</w:t>
              </w:r>
              <w:r>
                <w:rPr>
                  <w:rStyle w:val="a4"/>
                  <w:sz w:val="20"/>
                  <w:szCs w:val="20"/>
                </w:rPr>
                <w:t xml:space="preserve"> </w:t>
              </w:r>
            </w:hyperlink>
          </w:p>
        </w:tc>
      </w:tr>
      <w:tr w:rsidR="00000000">
        <w:trPr>
          <w:trHeight w:val="158"/>
          <w:tblCellSpacing w:w="15" w:type="dxa"/>
        </w:trPr>
        <w:tc>
          <w:tcPr>
            <w:tcW w:w="0" w:type="auto"/>
            <w:hideMark/>
          </w:tcPr>
          <w:p w:rsidR="00000000" w:rsidRDefault="00805FA0">
            <w:pPr>
              <w:pStyle w:val="a3"/>
              <w:spacing w:before="0" w:beforeAutospacing="0" w:after="0" w:afterAutospacing="0"/>
              <w:jc w:val="center"/>
              <w:rPr>
                <w:sz w:val="9"/>
                <w:szCs w:val="9"/>
              </w:rPr>
            </w:pPr>
            <w:r>
              <w:rPr>
                <w:sz w:val="9"/>
                <w:szCs w:val="9"/>
              </w:rPr>
              <w:t> </w:t>
            </w:r>
          </w:p>
          <w:p w:rsidR="00000000" w:rsidRDefault="00805FA0">
            <w:pPr>
              <w:pStyle w:val="a3"/>
              <w:spacing w:before="0" w:beforeAutospacing="0" w:after="0" w:afterAutospacing="0"/>
              <w:jc w:val="center"/>
              <w:rPr>
                <w:sz w:val="20"/>
                <w:szCs w:val="20"/>
              </w:rPr>
            </w:pPr>
            <w:r>
              <w:rPr>
                <w:sz w:val="20"/>
                <w:szCs w:val="20"/>
              </w:rPr>
              <w:t>3.3(3</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hyperlink r:id="rId6" w:history="1">
              <w:r>
                <w:rPr>
                  <w:rStyle w:val="a4"/>
                  <w:sz w:val="20"/>
                  <w:szCs w:val="20"/>
                </w:rPr>
                <w:t>First Amendment to Third Amended and Restated Bylaws of the Registran</w:t>
              </w:r>
              <w:r>
                <w:rPr>
                  <w:rStyle w:val="a4"/>
                  <w:sz w:val="20"/>
                  <w:szCs w:val="20"/>
                </w:rPr>
                <w:t>t</w:t>
              </w:r>
            </w:hyperlink>
          </w:p>
        </w:tc>
      </w:tr>
      <w:tr w:rsidR="00000000">
        <w:trPr>
          <w:tblCellSpacing w:w="15" w:type="dxa"/>
        </w:trPr>
        <w:tc>
          <w:tcPr>
            <w:tcW w:w="0" w:type="auto"/>
            <w:hideMark/>
          </w:tcPr>
          <w:p w:rsidR="00000000" w:rsidRDefault="00805FA0">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jc w:val="center"/>
              <w:rPr>
                <w:sz w:val="20"/>
                <w:szCs w:val="20"/>
              </w:rPr>
            </w:pPr>
            <w:r>
              <w:rPr>
                <w:sz w:val="20"/>
                <w:szCs w:val="20"/>
              </w:rPr>
              <w:t>4.1(4</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hyperlink r:id="rId7" w:history="1">
              <w:r>
                <w:rPr>
                  <w:rStyle w:val="a4"/>
                  <w:sz w:val="20"/>
                  <w:szCs w:val="20"/>
                </w:rPr>
                <w:t>Form of Common Stock certificate of the Registran</w:t>
              </w:r>
              <w:r>
                <w:rPr>
                  <w:rStyle w:val="a4"/>
                  <w:sz w:val="20"/>
                  <w:szCs w:val="20"/>
                </w:rPr>
                <w:t>t</w:t>
              </w:r>
            </w:hyperlink>
          </w:p>
        </w:tc>
      </w:tr>
      <w:tr w:rsidR="00000000">
        <w:trPr>
          <w:trHeight w:val="86"/>
          <w:tblCellSpacing w:w="15" w:type="dxa"/>
        </w:trPr>
        <w:tc>
          <w:tcPr>
            <w:tcW w:w="0" w:type="auto"/>
            <w:hideMark/>
          </w:tcPr>
          <w:p w:rsidR="00000000" w:rsidRDefault="00805FA0">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jc w:val="center"/>
              <w:rPr>
                <w:sz w:val="20"/>
                <w:szCs w:val="20"/>
              </w:rPr>
            </w:pPr>
            <w:r>
              <w:rPr>
                <w:sz w:val="20"/>
                <w:szCs w:val="20"/>
              </w:rPr>
              <w:t>31.1*</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hyperlink r:id="rId8" w:history="1">
              <w:r>
                <w:rPr>
                  <w:rStyle w:val="a4"/>
                  <w:sz w:val="20"/>
                  <w:szCs w:val="20"/>
                </w:rPr>
                <w:t>Certification of Principal Executive Officer pursuant to Rule 13a-14(a) or Rule 15d-14(a) of the Securities Exchange Act of 1934, as amende</w:t>
              </w:r>
              <w:r>
                <w:rPr>
                  <w:rStyle w:val="a4"/>
                  <w:sz w:val="20"/>
                  <w:szCs w:val="20"/>
                </w:rPr>
                <w:t>d</w:t>
              </w:r>
            </w:hyperlink>
          </w:p>
        </w:tc>
      </w:tr>
      <w:tr w:rsidR="00000000">
        <w:trPr>
          <w:trHeight w:val="86"/>
          <w:tblCellSpacing w:w="15" w:type="dxa"/>
        </w:trPr>
        <w:tc>
          <w:tcPr>
            <w:tcW w:w="0" w:type="auto"/>
            <w:hideMark/>
          </w:tcPr>
          <w:p w:rsidR="00000000" w:rsidRDefault="00805FA0">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jc w:val="center"/>
              <w:rPr>
                <w:sz w:val="20"/>
                <w:szCs w:val="20"/>
              </w:rPr>
            </w:pPr>
            <w:r>
              <w:rPr>
                <w:sz w:val="20"/>
                <w:szCs w:val="20"/>
              </w:rPr>
              <w:t>31.2*</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hyperlink r:id="rId9" w:history="1">
              <w:r>
                <w:rPr>
                  <w:rStyle w:val="a4"/>
                  <w:sz w:val="20"/>
                  <w:szCs w:val="20"/>
                </w:rPr>
                <w:t>Certification of Principa</w:t>
              </w:r>
              <w:r>
                <w:rPr>
                  <w:rStyle w:val="a4"/>
                  <w:sz w:val="20"/>
                  <w:szCs w:val="20"/>
                </w:rPr>
                <w:t>l Financial Officer pursuant to Rule 13a-14(a) or Rule 15d-14(a) of the Securities Exchange Act of 1934, as amende</w:t>
              </w:r>
              <w:r>
                <w:rPr>
                  <w:rStyle w:val="a4"/>
                  <w:sz w:val="20"/>
                  <w:szCs w:val="20"/>
                </w:rPr>
                <w:t>d</w:t>
              </w:r>
            </w:hyperlink>
          </w:p>
        </w:tc>
      </w:tr>
      <w:tr w:rsidR="00000000">
        <w:trPr>
          <w:trHeight w:val="86"/>
          <w:tblCellSpacing w:w="15" w:type="dxa"/>
        </w:trPr>
        <w:tc>
          <w:tcPr>
            <w:tcW w:w="0" w:type="auto"/>
            <w:hideMark/>
          </w:tcPr>
          <w:p w:rsidR="00000000" w:rsidRDefault="00805FA0">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jc w:val="center"/>
              <w:rPr>
                <w:sz w:val="20"/>
                <w:szCs w:val="20"/>
              </w:rPr>
            </w:pPr>
            <w:r>
              <w:rPr>
                <w:sz w:val="20"/>
                <w:szCs w:val="20"/>
              </w:rPr>
              <w:t>32.1</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hyperlink r:id="rId10" w:history="1">
              <w:r>
                <w:rPr>
                  <w:rStyle w:val="a4"/>
                  <w:sz w:val="20"/>
                  <w:szCs w:val="20"/>
                </w:rPr>
                <w:t>Certification of Principal Executive Officer and Principal Financial Officer pursuant to Sec</w:t>
              </w:r>
              <w:r>
                <w:rPr>
                  <w:rStyle w:val="a4"/>
                  <w:sz w:val="20"/>
                  <w:szCs w:val="20"/>
                </w:rPr>
                <w:t>tion 906 of the Sarbanes-Oxley Ac</w:t>
              </w:r>
              <w:r>
                <w:rPr>
                  <w:rStyle w:val="a4"/>
                  <w:sz w:val="20"/>
                  <w:szCs w:val="20"/>
                </w:rPr>
                <w:t>t</w:t>
              </w:r>
            </w:hyperlink>
          </w:p>
        </w:tc>
      </w:tr>
      <w:tr w:rsidR="00000000">
        <w:trPr>
          <w:trHeight w:val="86"/>
          <w:tblCellSpacing w:w="15" w:type="dxa"/>
        </w:trPr>
        <w:tc>
          <w:tcPr>
            <w:tcW w:w="0" w:type="auto"/>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101.INS*</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center"/>
            <w:hideMark/>
          </w:tcPr>
          <w:p w:rsidR="00000000" w:rsidRDefault="00805FA0">
            <w:pPr>
              <w:pStyle w:val="a3"/>
              <w:spacing w:before="0" w:beforeAutospacing="0" w:after="0" w:afterAutospacing="0"/>
              <w:rPr>
                <w:sz w:val="20"/>
                <w:szCs w:val="20"/>
              </w:rPr>
            </w:pPr>
            <w:r>
              <w:rPr>
                <w:sz w:val="20"/>
                <w:szCs w:val="20"/>
              </w:rPr>
              <w:t xml:space="preserve">Inline XBRL Instance Document – </w:t>
            </w:r>
            <w:r>
              <w:rPr>
                <w:sz w:val="20"/>
                <w:szCs w:val="20"/>
              </w:rPr>
              <w:t>the instance document does not appear in the Interactive Data File because XBRL tags are embedded within the Inline XBRL documen</w:t>
            </w:r>
            <w:r>
              <w:rPr>
                <w:sz w:val="20"/>
                <w:szCs w:val="20"/>
              </w:rPr>
              <w:t>t</w:t>
            </w:r>
          </w:p>
        </w:tc>
      </w:tr>
      <w:tr w:rsidR="00000000">
        <w:trPr>
          <w:trHeight w:val="86"/>
          <w:tblCellSpacing w:w="15" w:type="dxa"/>
        </w:trPr>
        <w:tc>
          <w:tcPr>
            <w:tcW w:w="0" w:type="auto"/>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101.SCH*</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rHeight w:val="86"/>
          <w:tblCellSpacing w:w="15" w:type="dxa"/>
        </w:trPr>
        <w:tc>
          <w:tcPr>
            <w:tcW w:w="0" w:type="auto"/>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101.CAL*</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Inline XBRL Taxonomy Extension Calculat</w:t>
            </w:r>
            <w:r>
              <w:rPr>
                <w:sz w:val="20"/>
                <w:szCs w:val="20"/>
              </w:rPr>
              <w:t>ion Linkbase Documen</w:t>
            </w:r>
            <w:r>
              <w:rPr>
                <w:sz w:val="20"/>
                <w:szCs w:val="20"/>
              </w:rPr>
              <w:t>t</w:t>
            </w:r>
          </w:p>
        </w:tc>
      </w:tr>
      <w:tr w:rsidR="00000000">
        <w:trPr>
          <w:trHeight w:val="86"/>
          <w:tblCellSpacing w:w="15" w:type="dxa"/>
        </w:trPr>
        <w:tc>
          <w:tcPr>
            <w:tcW w:w="0" w:type="auto"/>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101.DEF*</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rHeight w:val="86"/>
          <w:tblCellSpacing w:w="15" w:type="dxa"/>
        </w:trPr>
        <w:tc>
          <w:tcPr>
            <w:tcW w:w="0" w:type="auto"/>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101.LAB*</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rHeight w:val="86"/>
          <w:tblCellSpacing w:w="15" w:type="dxa"/>
        </w:trPr>
        <w:tc>
          <w:tcPr>
            <w:tcW w:w="0" w:type="auto"/>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101.PRE*</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c>
          <w:tcPr>
            <w:tcW w:w="0" w:type="auto"/>
            <w:vAlign w:val="bottom"/>
            <w:hideMark/>
          </w:tcPr>
          <w:p w:rsidR="00000000" w:rsidRDefault="00805FA0">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104*</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Cover Page Interactive Data File (formatted as Inline XBRL with applicable taxonomy extension information contained in Exhibits 101.*</w:t>
            </w:r>
            <w:r>
              <w:rPr>
                <w:sz w:val="20"/>
                <w:szCs w:val="20"/>
              </w:rPr>
              <w:t>)</w:t>
            </w:r>
          </w:p>
        </w:tc>
      </w:tr>
    </w:tbl>
    <w:p w:rsidR="00000000" w:rsidRDefault="00805FA0">
      <w:pPr>
        <w:pStyle w:val="a3"/>
        <w:spacing w:before="120" w:beforeAutospacing="0" w:after="0" w:afterAutospacing="0"/>
        <w:ind w:hanging="581"/>
        <w:rPr>
          <w:sz w:val="20"/>
          <w:szCs w:val="20"/>
        </w:rPr>
      </w:pPr>
      <w:r>
        <w:rPr>
          <w:sz w:val="20"/>
          <w:szCs w:val="20"/>
        </w:rPr>
        <w:t>** Filed herewith</w:t>
      </w:r>
      <w:r>
        <w:rPr>
          <w:sz w:val="20"/>
          <w:szCs w:val="20"/>
        </w:rPr>
        <w:t>.</w:t>
      </w:r>
    </w:p>
    <w:p w:rsidR="00000000" w:rsidRDefault="00805FA0">
      <w:pPr>
        <w:pStyle w:val="a3"/>
        <w:spacing w:before="40" w:beforeAutospacing="0" w:after="0" w:afterAutospacing="0"/>
        <w:ind w:hanging="581"/>
        <w:rPr>
          <w:sz w:val="20"/>
          <w:szCs w:val="20"/>
        </w:rPr>
      </w:pPr>
      <w:r>
        <w:rPr>
          <w:sz w:val="20"/>
          <w:szCs w:val="20"/>
        </w:rPr>
        <w:t> </w:t>
      </w:r>
    </w:p>
    <w:p w:rsidR="00000000" w:rsidRDefault="00805FA0">
      <w:pPr>
        <w:pStyle w:val="a3"/>
        <w:spacing w:before="40" w:beforeAutospacing="0" w:after="0" w:afterAutospacing="0"/>
        <w:ind w:hanging="581"/>
        <w:rPr>
          <w:sz w:val="20"/>
          <w:szCs w:val="20"/>
        </w:rPr>
      </w:pPr>
      <w:r>
        <w:rPr>
          <w:sz w:val="20"/>
          <w:szCs w:val="20"/>
        </w:rPr>
        <w:t>(1) Incorporated by reference to Exhibit 3.1 to HubSpot, Inc.’s Annual Report on Form 10-K filed on</w:t>
      </w:r>
      <w:r>
        <w:rPr>
          <w:sz w:val="20"/>
          <w:szCs w:val="20"/>
        </w:rPr>
        <w:t xml:space="preserve"> February 24, 2016</w:t>
      </w:r>
      <w:r>
        <w:rPr>
          <w:sz w:val="20"/>
          <w:szCs w:val="20"/>
        </w:rPr>
        <w:t>.</w:t>
      </w:r>
    </w:p>
    <w:p w:rsidR="00000000" w:rsidRDefault="00805FA0">
      <w:pPr>
        <w:pStyle w:val="a3"/>
        <w:spacing w:before="0" w:beforeAutospacing="0" w:after="0" w:afterAutospacing="0"/>
        <w:ind w:hanging="581"/>
        <w:rPr>
          <w:sz w:val="20"/>
          <w:szCs w:val="20"/>
        </w:rPr>
      </w:pPr>
      <w:r>
        <w:rPr>
          <w:sz w:val="20"/>
          <w:szCs w:val="20"/>
        </w:rPr>
        <w:t>(2) Incorporated by reference to Exhibit 3.2 to HubSpot Inc.’s Quarterly Report on Form 10-Q filed on November 5, 2020</w:t>
      </w:r>
      <w:r>
        <w:rPr>
          <w:sz w:val="20"/>
          <w:szCs w:val="20"/>
        </w:rPr>
        <w:t>.</w:t>
      </w:r>
    </w:p>
    <w:p w:rsidR="00000000" w:rsidRDefault="00805FA0">
      <w:pPr>
        <w:pStyle w:val="a3"/>
        <w:spacing w:before="0" w:beforeAutospacing="0" w:after="0" w:afterAutospacing="0"/>
        <w:ind w:hanging="581"/>
        <w:rPr>
          <w:sz w:val="20"/>
          <w:szCs w:val="20"/>
        </w:rPr>
      </w:pPr>
      <w:r>
        <w:rPr>
          <w:sz w:val="20"/>
          <w:szCs w:val="20"/>
        </w:rPr>
        <w:t>(3) Incorporated by reference to Exhibit 3.1 to HubSpot Inc.’s Current Report on Form 8-K filed on April 14, 2022</w:t>
      </w:r>
      <w:r>
        <w:rPr>
          <w:sz w:val="20"/>
          <w:szCs w:val="20"/>
        </w:rPr>
        <w:t>.</w:t>
      </w:r>
    </w:p>
    <w:p w:rsidR="00000000" w:rsidRDefault="00805FA0">
      <w:pPr>
        <w:pStyle w:val="a3"/>
        <w:spacing w:before="0" w:beforeAutospacing="0" w:after="0" w:afterAutospacing="0"/>
        <w:ind w:hanging="581"/>
        <w:rPr>
          <w:sz w:val="20"/>
          <w:szCs w:val="20"/>
        </w:rPr>
      </w:pPr>
      <w:r>
        <w:rPr>
          <w:sz w:val="20"/>
          <w:szCs w:val="20"/>
        </w:rPr>
        <w:t>(</w:t>
      </w:r>
      <w:r>
        <w:rPr>
          <w:sz w:val="20"/>
          <w:szCs w:val="20"/>
        </w:rPr>
        <w:t>4) Incorporated by reference to Exhibit 4.1 to Amendment No. 1 to Registrant’s Registration Statement on Form S-1 (SEC file No. 333-198333) filed on September 26, 2014</w:t>
      </w:r>
      <w:r>
        <w:rPr>
          <w:sz w:val="20"/>
          <w:szCs w:val="20"/>
        </w:rPr>
        <w:t>.</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ind w:hanging="581"/>
        <w:rPr>
          <w:sz w:val="20"/>
          <w:szCs w:val="20"/>
        </w:rPr>
      </w:pPr>
      <w:r>
        <w:rPr>
          <w:sz w:val="20"/>
          <w:szCs w:val="20"/>
        </w:rPr>
        <w:t>* The certifications furnished in Exhibit 32.1 hereto are deemed to accompany this Qu</w:t>
      </w:r>
      <w:r>
        <w:rPr>
          <w:sz w:val="20"/>
          <w:szCs w:val="20"/>
        </w:rPr>
        <w:t>arterly Report on Form 10-Q and will not be deemed “filed” for purposes of Section 18 of the Securities Exchange Act of 1934, as amended, except to the extent that the Registrant specifically incorporates it by reference. Such certifications will not be de</w:t>
      </w:r>
      <w:r>
        <w:rPr>
          <w:sz w:val="20"/>
          <w:szCs w:val="20"/>
        </w:rPr>
        <w:t>emed to be incorporated by reference into any filings under the Securities Act of 1933, as amended, or the Securities Exchange Act of 1934, as amended, except to the extent that the Registrant specifically incorporates it by reference</w:t>
      </w:r>
      <w:r>
        <w:rPr>
          <w:sz w:val="20"/>
          <w:szCs w:val="20"/>
        </w:rPr>
        <w:t>.</w:t>
      </w:r>
    </w:p>
    <w:p w:rsidR="00000000" w:rsidRDefault="00805FA0">
      <w:pPr>
        <w:pStyle w:val="a3"/>
        <w:spacing w:before="0" w:beforeAutospacing="0" w:after="0" w:afterAutospacing="0"/>
        <w:ind w:hanging="122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240" w:beforeAutospacing="0" w:after="0" w:afterAutospacing="0"/>
        <w:jc w:val="center"/>
        <w:rPr>
          <w:sz w:val="20"/>
          <w:szCs w:val="20"/>
        </w:rPr>
      </w:pPr>
      <w:r>
        <w:rPr>
          <w:sz w:val="20"/>
          <w:szCs w:val="20"/>
        </w:rPr>
        <w:t>6</w:t>
      </w:r>
      <w:r>
        <w:rPr>
          <w:sz w:val="20"/>
          <w:szCs w:val="20"/>
        </w:rPr>
        <w:t>1</w:t>
      </w:r>
    </w:p>
    <w:p w:rsidR="00000000" w:rsidRDefault="00805FA0">
      <w:pPr>
        <w:rPr>
          <w:rFonts w:eastAsia="Times New Roman"/>
        </w:rPr>
      </w:pPr>
      <w:r>
        <w:rPr>
          <w:rFonts w:eastAsia="Times New Roman"/>
        </w:rPr>
        <w:pict>
          <v:rect id="_x0000_i1085" style="width:0;height:1.5pt" o:hralign="center" o:hrstd="t" o:hr="t" fillcolor="#a0a0a0" stroked="f"/>
        </w:pic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rPr>
          <w:sz w:val="20"/>
          <w:szCs w:val="20"/>
        </w:rPr>
      </w:pPr>
      <w:r>
        <w:rPr>
          <w:sz w:val="20"/>
          <w:szCs w:val="20"/>
        </w:rPr>
        <w:t> </w:t>
      </w:r>
    </w:p>
    <w:p w:rsidR="00000000" w:rsidRDefault="00805FA0">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rsidR="00000000" w:rsidRDefault="00805FA0">
      <w:pPr>
        <w:pStyle w:val="a3"/>
        <w:spacing w:before="12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r>
        <w:rPr>
          <w:sz w:val="20"/>
          <w:szCs w:val="20"/>
        </w:rPr>
        <w:t xml:space="preserve"> </w:t>
      </w:r>
    </w:p>
    <w:tbl>
      <w:tblPr>
        <w:tblW w:w="2200" w:type="pct"/>
        <w:tblCellSpacing w:w="15" w:type="dxa"/>
        <w:tblCellMar>
          <w:top w:w="15" w:type="dxa"/>
          <w:left w:w="15" w:type="dxa"/>
          <w:bottom w:w="15" w:type="dxa"/>
          <w:right w:w="15" w:type="dxa"/>
        </w:tblCellMar>
        <w:tblLook w:val="04A0" w:firstRow="1" w:lastRow="0" w:firstColumn="1" w:lastColumn="0" w:noHBand="0" w:noVBand="1"/>
      </w:tblPr>
      <w:tblGrid>
        <w:gridCol w:w="830"/>
        <w:gridCol w:w="110"/>
        <w:gridCol w:w="2715"/>
      </w:tblGrid>
      <w:tr w:rsidR="00000000">
        <w:trPr>
          <w:tblCellSpacing w:w="15" w:type="dxa"/>
        </w:trPr>
        <w:tc>
          <w:tcPr>
            <w:tcW w:w="1112" w:type="pct"/>
            <w:vAlign w:val="center"/>
            <w:hideMark/>
          </w:tcPr>
          <w:p w:rsidR="00000000" w:rsidRDefault="00805FA0">
            <w:pPr>
              <w:rPr>
                <w:sz w:val="20"/>
                <w:szCs w:val="20"/>
              </w:rPr>
            </w:pPr>
          </w:p>
        </w:tc>
        <w:tc>
          <w:tcPr>
            <w:tcW w:w="110" w:type="pct"/>
            <w:vAlign w:val="center"/>
            <w:hideMark/>
          </w:tcPr>
          <w:p w:rsidR="00000000" w:rsidRDefault="00805FA0">
            <w:pPr>
              <w:rPr>
                <w:rFonts w:eastAsia="Times New Roman"/>
                <w:sz w:val="20"/>
                <w:szCs w:val="20"/>
              </w:rPr>
            </w:pPr>
          </w:p>
        </w:tc>
        <w:tc>
          <w:tcPr>
            <w:tcW w:w="3776" w:type="pct"/>
            <w:vAlign w:val="center"/>
            <w:hideMark/>
          </w:tcPr>
          <w:p w:rsidR="00000000" w:rsidRDefault="00805FA0">
            <w:pPr>
              <w:rPr>
                <w:rFonts w:eastAsia="Times New Roman"/>
                <w:sz w:val="20"/>
                <w:szCs w:val="20"/>
              </w:rPr>
            </w:pPr>
          </w:p>
        </w:tc>
      </w:tr>
      <w:tr w:rsidR="00000000">
        <w:trPr>
          <w:trHeight w:val="200"/>
          <w:tblCellSpacing w:w="15" w:type="dxa"/>
        </w:trPr>
        <w:tc>
          <w:tcPr>
            <w:tcW w:w="0" w:type="auto"/>
            <w:gridSpan w:val="3"/>
            <w:vAlign w:val="bottom"/>
            <w:hideMark/>
          </w:tcPr>
          <w:p w:rsidR="00000000" w:rsidRDefault="00805FA0">
            <w:pPr>
              <w:pStyle w:val="a3"/>
              <w:spacing w:before="0" w:beforeAutospacing="0" w:after="0" w:afterAutospacing="0"/>
              <w:rPr>
                <w:sz w:val="20"/>
                <w:szCs w:val="20"/>
              </w:rPr>
            </w:pPr>
            <w:r>
              <w:rPr>
                <w:b/>
                <w:bCs/>
                <w:sz w:val="20"/>
                <w:szCs w:val="20"/>
              </w:rPr>
              <w:t>HUBSPOT, INC</w:t>
            </w:r>
            <w:r>
              <w:rPr>
                <w:b/>
                <w:bCs/>
                <w:sz w:val="20"/>
                <w:szCs w:val="20"/>
              </w:rPr>
              <w:t>.</w:t>
            </w:r>
          </w:p>
        </w:tc>
      </w:tr>
      <w:tr w:rsidR="00000000">
        <w:trPr>
          <w:tblCellSpacing w:w="15" w:type="dxa"/>
        </w:trPr>
        <w:tc>
          <w:tcPr>
            <w:tcW w:w="0" w:type="auto"/>
            <w:vAlign w:val="center"/>
            <w:hideMark/>
          </w:tcPr>
          <w:p w:rsidR="00000000" w:rsidRDefault="00805FA0">
            <w:pPr>
              <w:pStyle w:val="a3"/>
              <w:spacing w:before="0" w:beforeAutospacing="0" w:after="0" w:afterAutospacing="0"/>
            </w:pPr>
            <w:r>
              <w:t> </w:t>
            </w:r>
          </w:p>
        </w:tc>
        <w:tc>
          <w:tcPr>
            <w:tcW w:w="0" w:type="auto"/>
            <w:gridSpan w:val="2"/>
            <w:vAlign w:val="center"/>
            <w:hideMark/>
          </w:tcPr>
          <w:p w:rsidR="00000000" w:rsidRDefault="00805FA0">
            <w:pPr>
              <w:pStyle w:val="a3"/>
              <w:spacing w:before="0" w:beforeAutospacing="0" w:after="0" w:afterAutospacing="0"/>
            </w:pPr>
            <w:r>
              <w:t> </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805FA0">
            <w:pPr>
              <w:pStyle w:val="a3"/>
              <w:spacing w:before="0" w:beforeAutospacing="0" w:after="0" w:afterAutospacing="0"/>
              <w:rPr>
                <w:sz w:val="20"/>
                <w:szCs w:val="20"/>
              </w:rPr>
            </w:pPr>
            <w:r>
              <w:rPr>
                <w:sz w:val="20"/>
                <w:szCs w:val="20"/>
              </w:rPr>
              <w:t>/s/ Kate Bueke</w:t>
            </w:r>
            <w:r>
              <w:rPr>
                <w:sz w:val="20"/>
                <w:szCs w:val="20"/>
              </w:rPr>
              <w:t>r</w:t>
            </w:r>
          </w:p>
        </w:tc>
      </w:tr>
      <w:tr w:rsidR="00000000">
        <w:trPr>
          <w:trHeight w:val="200"/>
          <w:tblCellSpacing w:w="15" w:type="dxa"/>
        </w:trPr>
        <w:tc>
          <w:tcPr>
            <w:tcW w:w="0" w:type="auto"/>
            <w:vAlign w:val="bottom"/>
            <w:hideMark/>
          </w:tcPr>
          <w:p w:rsidR="00000000" w:rsidRDefault="00805FA0">
            <w:pPr>
              <w:pStyle w:val="a3"/>
              <w:spacing w:before="0" w:beforeAutospacing="0" w:after="0" w:afterAutospacing="0"/>
              <w:rPr>
                <w:sz w:val="20"/>
                <w:szCs w:val="20"/>
              </w:rPr>
            </w:pPr>
            <w:r>
              <w:rPr>
                <w:sz w:val="20"/>
                <w:szCs w:val="20"/>
              </w:rPr>
              <w:t>Name</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Kate Bueke</w:t>
            </w:r>
            <w:r>
              <w:rPr>
                <w:sz w:val="20"/>
                <w:szCs w:val="20"/>
              </w:rPr>
              <w:t>r</w:t>
            </w:r>
          </w:p>
        </w:tc>
      </w:tr>
      <w:tr w:rsidR="00000000">
        <w:trPr>
          <w:trHeight w:val="200"/>
          <w:tblCellSpacing w:w="15" w:type="dxa"/>
        </w:trPr>
        <w:tc>
          <w:tcPr>
            <w:tcW w:w="0" w:type="auto"/>
            <w:hideMark/>
          </w:tcPr>
          <w:p w:rsidR="00000000" w:rsidRDefault="00805FA0">
            <w:pPr>
              <w:pStyle w:val="a3"/>
              <w:spacing w:before="0" w:beforeAutospacing="0" w:after="0" w:afterAutospacing="0"/>
              <w:rPr>
                <w:sz w:val="20"/>
                <w:szCs w:val="20"/>
              </w:rPr>
            </w:pPr>
            <w:r>
              <w:rPr>
                <w:sz w:val="20"/>
                <w:szCs w:val="20"/>
              </w:rPr>
              <w:t>Title</w:t>
            </w:r>
            <w:r>
              <w:rPr>
                <w:sz w:val="20"/>
                <w:szCs w:val="20"/>
              </w:rPr>
              <w:t>:</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 </w:t>
            </w:r>
          </w:p>
        </w:tc>
        <w:tc>
          <w:tcPr>
            <w:tcW w:w="0" w:type="auto"/>
            <w:vAlign w:val="bottom"/>
            <w:hideMark/>
          </w:tcPr>
          <w:p w:rsidR="00000000" w:rsidRDefault="00805FA0">
            <w:pPr>
              <w:pStyle w:val="a3"/>
              <w:spacing w:before="0" w:beforeAutospacing="0" w:after="0" w:afterAutospacing="0"/>
              <w:rPr>
                <w:sz w:val="20"/>
                <w:szCs w:val="20"/>
              </w:rPr>
            </w:pPr>
            <w:r>
              <w:rPr>
                <w:sz w:val="20"/>
                <w:szCs w:val="20"/>
              </w:rPr>
              <w:t>Chief Financial Office</w:t>
            </w:r>
            <w:r>
              <w:rPr>
                <w:sz w:val="20"/>
                <w:szCs w:val="20"/>
              </w:rPr>
              <w:t>r</w:t>
            </w:r>
          </w:p>
          <w:p w:rsidR="00000000" w:rsidRDefault="00805FA0">
            <w:pPr>
              <w:pStyle w:val="a3"/>
              <w:spacing w:before="0" w:beforeAutospacing="0" w:after="0" w:afterAutospacing="0"/>
              <w:rPr>
                <w:sz w:val="20"/>
                <w:szCs w:val="20"/>
              </w:rPr>
            </w:pPr>
            <w:r>
              <w:rPr>
                <w:i/>
                <w:iCs/>
                <w:sz w:val="20"/>
                <w:szCs w:val="20"/>
              </w:rPr>
              <w:t>(Principal Financial and Accountin</w:t>
            </w:r>
            <w:r>
              <w:rPr>
                <w:i/>
                <w:iCs/>
                <w:sz w:val="20"/>
                <w:szCs w:val="20"/>
              </w:rPr>
              <w:t>g</w:t>
            </w:r>
            <w:r>
              <w:rPr>
                <w:i/>
                <w:iCs/>
                <w:sz w:val="20"/>
                <w:szCs w:val="20"/>
              </w:rPr>
              <w:t xml:space="preserve"> </w:t>
            </w:r>
          </w:p>
          <w:p w:rsidR="00000000" w:rsidRDefault="00805FA0">
            <w:pPr>
              <w:pStyle w:val="a3"/>
              <w:spacing w:before="0" w:beforeAutospacing="0" w:after="0" w:afterAutospacing="0"/>
              <w:rPr>
                <w:sz w:val="20"/>
                <w:szCs w:val="20"/>
              </w:rPr>
            </w:pPr>
            <w:r>
              <w:rPr>
                <w:i/>
                <w:iCs/>
                <w:sz w:val="20"/>
                <w:szCs w:val="20"/>
              </w:rPr>
              <w:t>Officer and Authorized Signatory</w:t>
            </w:r>
            <w:r>
              <w:rPr>
                <w:i/>
                <w:iCs/>
                <w:sz w:val="20"/>
                <w:szCs w:val="20"/>
              </w:rPr>
              <w:t>)</w:t>
            </w:r>
          </w:p>
        </w:tc>
      </w:tr>
    </w:tbl>
    <w:p w:rsidR="00000000" w:rsidRDefault="00805FA0">
      <w:pPr>
        <w:pStyle w:val="a3"/>
        <w:spacing w:before="240" w:beforeAutospacing="0" w:after="0" w:afterAutospacing="0"/>
        <w:rPr>
          <w:sz w:val="20"/>
          <w:szCs w:val="20"/>
        </w:rPr>
      </w:pPr>
      <w:r>
        <w:rPr>
          <w:sz w:val="20"/>
          <w:szCs w:val="20"/>
        </w:rPr>
        <w:t>November 2, 202</w:t>
      </w:r>
      <w:r>
        <w:rPr>
          <w:sz w:val="20"/>
          <w:szCs w:val="20"/>
        </w:rPr>
        <w:t>2</w:t>
      </w:r>
    </w:p>
    <w:p w:rsidR="00000000" w:rsidRDefault="00805FA0">
      <w:pPr>
        <w:pStyle w:val="a3"/>
        <w:spacing w:before="240" w:beforeAutospacing="0" w:after="0" w:afterAutospacing="0"/>
        <w:jc w:val="center"/>
        <w:rPr>
          <w:sz w:val="20"/>
          <w:szCs w:val="20"/>
        </w:rPr>
      </w:pPr>
      <w:r>
        <w:rPr>
          <w:sz w:val="20"/>
          <w:szCs w:val="20"/>
        </w:rPr>
        <w:t>6</w:t>
      </w:r>
      <w:r>
        <w:rPr>
          <w:sz w:val="20"/>
          <w:szCs w:val="20"/>
        </w:rPr>
        <w:t>2</w:t>
      </w:r>
    </w:p>
    <w:p w:rsidR="00805FA0" w:rsidRDefault="00805FA0">
      <w:pPr>
        <w:rPr>
          <w:rFonts w:eastAsia="Times New Roman"/>
        </w:rPr>
      </w:pPr>
      <w:r>
        <w:rPr>
          <w:rFonts w:eastAsia="Times New Roman"/>
        </w:rPr>
        <w:pict>
          <v:rect id="_x0000_i1086" style="width:0;height:1.5pt" o:hralign="center" o:hrstd="t" o:hr="t" fillcolor="#a0a0a0" stroked="f"/>
        </w:pict>
      </w:r>
    </w:p>
    <w:sectPr w:rsidR="00805FA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5FA0"/>
    <w:rsid w:val="00805FA0"/>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hubspot.com/20220930"/>
  <w:attachedSchema w:val="http://xbrl.sec.gov/dei/2022"/>
  <w:attachedSchema w:val="http://xbrl.sec.gov/stpr/2022"/>
  <w:attachedSchema w:val="http://fasb.org/us-gaap/2022"/>
  <w:attachedSchema w:val="http://www.xbrl.org/2003/iso4217"/>
  <w:attachedSchema w:val="http://xbrl.org/2020/extensible-enumerations-2.0"/>
  <w:attachedSchema w:val="http://www.xbrl.org/dtr/type/2020-01-21"/>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96">
      <w:marLeft w:val="4"/>
      <w:marRight w:val="0"/>
      <w:marTop w:val="160"/>
      <w:marBottom w:val="0"/>
      <w:divBdr>
        <w:top w:val="none" w:sz="0" w:space="0" w:color="auto"/>
        <w:left w:val="none" w:sz="0" w:space="0" w:color="auto"/>
        <w:bottom w:val="none" w:sz="0" w:space="0" w:color="auto"/>
        <w:right w:val="none" w:sz="0" w:space="0" w:color="auto"/>
      </w:divBdr>
      <w:divsChild>
        <w:div w:id="2100439386">
          <w:marLeft w:val="0"/>
          <w:marRight w:val="0"/>
          <w:marTop w:val="0"/>
          <w:marBottom w:val="0"/>
          <w:divBdr>
            <w:top w:val="none" w:sz="0" w:space="0" w:color="auto"/>
            <w:left w:val="none" w:sz="0" w:space="0" w:color="auto"/>
            <w:bottom w:val="none" w:sz="0" w:space="0" w:color="auto"/>
            <w:right w:val="none" w:sz="0" w:space="0" w:color="auto"/>
          </w:divBdr>
        </w:div>
      </w:divsChild>
    </w:div>
    <w:div w:id="23675007">
      <w:marLeft w:val="4"/>
      <w:marRight w:val="0"/>
      <w:marTop w:val="200"/>
      <w:marBottom w:val="0"/>
      <w:divBdr>
        <w:top w:val="none" w:sz="0" w:space="0" w:color="auto"/>
        <w:left w:val="none" w:sz="0" w:space="0" w:color="auto"/>
        <w:bottom w:val="none" w:sz="0" w:space="0" w:color="auto"/>
        <w:right w:val="none" w:sz="0" w:space="0" w:color="auto"/>
      </w:divBdr>
      <w:divsChild>
        <w:div w:id="1827433309">
          <w:marLeft w:val="0"/>
          <w:marRight w:val="0"/>
          <w:marTop w:val="0"/>
          <w:marBottom w:val="0"/>
          <w:divBdr>
            <w:top w:val="none" w:sz="0" w:space="0" w:color="auto"/>
            <w:left w:val="none" w:sz="0" w:space="0" w:color="auto"/>
            <w:bottom w:val="none" w:sz="0" w:space="0" w:color="auto"/>
            <w:right w:val="none" w:sz="0" w:space="0" w:color="auto"/>
          </w:divBdr>
        </w:div>
      </w:divsChild>
    </w:div>
    <w:div w:id="55473458">
      <w:marLeft w:val="4"/>
      <w:marRight w:val="0"/>
      <w:marTop w:val="200"/>
      <w:marBottom w:val="0"/>
      <w:divBdr>
        <w:top w:val="none" w:sz="0" w:space="0" w:color="auto"/>
        <w:left w:val="none" w:sz="0" w:space="0" w:color="auto"/>
        <w:bottom w:val="none" w:sz="0" w:space="0" w:color="auto"/>
        <w:right w:val="none" w:sz="0" w:space="0" w:color="auto"/>
      </w:divBdr>
      <w:divsChild>
        <w:div w:id="1624732874">
          <w:marLeft w:val="0"/>
          <w:marRight w:val="0"/>
          <w:marTop w:val="0"/>
          <w:marBottom w:val="0"/>
          <w:divBdr>
            <w:top w:val="none" w:sz="0" w:space="0" w:color="auto"/>
            <w:left w:val="none" w:sz="0" w:space="0" w:color="auto"/>
            <w:bottom w:val="none" w:sz="0" w:space="0" w:color="auto"/>
            <w:right w:val="none" w:sz="0" w:space="0" w:color="auto"/>
          </w:divBdr>
        </w:div>
      </w:divsChild>
    </w:div>
    <w:div w:id="79720945">
      <w:marLeft w:val="4"/>
      <w:marRight w:val="0"/>
      <w:marTop w:val="160"/>
      <w:marBottom w:val="0"/>
      <w:divBdr>
        <w:top w:val="none" w:sz="0" w:space="0" w:color="auto"/>
        <w:left w:val="none" w:sz="0" w:space="0" w:color="auto"/>
        <w:bottom w:val="none" w:sz="0" w:space="0" w:color="auto"/>
        <w:right w:val="none" w:sz="0" w:space="0" w:color="auto"/>
      </w:divBdr>
      <w:divsChild>
        <w:div w:id="1658999727">
          <w:marLeft w:val="0"/>
          <w:marRight w:val="0"/>
          <w:marTop w:val="0"/>
          <w:marBottom w:val="0"/>
          <w:divBdr>
            <w:top w:val="none" w:sz="0" w:space="0" w:color="auto"/>
            <w:left w:val="none" w:sz="0" w:space="0" w:color="auto"/>
            <w:bottom w:val="none" w:sz="0" w:space="0" w:color="auto"/>
            <w:right w:val="none" w:sz="0" w:space="0" w:color="auto"/>
          </w:divBdr>
        </w:div>
      </w:divsChild>
    </w:div>
    <w:div w:id="85275821">
      <w:marLeft w:val="0"/>
      <w:marRight w:val="0"/>
      <w:marTop w:val="0"/>
      <w:marBottom w:val="0"/>
      <w:divBdr>
        <w:top w:val="none" w:sz="0" w:space="0" w:color="auto"/>
        <w:left w:val="none" w:sz="0" w:space="0" w:color="auto"/>
        <w:bottom w:val="none" w:sz="0" w:space="0" w:color="auto"/>
        <w:right w:val="none" w:sz="0" w:space="0" w:color="auto"/>
      </w:divBdr>
      <w:divsChild>
        <w:div w:id="2029017069">
          <w:marLeft w:val="0"/>
          <w:marRight w:val="0"/>
          <w:marTop w:val="0"/>
          <w:marBottom w:val="0"/>
          <w:divBdr>
            <w:top w:val="none" w:sz="0" w:space="0" w:color="auto"/>
            <w:left w:val="none" w:sz="0" w:space="0" w:color="auto"/>
            <w:bottom w:val="none" w:sz="0" w:space="0" w:color="auto"/>
            <w:right w:val="none" w:sz="0" w:space="0" w:color="auto"/>
          </w:divBdr>
        </w:div>
        <w:div w:id="1556045250">
          <w:marLeft w:val="0"/>
          <w:marRight w:val="0"/>
          <w:marTop w:val="0"/>
          <w:marBottom w:val="0"/>
          <w:divBdr>
            <w:top w:val="none" w:sz="0" w:space="0" w:color="auto"/>
            <w:left w:val="none" w:sz="0" w:space="0" w:color="auto"/>
            <w:bottom w:val="none" w:sz="0" w:space="0" w:color="auto"/>
            <w:right w:val="none" w:sz="0" w:space="0" w:color="auto"/>
          </w:divBdr>
        </w:div>
      </w:divsChild>
    </w:div>
    <w:div w:id="95517237">
      <w:marLeft w:val="4"/>
      <w:marRight w:val="0"/>
      <w:marTop w:val="200"/>
      <w:marBottom w:val="0"/>
      <w:divBdr>
        <w:top w:val="none" w:sz="0" w:space="0" w:color="auto"/>
        <w:left w:val="none" w:sz="0" w:space="0" w:color="auto"/>
        <w:bottom w:val="none" w:sz="0" w:space="0" w:color="auto"/>
        <w:right w:val="none" w:sz="0" w:space="0" w:color="auto"/>
      </w:divBdr>
      <w:divsChild>
        <w:div w:id="199559078">
          <w:marLeft w:val="0"/>
          <w:marRight w:val="0"/>
          <w:marTop w:val="0"/>
          <w:marBottom w:val="0"/>
          <w:divBdr>
            <w:top w:val="none" w:sz="0" w:space="0" w:color="auto"/>
            <w:left w:val="none" w:sz="0" w:space="0" w:color="auto"/>
            <w:bottom w:val="none" w:sz="0" w:space="0" w:color="auto"/>
            <w:right w:val="none" w:sz="0" w:space="0" w:color="auto"/>
          </w:divBdr>
        </w:div>
      </w:divsChild>
    </w:div>
    <w:div w:id="103237396">
      <w:marLeft w:val="4"/>
      <w:marRight w:val="0"/>
      <w:marTop w:val="200"/>
      <w:marBottom w:val="0"/>
      <w:divBdr>
        <w:top w:val="none" w:sz="0" w:space="0" w:color="auto"/>
        <w:left w:val="none" w:sz="0" w:space="0" w:color="auto"/>
        <w:bottom w:val="none" w:sz="0" w:space="0" w:color="auto"/>
        <w:right w:val="none" w:sz="0" w:space="0" w:color="auto"/>
      </w:divBdr>
      <w:divsChild>
        <w:div w:id="1461267666">
          <w:marLeft w:val="0"/>
          <w:marRight w:val="0"/>
          <w:marTop w:val="0"/>
          <w:marBottom w:val="0"/>
          <w:divBdr>
            <w:top w:val="none" w:sz="0" w:space="0" w:color="auto"/>
            <w:left w:val="none" w:sz="0" w:space="0" w:color="auto"/>
            <w:bottom w:val="none" w:sz="0" w:space="0" w:color="auto"/>
            <w:right w:val="none" w:sz="0" w:space="0" w:color="auto"/>
          </w:divBdr>
        </w:div>
      </w:divsChild>
    </w:div>
    <w:div w:id="129444985">
      <w:marLeft w:val="4"/>
      <w:marRight w:val="0"/>
      <w:marTop w:val="160"/>
      <w:marBottom w:val="0"/>
      <w:divBdr>
        <w:top w:val="none" w:sz="0" w:space="0" w:color="auto"/>
        <w:left w:val="none" w:sz="0" w:space="0" w:color="auto"/>
        <w:bottom w:val="none" w:sz="0" w:space="0" w:color="auto"/>
        <w:right w:val="none" w:sz="0" w:space="0" w:color="auto"/>
      </w:divBdr>
      <w:divsChild>
        <w:div w:id="1526285003">
          <w:marLeft w:val="0"/>
          <w:marRight w:val="0"/>
          <w:marTop w:val="0"/>
          <w:marBottom w:val="0"/>
          <w:divBdr>
            <w:top w:val="none" w:sz="0" w:space="0" w:color="auto"/>
            <w:left w:val="none" w:sz="0" w:space="0" w:color="auto"/>
            <w:bottom w:val="none" w:sz="0" w:space="0" w:color="auto"/>
            <w:right w:val="none" w:sz="0" w:space="0" w:color="auto"/>
          </w:divBdr>
        </w:div>
      </w:divsChild>
    </w:div>
    <w:div w:id="146476468">
      <w:marLeft w:val="4"/>
      <w:marRight w:val="0"/>
      <w:marTop w:val="120"/>
      <w:marBottom w:val="0"/>
      <w:divBdr>
        <w:top w:val="none" w:sz="0" w:space="0" w:color="auto"/>
        <w:left w:val="none" w:sz="0" w:space="0" w:color="auto"/>
        <w:bottom w:val="none" w:sz="0" w:space="0" w:color="auto"/>
        <w:right w:val="none" w:sz="0" w:space="0" w:color="auto"/>
      </w:divBdr>
      <w:divsChild>
        <w:div w:id="1754619327">
          <w:marLeft w:val="0"/>
          <w:marRight w:val="0"/>
          <w:marTop w:val="0"/>
          <w:marBottom w:val="0"/>
          <w:divBdr>
            <w:top w:val="none" w:sz="0" w:space="0" w:color="auto"/>
            <w:left w:val="none" w:sz="0" w:space="0" w:color="auto"/>
            <w:bottom w:val="none" w:sz="0" w:space="0" w:color="auto"/>
            <w:right w:val="none" w:sz="0" w:space="0" w:color="auto"/>
          </w:divBdr>
        </w:div>
      </w:divsChild>
    </w:div>
    <w:div w:id="158426690">
      <w:marLeft w:val="0"/>
      <w:marRight w:val="0"/>
      <w:marTop w:val="0"/>
      <w:marBottom w:val="0"/>
      <w:divBdr>
        <w:top w:val="none" w:sz="0" w:space="0" w:color="auto"/>
        <w:left w:val="none" w:sz="0" w:space="0" w:color="auto"/>
        <w:bottom w:val="none" w:sz="0" w:space="0" w:color="auto"/>
        <w:right w:val="none" w:sz="0" w:space="0" w:color="auto"/>
      </w:divBdr>
      <w:divsChild>
        <w:div w:id="1292635250">
          <w:marLeft w:val="0"/>
          <w:marRight w:val="0"/>
          <w:marTop w:val="0"/>
          <w:marBottom w:val="0"/>
          <w:divBdr>
            <w:top w:val="none" w:sz="0" w:space="0" w:color="auto"/>
            <w:left w:val="none" w:sz="0" w:space="0" w:color="auto"/>
            <w:bottom w:val="none" w:sz="0" w:space="0" w:color="auto"/>
            <w:right w:val="none" w:sz="0" w:space="0" w:color="auto"/>
          </w:divBdr>
        </w:div>
      </w:divsChild>
    </w:div>
    <w:div w:id="163206460">
      <w:marLeft w:val="4"/>
      <w:marRight w:val="0"/>
      <w:marTop w:val="200"/>
      <w:marBottom w:val="0"/>
      <w:divBdr>
        <w:top w:val="none" w:sz="0" w:space="0" w:color="auto"/>
        <w:left w:val="none" w:sz="0" w:space="0" w:color="auto"/>
        <w:bottom w:val="none" w:sz="0" w:space="0" w:color="auto"/>
        <w:right w:val="none" w:sz="0" w:space="0" w:color="auto"/>
      </w:divBdr>
      <w:divsChild>
        <w:div w:id="716587199">
          <w:marLeft w:val="0"/>
          <w:marRight w:val="0"/>
          <w:marTop w:val="0"/>
          <w:marBottom w:val="0"/>
          <w:divBdr>
            <w:top w:val="none" w:sz="0" w:space="0" w:color="auto"/>
            <w:left w:val="none" w:sz="0" w:space="0" w:color="auto"/>
            <w:bottom w:val="none" w:sz="0" w:space="0" w:color="auto"/>
            <w:right w:val="none" w:sz="0" w:space="0" w:color="auto"/>
          </w:divBdr>
        </w:div>
      </w:divsChild>
    </w:div>
    <w:div w:id="190991687">
      <w:marLeft w:val="4"/>
      <w:marRight w:val="0"/>
      <w:marTop w:val="160"/>
      <w:marBottom w:val="0"/>
      <w:divBdr>
        <w:top w:val="none" w:sz="0" w:space="0" w:color="auto"/>
        <w:left w:val="none" w:sz="0" w:space="0" w:color="auto"/>
        <w:bottom w:val="none" w:sz="0" w:space="0" w:color="auto"/>
        <w:right w:val="none" w:sz="0" w:space="0" w:color="auto"/>
      </w:divBdr>
      <w:divsChild>
        <w:div w:id="1681617888">
          <w:marLeft w:val="0"/>
          <w:marRight w:val="0"/>
          <w:marTop w:val="0"/>
          <w:marBottom w:val="0"/>
          <w:divBdr>
            <w:top w:val="none" w:sz="0" w:space="0" w:color="auto"/>
            <w:left w:val="none" w:sz="0" w:space="0" w:color="auto"/>
            <w:bottom w:val="none" w:sz="0" w:space="0" w:color="auto"/>
            <w:right w:val="none" w:sz="0" w:space="0" w:color="auto"/>
          </w:divBdr>
        </w:div>
      </w:divsChild>
    </w:div>
    <w:div w:id="200242527">
      <w:marLeft w:val="4"/>
      <w:marRight w:val="0"/>
      <w:marTop w:val="200"/>
      <w:marBottom w:val="0"/>
      <w:divBdr>
        <w:top w:val="none" w:sz="0" w:space="0" w:color="auto"/>
        <w:left w:val="none" w:sz="0" w:space="0" w:color="auto"/>
        <w:bottom w:val="none" w:sz="0" w:space="0" w:color="auto"/>
        <w:right w:val="none" w:sz="0" w:space="0" w:color="auto"/>
      </w:divBdr>
      <w:divsChild>
        <w:div w:id="1778596895">
          <w:marLeft w:val="0"/>
          <w:marRight w:val="0"/>
          <w:marTop w:val="0"/>
          <w:marBottom w:val="0"/>
          <w:divBdr>
            <w:top w:val="none" w:sz="0" w:space="0" w:color="auto"/>
            <w:left w:val="none" w:sz="0" w:space="0" w:color="auto"/>
            <w:bottom w:val="none" w:sz="0" w:space="0" w:color="auto"/>
            <w:right w:val="none" w:sz="0" w:space="0" w:color="auto"/>
          </w:divBdr>
        </w:div>
      </w:divsChild>
    </w:div>
    <w:div w:id="205265273">
      <w:marLeft w:val="4"/>
      <w:marRight w:val="0"/>
      <w:marTop w:val="200"/>
      <w:marBottom w:val="0"/>
      <w:divBdr>
        <w:top w:val="none" w:sz="0" w:space="0" w:color="auto"/>
        <w:left w:val="none" w:sz="0" w:space="0" w:color="auto"/>
        <w:bottom w:val="none" w:sz="0" w:space="0" w:color="auto"/>
        <w:right w:val="none" w:sz="0" w:space="0" w:color="auto"/>
      </w:divBdr>
      <w:divsChild>
        <w:div w:id="36201326">
          <w:marLeft w:val="0"/>
          <w:marRight w:val="0"/>
          <w:marTop w:val="0"/>
          <w:marBottom w:val="0"/>
          <w:divBdr>
            <w:top w:val="none" w:sz="0" w:space="0" w:color="auto"/>
            <w:left w:val="none" w:sz="0" w:space="0" w:color="auto"/>
            <w:bottom w:val="none" w:sz="0" w:space="0" w:color="auto"/>
            <w:right w:val="none" w:sz="0" w:space="0" w:color="auto"/>
          </w:divBdr>
        </w:div>
      </w:divsChild>
    </w:div>
    <w:div w:id="229079812">
      <w:marLeft w:val="0"/>
      <w:marRight w:val="0"/>
      <w:marTop w:val="0"/>
      <w:marBottom w:val="0"/>
      <w:divBdr>
        <w:top w:val="none" w:sz="0" w:space="0" w:color="auto"/>
        <w:left w:val="none" w:sz="0" w:space="0" w:color="auto"/>
        <w:bottom w:val="none" w:sz="0" w:space="0" w:color="auto"/>
        <w:right w:val="none" w:sz="0" w:space="0" w:color="auto"/>
      </w:divBdr>
      <w:divsChild>
        <w:div w:id="250048590">
          <w:marLeft w:val="0"/>
          <w:marRight w:val="0"/>
          <w:marTop w:val="0"/>
          <w:marBottom w:val="0"/>
          <w:divBdr>
            <w:top w:val="none" w:sz="0" w:space="0" w:color="auto"/>
            <w:left w:val="none" w:sz="0" w:space="0" w:color="auto"/>
            <w:bottom w:val="none" w:sz="0" w:space="0" w:color="auto"/>
            <w:right w:val="none" w:sz="0" w:space="0" w:color="auto"/>
          </w:divBdr>
        </w:div>
        <w:div w:id="1583880281">
          <w:marLeft w:val="0"/>
          <w:marRight w:val="0"/>
          <w:marTop w:val="0"/>
          <w:marBottom w:val="0"/>
          <w:divBdr>
            <w:top w:val="none" w:sz="0" w:space="0" w:color="auto"/>
            <w:left w:val="none" w:sz="0" w:space="0" w:color="auto"/>
            <w:bottom w:val="none" w:sz="0" w:space="0" w:color="auto"/>
            <w:right w:val="none" w:sz="0" w:space="0" w:color="auto"/>
          </w:divBdr>
        </w:div>
      </w:divsChild>
    </w:div>
    <w:div w:id="245767949">
      <w:marLeft w:val="4"/>
      <w:marRight w:val="0"/>
      <w:marTop w:val="200"/>
      <w:marBottom w:val="0"/>
      <w:divBdr>
        <w:top w:val="none" w:sz="0" w:space="0" w:color="auto"/>
        <w:left w:val="none" w:sz="0" w:space="0" w:color="auto"/>
        <w:bottom w:val="none" w:sz="0" w:space="0" w:color="auto"/>
        <w:right w:val="none" w:sz="0" w:space="0" w:color="auto"/>
      </w:divBdr>
      <w:divsChild>
        <w:div w:id="1510868125">
          <w:marLeft w:val="0"/>
          <w:marRight w:val="0"/>
          <w:marTop w:val="0"/>
          <w:marBottom w:val="0"/>
          <w:divBdr>
            <w:top w:val="none" w:sz="0" w:space="0" w:color="auto"/>
            <w:left w:val="none" w:sz="0" w:space="0" w:color="auto"/>
            <w:bottom w:val="none" w:sz="0" w:space="0" w:color="auto"/>
            <w:right w:val="none" w:sz="0" w:space="0" w:color="auto"/>
          </w:divBdr>
        </w:div>
      </w:divsChild>
    </w:div>
    <w:div w:id="246185707">
      <w:marLeft w:val="4"/>
      <w:marRight w:val="0"/>
      <w:marTop w:val="200"/>
      <w:marBottom w:val="0"/>
      <w:divBdr>
        <w:top w:val="none" w:sz="0" w:space="0" w:color="auto"/>
        <w:left w:val="none" w:sz="0" w:space="0" w:color="auto"/>
        <w:bottom w:val="none" w:sz="0" w:space="0" w:color="auto"/>
        <w:right w:val="none" w:sz="0" w:space="0" w:color="auto"/>
      </w:divBdr>
      <w:divsChild>
        <w:div w:id="1888107328">
          <w:marLeft w:val="0"/>
          <w:marRight w:val="0"/>
          <w:marTop w:val="0"/>
          <w:marBottom w:val="0"/>
          <w:divBdr>
            <w:top w:val="none" w:sz="0" w:space="0" w:color="auto"/>
            <w:left w:val="none" w:sz="0" w:space="0" w:color="auto"/>
            <w:bottom w:val="none" w:sz="0" w:space="0" w:color="auto"/>
            <w:right w:val="none" w:sz="0" w:space="0" w:color="auto"/>
          </w:divBdr>
        </w:div>
      </w:divsChild>
    </w:div>
    <w:div w:id="267588371">
      <w:marLeft w:val="4"/>
      <w:marRight w:val="0"/>
      <w:marTop w:val="160"/>
      <w:marBottom w:val="0"/>
      <w:divBdr>
        <w:top w:val="none" w:sz="0" w:space="0" w:color="auto"/>
        <w:left w:val="none" w:sz="0" w:space="0" w:color="auto"/>
        <w:bottom w:val="none" w:sz="0" w:space="0" w:color="auto"/>
        <w:right w:val="none" w:sz="0" w:space="0" w:color="auto"/>
      </w:divBdr>
      <w:divsChild>
        <w:div w:id="422459076">
          <w:marLeft w:val="0"/>
          <w:marRight w:val="0"/>
          <w:marTop w:val="0"/>
          <w:marBottom w:val="0"/>
          <w:divBdr>
            <w:top w:val="none" w:sz="0" w:space="0" w:color="auto"/>
            <w:left w:val="none" w:sz="0" w:space="0" w:color="auto"/>
            <w:bottom w:val="none" w:sz="0" w:space="0" w:color="auto"/>
            <w:right w:val="none" w:sz="0" w:space="0" w:color="auto"/>
          </w:divBdr>
        </w:div>
      </w:divsChild>
    </w:div>
    <w:div w:id="270207478">
      <w:marLeft w:val="4"/>
      <w:marRight w:val="0"/>
      <w:marTop w:val="160"/>
      <w:marBottom w:val="0"/>
      <w:divBdr>
        <w:top w:val="none" w:sz="0" w:space="0" w:color="auto"/>
        <w:left w:val="none" w:sz="0" w:space="0" w:color="auto"/>
        <w:bottom w:val="none" w:sz="0" w:space="0" w:color="auto"/>
        <w:right w:val="none" w:sz="0" w:space="0" w:color="auto"/>
      </w:divBdr>
      <w:divsChild>
        <w:div w:id="34504233">
          <w:marLeft w:val="0"/>
          <w:marRight w:val="0"/>
          <w:marTop w:val="0"/>
          <w:marBottom w:val="0"/>
          <w:divBdr>
            <w:top w:val="none" w:sz="0" w:space="0" w:color="auto"/>
            <w:left w:val="none" w:sz="0" w:space="0" w:color="auto"/>
            <w:bottom w:val="none" w:sz="0" w:space="0" w:color="auto"/>
            <w:right w:val="none" w:sz="0" w:space="0" w:color="auto"/>
          </w:divBdr>
        </w:div>
      </w:divsChild>
    </w:div>
    <w:div w:id="315645858">
      <w:marLeft w:val="4"/>
      <w:marRight w:val="0"/>
      <w:marTop w:val="160"/>
      <w:marBottom w:val="0"/>
      <w:divBdr>
        <w:top w:val="none" w:sz="0" w:space="0" w:color="auto"/>
        <w:left w:val="none" w:sz="0" w:space="0" w:color="auto"/>
        <w:bottom w:val="none" w:sz="0" w:space="0" w:color="auto"/>
        <w:right w:val="none" w:sz="0" w:space="0" w:color="auto"/>
      </w:divBdr>
      <w:divsChild>
        <w:div w:id="167840866">
          <w:marLeft w:val="0"/>
          <w:marRight w:val="0"/>
          <w:marTop w:val="0"/>
          <w:marBottom w:val="0"/>
          <w:divBdr>
            <w:top w:val="none" w:sz="0" w:space="0" w:color="auto"/>
            <w:left w:val="none" w:sz="0" w:space="0" w:color="auto"/>
            <w:bottom w:val="none" w:sz="0" w:space="0" w:color="auto"/>
            <w:right w:val="none" w:sz="0" w:space="0" w:color="auto"/>
          </w:divBdr>
        </w:div>
      </w:divsChild>
    </w:div>
    <w:div w:id="367920241">
      <w:marLeft w:val="4"/>
      <w:marRight w:val="0"/>
      <w:marTop w:val="200"/>
      <w:marBottom w:val="0"/>
      <w:divBdr>
        <w:top w:val="none" w:sz="0" w:space="0" w:color="auto"/>
        <w:left w:val="none" w:sz="0" w:space="0" w:color="auto"/>
        <w:bottom w:val="none" w:sz="0" w:space="0" w:color="auto"/>
        <w:right w:val="none" w:sz="0" w:space="0" w:color="auto"/>
      </w:divBdr>
      <w:divsChild>
        <w:div w:id="624892663">
          <w:marLeft w:val="0"/>
          <w:marRight w:val="0"/>
          <w:marTop w:val="0"/>
          <w:marBottom w:val="0"/>
          <w:divBdr>
            <w:top w:val="none" w:sz="0" w:space="0" w:color="auto"/>
            <w:left w:val="none" w:sz="0" w:space="0" w:color="auto"/>
            <w:bottom w:val="none" w:sz="0" w:space="0" w:color="auto"/>
            <w:right w:val="none" w:sz="0" w:space="0" w:color="auto"/>
          </w:divBdr>
        </w:div>
      </w:divsChild>
    </w:div>
    <w:div w:id="383649317">
      <w:marLeft w:val="4"/>
      <w:marRight w:val="0"/>
      <w:marTop w:val="160"/>
      <w:marBottom w:val="0"/>
      <w:divBdr>
        <w:top w:val="none" w:sz="0" w:space="0" w:color="auto"/>
        <w:left w:val="none" w:sz="0" w:space="0" w:color="auto"/>
        <w:bottom w:val="none" w:sz="0" w:space="0" w:color="auto"/>
        <w:right w:val="none" w:sz="0" w:space="0" w:color="auto"/>
      </w:divBdr>
      <w:divsChild>
        <w:div w:id="441538613">
          <w:marLeft w:val="0"/>
          <w:marRight w:val="0"/>
          <w:marTop w:val="0"/>
          <w:marBottom w:val="0"/>
          <w:divBdr>
            <w:top w:val="none" w:sz="0" w:space="0" w:color="auto"/>
            <w:left w:val="none" w:sz="0" w:space="0" w:color="auto"/>
            <w:bottom w:val="none" w:sz="0" w:space="0" w:color="auto"/>
            <w:right w:val="none" w:sz="0" w:space="0" w:color="auto"/>
          </w:divBdr>
        </w:div>
      </w:divsChild>
    </w:div>
    <w:div w:id="384332153">
      <w:marLeft w:val="4"/>
      <w:marRight w:val="0"/>
      <w:marTop w:val="120"/>
      <w:marBottom w:val="0"/>
      <w:divBdr>
        <w:top w:val="none" w:sz="0" w:space="0" w:color="auto"/>
        <w:left w:val="none" w:sz="0" w:space="0" w:color="auto"/>
        <w:bottom w:val="none" w:sz="0" w:space="0" w:color="auto"/>
        <w:right w:val="none" w:sz="0" w:space="0" w:color="auto"/>
      </w:divBdr>
      <w:divsChild>
        <w:div w:id="944314857">
          <w:marLeft w:val="0"/>
          <w:marRight w:val="0"/>
          <w:marTop w:val="0"/>
          <w:marBottom w:val="0"/>
          <w:divBdr>
            <w:top w:val="none" w:sz="0" w:space="0" w:color="auto"/>
            <w:left w:val="none" w:sz="0" w:space="0" w:color="auto"/>
            <w:bottom w:val="none" w:sz="0" w:space="0" w:color="auto"/>
            <w:right w:val="none" w:sz="0" w:space="0" w:color="auto"/>
          </w:divBdr>
        </w:div>
      </w:divsChild>
    </w:div>
    <w:div w:id="416632012">
      <w:marLeft w:val="4"/>
      <w:marRight w:val="0"/>
      <w:marTop w:val="160"/>
      <w:marBottom w:val="0"/>
      <w:divBdr>
        <w:top w:val="none" w:sz="0" w:space="0" w:color="auto"/>
        <w:left w:val="none" w:sz="0" w:space="0" w:color="auto"/>
        <w:bottom w:val="none" w:sz="0" w:space="0" w:color="auto"/>
        <w:right w:val="none" w:sz="0" w:space="0" w:color="auto"/>
      </w:divBdr>
      <w:divsChild>
        <w:div w:id="1787574977">
          <w:marLeft w:val="0"/>
          <w:marRight w:val="0"/>
          <w:marTop w:val="0"/>
          <w:marBottom w:val="0"/>
          <w:divBdr>
            <w:top w:val="none" w:sz="0" w:space="0" w:color="auto"/>
            <w:left w:val="none" w:sz="0" w:space="0" w:color="auto"/>
            <w:bottom w:val="none" w:sz="0" w:space="0" w:color="auto"/>
            <w:right w:val="none" w:sz="0" w:space="0" w:color="auto"/>
          </w:divBdr>
        </w:div>
      </w:divsChild>
    </w:div>
    <w:div w:id="440496885">
      <w:marLeft w:val="4"/>
      <w:marRight w:val="0"/>
      <w:marTop w:val="200"/>
      <w:marBottom w:val="0"/>
      <w:divBdr>
        <w:top w:val="none" w:sz="0" w:space="0" w:color="auto"/>
        <w:left w:val="none" w:sz="0" w:space="0" w:color="auto"/>
        <w:bottom w:val="none" w:sz="0" w:space="0" w:color="auto"/>
        <w:right w:val="none" w:sz="0" w:space="0" w:color="auto"/>
      </w:divBdr>
      <w:divsChild>
        <w:div w:id="1032650786">
          <w:marLeft w:val="0"/>
          <w:marRight w:val="0"/>
          <w:marTop w:val="0"/>
          <w:marBottom w:val="0"/>
          <w:divBdr>
            <w:top w:val="none" w:sz="0" w:space="0" w:color="auto"/>
            <w:left w:val="none" w:sz="0" w:space="0" w:color="auto"/>
            <w:bottom w:val="none" w:sz="0" w:space="0" w:color="auto"/>
            <w:right w:val="none" w:sz="0" w:space="0" w:color="auto"/>
          </w:divBdr>
        </w:div>
      </w:divsChild>
    </w:div>
    <w:div w:id="486094408">
      <w:marLeft w:val="4"/>
      <w:marRight w:val="0"/>
      <w:marTop w:val="160"/>
      <w:marBottom w:val="0"/>
      <w:divBdr>
        <w:top w:val="none" w:sz="0" w:space="0" w:color="auto"/>
        <w:left w:val="none" w:sz="0" w:space="0" w:color="auto"/>
        <w:bottom w:val="none" w:sz="0" w:space="0" w:color="auto"/>
        <w:right w:val="none" w:sz="0" w:space="0" w:color="auto"/>
      </w:divBdr>
      <w:divsChild>
        <w:div w:id="1710301827">
          <w:marLeft w:val="0"/>
          <w:marRight w:val="0"/>
          <w:marTop w:val="0"/>
          <w:marBottom w:val="0"/>
          <w:divBdr>
            <w:top w:val="none" w:sz="0" w:space="0" w:color="auto"/>
            <w:left w:val="none" w:sz="0" w:space="0" w:color="auto"/>
            <w:bottom w:val="none" w:sz="0" w:space="0" w:color="auto"/>
            <w:right w:val="none" w:sz="0" w:space="0" w:color="auto"/>
          </w:divBdr>
        </w:div>
      </w:divsChild>
    </w:div>
    <w:div w:id="501311756">
      <w:marLeft w:val="4"/>
      <w:marRight w:val="0"/>
      <w:marTop w:val="160"/>
      <w:marBottom w:val="0"/>
      <w:divBdr>
        <w:top w:val="none" w:sz="0" w:space="0" w:color="auto"/>
        <w:left w:val="none" w:sz="0" w:space="0" w:color="auto"/>
        <w:bottom w:val="none" w:sz="0" w:space="0" w:color="auto"/>
        <w:right w:val="none" w:sz="0" w:space="0" w:color="auto"/>
      </w:divBdr>
      <w:divsChild>
        <w:div w:id="310796028">
          <w:marLeft w:val="0"/>
          <w:marRight w:val="0"/>
          <w:marTop w:val="0"/>
          <w:marBottom w:val="0"/>
          <w:divBdr>
            <w:top w:val="none" w:sz="0" w:space="0" w:color="auto"/>
            <w:left w:val="none" w:sz="0" w:space="0" w:color="auto"/>
            <w:bottom w:val="none" w:sz="0" w:space="0" w:color="auto"/>
            <w:right w:val="none" w:sz="0" w:space="0" w:color="auto"/>
          </w:divBdr>
        </w:div>
      </w:divsChild>
    </w:div>
    <w:div w:id="506336453">
      <w:marLeft w:val="0"/>
      <w:marRight w:val="0"/>
      <w:marTop w:val="0"/>
      <w:marBottom w:val="0"/>
      <w:divBdr>
        <w:top w:val="none" w:sz="0" w:space="0" w:color="auto"/>
        <w:left w:val="none" w:sz="0" w:space="0" w:color="auto"/>
        <w:bottom w:val="none" w:sz="0" w:space="0" w:color="auto"/>
        <w:right w:val="none" w:sz="0" w:space="0" w:color="auto"/>
      </w:divBdr>
      <w:divsChild>
        <w:div w:id="31275933">
          <w:marLeft w:val="0"/>
          <w:marRight w:val="0"/>
          <w:marTop w:val="0"/>
          <w:marBottom w:val="0"/>
          <w:divBdr>
            <w:top w:val="none" w:sz="0" w:space="0" w:color="auto"/>
            <w:left w:val="none" w:sz="0" w:space="0" w:color="auto"/>
            <w:bottom w:val="none" w:sz="0" w:space="0" w:color="auto"/>
            <w:right w:val="none" w:sz="0" w:space="0" w:color="auto"/>
          </w:divBdr>
        </w:div>
      </w:divsChild>
    </w:div>
    <w:div w:id="519395204">
      <w:marLeft w:val="4"/>
      <w:marRight w:val="0"/>
      <w:marTop w:val="200"/>
      <w:marBottom w:val="0"/>
      <w:divBdr>
        <w:top w:val="none" w:sz="0" w:space="0" w:color="auto"/>
        <w:left w:val="none" w:sz="0" w:space="0" w:color="auto"/>
        <w:bottom w:val="none" w:sz="0" w:space="0" w:color="auto"/>
        <w:right w:val="none" w:sz="0" w:space="0" w:color="auto"/>
      </w:divBdr>
      <w:divsChild>
        <w:div w:id="1551920190">
          <w:marLeft w:val="0"/>
          <w:marRight w:val="0"/>
          <w:marTop w:val="0"/>
          <w:marBottom w:val="0"/>
          <w:divBdr>
            <w:top w:val="none" w:sz="0" w:space="0" w:color="auto"/>
            <w:left w:val="none" w:sz="0" w:space="0" w:color="auto"/>
            <w:bottom w:val="none" w:sz="0" w:space="0" w:color="auto"/>
            <w:right w:val="none" w:sz="0" w:space="0" w:color="auto"/>
          </w:divBdr>
        </w:div>
      </w:divsChild>
    </w:div>
    <w:div w:id="535125799">
      <w:marLeft w:val="4"/>
      <w:marRight w:val="0"/>
      <w:marTop w:val="160"/>
      <w:marBottom w:val="0"/>
      <w:divBdr>
        <w:top w:val="none" w:sz="0" w:space="0" w:color="auto"/>
        <w:left w:val="none" w:sz="0" w:space="0" w:color="auto"/>
        <w:bottom w:val="none" w:sz="0" w:space="0" w:color="auto"/>
        <w:right w:val="none" w:sz="0" w:space="0" w:color="auto"/>
      </w:divBdr>
      <w:divsChild>
        <w:div w:id="1651010575">
          <w:marLeft w:val="0"/>
          <w:marRight w:val="0"/>
          <w:marTop w:val="0"/>
          <w:marBottom w:val="0"/>
          <w:divBdr>
            <w:top w:val="none" w:sz="0" w:space="0" w:color="auto"/>
            <w:left w:val="none" w:sz="0" w:space="0" w:color="auto"/>
            <w:bottom w:val="none" w:sz="0" w:space="0" w:color="auto"/>
            <w:right w:val="none" w:sz="0" w:space="0" w:color="auto"/>
          </w:divBdr>
        </w:div>
      </w:divsChild>
    </w:div>
    <w:div w:id="538057745">
      <w:marLeft w:val="4"/>
      <w:marRight w:val="0"/>
      <w:marTop w:val="200"/>
      <w:marBottom w:val="0"/>
      <w:divBdr>
        <w:top w:val="none" w:sz="0" w:space="0" w:color="auto"/>
        <w:left w:val="none" w:sz="0" w:space="0" w:color="auto"/>
        <w:bottom w:val="none" w:sz="0" w:space="0" w:color="auto"/>
        <w:right w:val="none" w:sz="0" w:space="0" w:color="auto"/>
      </w:divBdr>
      <w:divsChild>
        <w:div w:id="373847035">
          <w:marLeft w:val="0"/>
          <w:marRight w:val="0"/>
          <w:marTop w:val="0"/>
          <w:marBottom w:val="0"/>
          <w:divBdr>
            <w:top w:val="none" w:sz="0" w:space="0" w:color="auto"/>
            <w:left w:val="none" w:sz="0" w:space="0" w:color="auto"/>
            <w:bottom w:val="none" w:sz="0" w:space="0" w:color="auto"/>
            <w:right w:val="none" w:sz="0" w:space="0" w:color="auto"/>
          </w:divBdr>
        </w:div>
      </w:divsChild>
    </w:div>
    <w:div w:id="607003715">
      <w:marLeft w:val="4"/>
      <w:marRight w:val="0"/>
      <w:marTop w:val="200"/>
      <w:marBottom w:val="0"/>
      <w:divBdr>
        <w:top w:val="none" w:sz="0" w:space="0" w:color="auto"/>
        <w:left w:val="none" w:sz="0" w:space="0" w:color="auto"/>
        <w:bottom w:val="none" w:sz="0" w:space="0" w:color="auto"/>
        <w:right w:val="none" w:sz="0" w:space="0" w:color="auto"/>
      </w:divBdr>
      <w:divsChild>
        <w:div w:id="1464075265">
          <w:marLeft w:val="0"/>
          <w:marRight w:val="0"/>
          <w:marTop w:val="0"/>
          <w:marBottom w:val="0"/>
          <w:divBdr>
            <w:top w:val="none" w:sz="0" w:space="0" w:color="auto"/>
            <w:left w:val="none" w:sz="0" w:space="0" w:color="auto"/>
            <w:bottom w:val="none" w:sz="0" w:space="0" w:color="auto"/>
            <w:right w:val="none" w:sz="0" w:space="0" w:color="auto"/>
          </w:divBdr>
        </w:div>
      </w:divsChild>
    </w:div>
    <w:div w:id="633684167">
      <w:marLeft w:val="4"/>
      <w:marRight w:val="0"/>
      <w:marTop w:val="200"/>
      <w:marBottom w:val="0"/>
      <w:divBdr>
        <w:top w:val="none" w:sz="0" w:space="0" w:color="auto"/>
        <w:left w:val="none" w:sz="0" w:space="0" w:color="auto"/>
        <w:bottom w:val="none" w:sz="0" w:space="0" w:color="auto"/>
        <w:right w:val="none" w:sz="0" w:space="0" w:color="auto"/>
      </w:divBdr>
      <w:divsChild>
        <w:div w:id="1822891414">
          <w:marLeft w:val="0"/>
          <w:marRight w:val="0"/>
          <w:marTop w:val="0"/>
          <w:marBottom w:val="0"/>
          <w:divBdr>
            <w:top w:val="none" w:sz="0" w:space="0" w:color="auto"/>
            <w:left w:val="none" w:sz="0" w:space="0" w:color="auto"/>
            <w:bottom w:val="none" w:sz="0" w:space="0" w:color="auto"/>
            <w:right w:val="none" w:sz="0" w:space="0" w:color="auto"/>
          </w:divBdr>
        </w:div>
      </w:divsChild>
    </w:div>
    <w:div w:id="636645278">
      <w:marLeft w:val="4"/>
      <w:marRight w:val="0"/>
      <w:marTop w:val="200"/>
      <w:marBottom w:val="0"/>
      <w:divBdr>
        <w:top w:val="none" w:sz="0" w:space="0" w:color="auto"/>
        <w:left w:val="none" w:sz="0" w:space="0" w:color="auto"/>
        <w:bottom w:val="none" w:sz="0" w:space="0" w:color="auto"/>
        <w:right w:val="none" w:sz="0" w:space="0" w:color="auto"/>
      </w:divBdr>
      <w:divsChild>
        <w:div w:id="1351756881">
          <w:marLeft w:val="0"/>
          <w:marRight w:val="0"/>
          <w:marTop w:val="0"/>
          <w:marBottom w:val="0"/>
          <w:divBdr>
            <w:top w:val="none" w:sz="0" w:space="0" w:color="auto"/>
            <w:left w:val="none" w:sz="0" w:space="0" w:color="auto"/>
            <w:bottom w:val="none" w:sz="0" w:space="0" w:color="auto"/>
            <w:right w:val="none" w:sz="0" w:space="0" w:color="auto"/>
          </w:divBdr>
        </w:div>
      </w:divsChild>
    </w:div>
    <w:div w:id="697007778">
      <w:marLeft w:val="4"/>
      <w:marRight w:val="0"/>
      <w:marTop w:val="200"/>
      <w:marBottom w:val="0"/>
      <w:divBdr>
        <w:top w:val="none" w:sz="0" w:space="0" w:color="auto"/>
        <w:left w:val="none" w:sz="0" w:space="0" w:color="auto"/>
        <w:bottom w:val="none" w:sz="0" w:space="0" w:color="auto"/>
        <w:right w:val="none" w:sz="0" w:space="0" w:color="auto"/>
      </w:divBdr>
      <w:divsChild>
        <w:div w:id="105125273">
          <w:marLeft w:val="0"/>
          <w:marRight w:val="0"/>
          <w:marTop w:val="0"/>
          <w:marBottom w:val="0"/>
          <w:divBdr>
            <w:top w:val="none" w:sz="0" w:space="0" w:color="auto"/>
            <w:left w:val="none" w:sz="0" w:space="0" w:color="auto"/>
            <w:bottom w:val="none" w:sz="0" w:space="0" w:color="auto"/>
            <w:right w:val="none" w:sz="0" w:space="0" w:color="auto"/>
          </w:divBdr>
        </w:div>
      </w:divsChild>
    </w:div>
    <w:div w:id="700399676">
      <w:marLeft w:val="4"/>
      <w:marRight w:val="0"/>
      <w:marTop w:val="200"/>
      <w:marBottom w:val="0"/>
      <w:divBdr>
        <w:top w:val="none" w:sz="0" w:space="0" w:color="auto"/>
        <w:left w:val="none" w:sz="0" w:space="0" w:color="auto"/>
        <w:bottom w:val="none" w:sz="0" w:space="0" w:color="auto"/>
        <w:right w:val="none" w:sz="0" w:space="0" w:color="auto"/>
      </w:divBdr>
      <w:divsChild>
        <w:div w:id="1259679958">
          <w:marLeft w:val="0"/>
          <w:marRight w:val="0"/>
          <w:marTop w:val="0"/>
          <w:marBottom w:val="0"/>
          <w:divBdr>
            <w:top w:val="none" w:sz="0" w:space="0" w:color="auto"/>
            <w:left w:val="none" w:sz="0" w:space="0" w:color="auto"/>
            <w:bottom w:val="none" w:sz="0" w:space="0" w:color="auto"/>
            <w:right w:val="none" w:sz="0" w:space="0" w:color="auto"/>
          </w:divBdr>
        </w:div>
      </w:divsChild>
    </w:div>
    <w:div w:id="708451768">
      <w:marLeft w:val="4"/>
      <w:marRight w:val="0"/>
      <w:marTop w:val="120"/>
      <w:marBottom w:val="0"/>
      <w:divBdr>
        <w:top w:val="none" w:sz="0" w:space="0" w:color="auto"/>
        <w:left w:val="none" w:sz="0" w:space="0" w:color="auto"/>
        <w:bottom w:val="none" w:sz="0" w:space="0" w:color="auto"/>
        <w:right w:val="none" w:sz="0" w:space="0" w:color="auto"/>
      </w:divBdr>
      <w:divsChild>
        <w:div w:id="55706485">
          <w:marLeft w:val="0"/>
          <w:marRight w:val="0"/>
          <w:marTop w:val="0"/>
          <w:marBottom w:val="0"/>
          <w:divBdr>
            <w:top w:val="none" w:sz="0" w:space="0" w:color="auto"/>
            <w:left w:val="none" w:sz="0" w:space="0" w:color="auto"/>
            <w:bottom w:val="none" w:sz="0" w:space="0" w:color="auto"/>
            <w:right w:val="none" w:sz="0" w:space="0" w:color="auto"/>
          </w:divBdr>
        </w:div>
      </w:divsChild>
    </w:div>
    <w:div w:id="713894263">
      <w:marLeft w:val="4"/>
      <w:marRight w:val="0"/>
      <w:marTop w:val="200"/>
      <w:marBottom w:val="0"/>
      <w:divBdr>
        <w:top w:val="none" w:sz="0" w:space="0" w:color="auto"/>
        <w:left w:val="none" w:sz="0" w:space="0" w:color="auto"/>
        <w:bottom w:val="none" w:sz="0" w:space="0" w:color="auto"/>
        <w:right w:val="none" w:sz="0" w:space="0" w:color="auto"/>
      </w:divBdr>
      <w:divsChild>
        <w:div w:id="2105220749">
          <w:marLeft w:val="0"/>
          <w:marRight w:val="0"/>
          <w:marTop w:val="0"/>
          <w:marBottom w:val="0"/>
          <w:divBdr>
            <w:top w:val="none" w:sz="0" w:space="0" w:color="auto"/>
            <w:left w:val="none" w:sz="0" w:space="0" w:color="auto"/>
            <w:bottom w:val="none" w:sz="0" w:space="0" w:color="auto"/>
            <w:right w:val="none" w:sz="0" w:space="0" w:color="auto"/>
          </w:divBdr>
        </w:div>
      </w:divsChild>
    </w:div>
    <w:div w:id="721758037">
      <w:marLeft w:val="4"/>
      <w:marRight w:val="0"/>
      <w:marTop w:val="160"/>
      <w:marBottom w:val="0"/>
      <w:divBdr>
        <w:top w:val="none" w:sz="0" w:space="0" w:color="auto"/>
        <w:left w:val="none" w:sz="0" w:space="0" w:color="auto"/>
        <w:bottom w:val="none" w:sz="0" w:space="0" w:color="auto"/>
        <w:right w:val="none" w:sz="0" w:space="0" w:color="auto"/>
      </w:divBdr>
      <w:divsChild>
        <w:div w:id="138155891">
          <w:marLeft w:val="0"/>
          <w:marRight w:val="0"/>
          <w:marTop w:val="0"/>
          <w:marBottom w:val="0"/>
          <w:divBdr>
            <w:top w:val="none" w:sz="0" w:space="0" w:color="auto"/>
            <w:left w:val="none" w:sz="0" w:space="0" w:color="auto"/>
            <w:bottom w:val="none" w:sz="0" w:space="0" w:color="auto"/>
            <w:right w:val="none" w:sz="0" w:space="0" w:color="auto"/>
          </w:divBdr>
        </w:div>
      </w:divsChild>
    </w:div>
    <w:div w:id="723914118">
      <w:marLeft w:val="4"/>
      <w:marRight w:val="0"/>
      <w:marTop w:val="200"/>
      <w:marBottom w:val="0"/>
      <w:divBdr>
        <w:top w:val="none" w:sz="0" w:space="0" w:color="auto"/>
        <w:left w:val="none" w:sz="0" w:space="0" w:color="auto"/>
        <w:bottom w:val="none" w:sz="0" w:space="0" w:color="auto"/>
        <w:right w:val="none" w:sz="0" w:space="0" w:color="auto"/>
      </w:divBdr>
      <w:divsChild>
        <w:div w:id="777410070">
          <w:marLeft w:val="0"/>
          <w:marRight w:val="0"/>
          <w:marTop w:val="0"/>
          <w:marBottom w:val="0"/>
          <w:divBdr>
            <w:top w:val="none" w:sz="0" w:space="0" w:color="auto"/>
            <w:left w:val="none" w:sz="0" w:space="0" w:color="auto"/>
            <w:bottom w:val="none" w:sz="0" w:space="0" w:color="auto"/>
            <w:right w:val="none" w:sz="0" w:space="0" w:color="auto"/>
          </w:divBdr>
        </w:div>
      </w:divsChild>
    </w:div>
    <w:div w:id="741374213">
      <w:marLeft w:val="0"/>
      <w:marRight w:val="0"/>
      <w:marTop w:val="0"/>
      <w:marBottom w:val="0"/>
      <w:divBdr>
        <w:top w:val="none" w:sz="0" w:space="0" w:color="auto"/>
        <w:left w:val="none" w:sz="0" w:space="0" w:color="auto"/>
        <w:bottom w:val="none" w:sz="0" w:space="0" w:color="auto"/>
        <w:right w:val="none" w:sz="0" w:space="0" w:color="auto"/>
      </w:divBdr>
      <w:divsChild>
        <w:div w:id="362899594">
          <w:marLeft w:val="0"/>
          <w:marRight w:val="0"/>
          <w:marTop w:val="0"/>
          <w:marBottom w:val="0"/>
          <w:divBdr>
            <w:top w:val="none" w:sz="0" w:space="0" w:color="auto"/>
            <w:left w:val="none" w:sz="0" w:space="0" w:color="auto"/>
            <w:bottom w:val="none" w:sz="0" w:space="0" w:color="auto"/>
            <w:right w:val="none" w:sz="0" w:space="0" w:color="auto"/>
          </w:divBdr>
        </w:div>
      </w:divsChild>
    </w:div>
    <w:div w:id="753668971">
      <w:marLeft w:val="4"/>
      <w:marRight w:val="0"/>
      <w:marTop w:val="200"/>
      <w:marBottom w:val="0"/>
      <w:divBdr>
        <w:top w:val="none" w:sz="0" w:space="0" w:color="auto"/>
        <w:left w:val="none" w:sz="0" w:space="0" w:color="auto"/>
        <w:bottom w:val="none" w:sz="0" w:space="0" w:color="auto"/>
        <w:right w:val="none" w:sz="0" w:space="0" w:color="auto"/>
      </w:divBdr>
      <w:divsChild>
        <w:div w:id="271279933">
          <w:marLeft w:val="0"/>
          <w:marRight w:val="0"/>
          <w:marTop w:val="0"/>
          <w:marBottom w:val="0"/>
          <w:divBdr>
            <w:top w:val="none" w:sz="0" w:space="0" w:color="auto"/>
            <w:left w:val="none" w:sz="0" w:space="0" w:color="auto"/>
            <w:bottom w:val="none" w:sz="0" w:space="0" w:color="auto"/>
            <w:right w:val="none" w:sz="0" w:space="0" w:color="auto"/>
          </w:divBdr>
        </w:div>
      </w:divsChild>
    </w:div>
    <w:div w:id="771096728">
      <w:marLeft w:val="4"/>
      <w:marRight w:val="0"/>
      <w:marTop w:val="200"/>
      <w:marBottom w:val="0"/>
      <w:divBdr>
        <w:top w:val="none" w:sz="0" w:space="0" w:color="auto"/>
        <w:left w:val="none" w:sz="0" w:space="0" w:color="auto"/>
        <w:bottom w:val="none" w:sz="0" w:space="0" w:color="auto"/>
        <w:right w:val="none" w:sz="0" w:space="0" w:color="auto"/>
      </w:divBdr>
      <w:divsChild>
        <w:div w:id="150365966">
          <w:marLeft w:val="0"/>
          <w:marRight w:val="0"/>
          <w:marTop w:val="0"/>
          <w:marBottom w:val="0"/>
          <w:divBdr>
            <w:top w:val="none" w:sz="0" w:space="0" w:color="auto"/>
            <w:left w:val="none" w:sz="0" w:space="0" w:color="auto"/>
            <w:bottom w:val="none" w:sz="0" w:space="0" w:color="auto"/>
            <w:right w:val="none" w:sz="0" w:space="0" w:color="auto"/>
          </w:divBdr>
        </w:div>
      </w:divsChild>
    </w:div>
    <w:div w:id="775684214">
      <w:marLeft w:val="4"/>
      <w:marRight w:val="0"/>
      <w:marTop w:val="160"/>
      <w:marBottom w:val="0"/>
      <w:divBdr>
        <w:top w:val="none" w:sz="0" w:space="0" w:color="auto"/>
        <w:left w:val="none" w:sz="0" w:space="0" w:color="auto"/>
        <w:bottom w:val="none" w:sz="0" w:space="0" w:color="auto"/>
        <w:right w:val="none" w:sz="0" w:space="0" w:color="auto"/>
      </w:divBdr>
      <w:divsChild>
        <w:div w:id="1168792794">
          <w:marLeft w:val="0"/>
          <w:marRight w:val="0"/>
          <w:marTop w:val="0"/>
          <w:marBottom w:val="0"/>
          <w:divBdr>
            <w:top w:val="none" w:sz="0" w:space="0" w:color="auto"/>
            <w:left w:val="none" w:sz="0" w:space="0" w:color="auto"/>
            <w:bottom w:val="none" w:sz="0" w:space="0" w:color="auto"/>
            <w:right w:val="none" w:sz="0" w:space="0" w:color="auto"/>
          </w:divBdr>
        </w:div>
      </w:divsChild>
    </w:div>
    <w:div w:id="790392502">
      <w:marLeft w:val="4"/>
      <w:marRight w:val="0"/>
      <w:marTop w:val="200"/>
      <w:marBottom w:val="0"/>
      <w:divBdr>
        <w:top w:val="none" w:sz="0" w:space="0" w:color="auto"/>
        <w:left w:val="none" w:sz="0" w:space="0" w:color="auto"/>
        <w:bottom w:val="none" w:sz="0" w:space="0" w:color="auto"/>
        <w:right w:val="none" w:sz="0" w:space="0" w:color="auto"/>
      </w:divBdr>
      <w:divsChild>
        <w:div w:id="2139059853">
          <w:marLeft w:val="0"/>
          <w:marRight w:val="0"/>
          <w:marTop w:val="0"/>
          <w:marBottom w:val="0"/>
          <w:divBdr>
            <w:top w:val="none" w:sz="0" w:space="0" w:color="auto"/>
            <w:left w:val="none" w:sz="0" w:space="0" w:color="auto"/>
            <w:bottom w:val="none" w:sz="0" w:space="0" w:color="auto"/>
            <w:right w:val="none" w:sz="0" w:space="0" w:color="auto"/>
          </w:divBdr>
        </w:div>
      </w:divsChild>
    </w:div>
    <w:div w:id="831682698">
      <w:marLeft w:val="4"/>
      <w:marRight w:val="0"/>
      <w:marTop w:val="160"/>
      <w:marBottom w:val="0"/>
      <w:divBdr>
        <w:top w:val="none" w:sz="0" w:space="0" w:color="auto"/>
        <w:left w:val="none" w:sz="0" w:space="0" w:color="auto"/>
        <w:bottom w:val="none" w:sz="0" w:space="0" w:color="auto"/>
        <w:right w:val="none" w:sz="0" w:space="0" w:color="auto"/>
      </w:divBdr>
      <w:divsChild>
        <w:div w:id="207183336">
          <w:marLeft w:val="0"/>
          <w:marRight w:val="0"/>
          <w:marTop w:val="0"/>
          <w:marBottom w:val="0"/>
          <w:divBdr>
            <w:top w:val="none" w:sz="0" w:space="0" w:color="auto"/>
            <w:left w:val="none" w:sz="0" w:space="0" w:color="auto"/>
            <w:bottom w:val="none" w:sz="0" w:space="0" w:color="auto"/>
            <w:right w:val="none" w:sz="0" w:space="0" w:color="auto"/>
          </w:divBdr>
        </w:div>
      </w:divsChild>
    </w:div>
    <w:div w:id="840237991">
      <w:marLeft w:val="4"/>
      <w:marRight w:val="0"/>
      <w:marTop w:val="200"/>
      <w:marBottom w:val="0"/>
      <w:divBdr>
        <w:top w:val="none" w:sz="0" w:space="0" w:color="auto"/>
        <w:left w:val="none" w:sz="0" w:space="0" w:color="auto"/>
        <w:bottom w:val="none" w:sz="0" w:space="0" w:color="auto"/>
        <w:right w:val="none" w:sz="0" w:space="0" w:color="auto"/>
      </w:divBdr>
      <w:divsChild>
        <w:div w:id="338313916">
          <w:marLeft w:val="0"/>
          <w:marRight w:val="0"/>
          <w:marTop w:val="0"/>
          <w:marBottom w:val="0"/>
          <w:divBdr>
            <w:top w:val="none" w:sz="0" w:space="0" w:color="auto"/>
            <w:left w:val="none" w:sz="0" w:space="0" w:color="auto"/>
            <w:bottom w:val="none" w:sz="0" w:space="0" w:color="auto"/>
            <w:right w:val="none" w:sz="0" w:space="0" w:color="auto"/>
          </w:divBdr>
        </w:div>
      </w:divsChild>
    </w:div>
    <w:div w:id="897856868">
      <w:marLeft w:val="0"/>
      <w:marRight w:val="0"/>
      <w:marTop w:val="0"/>
      <w:marBottom w:val="0"/>
      <w:divBdr>
        <w:top w:val="none" w:sz="0" w:space="0" w:color="auto"/>
        <w:left w:val="none" w:sz="0" w:space="0" w:color="auto"/>
        <w:bottom w:val="none" w:sz="0" w:space="0" w:color="auto"/>
        <w:right w:val="none" w:sz="0" w:space="0" w:color="auto"/>
      </w:divBdr>
      <w:divsChild>
        <w:div w:id="27534907">
          <w:marLeft w:val="0"/>
          <w:marRight w:val="0"/>
          <w:marTop w:val="0"/>
          <w:marBottom w:val="0"/>
          <w:divBdr>
            <w:top w:val="none" w:sz="0" w:space="0" w:color="auto"/>
            <w:left w:val="none" w:sz="0" w:space="0" w:color="auto"/>
            <w:bottom w:val="none" w:sz="0" w:space="0" w:color="auto"/>
            <w:right w:val="none" w:sz="0" w:space="0" w:color="auto"/>
          </w:divBdr>
        </w:div>
      </w:divsChild>
    </w:div>
    <w:div w:id="930163961">
      <w:marLeft w:val="4"/>
      <w:marRight w:val="0"/>
      <w:marTop w:val="200"/>
      <w:marBottom w:val="0"/>
      <w:divBdr>
        <w:top w:val="none" w:sz="0" w:space="0" w:color="auto"/>
        <w:left w:val="none" w:sz="0" w:space="0" w:color="auto"/>
        <w:bottom w:val="none" w:sz="0" w:space="0" w:color="auto"/>
        <w:right w:val="none" w:sz="0" w:space="0" w:color="auto"/>
      </w:divBdr>
      <w:divsChild>
        <w:div w:id="1686639018">
          <w:marLeft w:val="0"/>
          <w:marRight w:val="0"/>
          <w:marTop w:val="0"/>
          <w:marBottom w:val="0"/>
          <w:divBdr>
            <w:top w:val="none" w:sz="0" w:space="0" w:color="auto"/>
            <w:left w:val="none" w:sz="0" w:space="0" w:color="auto"/>
            <w:bottom w:val="none" w:sz="0" w:space="0" w:color="auto"/>
            <w:right w:val="none" w:sz="0" w:space="0" w:color="auto"/>
          </w:divBdr>
        </w:div>
      </w:divsChild>
    </w:div>
    <w:div w:id="957107352">
      <w:marLeft w:val="4"/>
      <w:marRight w:val="0"/>
      <w:marTop w:val="200"/>
      <w:marBottom w:val="0"/>
      <w:divBdr>
        <w:top w:val="none" w:sz="0" w:space="0" w:color="auto"/>
        <w:left w:val="none" w:sz="0" w:space="0" w:color="auto"/>
        <w:bottom w:val="none" w:sz="0" w:space="0" w:color="auto"/>
        <w:right w:val="none" w:sz="0" w:space="0" w:color="auto"/>
      </w:divBdr>
      <w:divsChild>
        <w:div w:id="1292782328">
          <w:marLeft w:val="0"/>
          <w:marRight w:val="0"/>
          <w:marTop w:val="0"/>
          <w:marBottom w:val="0"/>
          <w:divBdr>
            <w:top w:val="none" w:sz="0" w:space="0" w:color="auto"/>
            <w:left w:val="none" w:sz="0" w:space="0" w:color="auto"/>
            <w:bottom w:val="none" w:sz="0" w:space="0" w:color="auto"/>
            <w:right w:val="none" w:sz="0" w:space="0" w:color="auto"/>
          </w:divBdr>
        </w:div>
      </w:divsChild>
    </w:div>
    <w:div w:id="959921863">
      <w:marLeft w:val="4"/>
      <w:marRight w:val="0"/>
      <w:marTop w:val="200"/>
      <w:marBottom w:val="0"/>
      <w:divBdr>
        <w:top w:val="none" w:sz="0" w:space="0" w:color="auto"/>
        <w:left w:val="none" w:sz="0" w:space="0" w:color="auto"/>
        <w:bottom w:val="none" w:sz="0" w:space="0" w:color="auto"/>
        <w:right w:val="none" w:sz="0" w:space="0" w:color="auto"/>
      </w:divBdr>
      <w:divsChild>
        <w:div w:id="765155996">
          <w:marLeft w:val="0"/>
          <w:marRight w:val="0"/>
          <w:marTop w:val="0"/>
          <w:marBottom w:val="0"/>
          <w:divBdr>
            <w:top w:val="none" w:sz="0" w:space="0" w:color="auto"/>
            <w:left w:val="none" w:sz="0" w:space="0" w:color="auto"/>
            <w:bottom w:val="none" w:sz="0" w:space="0" w:color="auto"/>
            <w:right w:val="none" w:sz="0" w:space="0" w:color="auto"/>
          </w:divBdr>
        </w:div>
      </w:divsChild>
    </w:div>
    <w:div w:id="986055994">
      <w:marLeft w:val="4"/>
      <w:marRight w:val="0"/>
      <w:marTop w:val="200"/>
      <w:marBottom w:val="0"/>
      <w:divBdr>
        <w:top w:val="none" w:sz="0" w:space="0" w:color="auto"/>
        <w:left w:val="none" w:sz="0" w:space="0" w:color="auto"/>
        <w:bottom w:val="none" w:sz="0" w:space="0" w:color="auto"/>
        <w:right w:val="none" w:sz="0" w:space="0" w:color="auto"/>
      </w:divBdr>
      <w:divsChild>
        <w:div w:id="396439043">
          <w:marLeft w:val="0"/>
          <w:marRight w:val="0"/>
          <w:marTop w:val="0"/>
          <w:marBottom w:val="0"/>
          <w:divBdr>
            <w:top w:val="none" w:sz="0" w:space="0" w:color="auto"/>
            <w:left w:val="none" w:sz="0" w:space="0" w:color="auto"/>
            <w:bottom w:val="none" w:sz="0" w:space="0" w:color="auto"/>
            <w:right w:val="none" w:sz="0" w:space="0" w:color="auto"/>
          </w:divBdr>
        </w:div>
      </w:divsChild>
    </w:div>
    <w:div w:id="1039477621">
      <w:marLeft w:val="4"/>
      <w:marRight w:val="0"/>
      <w:marTop w:val="200"/>
      <w:marBottom w:val="0"/>
      <w:divBdr>
        <w:top w:val="none" w:sz="0" w:space="0" w:color="auto"/>
        <w:left w:val="none" w:sz="0" w:space="0" w:color="auto"/>
        <w:bottom w:val="none" w:sz="0" w:space="0" w:color="auto"/>
        <w:right w:val="none" w:sz="0" w:space="0" w:color="auto"/>
      </w:divBdr>
      <w:divsChild>
        <w:div w:id="1557164759">
          <w:marLeft w:val="0"/>
          <w:marRight w:val="0"/>
          <w:marTop w:val="0"/>
          <w:marBottom w:val="0"/>
          <w:divBdr>
            <w:top w:val="none" w:sz="0" w:space="0" w:color="auto"/>
            <w:left w:val="none" w:sz="0" w:space="0" w:color="auto"/>
            <w:bottom w:val="none" w:sz="0" w:space="0" w:color="auto"/>
            <w:right w:val="none" w:sz="0" w:space="0" w:color="auto"/>
          </w:divBdr>
        </w:div>
      </w:divsChild>
    </w:div>
    <w:div w:id="1051727749">
      <w:marLeft w:val="4"/>
      <w:marRight w:val="0"/>
      <w:marTop w:val="200"/>
      <w:marBottom w:val="0"/>
      <w:divBdr>
        <w:top w:val="none" w:sz="0" w:space="0" w:color="auto"/>
        <w:left w:val="none" w:sz="0" w:space="0" w:color="auto"/>
        <w:bottom w:val="none" w:sz="0" w:space="0" w:color="auto"/>
        <w:right w:val="none" w:sz="0" w:space="0" w:color="auto"/>
      </w:divBdr>
      <w:divsChild>
        <w:div w:id="1918400412">
          <w:marLeft w:val="0"/>
          <w:marRight w:val="0"/>
          <w:marTop w:val="0"/>
          <w:marBottom w:val="0"/>
          <w:divBdr>
            <w:top w:val="none" w:sz="0" w:space="0" w:color="auto"/>
            <w:left w:val="none" w:sz="0" w:space="0" w:color="auto"/>
            <w:bottom w:val="none" w:sz="0" w:space="0" w:color="auto"/>
            <w:right w:val="none" w:sz="0" w:space="0" w:color="auto"/>
          </w:divBdr>
        </w:div>
      </w:divsChild>
    </w:div>
    <w:div w:id="1055155529">
      <w:marLeft w:val="4"/>
      <w:marRight w:val="0"/>
      <w:marTop w:val="200"/>
      <w:marBottom w:val="0"/>
      <w:divBdr>
        <w:top w:val="none" w:sz="0" w:space="0" w:color="auto"/>
        <w:left w:val="none" w:sz="0" w:space="0" w:color="auto"/>
        <w:bottom w:val="none" w:sz="0" w:space="0" w:color="auto"/>
        <w:right w:val="none" w:sz="0" w:space="0" w:color="auto"/>
      </w:divBdr>
      <w:divsChild>
        <w:div w:id="1928421691">
          <w:marLeft w:val="0"/>
          <w:marRight w:val="0"/>
          <w:marTop w:val="0"/>
          <w:marBottom w:val="0"/>
          <w:divBdr>
            <w:top w:val="none" w:sz="0" w:space="0" w:color="auto"/>
            <w:left w:val="none" w:sz="0" w:space="0" w:color="auto"/>
            <w:bottom w:val="none" w:sz="0" w:space="0" w:color="auto"/>
            <w:right w:val="none" w:sz="0" w:space="0" w:color="auto"/>
          </w:divBdr>
        </w:div>
      </w:divsChild>
    </w:div>
    <w:div w:id="1105229343">
      <w:marLeft w:val="0"/>
      <w:marRight w:val="0"/>
      <w:marTop w:val="0"/>
      <w:marBottom w:val="0"/>
      <w:divBdr>
        <w:top w:val="none" w:sz="0" w:space="0" w:color="auto"/>
        <w:left w:val="none" w:sz="0" w:space="0" w:color="auto"/>
        <w:bottom w:val="none" w:sz="0" w:space="0" w:color="auto"/>
        <w:right w:val="none" w:sz="0" w:space="0" w:color="auto"/>
      </w:divBdr>
      <w:divsChild>
        <w:div w:id="2043826524">
          <w:marLeft w:val="0"/>
          <w:marRight w:val="0"/>
          <w:marTop w:val="0"/>
          <w:marBottom w:val="0"/>
          <w:divBdr>
            <w:top w:val="none" w:sz="0" w:space="0" w:color="auto"/>
            <w:left w:val="none" w:sz="0" w:space="0" w:color="auto"/>
            <w:bottom w:val="none" w:sz="0" w:space="0" w:color="auto"/>
            <w:right w:val="none" w:sz="0" w:space="0" w:color="auto"/>
          </w:divBdr>
        </w:div>
        <w:div w:id="1031881030">
          <w:marLeft w:val="0"/>
          <w:marRight w:val="0"/>
          <w:marTop w:val="0"/>
          <w:marBottom w:val="0"/>
          <w:divBdr>
            <w:top w:val="none" w:sz="0" w:space="0" w:color="auto"/>
            <w:left w:val="none" w:sz="0" w:space="0" w:color="auto"/>
            <w:bottom w:val="none" w:sz="0" w:space="0" w:color="auto"/>
            <w:right w:val="none" w:sz="0" w:space="0" w:color="auto"/>
          </w:divBdr>
        </w:div>
        <w:div w:id="753743193">
          <w:marLeft w:val="0"/>
          <w:marRight w:val="0"/>
          <w:marTop w:val="0"/>
          <w:marBottom w:val="0"/>
          <w:divBdr>
            <w:top w:val="none" w:sz="0" w:space="0" w:color="auto"/>
            <w:left w:val="none" w:sz="0" w:space="0" w:color="auto"/>
            <w:bottom w:val="none" w:sz="0" w:space="0" w:color="auto"/>
            <w:right w:val="none" w:sz="0" w:space="0" w:color="auto"/>
          </w:divBdr>
        </w:div>
      </w:divsChild>
    </w:div>
    <w:div w:id="1109816005">
      <w:marLeft w:val="4"/>
      <w:marRight w:val="0"/>
      <w:marTop w:val="200"/>
      <w:marBottom w:val="0"/>
      <w:divBdr>
        <w:top w:val="none" w:sz="0" w:space="0" w:color="auto"/>
        <w:left w:val="none" w:sz="0" w:space="0" w:color="auto"/>
        <w:bottom w:val="none" w:sz="0" w:space="0" w:color="auto"/>
        <w:right w:val="none" w:sz="0" w:space="0" w:color="auto"/>
      </w:divBdr>
      <w:divsChild>
        <w:div w:id="1946426025">
          <w:marLeft w:val="0"/>
          <w:marRight w:val="0"/>
          <w:marTop w:val="0"/>
          <w:marBottom w:val="0"/>
          <w:divBdr>
            <w:top w:val="none" w:sz="0" w:space="0" w:color="auto"/>
            <w:left w:val="none" w:sz="0" w:space="0" w:color="auto"/>
            <w:bottom w:val="none" w:sz="0" w:space="0" w:color="auto"/>
            <w:right w:val="none" w:sz="0" w:space="0" w:color="auto"/>
          </w:divBdr>
        </w:div>
      </w:divsChild>
    </w:div>
    <w:div w:id="1136992611">
      <w:marLeft w:val="4"/>
      <w:marRight w:val="0"/>
      <w:marTop w:val="160"/>
      <w:marBottom w:val="0"/>
      <w:divBdr>
        <w:top w:val="none" w:sz="0" w:space="0" w:color="auto"/>
        <w:left w:val="none" w:sz="0" w:space="0" w:color="auto"/>
        <w:bottom w:val="none" w:sz="0" w:space="0" w:color="auto"/>
        <w:right w:val="none" w:sz="0" w:space="0" w:color="auto"/>
      </w:divBdr>
      <w:divsChild>
        <w:div w:id="1049381311">
          <w:marLeft w:val="0"/>
          <w:marRight w:val="0"/>
          <w:marTop w:val="0"/>
          <w:marBottom w:val="0"/>
          <w:divBdr>
            <w:top w:val="none" w:sz="0" w:space="0" w:color="auto"/>
            <w:left w:val="none" w:sz="0" w:space="0" w:color="auto"/>
            <w:bottom w:val="none" w:sz="0" w:space="0" w:color="auto"/>
            <w:right w:val="none" w:sz="0" w:space="0" w:color="auto"/>
          </w:divBdr>
        </w:div>
      </w:divsChild>
    </w:div>
    <w:div w:id="1174876083">
      <w:marLeft w:val="4"/>
      <w:marRight w:val="0"/>
      <w:marTop w:val="160"/>
      <w:marBottom w:val="0"/>
      <w:divBdr>
        <w:top w:val="none" w:sz="0" w:space="0" w:color="auto"/>
        <w:left w:val="none" w:sz="0" w:space="0" w:color="auto"/>
        <w:bottom w:val="none" w:sz="0" w:space="0" w:color="auto"/>
        <w:right w:val="none" w:sz="0" w:space="0" w:color="auto"/>
      </w:divBdr>
      <w:divsChild>
        <w:div w:id="2025740269">
          <w:marLeft w:val="0"/>
          <w:marRight w:val="0"/>
          <w:marTop w:val="0"/>
          <w:marBottom w:val="0"/>
          <w:divBdr>
            <w:top w:val="none" w:sz="0" w:space="0" w:color="auto"/>
            <w:left w:val="none" w:sz="0" w:space="0" w:color="auto"/>
            <w:bottom w:val="none" w:sz="0" w:space="0" w:color="auto"/>
            <w:right w:val="none" w:sz="0" w:space="0" w:color="auto"/>
          </w:divBdr>
        </w:div>
      </w:divsChild>
    </w:div>
    <w:div w:id="1188104142">
      <w:marLeft w:val="4"/>
      <w:marRight w:val="0"/>
      <w:marTop w:val="200"/>
      <w:marBottom w:val="0"/>
      <w:divBdr>
        <w:top w:val="none" w:sz="0" w:space="0" w:color="auto"/>
        <w:left w:val="none" w:sz="0" w:space="0" w:color="auto"/>
        <w:bottom w:val="none" w:sz="0" w:space="0" w:color="auto"/>
        <w:right w:val="none" w:sz="0" w:space="0" w:color="auto"/>
      </w:divBdr>
      <w:divsChild>
        <w:div w:id="701320966">
          <w:marLeft w:val="0"/>
          <w:marRight w:val="0"/>
          <w:marTop w:val="0"/>
          <w:marBottom w:val="0"/>
          <w:divBdr>
            <w:top w:val="none" w:sz="0" w:space="0" w:color="auto"/>
            <w:left w:val="none" w:sz="0" w:space="0" w:color="auto"/>
            <w:bottom w:val="none" w:sz="0" w:space="0" w:color="auto"/>
            <w:right w:val="none" w:sz="0" w:space="0" w:color="auto"/>
          </w:divBdr>
        </w:div>
      </w:divsChild>
    </w:div>
    <w:div w:id="1267882752">
      <w:marLeft w:val="4"/>
      <w:marRight w:val="0"/>
      <w:marTop w:val="200"/>
      <w:marBottom w:val="0"/>
      <w:divBdr>
        <w:top w:val="none" w:sz="0" w:space="0" w:color="auto"/>
        <w:left w:val="none" w:sz="0" w:space="0" w:color="auto"/>
        <w:bottom w:val="none" w:sz="0" w:space="0" w:color="auto"/>
        <w:right w:val="none" w:sz="0" w:space="0" w:color="auto"/>
      </w:divBdr>
      <w:divsChild>
        <w:div w:id="2107001326">
          <w:marLeft w:val="0"/>
          <w:marRight w:val="0"/>
          <w:marTop w:val="0"/>
          <w:marBottom w:val="0"/>
          <w:divBdr>
            <w:top w:val="none" w:sz="0" w:space="0" w:color="auto"/>
            <w:left w:val="none" w:sz="0" w:space="0" w:color="auto"/>
            <w:bottom w:val="none" w:sz="0" w:space="0" w:color="auto"/>
            <w:right w:val="none" w:sz="0" w:space="0" w:color="auto"/>
          </w:divBdr>
        </w:div>
      </w:divsChild>
    </w:div>
    <w:div w:id="1269122110">
      <w:marLeft w:val="4"/>
      <w:marRight w:val="0"/>
      <w:marTop w:val="160"/>
      <w:marBottom w:val="0"/>
      <w:divBdr>
        <w:top w:val="none" w:sz="0" w:space="0" w:color="auto"/>
        <w:left w:val="none" w:sz="0" w:space="0" w:color="auto"/>
        <w:bottom w:val="none" w:sz="0" w:space="0" w:color="auto"/>
        <w:right w:val="none" w:sz="0" w:space="0" w:color="auto"/>
      </w:divBdr>
      <w:divsChild>
        <w:div w:id="1671832253">
          <w:marLeft w:val="0"/>
          <w:marRight w:val="0"/>
          <w:marTop w:val="0"/>
          <w:marBottom w:val="0"/>
          <w:divBdr>
            <w:top w:val="none" w:sz="0" w:space="0" w:color="auto"/>
            <w:left w:val="none" w:sz="0" w:space="0" w:color="auto"/>
            <w:bottom w:val="none" w:sz="0" w:space="0" w:color="auto"/>
            <w:right w:val="none" w:sz="0" w:space="0" w:color="auto"/>
          </w:divBdr>
        </w:div>
      </w:divsChild>
    </w:div>
    <w:div w:id="1309045165">
      <w:marLeft w:val="4"/>
      <w:marRight w:val="0"/>
      <w:marTop w:val="200"/>
      <w:marBottom w:val="0"/>
      <w:divBdr>
        <w:top w:val="none" w:sz="0" w:space="0" w:color="auto"/>
        <w:left w:val="none" w:sz="0" w:space="0" w:color="auto"/>
        <w:bottom w:val="none" w:sz="0" w:space="0" w:color="auto"/>
        <w:right w:val="none" w:sz="0" w:space="0" w:color="auto"/>
      </w:divBdr>
      <w:divsChild>
        <w:div w:id="1175918085">
          <w:marLeft w:val="0"/>
          <w:marRight w:val="0"/>
          <w:marTop w:val="0"/>
          <w:marBottom w:val="0"/>
          <w:divBdr>
            <w:top w:val="none" w:sz="0" w:space="0" w:color="auto"/>
            <w:left w:val="none" w:sz="0" w:space="0" w:color="auto"/>
            <w:bottom w:val="none" w:sz="0" w:space="0" w:color="auto"/>
            <w:right w:val="none" w:sz="0" w:space="0" w:color="auto"/>
          </w:divBdr>
        </w:div>
      </w:divsChild>
    </w:div>
    <w:div w:id="1319116172">
      <w:marLeft w:val="4"/>
      <w:marRight w:val="0"/>
      <w:marTop w:val="200"/>
      <w:marBottom w:val="0"/>
      <w:divBdr>
        <w:top w:val="none" w:sz="0" w:space="0" w:color="auto"/>
        <w:left w:val="none" w:sz="0" w:space="0" w:color="auto"/>
        <w:bottom w:val="none" w:sz="0" w:space="0" w:color="auto"/>
        <w:right w:val="none" w:sz="0" w:space="0" w:color="auto"/>
      </w:divBdr>
      <w:divsChild>
        <w:div w:id="1414814064">
          <w:marLeft w:val="0"/>
          <w:marRight w:val="0"/>
          <w:marTop w:val="0"/>
          <w:marBottom w:val="0"/>
          <w:divBdr>
            <w:top w:val="none" w:sz="0" w:space="0" w:color="auto"/>
            <w:left w:val="none" w:sz="0" w:space="0" w:color="auto"/>
            <w:bottom w:val="none" w:sz="0" w:space="0" w:color="auto"/>
            <w:right w:val="none" w:sz="0" w:space="0" w:color="auto"/>
          </w:divBdr>
        </w:div>
      </w:divsChild>
    </w:div>
    <w:div w:id="1327057266">
      <w:marLeft w:val="4"/>
      <w:marRight w:val="0"/>
      <w:marTop w:val="200"/>
      <w:marBottom w:val="0"/>
      <w:divBdr>
        <w:top w:val="none" w:sz="0" w:space="0" w:color="auto"/>
        <w:left w:val="none" w:sz="0" w:space="0" w:color="auto"/>
        <w:bottom w:val="none" w:sz="0" w:space="0" w:color="auto"/>
        <w:right w:val="none" w:sz="0" w:space="0" w:color="auto"/>
      </w:divBdr>
      <w:divsChild>
        <w:div w:id="571625850">
          <w:marLeft w:val="0"/>
          <w:marRight w:val="0"/>
          <w:marTop w:val="0"/>
          <w:marBottom w:val="0"/>
          <w:divBdr>
            <w:top w:val="none" w:sz="0" w:space="0" w:color="auto"/>
            <w:left w:val="none" w:sz="0" w:space="0" w:color="auto"/>
            <w:bottom w:val="none" w:sz="0" w:space="0" w:color="auto"/>
            <w:right w:val="none" w:sz="0" w:space="0" w:color="auto"/>
          </w:divBdr>
        </w:div>
      </w:divsChild>
    </w:div>
    <w:div w:id="1342586515">
      <w:marLeft w:val="4"/>
      <w:marRight w:val="0"/>
      <w:marTop w:val="200"/>
      <w:marBottom w:val="0"/>
      <w:divBdr>
        <w:top w:val="none" w:sz="0" w:space="0" w:color="auto"/>
        <w:left w:val="none" w:sz="0" w:space="0" w:color="auto"/>
        <w:bottom w:val="none" w:sz="0" w:space="0" w:color="auto"/>
        <w:right w:val="none" w:sz="0" w:space="0" w:color="auto"/>
      </w:divBdr>
      <w:divsChild>
        <w:div w:id="1893229407">
          <w:marLeft w:val="0"/>
          <w:marRight w:val="0"/>
          <w:marTop w:val="0"/>
          <w:marBottom w:val="0"/>
          <w:divBdr>
            <w:top w:val="none" w:sz="0" w:space="0" w:color="auto"/>
            <w:left w:val="none" w:sz="0" w:space="0" w:color="auto"/>
            <w:bottom w:val="none" w:sz="0" w:space="0" w:color="auto"/>
            <w:right w:val="none" w:sz="0" w:space="0" w:color="auto"/>
          </w:divBdr>
        </w:div>
      </w:divsChild>
    </w:div>
    <w:div w:id="1345397846">
      <w:marLeft w:val="4"/>
      <w:marRight w:val="0"/>
      <w:marTop w:val="200"/>
      <w:marBottom w:val="0"/>
      <w:divBdr>
        <w:top w:val="none" w:sz="0" w:space="0" w:color="auto"/>
        <w:left w:val="none" w:sz="0" w:space="0" w:color="auto"/>
        <w:bottom w:val="none" w:sz="0" w:space="0" w:color="auto"/>
        <w:right w:val="none" w:sz="0" w:space="0" w:color="auto"/>
      </w:divBdr>
      <w:divsChild>
        <w:div w:id="822893423">
          <w:marLeft w:val="0"/>
          <w:marRight w:val="0"/>
          <w:marTop w:val="0"/>
          <w:marBottom w:val="0"/>
          <w:divBdr>
            <w:top w:val="none" w:sz="0" w:space="0" w:color="auto"/>
            <w:left w:val="none" w:sz="0" w:space="0" w:color="auto"/>
            <w:bottom w:val="none" w:sz="0" w:space="0" w:color="auto"/>
            <w:right w:val="none" w:sz="0" w:space="0" w:color="auto"/>
          </w:divBdr>
        </w:div>
      </w:divsChild>
    </w:div>
    <w:div w:id="1379402030">
      <w:marLeft w:val="4"/>
      <w:marRight w:val="0"/>
      <w:marTop w:val="200"/>
      <w:marBottom w:val="0"/>
      <w:divBdr>
        <w:top w:val="none" w:sz="0" w:space="0" w:color="auto"/>
        <w:left w:val="none" w:sz="0" w:space="0" w:color="auto"/>
        <w:bottom w:val="none" w:sz="0" w:space="0" w:color="auto"/>
        <w:right w:val="none" w:sz="0" w:space="0" w:color="auto"/>
      </w:divBdr>
      <w:divsChild>
        <w:div w:id="503738832">
          <w:marLeft w:val="0"/>
          <w:marRight w:val="0"/>
          <w:marTop w:val="0"/>
          <w:marBottom w:val="0"/>
          <w:divBdr>
            <w:top w:val="none" w:sz="0" w:space="0" w:color="auto"/>
            <w:left w:val="none" w:sz="0" w:space="0" w:color="auto"/>
            <w:bottom w:val="none" w:sz="0" w:space="0" w:color="auto"/>
            <w:right w:val="none" w:sz="0" w:space="0" w:color="auto"/>
          </w:divBdr>
        </w:div>
      </w:divsChild>
    </w:div>
    <w:div w:id="1399404567">
      <w:marLeft w:val="0"/>
      <w:marRight w:val="0"/>
      <w:marTop w:val="0"/>
      <w:marBottom w:val="0"/>
      <w:divBdr>
        <w:top w:val="none" w:sz="0" w:space="0" w:color="auto"/>
        <w:left w:val="none" w:sz="0" w:space="0" w:color="auto"/>
        <w:bottom w:val="none" w:sz="0" w:space="0" w:color="auto"/>
        <w:right w:val="none" w:sz="0" w:space="0" w:color="auto"/>
      </w:divBdr>
    </w:div>
    <w:div w:id="1405420139">
      <w:marLeft w:val="4"/>
      <w:marRight w:val="0"/>
      <w:marTop w:val="120"/>
      <w:marBottom w:val="0"/>
      <w:divBdr>
        <w:top w:val="none" w:sz="0" w:space="0" w:color="auto"/>
        <w:left w:val="none" w:sz="0" w:space="0" w:color="auto"/>
        <w:bottom w:val="none" w:sz="0" w:space="0" w:color="auto"/>
        <w:right w:val="none" w:sz="0" w:space="0" w:color="auto"/>
      </w:divBdr>
      <w:divsChild>
        <w:div w:id="1968850127">
          <w:marLeft w:val="0"/>
          <w:marRight w:val="0"/>
          <w:marTop w:val="0"/>
          <w:marBottom w:val="0"/>
          <w:divBdr>
            <w:top w:val="none" w:sz="0" w:space="0" w:color="auto"/>
            <w:left w:val="none" w:sz="0" w:space="0" w:color="auto"/>
            <w:bottom w:val="none" w:sz="0" w:space="0" w:color="auto"/>
            <w:right w:val="none" w:sz="0" w:space="0" w:color="auto"/>
          </w:divBdr>
        </w:div>
      </w:divsChild>
    </w:div>
    <w:div w:id="1406680479">
      <w:marLeft w:val="4"/>
      <w:marRight w:val="0"/>
      <w:marTop w:val="200"/>
      <w:marBottom w:val="0"/>
      <w:divBdr>
        <w:top w:val="none" w:sz="0" w:space="0" w:color="auto"/>
        <w:left w:val="none" w:sz="0" w:space="0" w:color="auto"/>
        <w:bottom w:val="none" w:sz="0" w:space="0" w:color="auto"/>
        <w:right w:val="none" w:sz="0" w:space="0" w:color="auto"/>
      </w:divBdr>
      <w:divsChild>
        <w:div w:id="2101489379">
          <w:marLeft w:val="0"/>
          <w:marRight w:val="0"/>
          <w:marTop w:val="0"/>
          <w:marBottom w:val="0"/>
          <w:divBdr>
            <w:top w:val="none" w:sz="0" w:space="0" w:color="auto"/>
            <w:left w:val="none" w:sz="0" w:space="0" w:color="auto"/>
            <w:bottom w:val="none" w:sz="0" w:space="0" w:color="auto"/>
            <w:right w:val="none" w:sz="0" w:space="0" w:color="auto"/>
          </w:divBdr>
        </w:div>
      </w:divsChild>
    </w:div>
    <w:div w:id="1463306881">
      <w:marLeft w:val="0"/>
      <w:marRight w:val="0"/>
      <w:marTop w:val="0"/>
      <w:marBottom w:val="0"/>
      <w:divBdr>
        <w:top w:val="none" w:sz="0" w:space="0" w:color="auto"/>
        <w:left w:val="none" w:sz="0" w:space="0" w:color="auto"/>
        <w:bottom w:val="none" w:sz="0" w:space="0" w:color="auto"/>
        <w:right w:val="none" w:sz="0" w:space="0" w:color="auto"/>
      </w:divBdr>
      <w:divsChild>
        <w:div w:id="1046562686">
          <w:marLeft w:val="0"/>
          <w:marRight w:val="0"/>
          <w:marTop w:val="0"/>
          <w:marBottom w:val="0"/>
          <w:divBdr>
            <w:top w:val="none" w:sz="0" w:space="0" w:color="auto"/>
            <w:left w:val="none" w:sz="0" w:space="0" w:color="auto"/>
            <w:bottom w:val="none" w:sz="0" w:space="0" w:color="auto"/>
            <w:right w:val="none" w:sz="0" w:space="0" w:color="auto"/>
          </w:divBdr>
        </w:div>
      </w:divsChild>
    </w:div>
    <w:div w:id="1501120056">
      <w:marLeft w:val="4"/>
      <w:marRight w:val="0"/>
      <w:marTop w:val="160"/>
      <w:marBottom w:val="0"/>
      <w:divBdr>
        <w:top w:val="none" w:sz="0" w:space="0" w:color="auto"/>
        <w:left w:val="none" w:sz="0" w:space="0" w:color="auto"/>
        <w:bottom w:val="none" w:sz="0" w:space="0" w:color="auto"/>
        <w:right w:val="none" w:sz="0" w:space="0" w:color="auto"/>
      </w:divBdr>
      <w:divsChild>
        <w:div w:id="1170683416">
          <w:marLeft w:val="0"/>
          <w:marRight w:val="0"/>
          <w:marTop w:val="0"/>
          <w:marBottom w:val="0"/>
          <w:divBdr>
            <w:top w:val="none" w:sz="0" w:space="0" w:color="auto"/>
            <w:left w:val="none" w:sz="0" w:space="0" w:color="auto"/>
            <w:bottom w:val="none" w:sz="0" w:space="0" w:color="auto"/>
            <w:right w:val="none" w:sz="0" w:space="0" w:color="auto"/>
          </w:divBdr>
        </w:div>
      </w:divsChild>
    </w:div>
    <w:div w:id="1524585802">
      <w:marLeft w:val="4"/>
      <w:marRight w:val="0"/>
      <w:marTop w:val="200"/>
      <w:marBottom w:val="0"/>
      <w:divBdr>
        <w:top w:val="none" w:sz="0" w:space="0" w:color="auto"/>
        <w:left w:val="none" w:sz="0" w:space="0" w:color="auto"/>
        <w:bottom w:val="none" w:sz="0" w:space="0" w:color="auto"/>
        <w:right w:val="none" w:sz="0" w:space="0" w:color="auto"/>
      </w:divBdr>
      <w:divsChild>
        <w:div w:id="1187982808">
          <w:marLeft w:val="0"/>
          <w:marRight w:val="0"/>
          <w:marTop w:val="0"/>
          <w:marBottom w:val="0"/>
          <w:divBdr>
            <w:top w:val="none" w:sz="0" w:space="0" w:color="auto"/>
            <w:left w:val="none" w:sz="0" w:space="0" w:color="auto"/>
            <w:bottom w:val="none" w:sz="0" w:space="0" w:color="auto"/>
            <w:right w:val="none" w:sz="0" w:space="0" w:color="auto"/>
          </w:divBdr>
        </w:div>
      </w:divsChild>
    </w:div>
    <w:div w:id="1560822467">
      <w:marLeft w:val="4"/>
      <w:marRight w:val="0"/>
      <w:marTop w:val="160"/>
      <w:marBottom w:val="0"/>
      <w:divBdr>
        <w:top w:val="none" w:sz="0" w:space="0" w:color="auto"/>
        <w:left w:val="none" w:sz="0" w:space="0" w:color="auto"/>
        <w:bottom w:val="none" w:sz="0" w:space="0" w:color="auto"/>
        <w:right w:val="none" w:sz="0" w:space="0" w:color="auto"/>
      </w:divBdr>
      <w:divsChild>
        <w:div w:id="725029675">
          <w:marLeft w:val="0"/>
          <w:marRight w:val="0"/>
          <w:marTop w:val="0"/>
          <w:marBottom w:val="0"/>
          <w:divBdr>
            <w:top w:val="none" w:sz="0" w:space="0" w:color="auto"/>
            <w:left w:val="none" w:sz="0" w:space="0" w:color="auto"/>
            <w:bottom w:val="none" w:sz="0" w:space="0" w:color="auto"/>
            <w:right w:val="none" w:sz="0" w:space="0" w:color="auto"/>
          </w:divBdr>
        </w:div>
      </w:divsChild>
    </w:div>
    <w:div w:id="1577863507">
      <w:marLeft w:val="4"/>
      <w:marRight w:val="0"/>
      <w:marTop w:val="200"/>
      <w:marBottom w:val="0"/>
      <w:divBdr>
        <w:top w:val="none" w:sz="0" w:space="0" w:color="auto"/>
        <w:left w:val="none" w:sz="0" w:space="0" w:color="auto"/>
        <w:bottom w:val="none" w:sz="0" w:space="0" w:color="auto"/>
        <w:right w:val="none" w:sz="0" w:space="0" w:color="auto"/>
      </w:divBdr>
      <w:divsChild>
        <w:div w:id="883172424">
          <w:marLeft w:val="0"/>
          <w:marRight w:val="0"/>
          <w:marTop w:val="0"/>
          <w:marBottom w:val="0"/>
          <w:divBdr>
            <w:top w:val="none" w:sz="0" w:space="0" w:color="auto"/>
            <w:left w:val="none" w:sz="0" w:space="0" w:color="auto"/>
            <w:bottom w:val="none" w:sz="0" w:space="0" w:color="auto"/>
            <w:right w:val="none" w:sz="0" w:space="0" w:color="auto"/>
          </w:divBdr>
        </w:div>
      </w:divsChild>
    </w:div>
    <w:div w:id="1584682875">
      <w:marLeft w:val="4"/>
      <w:marRight w:val="0"/>
      <w:marTop w:val="200"/>
      <w:marBottom w:val="0"/>
      <w:divBdr>
        <w:top w:val="none" w:sz="0" w:space="0" w:color="auto"/>
        <w:left w:val="none" w:sz="0" w:space="0" w:color="auto"/>
        <w:bottom w:val="none" w:sz="0" w:space="0" w:color="auto"/>
        <w:right w:val="none" w:sz="0" w:space="0" w:color="auto"/>
      </w:divBdr>
      <w:divsChild>
        <w:div w:id="344796302">
          <w:marLeft w:val="0"/>
          <w:marRight w:val="0"/>
          <w:marTop w:val="0"/>
          <w:marBottom w:val="0"/>
          <w:divBdr>
            <w:top w:val="none" w:sz="0" w:space="0" w:color="auto"/>
            <w:left w:val="none" w:sz="0" w:space="0" w:color="auto"/>
            <w:bottom w:val="none" w:sz="0" w:space="0" w:color="auto"/>
            <w:right w:val="none" w:sz="0" w:space="0" w:color="auto"/>
          </w:divBdr>
        </w:div>
      </w:divsChild>
    </w:div>
    <w:div w:id="1598055861">
      <w:marLeft w:val="4"/>
      <w:marRight w:val="0"/>
      <w:marTop w:val="200"/>
      <w:marBottom w:val="0"/>
      <w:divBdr>
        <w:top w:val="none" w:sz="0" w:space="0" w:color="auto"/>
        <w:left w:val="none" w:sz="0" w:space="0" w:color="auto"/>
        <w:bottom w:val="none" w:sz="0" w:space="0" w:color="auto"/>
        <w:right w:val="none" w:sz="0" w:space="0" w:color="auto"/>
      </w:divBdr>
      <w:divsChild>
        <w:div w:id="1381981703">
          <w:marLeft w:val="0"/>
          <w:marRight w:val="0"/>
          <w:marTop w:val="0"/>
          <w:marBottom w:val="0"/>
          <w:divBdr>
            <w:top w:val="none" w:sz="0" w:space="0" w:color="auto"/>
            <w:left w:val="none" w:sz="0" w:space="0" w:color="auto"/>
            <w:bottom w:val="none" w:sz="0" w:space="0" w:color="auto"/>
            <w:right w:val="none" w:sz="0" w:space="0" w:color="auto"/>
          </w:divBdr>
        </w:div>
      </w:divsChild>
    </w:div>
    <w:div w:id="1600673504">
      <w:marLeft w:val="4"/>
      <w:marRight w:val="0"/>
      <w:marTop w:val="200"/>
      <w:marBottom w:val="0"/>
      <w:divBdr>
        <w:top w:val="none" w:sz="0" w:space="0" w:color="auto"/>
        <w:left w:val="none" w:sz="0" w:space="0" w:color="auto"/>
        <w:bottom w:val="none" w:sz="0" w:space="0" w:color="auto"/>
        <w:right w:val="none" w:sz="0" w:space="0" w:color="auto"/>
      </w:divBdr>
      <w:divsChild>
        <w:div w:id="943926791">
          <w:marLeft w:val="0"/>
          <w:marRight w:val="0"/>
          <w:marTop w:val="0"/>
          <w:marBottom w:val="0"/>
          <w:divBdr>
            <w:top w:val="none" w:sz="0" w:space="0" w:color="auto"/>
            <w:left w:val="none" w:sz="0" w:space="0" w:color="auto"/>
            <w:bottom w:val="none" w:sz="0" w:space="0" w:color="auto"/>
            <w:right w:val="none" w:sz="0" w:space="0" w:color="auto"/>
          </w:divBdr>
        </w:div>
      </w:divsChild>
    </w:div>
    <w:div w:id="1613591729">
      <w:marLeft w:val="4"/>
      <w:marRight w:val="0"/>
      <w:marTop w:val="200"/>
      <w:marBottom w:val="0"/>
      <w:divBdr>
        <w:top w:val="none" w:sz="0" w:space="0" w:color="auto"/>
        <w:left w:val="none" w:sz="0" w:space="0" w:color="auto"/>
        <w:bottom w:val="none" w:sz="0" w:space="0" w:color="auto"/>
        <w:right w:val="none" w:sz="0" w:space="0" w:color="auto"/>
      </w:divBdr>
      <w:divsChild>
        <w:div w:id="1587494338">
          <w:marLeft w:val="0"/>
          <w:marRight w:val="0"/>
          <w:marTop w:val="0"/>
          <w:marBottom w:val="0"/>
          <w:divBdr>
            <w:top w:val="none" w:sz="0" w:space="0" w:color="auto"/>
            <w:left w:val="none" w:sz="0" w:space="0" w:color="auto"/>
            <w:bottom w:val="none" w:sz="0" w:space="0" w:color="auto"/>
            <w:right w:val="none" w:sz="0" w:space="0" w:color="auto"/>
          </w:divBdr>
        </w:div>
      </w:divsChild>
    </w:div>
    <w:div w:id="1632904477">
      <w:marLeft w:val="4"/>
      <w:marRight w:val="0"/>
      <w:marTop w:val="200"/>
      <w:marBottom w:val="0"/>
      <w:divBdr>
        <w:top w:val="none" w:sz="0" w:space="0" w:color="auto"/>
        <w:left w:val="none" w:sz="0" w:space="0" w:color="auto"/>
        <w:bottom w:val="none" w:sz="0" w:space="0" w:color="auto"/>
        <w:right w:val="none" w:sz="0" w:space="0" w:color="auto"/>
      </w:divBdr>
      <w:divsChild>
        <w:div w:id="1102607631">
          <w:marLeft w:val="0"/>
          <w:marRight w:val="0"/>
          <w:marTop w:val="0"/>
          <w:marBottom w:val="0"/>
          <w:divBdr>
            <w:top w:val="none" w:sz="0" w:space="0" w:color="auto"/>
            <w:left w:val="none" w:sz="0" w:space="0" w:color="auto"/>
            <w:bottom w:val="none" w:sz="0" w:space="0" w:color="auto"/>
            <w:right w:val="none" w:sz="0" w:space="0" w:color="auto"/>
          </w:divBdr>
        </w:div>
      </w:divsChild>
    </w:div>
    <w:div w:id="1635023752">
      <w:marLeft w:val="4"/>
      <w:marRight w:val="0"/>
      <w:marTop w:val="200"/>
      <w:marBottom w:val="0"/>
      <w:divBdr>
        <w:top w:val="none" w:sz="0" w:space="0" w:color="auto"/>
        <w:left w:val="none" w:sz="0" w:space="0" w:color="auto"/>
        <w:bottom w:val="none" w:sz="0" w:space="0" w:color="auto"/>
        <w:right w:val="none" w:sz="0" w:space="0" w:color="auto"/>
      </w:divBdr>
      <w:divsChild>
        <w:div w:id="389429801">
          <w:marLeft w:val="0"/>
          <w:marRight w:val="0"/>
          <w:marTop w:val="0"/>
          <w:marBottom w:val="0"/>
          <w:divBdr>
            <w:top w:val="none" w:sz="0" w:space="0" w:color="auto"/>
            <w:left w:val="none" w:sz="0" w:space="0" w:color="auto"/>
            <w:bottom w:val="none" w:sz="0" w:space="0" w:color="auto"/>
            <w:right w:val="none" w:sz="0" w:space="0" w:color="auto"/>
          </w:divBdr>
        </w:div>
      </w:divsChild>
    </w:div>
    <w:div w:id="1648245053">
      <w:marLeft w:val="4"/>
      <w:marRight w:val="0"/>
      <w:marTop w:val="200"/>
      <w:marBottom w:val="0"/>
      <w:divBdr>
        <w:top w:val="none" w:sz="0" w:space="0" w:color="auto"/>
        <w:left w:val="none" w:sz="0" w:space="0" w:color="auto"/>
        <w:bottom w:val="none" w:sz="0" w:space="0" w:color="auto"/>
        <w:right w:val="none" w:sz="0" w:space="0" w:color="auto"/>
      </w:divBdr>
      <w:divsChild>
        <w:div w:id="696200544">
          <w:marLeft w:val="0"/>
          <w:marRight w:val="0"/>
          <w:marTop w:val="0"/>
          <w:marBottom w:val="0"/>
          <w:divBdr>
            <w:top w:val="none" w:sz="0" w:space="0" w:color="auto"/>
            <w:left w:val="none" w:sz="0" w:space="0" w:color="auto"/>
            <w:bottom w:val="none" w:sz="0" w:space="0" w:color="auto"/>
            <w:right w:val="none" w:sz="0" w:space="0" w:color="auto"/>
          </w:divBdr>
        </w:div>
      </w:divsChild>
    </w:div>
    <w:div w:id="1665548218">
      <w:marLeft w:val="4"/>
      <w:marRight w:val="0"/>
      <w:marTop w:val="160"/>
      <w:marBottom w:val="0"/>
      <w:divBdr>
        <w:top w:val="none" w:sz="0" w:space="0" w:color="auto"/>
        <w:left w:val="none" w:sz="0" w:space="0" w:color="auto"/>
        <w:bottom w:val="none" w:sz="0" w:space="0" w:color="auto"/>
        <w:right w:val="none" w:sz="0" w:space="0" w:color="auto"/>
      </w:divBdr>
      <w:divsChild>
        <w:div w:id="1501578884">
          <w:marLeft w:val="0"/>
          <w:marRight w:val="0"/>
          <w:marTop w:val="0"/>
          <w:marBottom w:val="0"/>
          <w:divBdr>
            <w:top w:val="none" w:sz="0" w:space="0" w:color="auto"/>
            <w:left w:val="none" w:sz="0" w:space="0" w:color="auto"/>
            <w:bottom w:val="none" w:sz="0" w:space="0" w:color="auto"/>
            <w:right w:val="none" w:sz="0" w:space="0" w:color="auto"/>
          </w:divBdr>
        </w:div>
      </w:divsChild>
    </w:div>
    <w:div w:id="1704478728">
      <w:marLeft w:val="0"/>
      <w:marRight w:val="0"/>
      <w:marTop w:val="0"/>
      <w:marBottom w:val="0"/>
      <w:divBdr>
        <w:top w:val="none" w:sz="0" w:space="0" w:color="auto"/>
        <w:left w:val="none" w:sz="0" w:space="0" w:color="auto"/>
        <w:bottom w:val="none" w:sz="0" w:space="0" w:color="auto"/>
        <w:right w:val="none" w:sz="0" w:space="0" w:color="auto"/>
      </w:divBdr>
      <w:divsChild>
        <w:div w:id="1459376737">
          <w:marLeft w:val="0"/>
          <w:marRight w:val="0"/>
          <w:marTop w:val="0"/>
          <w:marBottom w:val="0"/>
          <w:divBdr>
            <w:top w:val="none" w:sz="0" w:space="0" w:color="auto"/>
            <w:left w:val="none" w:sz="0" w:space="0" w:color="auto"/>
            <w:bottom w:val="none" w:sz="0" w:space="0" w:color="auto"/>
            <w:right w:val="none" w:sz="0" w:space="0" w:color="auto"/>
          </w:divBdr>
        </w:div>
      </w:divsChild>
    </w:div>
    <w:div w:id="1707220903">
      <w:marLeft w:val="4"/>
      <w:marRight w:val="0"/>
      <w:marTop w:val="160"/>
      <w:marBottom w:val="0"/>
      <w:divBdr>
        <w:top w:val="none" w:sz="0" w:space="0" w:color="auto"/>
        <w:left w:val="none" w:sz="0" w:space="0" w:color="auto"/>
        <w:bottom w:val="none" w:sz="0" w:space="0" w:color="auto"/>
        <w:right w:val="none" w:sz="0" w:space="0" w:color="auto"/>
      </w:divBdr>
      <w:divsChild>
        <w:div w:id="1007903166">
          <w:marLeft w:val="0"/>
          <w:marRight w:val="0"/>
          <w:marTop w:val="0"/>
          <w:marBottom w:val="0"/>
          <w:divBdr>
            <w:top w:val="none" w:sz="0" w:space="0" w:color="auto"/>
            <w:left w:val="none" w:sz="0" w:space="0" w:color="auto"/>
            <w:bottom w:val="none" w:sz="0" w:space="0" w:color="auto"/>
            <w:right w:val="none" w:sz="0" w:space="0" w:color="auto"/>
          </w:divBdr>
        </w:div>
      </w:divsChild>
    </w:div>
    <w:div w:id="1715496624">
      <w:marLeft w:val="4"/>
      <w:marRight w:val="0"/>
      <w:marTop w:val="160"/>
      <w:marBottom w:val="0"/>
      <w:divBdr>
        <w:top w:val="none" w:sz="0" w:space="0" w:color="auto"/>
        <w:left w:val="none" w:sz="0" w:space="0" w:color="auto"/>
        <w:bottom w:val="none" w:sz="0" w:space="0" w:color="auto"/>
        <w:right w:val="none" w:sz="0" w:space="0" w:color="auto"/>
      </w:divBdr>
      <w:divsChild>
        <w:div w:id="1943994938">
          <w:marLeft w:val="0"/>
          <w:marRight w:val="0"/>
          <w:marTop w:val="0"/>
          <w:marBottom w:val="0"/>
          <w:divBdr>
            <w:top w:val="none" w:sz="0" w:space="0" w:color="auto"/>
            <w:left w:val="none" w:sz="0" w:space="0" w:color="auto"/>
            <w:bottom w:val="none" w:sz="0" w:space="0" w:color="auto"/>
            <w:right w:val="none" w:sz="0" w:space="0" w:color="auto"/>
          </w:divBdr>
        </w:div>
      </w:divsChild>
    </w:div>
    <w:div w:id="1717003204">
      <w:marLeft w:val="4"/>
      <w:marRight w:val="0"/>
      <w:marTop w:val="160"/>
      <w:marBottom w:val="0"/>
      <w:divBdr>
        <w:top w:val="none" w:sz="0" w:space="0" w:color="auto"/>
        <w:left w:val="none" w:sz="0" w:space="0" w:color="auto"/>
        <w:bottom w:val="none" w:sz="0" w:space="0" w:color="auto"/>
        <w:right w:val="none" w:sz="0" w:space="0" w:color="auto"/>
      </w:divBdr>
      <w:divsChild>
        <w:div w:id="1707174935">
          <w:marLeft w:val="0"/>
          <w:marRight w:val="0"/>
          <w:marTop w:val="0"/>
          <w:marBottom w:val="0"/>
          <w:divBdr>
            <w:top w:val="none" w:sz="0" w:space="0" w:color="auto"/>
            <w:left w:val="none" w:sz="0" w:space="0" w:color="auto"/>
            <w:bottom w:val="none" w:sz="0" w:space="0" w:color="auto"/>
            <w:right w:val="none" w:sz="0" w:space="0" w:color="auto"/>
          </w:divBdr>
        </w:div>
      </w:divsChild>
    </w:div>
    <w:div w:id="1724597348">
      <w:marLeft w:val="0"/>
      <w:marRight w:val="0"/>
      <w:marTop w:val="0"/>
      <w:marBottom w:val="0"/>
      <w:divBdr>
        <w:top w:val="none" w:sz="0" w:space="0" w:color="auto"/>
        <w:left w:val="none" w:sz="0" w:space="0" w:color="auto"/>
        <w:bottom w:val="none" w:sz="0" w:space="0" w:color="auto"/>
        <w:right w:val="none" w:sz="0" w:space="0" w:color="auto"/>
      </w:divBdr>
    </w:div>
    <w:div w:id="1741368391">
      <w:marLeft w:val="4"/>
      <w:marRight w:val="0"/>
      <w:marTop w:val="200"/>
      <w:marBottom w:val="0"/>
      <w:divBdr>
        <w:top w:val="none" w:sz="0" w:space="0" w:color="auto"/>
        <w:left w:val="none" w:sz="0" w:space="0" w:color="auto"/>
        <w:bottom w:val="none" w:sz="0" w:space="0" w:color="auto"/>
        <w:right w:val="none" w:sz="0" w:space="0" w:color="auto"/>
      </w:divBdr>
      <w:divsChild>
        <w:div w:id="1430807315">
          <w:marLeft w:val="0"/>
          <w:marRight w:val="0"/>
          <w:marTop w:val="0"/>
          <w:marBottom w:val="0"/>
          <w:divBdr>
            <w:top w:val="none" w:sz="0" w:space="0" w:color="auto"/>
            <w:left w:val="none" w:sz="0" w:space="0" w:color="auto"/>
            <w:bottom w:val="none" w:sz="0" w:space="0" w:color="auto"/>
            <w:right w:val="none" w:sz="0" w:space="0" w:color="auto"/>
          </w:divBdr>
        </w:div>
      </w:divsChild>
    </w:div>
    <w:div w:id="1827475351">
      <w:marLeft w:val="0"/>
      <w:marRight w:val="0"/>
      <w:marTop w:val="0"/>
      <w:marBottom w:val="0"/>
      <w:divBdr>
        <w:top w:val="none" w:sz="0" w:space="0" w:color="auto"/>
        <w:left w:val="none" w:sz="0" w:space="0" w:color="auto"/>
        <w:bottom w:val="none" w:sz="0" w:space="0" w:color="auto"/>
        <w:right w:val="none" w:sz="0" w:space="0" w:color="auto"/>
      </w:divBdr>
      <w:divsChild>
        <w:div w:id="1204321893">
          <w:marLeft w:val="4"/>
          <w:marRight w:val="0"/>
          <w:marTop w:val="200"/>
          <w:marBottom w:val="0"/>
          <w:divBdr>
            <w:top w:val="none" w:sz="0" w:space="0" w:color="auto"/>
            <w:left w:val="none" w:sz="0" w:space="0" w:color="auto"/>
            <w:bottom w:val="none" w:sz="0" w:space="0" w:color="auto"/>
            <w:right w:val="none" w:sz="0" w:space="0" w:color="auto"/>
          </w:divBdr>
          <w:divsChild>
            <w:div w:id="1877620792">
              <w:marLeft w:val="0"/>
              <w:marRight w:val="0"/>
              <w:marTop w:val="0"/>
              <w:marBottom w:val="0"/>
              <w:divBdr>
                <w:top w:val="none" w:sz="0" w:space="0" w:color="auto"/>
                <w:left w:val="none" w:sz="0" w:space="0" w:color="auto"/>
                <w:bottom w:val="none" w:sz="0" w:space="0" w:color="auto"/>
                <w:right w:val="none" w:sz="0" w:space="0" w:color="auto"/>
              </w:divBdr>
            </w:div>
          </w:divsChild>
        </w:div>
        <w:div w:id="207037779">
          <w:marLeft w:val="4"/>
          <w:marRight w:val="0"/>
          <w:marTop w:val="200"/>
          <w:marBottom w:val="0"/>
          <w:divBdr>
            <w:top w:val="none" w:sz="0" w:space="0" w:color="auto"/>
            <w:left w:val="none" w:sz="0" w:space="0" w:color="auto"/>
            <w:bottom w:val="none" w:sz="0" w:space="0" w:color="auto"/>
            <w:right w:val="none" w:sz="0" w:space="0" w:color="auto"/>
          </w:divBdr>
          <w:divsChild>
            <w:div w:id="378435666">
              <w:marLeft w:val="0"/>
              <w:marRight w:val="0"/>
              <w:marTop w:val="0"/>
              <w:marBottom w:val="0"/>
              <w:divBdr>
                <w:top w:val="none" w:sz="0" w:space="0" w:color="auto"/>
                <w:left w:val="none" w:sz="0" w:space="0" w:color="auto"/>
                <w:bottom w:val="none" w:sz="0" w:space="0" w:color="auto"/>
                <w:right w:val="none" w:sz="0" w:space="0" w:color="auto"/>
              </w:divBdr>
            </w:div>
          </w:divsChild>
        </w:div>
        <w:div w:id="913975548">
          <w:marLeft w:val="4"/>
          <w:marRight w:val="0"/>
          <w:marTop w:val="20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
          </w:divsChild>
        </w:div>
        <w:div w:id="494423562">
          <w:marLeft w:val="0"/>
          <w:marRight w:val="0"/>
          <w:marTop w:val="0"/>
          <w:marBottom w:val="0"/>
          <w:divBdr>
            <w:top w:val="none" w:sz="0" w:space="0" w:color="auto"/>
            <w:left w:val="none" w:sz="0" w:space="0" w:color="auto"/>
            <w:bottom w:val="none" w:sz="0" w:space="0" w:color="auto"/>
            <w:right w:val="none" w:sz="0" w:space="0" w:color="auto"/>
          </w:divBdr>
        </w:div>
        <w:div w:id="1263757606">
          <w:marLeft w:val="0"/>
          <w:marRight w:val="0"/>
          <w:marTop w:val="0"/>
          <w:marBottom w:val="0"/>
          <w:divBdr>
            <w:top w:val="none" w:sz="0" w:space="0" w:color="auto"/>
            <w:left w:val="none" w:sz="0" w:space="0" w:color="auto"/>
            <w:bottom w:val="none" w:sz="0" w:space="0" w:color="auto"/>
            <w:right w:val="none" w:sz="0" w:space="0" w:color="auto"/>
          </w:divBdr>
        </w:div>
        <w:div w:id="604656475">
          <w:marLeft w:val="0"/>
          <w:marRight w:val="0"/>
          <w:marTop w:val="0"/>
          <w:marBottom w:val="0"/>
          <w:divBdr>
            <w:top w:val="none" w:sz="0" w:space="0" w:color="auto"/>
            <w:left w:val="none" w:sz="0" w:space="0" w:color="auto"/>
            <w:bottom w:val="none" w:sz="0" w:space="0" w:color="auto"/>
            <w:right w:val="none" w:sz="0" w:space="0" w:color="auto"/>
          </w:divBdr>
        </w:div>
      </w:divsChild>
    </w:div>
    <w:div w:id="1911697388">
      <w:marLeft w:val="4"/>
      <w:marRight w:val="0"/>
      <w:marTop w:val="200"/>
      <w:marBottom w:val="0"/>
      <w:divBdr>
        <w:top w:val="none" w:sz="0" w:space="0" w:color="auto"/>
        <w:left w:val="none" w:sz="0" w:space="0" w:color="auto"/>
        <w:bottom w:val="none" w:sz="0" w:space="0" w:color="auto"/>
        <w:right w:val="none" w:sz="0" w:space="0" w:color="auto"/>
      </w:divBdr>
      <w:divsChild>
        <w:div w:id="864055430">
          <w:marLeft w:val="0"/>
          <w:marRight w:val="0"/>
          <w:marTop w:val="0"/>
          <w:marBottom w:val="0"/>
          <w:divBdr>
            <w:top w:val="none" w:sz="0" w:space="0" w:color="auto"/>
            <w:left w:val="none" w:sz="0" w:space="0" w:color="auto"/>
            <w:bottom w:val="none" w:sz="0" w:space="0" w:color="auto"/>
            <w:right w:val="none" w:sz="0" w:space="0" w:color="auto"/>
          </w:divBdr>
        </w:div>
      </w:divsChild>
    </w:div>
    <w:div w:id="1913467210">
      <w:marLeft w:val="4"/>
      <w:marRight w:val="0"/>
      <w:marTop w:val="200"/>
      <w:marBottom w:val="0"/>
      <w:divBdr>
        <w:top w:val="none" w:sz="0" w:space="0" w:color="auto"/>
        <w:left w:val="none" w:sz="0" w:space="0" w:color="auto"/>
        <w:bottom w:val="none" w:sz="0" w:space="0" w:color="auto"/>
        <w:right w:val="none" w:sz="0" w:space="0" w:color="auto"/>
      </w:divBdr>
      <w:divsChild>
        <w:div w:id="43875323">
          <w:marLeft w:val="0"/>
          <w:marRight w:val="0"/>
          <w:marTop w:val="0"/>
          <w:marBottom w:val="0"/>
          <w:divBdr>
            <w:top w:val="none" w:sz="0" w:space="0" w:color="auto"/>
            <w:left w:val="none" w:sz="0" w:space="0" w:color="auto"/>
            <w:bottom w:val="none" w:sz="0" w:space="0" w:color="auto"/>
            <w:right w:val="none" w:sz="0" w:space="0" w:color="auto"/>
          </w:divBdr>
        </w:div>
      </w:divsChild>
    </w:div>
    <w:div w:id="1957905578">
      <w:marLeft w:val="0"/>
      <w:marRight w:val="0"/>
      <w:marTop w:val="0"/>
      <w:marBottom w:val="0"/>
      <w:divBdr>
        <w:top w:val="none" w:sz="0" w:space="0" w:color="auto"/>
        <w:left w:val="none" w:sz="0" w:space="0" w:color="auto"/>
        <w:bottom w:val="none" w:sz="0" w:space="0" w:color="auto"/>
        <w:right w:val="none" w:sz="0" w:space="0" w:color="auto"/>
      </w:divBdr>
      <w:divsChild>
        <w:div w:id="148833363">
          <w:marLeft w:val="0"/>
          <w:marRight w:val="0"/>
          <w:marTop w:val="0"/>
          <w:marBottom w:val="0"/>
          <w:divBdr>
            <w:top w:val="none" w:sz="0" w:space="0" w:color="auto"/>
            <w:left w:val="none" w:sz="0" w:space="0" w:color="auto"/>
            <w:bottom w:val="none" w:sz="0" w:space="0" w:color="auto"/>
            <w:right w:val="none" w:sz="0" w:space="0" w:color="auto"/>
          </w:divBdr>
        </w:div>
        <w:div w:id="1186334837">
          <w:marLeft w:val="0"/>
          <w:marRight w:val="0"/>
          <w:marTop w:val="0"/>
          <w:marBottom w:val="0"/>
          <w:divBdr>
            <w:top w:val="none" w:sz="0" w:space="0" w:color="auto"/>
            <w:left w:val="none" w:sz="0" w:space="0" w:color="auto"/>
            <w:bottom w:val="none" w:sz="0" w:space="0" w:color="auto"/>
            <w:right w:val="none" w:sz="0" w:space="0" w:color="auto"/>
          </w:divBdr>
        </w:div>
      </w:divsChild>
    </w:div>
    <w:div w:id="1966305633">
      <w:marLeft w:val="4"/>
      <w:marRight w:val="0"/>
      <w:marTop w:val="200"/>
      <w:marBottom w:val="0"/>
      <w:divBdr>
        <w:top w:val="none" w:sz="0" w:space="0" w:color="auto"/>
        <w:left w:val="none" w:sz="0" w:space="0" w:color="auto"/>
        <w:bottom w:val="none" w:sz="0" w:space="0" w:color="auto"/>
        <w:right w:val="none" w:sz="0" w:space="0" w:color="auto"/>
      </w:divBdr>
      <w:divsChild>
        <w:div w:id="665592080">
          <w:marLeft w:val="0"/>
          <w:marRight w:val="0"/>
          <w:marTop w:val="0"/>
          <w:marBottom w:val="0"/>
          <w:divBdr>
            <w:top w:val="none" w:sz="0" w:space="0" w:color="auto"/>
            <w:left w:val="none" w:sz="0" w:space="0" w:color="auto"/>
            <w:bottom w:val="none" w:sz="0" w:space="0" w:color="auto"/>
            <w:right w:val="none" w:sz="0" w:space="0" w:color="auto"/>
          </w:divBdr>
        </w:div>
      </w:divsChild>
    </w:div>
    <w:div w:id="1982298168">
      <w:marLeft w:val="4"/>
      <w:marRight w:val="0"/>
      <w:marTop w:val="200"/>
      <w:marBottom w:val="0"/>
      <w:divBdr>
        <w:top w:val="none" w:sz="0" w:space="0" w:color="auto"/>
        <w:left w:val="none" w:sz="0" w:space="0" w:color="auto"/>
        <w:bottom w:val="none" w:sz="0" w:space="0" w:color="auto"/>
        <w:right w:val="none" w:sz="0" w:space="0" w:color="auto"/>
      </w:divBdr>
      <w:divsChild>
        <w:div w:id="96759088">
          <w:marLeft w:val="0"/>
          <w:marRight w:val="0"/>
          <w:marTop w:val="0"/>
          <w:marBottom w:val="0"/>
          <w:divBdr>
            <w:top w:val="none" w:sz="0" w:space="0" w:color="auto"/>
            <w:left w:val="none" w:sz="0" w:space="0" w:color="auto"/>
            <w:bottom w:val="none" w:sz="0" w:space="0" w:color="auto"/>
            <w:right w:val="none" w:sz="0" w:space="0" w:color="auto"/>
          </w:divBdr>
        </w:div>
      </w:divsChild>
    </w:div>
    <w:div w:id="1988902022">
      <w:marLeft w:val="4"/>
      <w:marRight w:val="0"/>
      <w:marTop w:val="160"/>
      <w:marBottom w:val="0"/>
      <w:divBdr>
        <w:top w:val="none" w:sz="0" w:space="0" w:color="auto"/>
        <w:left w:val="none" w:sz="0" w:space="0" w:color="auto"/>
        <w:bottom w:val="none" w:sz="0" w:space="0" w:color="auto"/>
        <w:right w:val="none" w:sz="0" w:space="0" w:color="auto"/>
      </w:divBdr>
      <w:divsChild>
        <w:div w:id="1889102552">
          <w:marLeft w:val="0"/>
          <w:marRight w:val="0"/>
          <w:marTop w:val="0"/>
          <w:marBottom w:val="0"/>
          <w:divBdr>
            <w:top w:val="none" w:sz="0" w:space="0" w:color="auto"/>
            <w:left w:val="none" w:sz="0" w:space="0" w:color="auto"/>
            <w:bottom w:val="none" w:sz="0" w:space="0" w:color="auto"/>
            <w:right w:val="none" w:sz="0" w:space="0" w:color="auto"/>
          </w:divBdr>
        </w:div>
      </w:divsChild>
    </w:div>
    <w:div w:id="1994067055">
      <w:marLeft w:val="4"/>
      <w:marRight w:val="0"/>
      <w:marTop w:val="120"/>
      <w:marBottom w:val="0"/>
      <w:divBdr>
        <w:top w:val="none" w:sz="0" w:space="0" w:color="auto"/>
        <w:left w:val="none" w:sz="0" w:space="0" w:color="auto"/>
        <w:bottom w:val="none" w:sz="0" w:space="0" w:color="auto"/>
        <w:right w:val="none" w:sz="0" w:space="0" w:color="auto"/>
      </w:divBdr>
      <w:divsChild>
        <w:div w:id="1171722825">
          <w:marLeft w:val="0"/>
          <w:marRight w:val="0"/>
          <w:marTop w:val="0"/>
          <w:marBottom w:val="0"/>
          <w:divBdr>
            <w:top w:val="none" w:sz="0" w:space="0" w:color="auto"/>
            <w:left w:val="none" w:sz="0" w:space="0" w:color="auto"/>
            <w:bottom w:val="none" w:sz="0" w:space="0" w:color="auto"/>
            <w:right w:val="none" w:sz="0" w:space="0" w:color="auto"/>
          </w:divBdr>
        </w:div>
      </w:divsChild>
    </w:div>
    <w:div w:id="2003698988">
      <w:marLeft w:val="4"/>
      <w:marRight w:val="0"/>
      <w:marTop w:val="160"/>
      <w:marBottom w:val="0"/>
      <w:divBdr>
        <w:top w:val="none" w:sz="0" w:space="0" w:color="auto"/>
        <w:left w:val="none" w:sz="0" w:space="0" w:color="auto"/>
        <w:bottom w:val="none" w:sz="0" w:space="0" w:color="auto"/>
        <w:right w:val="none" w:sz="0" w:space="0" w:color="auto"/>
      </w:divBdr>
      <w:divsChild>
        <w:div w:id="492910839">
          <w:marLeft w:val="0"/>
          <w:marRight w:val="0"/>
          <w:marTop w:val="0"/>
          <w:marBottom w:val="0"/>
          <w:divBdr>
            <w:top w:val="none" w:sz="0" w:space="0" w:color="auto"/>
            <w:left w:val="none" w:sz="0" w:space="0" w:color="auto"/>
            <w:bottom w:val="none" w:sz="0" w:space="0" w:color="auto"/>
            <w:right w:val="none" w:sz="0" w:space="0" w:color="auto"/>
          </w:divBdr>
        </w:div>
      </w:divsChild>
    </w:div>
    <w:div w:id="2014069984">
      <w:marLeft w:val="4"/>
      <w:marRight w:val="0"/>
      <w:marTop w:val="160"/>
      <w:marBottom w:val="0"/>
      <w:divBdr>
        <w:top w:val="none" w:sz="0" w:space="0" w:color="auto"/>
        <w:left w:val="none" w:sz="0" w:space="0" w:color="auto"/>
        <w:bottom w:val="none" w:sz="0" w:space="0" w:color="auto"/>
        <w:right w:val="none" w:sz="0" w:space="0" w:color="auto"/>
      </w:divBdr>
      <w:divsChild>
        <w:div w:id="1392194016">
          <w:marLeft w:val="0"/>
          <w:marRight w:val="0"/>
          <w:marTop w:val="0"/>
          <w:marBottom w:val="0"/>
          <w:divBdr>
            <w:top w:val="none" w:sz="0" w:space="0" w:color="auto"/>
            <w:left w:val="none" w:sz="0" w:space="0" w:color="auto"/>
            <w:bottom w:val="none" w:sz="0" w:space="0" w:color="auto"/>
            <w:right w:val="none" w:sz="0" w:space="0" w:color="auto"/>
          </w:divBdr>
        </w:div>
      </w:divsChild>
    </w:div>
    <w:div w:id="2017875724">
      <w:marLeft w:val="4"/>
      <w:marRight w:val="0"/>
      <w:marTop w:val="160"/>
      <w:marBottom w:val="0"/>
      <w:divBdr>
        <w:top w:val="none" w:sz="0" w:space="0" w:color="auto"/>
        <w:left w:val="none" w:sz="0" w:space="0" w:color="auto"/>
        <w:bottom w:val="none" w:sz="0" w:space="0" w:color="auto"/>
        <w:right w:val="none" w:sz="0" w:space="0" w:color="auto"/>
      </w:divBdr>
      <w:divsChild>
        <w:div w:id="1394230997">
          <w:marLeft w:val="0"/>
          <w:marRight w:val="0"/>
          <w:marTop w:val="0"/>
          <w:marBottom w:val="0"/>
          <w:divBdr>
            <w:top w:val="none" w:sz="0" w:space="0" w:color="auto"/>
            <w:left w:val="none" w:sz="0" w:space="0" w:color="auto"/>
            <w:bottom w:val="none" w:sz="0" w:space="0" w:color="auto"/>
            <w:right w:val="none" w:sz="0" w:space="0" w:color="auto"/>
          </w:divBdr>
        </w:div>
      </w:divsChild>
    </w:div>
    <w:div w:id="2024820933">
      <w:marLeft w:val="4"/>
      <w:marRight w:val="0"/>
      <w:marTop w:val="200"/>
      <w:marBottom w:val="0"/>
      <w:divBdr>
        <w:top w:val="none" w:sz="0" w:space="0" w:color="auto"/>
        <w:left w:val="none" w:sz="0" w:space="0" w:color="auto"/>
        <w:bottom w:val="none" w:sz="0" w:space="0" w:color="auto"/>
        <w:right w:val="none" w:sz="0" w:space="0" w:color="auto"/>
      </w:divBdr>
      <w:divsChild>
        <w:div w:id="1218979569">
          <w:marLeft w:val="0"/>
          <w:marRight w:val="0"/>
          <w:marTop w:val="0"/>
          <w:marBottom w:val="0"/>
          <w:divBdr>
            <w:top w:val="none" w:sz="0" w:space="0" w:color="auto"/>
            <w:left w:val="none" w:sz="0" w:space="0" w:color="auto"/>
            <w:bottom w:val="none" w:sz="0" w:space="0" w:color="auto"/>
            <w:right w:val="none" w:sz="0" w:space="0" w:color="auto"/>
          </w:divBdr>
        </w:div>
      </w:divsChild>
    </w:div>
    <w:div w:id="2025936685">
      <w:marLeft w:val="4"/>
      <w:marRight w:val="0"/>
      <w:marTop w:val="120"/>
      <w:marBottom w:val="0"/>
      <w:divBdr>
        <w:top w:val="none" w:sz="0" w:space="0" w:color="auto"/>
        <w:left w:val="none" w:sz="0" w:space="0" w:color="auto"/>
        <w:bottom w:val="none" w:sz="0" w:space="0" w:color="auto"/>
        <w:right w:val="none" w:sz="0" w:space="0" w:color="auto"/>
      </w:divBdr>
      <w:divsChild>
        <w:div w:id="282544516">
          <w:marLeft w:val="0"/>
          <w:marRight w:val="0"/>
          <w:marTop w:val="0"/>
          <w:marBottom w:val="0"/>
          <w:divBdr>
            <w:top w:val="none" w:sz="0" w:space="0" w:color="auto"/>
            <w:left w:val="none" w:sz="0" w:space="0" w:color="auto"/>
            <w:bottom w:val="none" w:sz="0" w:space="0" w:color="auto"/>
            <w:right w:val="none" w:sz="0" w:space="0" w:color="auto"/>
          </w:divBdr>
        </w:div>
      </w:divsChild>
    </w:div>
    <w:div w:id="2050491005">
      <w:marLeft w:val="4"/>
      <w:marRight w:val="0"/>
      <w:marTop w:val="200"/>
      <w:marBottom w:val="0"/>
      <w:divBdr>
        <w:top w:val="none" w:sz="0" w:space="0" w:color="auto"/>
        <w:left w:val="none" w:sz="0" w:space="0" w:color="auto"/>
        <w:bottom w:val="none" w:sz="0" w:space="0" w:color="auto"/>
        <w:right w:val="none" w:sz="0" w:space="0" w:color="auto"/>
      </w:divBdr>
      <w:divsChild>
        <w:div w:id="714813917">
          <w:marLeft w:val="0"/>
          <w:marRight w:val="0"/>
          <w:marTop w:val="0"/>
          <w:marBottom w:val="0"/>
          <w:divBdr>
            <w:top w:val="none" w:sz="0" w:space="0" w:color="auto"/>
            <w:left w:val="none" w:sz="0" w:space="0" w:color="auto"/>
            <w:bottom w:val="none" w:sz="0" w:space="0" w:color="auto"/>
            <w:right w:val="none" w:sz="0" w:space="0" w:color="auto"/>
          </w:divBdr>
        </w:div>
      </w:divsChild>
    </w:div>
    <w:div w:id="2064909622">
      <w:marLeft w:val="0"/>
      <w:marRight w:val="0"/>
      <w:marTop w:val="0"/>
      <w:marBottom w:val="0"/>
      <w:divBdr>
        <w:top w:val="none" w:sz="0" w:space="0" w:color="auto"/>
        <w:left w:val="none" w:sz="0" w:space="0" w:color="auto"/>
        <w:bottom w:val="none" w:sz="0" w:space="0" w:color="auto"/>
        <w:right w:val="none" w:sz="0" w:space="0" w:color="auto"/>
      </w:divBdr>
      <w:divsChild>
        <w:div w:id="787239949">
          <w:marLeft w:val="0"/>
          <w:marRight w:val="0"/>
          <w:marTop w:val="0"/>
          <w:marBottom w:val="0"/>
          <w:divBdr>
            <w:top w:val="none" w:sz="0" w:space="0" w:color="auto"/>
            <w:left w:val="none" w:sz="0" w:space="0" w:color="auto"/>
            <w:bottom w:val="none" w:sz="0" w:space="0" w:color="auto"/>
            <w:right w:val="none" w:sz="0" w:space="0" w:color="auto"/>
          </w:divBdr>
        </w:div>
        <w:div w:id="1257792032">
          <w:marLeft w:val="0"/>
          <w:marRight w:val="0"/>
          <w:marTop w:val="0"/>
          <w:marBottom w:val="0"/>
          <w:divBdr>
            <w:top w:val="none" w:sz="0" w:space="0" w:color="auto"/>
            <w:left w:val="none" w:sz="0" w:space="0" w:color="auto"/>
            <w:bottom w:val="none" w:sz="0" w:space="0" w:color="auto"/>
            <w:right w:val="none" w:sz="0" w:space="0" w:color="auto"/>
          </w:divBdr>
        </w:div>
      </w:divsChild>
    </w:div>
    <w:div w:id="2068917605">
      <w:marLeft w:val="4"/>
      <w:marRight w:val="0"/>
      <w:marTop w:val="200"/>
      <w:marBottom w:val="0"/>
      <w:divBdr>
        <w:top w:val="none" w:sz="0" w:space="0" w:color="auto"/>
        <w:left w:val="none" w:sz="0" w:space="0" w:color="auto"/>
        <w:bottom w:val="none" w:sz="0" w:space="0" w:color="auto"/>
        <w:right w:val="none" w:sz="0" w:space="0" w:color="auto"/>
      </w:divBdr>
      <w:divsChild>
        <w:div w:id="1751391848">
          <w:marLeft w:val="0"/>
          <w:marRight w:val="0"/>
          <w:marTop w:val="0"/>
          <w:marBottom w:val="0"/>
          <w:divBdr>
            <w:top w:val="none" w:sz="0" w:space="0" w:color="auto"/>
            <w:left w:val="none" w:sz="0" w:space="0" w:color="auto"/>
            <w:bottom w:val="none" w:sz="0" w:space="0" w:color="auto"/>
            <w:right w:val="none" w:sz="0" w:space="0" w:color="auto"/>
          </w:divBdr>
        </w:div>
      </w:divsChild>
    </w:div>
    <w:div w:id="2074086218">
      <w:marLeft w:val="4"/>
      <w:marRight w:val="0"/>
      <w:marTop w:val="200"/>
      <w:marBottom w:val="0"/>
      <w:divBdr>
        <w:top w:val="none" w:sz="0" w:space="0" w:color="auto"/>
        <w:left w:val="none" w:sz="0" w:space="0" w:color="auto"/>
        <w:bottom w:val="none" w:sz="0" w:space="0" w:color="auto"/>
        <w:right w:val="none" w:sz="0" w:space="0" w:color="auto"/>
      </w:divBdr>
      <w:divsChild>
        <w:div w:id="1777552232">
          <w:marLeft w:val="0"/>
          <w:marRight w:val="0"/>
          <w:marTop w:val="0"/>
          <w:marBottom w:val="0"/>
          <w:divBdr>
            <w:top w:val="none" w:sz="0" w:space="0" w:color="auto"/>
            <w:left w:val="none" w:sz="0" w:space="0" w:color="auto"/>
            <w:bottom w:val="none" w:sz="0" w:space="0" w:color="auto"/>
            <w:right w:val="none" w:sz="0" w:space="0" w:color="auto"/>
          </w:divBdr>
        </w:div>
      </w:divsChild>
    </w:div>
    <w:div w:id="2101363389">
      <w:marLeft w:val="4"/>
      <w:marRight w:val="0"/>
      <w:marTop w:val="200"/>
      <w:marBottom w:val="0"/>
      <w:divBdr>
        <w:top w:val="none" w:sz="0" w:space="0" w:color="auto"/>
        <w:left w:val="none" w:sz="0" w:space="0" w:color="auto"/>
        <w:bottom w:val="none" w:sz="0" w:space="0" w:color="auto"/>
        <w:right w:val="none" w:sz="0" w:space="0" w:color="auto"/>
      </w:divBdr>
      <w:divsChild>
        <w:div w:id="939483860">
          <w:marLeft w:val="0"/>
          <w:marRight w:val="0"/>
          <w:marTop w:val="0"/>
          <w:marBottom w:val="0"/>
          <w:divBdr>
            <w:top w:val="none" w:sz="0" w:space="0" w:color="auto"/>
            <w:left w:val="none" w:sz="0" w:space="0" w:color="auto"/>
            <w:bottom w:val="none" w:sz="0" w:space="0" w:color="auto"/>
            <w:right w:val="none" w:sz="0" w:space="0" w:color="auto"/>
          </w:divBdr>
        </w:div>
      </w:divsChild>
    </w:div>
    <w:div w:id="2110857443">
      <w:marLeft w:val="0"/>
      <w:marRight w:val="0"/>
      <w:marTop w:val="0"/>
      <w:marBottom w:val="0"/>
      <w:divBdr>
        <w:top w:val="none" w:sz="0" w:space="0" w:color="auto"/>
        <w:left w:val="none" w:sz="0" w:space="0" w:color="auto"/>
        <w:bottom w:val="none" w:sz="0" w:space="0" w:color="auto"/>
        <w:right w:val="none" w:sz="0" w:space="0" w:color="auto"/>
      </w:divBdr>
      <w:divsChild>
        <w:div w:id="1132862476">
          <w:marLeft w:val="0"/>
          <w:marRight w:val="0"/>
          <w:marTop w:val="0"/>
          <w:marBottom w:val="0"/>
          <w:divBdr>
            <w:top w:val="none" w:sz="0" w:space="0" w:color="auto"/>
            <w:left w:val="none" w:sz="0" w:space="0" w:color="auto"/>
            <w:bottom w:val="none" w:sz="0" w:space="0" w:color="auto"/>
            <w:right w:val="none" w:sz="0" w:space="0" w:color="auto"/>
          </w:divBdr>
        </w:div>
      </w:divsChild>
    </w:div>
    <w:div w:id="2130276686">
      <w:marLeft w:val="4"/>
      <w:marRight w:val="0"/>
      <w:marTop w:val="200"/>
      <w:marBottom w:val="0"/>
      <w:divBdr>
        <w:top w:val="none" w:sz="0" w:space="0" w:color="auto"/>
        <w:left w:val="none" w:sz="0" w:space="0" w:color="auto"/>
        <w:bottom w:val="none" w:sz="0" w:space="0" w:color="auto"/>
        <w:right w:val="none" w:sz="0" w:space="0" w:color="auto"/>
      </w:divBdr>
      <w:divsChild>
        <w:div w:id="15625227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ex31_1.htm" TargetMode="External"/><Relationship Id="rId3" Type="http://schemas.openxmlformats.org/officeDocument/2006/relationships/webSettings" Target="webSettings.xml"/><Relationship Id="rId7" Type="http://schemas.openxmlformats.org/officeDocument/2006/relationships/hyperlink" Target="https://www.sec.gov/Archives/edgar/data/1404655/000119312514353746/d697256dex4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404655/000095017022005701/hubs-ex3_1.htm" TargetMode="External"/><Relationship Id="rId11" Type="http://schemas.openxmlformats.org/officeDocument/2006/relationships/fontTable" Target="fontTable.xml"/><Relationship Id="rId5" Type="http://schemas.openxmlformats.org/officeDocument/2006/relationships/hyperlink" Target="https://www.sec.gov/Archives/edgar/data/1404655/000156459020051449/hubs-ex32_103.htm" TargetMode="External"/><Relationship Id="rId10" Type="http://schemas.openxmlformats.org/officeDocument/2006/relationships/hyperlink" Target="hubs-ex32_1.htm" TargetMode="External"/><Relationship Id="rId4" Type="http://schemas.openxmlformats.org/officeDocument/2006/relationships/hyperlink" Target="https://www.sec.gov/Archives/edgar/data/1404655/000156459016013204/hubs-ex31_768.htm" TargetMode="External"/><Relationship Id="rId9" Type="http://schemas.openxmlformats.org/officeDocument/2006/relationships/hyperlink" Target="hubs-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43503</Words>
  <Characters>247973</Characters>
  <Application>Microsoft Office Word</Application>
  <DocSecurity>0</DocSecurity>
  <Lines>2066</Lines>
  <Paragraphs>581</Paragraphs>
  <ScaleCrop>false</ScaleCrop>
  <Company/>
  <LinksUpToDate>false</LinksUpToDate>
  <CharactersWithSpaces>290895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