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B7886">
      <w:pPr>
        <w:divId w:val="1087580374"/>
        <w:rPr>
          <w:rFonts w:eastAsia="Times New Roman"/>
          <w:vanish/>
        </w:rPr>
      </w:pPr>
      <w:r>
        <w:rPr>
          <w:rFonts w:eastAsia="Times New Roman"/>
          <w:vanish/>
        </w:rPr>
        <w:t>0.553.140.488.12266000000223000000253000000217000000us-gaap:AccruedLiabilitiesCurrentAndNoncurrentus-gaap:AccruedLiabilitiesCurrentAndNoncurrentus-gaap:AccruedLiabilitiesCurrentAndNoncurrent0.553.140.488.12266000000223000000253000000217000000</w:t>
      </w:r>
      <w:r>
        <w:rPr>
          <w:rFonts w:eastAsia="Times New Roman"/>
          <w:vanish/>
        </w:rPr>
        <w:t>27860555824133883500008137620001034563--12-312021Q3falsefalse0us-gaap:AccruedLiabilitiesCurrentAndNoncurrentus-gaap:AccruedLiabilitiesCurrentAndNoncurrentus-gaap:AccruedLiabilitiesCurrentAndNoncurrentus-gaap:AccruedLiabilitiesCurrentAndNoncurrent0000813762</w:t>
      </w:r>
      <w:r>
        <w:rPr>
          <w:rFonts w:eastAsia="Times New Roman"/>
          <w:vanish/>
        </w:rPr>
        <w:t>us-gaap:VariableInterestEntityPrimaryBeneficiaryMemberiep:ViskaseMember2021-01-012021-09-300000813762iep:ViskaseMemberus-gaap:PrivatePlacementMember2021-01-012021-09-300000813762iep:CvrEnergyIncMemberiep:EnergySegmentMember2021-01-012021-09-300000813762iep</w:t>
      </w:r>
      <w:r>
        <w:rPr>
          <w:rFonts w:eastAsia="Times New Roman"/>
          <w:vanish/>
        </w:rPr>
        <w:t>:IcahnEnterprisesHoldingsMember2021-01-012021-09-300000813762iep:CvrRefiningLpMember2021-01-012021-09-300000813762iep:SouthwestGasHoldingsIncMemberus-gaap:SubsequentEventMember2021-10-270000813762us-gaap:PublicUtilitiesInventoryPetroleumProductsMemberiep:E</w:t>
      </w:r>
      <w:r>
        <w:rPr>
          <w:rFonts w:eastAsia="Times New Roman"/>
          <w:vanish/>
        </w:rPr>
        <w:t>nergySegmentMember2021-07-012021-09-300000813762iep:NitrogenFertilizerProductsMemberiep:EnergySegmentMember2021-07-012021-09-300000813762iep:AutomotiveServicesRevenueMemberiep:AutomotiveSegmentMember2021-07-012021-09-300000813762iep:AutomotivePartsMemberie</w:t>
      </w:r>
      <w:r>
        <w:rPr>
          <w:rFonts w:eastAsia="Times New Roman"/>
          <w:vanish/>
        </w:rPr>
        <w:t>p:AutomotiveSegmentMember2021-07-012021-09-300000813762us-gaap:PublicUtilitiesInventoryPetroleumProductsMemberiep:EnergySegmentMember2021-01-012021-09-300000813762iep:NitrogenFertilizerProductsMemberiep:EnergySegmentMember2021-01-012021-09-300000813762iep:</w:t>
      </w:r>
      <w:r>
        <w:rPr>
          <w:rFonts w:eastAsia="Times New Roman"/>
          <w:vanish/>
        </w:rPr>
        <w:t>AutomotiveServicesRevenueMemberiep:AutomotiveSegmentMember2021-01-012021-09-300000813762iep:AutomotivePartsMemberiep:AutomotiveSegmentMember2021-01-012021-09-300000813762us-gaap:PublicUtilitiesInventoryPetroleumProductsMemberiep:EnergySegmentMember2020-07-</w:t>
      </w:r>
      <w:r>
        <w:rPr>
          <w:rFonts w:eastAsia="Times New Roman"/>
          <w:vanish/>
        </w:rPr>
        <w:t>012020-09-300000813762iep:NitrogenFertilizerProductsMemberiep:EnergySegmentMember2020-07-012020-09-300000813762iep:AutomotiveServicesRevenueMemberiep:AutomotiveSegmentMember2020-07-012020-09-300000813762iep:AutomotivePartsMemberiep:AutomotiveSegmentMember2</w:t>
      </w:r>
      <w:r>
        <w:rPr>
          <w:rFonts w:eastAsia="Times New Roman"/>
          <w:vanish/>
        </w:rPr>
        <w:t>020-07-012020-09-300000813762us-gaap:PublicUtilitiesInventoryPetroleumProductsMemberiep:EnergySegmentMember2020-01-012020-09-300000813762iep:NitrogenFertilizerProductsMemberiep:EnergySegmentMember2020-01-012020-09-300000813762iep:AutomotiveServicesRevenueM</w:t>
      </w:r>
      <w:r>
        <w:rPr>
          <w:rFonts w:eastAsia="Times New Roman"/>
          <w:vanish/>
        </w:rPr>
        <w:t>emberiep:AutomotiveSegmentMember2020-01-012020-09-300000813762iep:AutomotivePartsMemberiep:AutomotiveSegmentMember2020-01-012020-09-300000813762iep:RestrictedCashMember2021-09-300000813762iep:CashHeldAtConsolidatedAffiliatedPartnershipsMember2021-09-300000</w:t>
      </w:r>
      <w:r>
        <w:rPr>
          <w:rFonts w:eastAsia="Times New Roman"/>
          <w:vanish/>
        </w:rPr>
        <w:t>813762iep:RestrictedCashMember2020-12-310000813762iep:CashHeldAtConsolidatedAffiliatedPartnershipsMember2020-12-310000813762us-gaap:RevolvingCreditFacilityMember2021-08-012021-08-310000813762iep:ExpenseSharingAgreementMemberiep:ConsolidatedVIEMember2021-07</w:t>
      </w:r>
      <w:r>
        <w:rPr>
          <w:rFonts w:eastAsia="Times New Roman"/>
          <w:vanish/>
        </w:rPr>
        <w:t>-012021-09-300000813762iep:ExpenseSharingAgreementMemberiep:ConsolidatedVIEMember2021-01-012021-09-300000813762iep:ExpenseSharingAgreementMemberiep:ConsolidatedVIEMember2020-07-012020-09-300000813762sic:Z7600us-gaap:EquityMethodInvesteeMember2020-01-012020</w:t>
      </w:r>
      <w:r>
        <w:rPr>
          <w:rFonts w:eastAsia="Times New Roman"/>
          <w:vanish/>
        </w:rPr>
        <w:t>-09-300000813762iep:InvestmentInFundsMemberiep:PrincipalOwnersAndAffiliatesMember2020-01-012020-09-300000813762us-gaap:AssetsLeasedToOthersMemberiep:RealEstateSegmentMember2021-09-300000813762us-gaap:AssetsLeasedToOthersMemberiep:RealEstateSegmentMember202</w:t>
      </w:r>
      <w:r>
        <w:rPr>
          <w:rFonts w:eastAsia="Times New Roman"/>
          <w:vanish/>
        </w:rPr>
        <w:t>0-12-310000813762iep:IcahnEnterprisesHoldingsMemberus-gaap:CapitalUnitsMemberus-gaap:GeneralPartnerMember2020-07-012020-09-300000813762iep:IcahnEnterprisesHoldingsMemberus-gaap:NoncontrollingInterestMember2020-07-012020-09-300000813762us-gaap:Noncontrollin</w:t>
      </w:r>
      <w:r>
        <w:rPr>
          <w:rFonts w:eastAsia="Times New Roman"/>
          <w:vanish/>
        </w:rPr>
        <w:t>gInterestMember2020-07-012020-09-300000813762iep:IcahnEnterprisesHoldingsMemberus-gaap:CapitalUnitsMemberus-gaap:LimitedPartnerMember2021-09-300000813762iep:IcahnEnterprisesHoldingsMemberus-gaap:CapitalUnitsMemberus-gaap:GeneralPartnerMember2021-09-3000008</w:t>
      </w:r>
      <w:r>
        <w:rPr>
          <w:rFonts w:eastAsia="Times New Roman"/>
          <w:vanish/>
        </w:rPr>
        <w:t>13762us-gaap:CapitalUnitsMemberus-gaap:LimitedPartnerMember2021-09-300000813762us-gaap:CapitalUnitsMemberus-gaap:GeneralPartnerMember2021-09-300000813762iep:IcahnEnterprisesHoldingsMemberus-gaap:ParentMember2021-09-300000813762iep:IcahnEnterprisesHoldingsM</w:t>
      </w:r>
      <w:r>
        <w:rPr>
          <w:rFonts w:eastAsia="Times New Roman"/>
          <w:vanish/>
        </w:rPr>
        <w:t>emberus-gaap:NoncontrollingInterestMember2021-09-300000813762us-gaap:ParentMember2021-09-300000813762us-gaap:NoncontrollingInterestMember2021-09-300000813762iep:IcahnEnterprisesHoldingsMemberus-gaap:CapitalUnitsMemberus-gaap:LimitedPartnerMember2021-06-300</w:t>
      </w:r>
      <w:r>
        <w:rPr>
          <w:rFonts w:eastAsia="Times New Roman"/>
          <w:vanish/>
        </w:rPr>
        <w:t>000813762iep:IcahnEnterprisesHoldingsMemberus-gaap:CapitalUnitsMemberus-gaap:GeneralPartnerMember2021-06-300000813762us-gaap:CapitalUnitsMemberus-gaap:LimitedPartnerMember2021-06-300000813762us-gaap:CapitalUnitsMemberus-gaap:GeneralPartnerMember2021-06-300</w:t>
      </w:r>
      <w:r>
        <w:rPr>
          <w:rFonts w:eastAsia="Times New Roman"/>
          <w:vanish/>
        </w:rPr>
        <w:t>000813762iep:IcahnEnterprisesHoldingsMemberus-gaap:ParentMember2021-06-300000813762iep:IcahnEnterprisesHoldingsMemberus-gaap:NoncontrollingInterestMember2021-06-300000813762us-gaap:ParentMember2021-06-300000813762us-gaap:NoncontrollingInterestMember2021-06</w:t>
      </w:r>
      <w:r>
        <w:rPr>
          <w:rFonts w:eastAsia="Times New Roman"/>
          <w:vanish/>
        </w:rPr>
        <w:t>-300000813762iep:IcahnEnterprisesHoldingsMember2021-06-3000008137622021-06-300000813762iep:IcahnEnterprisesHoldingsMemberus-gaap:CapitalUnitsMemberus-gaap:LimitedPartnerMember2021-03-310000813762iep:IcahnEnterprisesHoldingsMemberus-gaap:CapitalUnitsMemberu</w:t>
      </w:r>
      <w:r>
        <w:rPr>
          <w:rFonts w:eastAsia="Times New Roman"/>
          <w:vanish/>
        </w:rPr>
        <w:t>s-gaap:GeneralPartnerMember2021-03-310000813762us-gaap:CapitalUnitsMemberus-gaap:LimitedPartnerMember2021-03-310000813762us-gaap:CapitalUnitsMemberus-gaap:GeneralPartnerMember2021-03-310000813762iep:IcahnEnterprisesHoldingsMemberus-gaap:ParentMember2021-03</w:t>
      </w:r>
      <w:r>
        <w:rPr>
          <w:rFonts w:eastAsia="Times New Roman"/>
          <w:vanish/>
        </w:rPr>
        <w:t>-310000813762iep:IcahnEnterprisesHoldingsMemberus-gaap:NoncontrollingInterestMember2021-03-310000813762us-gaap:ParentMember2021-03-310000813762us-gaap:NoncontrollingInterestMember2021-03-310000813762iep:IcahnEnterprisesHoldingsMember2021-03-310000813762202</w:t>
      </w:r>
      <w:r>
        <w:rPr>
          <w:rFonts w:eastAsia="Times New Roman"/>
          <w:vanish/>
        </w:rPr>
        <w:t>1-03-310000813762iep:IcahnEnterprisesHoldingsMemberus-gaap:CapitalUnitsMemberus-gaap:LimitedPartnerMember2020-12-310000813762iep:IcahnEnterprisesHoldingsMemberus-gaap:CapitalUnitsMemberus-gaap:GeneralPartnerMember2020-12-310000813762us-gaap:CapitalUnitsMem</w:t>
      </w:r>
      <w:r>
        <w:rPr>
          <w:rFonts w:eastAsia="Times New Roman"/>
          <w:vanish/>
        </w:rPr>
        <w:t>berus-gaap:LimitedPartnerMember2020-12-310000813762us-gaap:CapitalUnitsMemberus-gaap:GeneralPartnerMember2020-12-310000813762iep:IcahnEnterprisesHoldingsMemberus-gaap:ParentMember2020-12-310000813762iep:IcahnEnterprisesHoldingsMemberus-gaap:NoncontrollingI</w:t>
      </w:r>
      <w:r>
        <w:rPr>
          <w:rFonts w:eastAsia="Times New Roman"/>
          <w:vanish/>
        </w:rPr>
        <w:t>nterestMember2020-12-310000813762us-gaap:ParentMember2020-12-310000813762us-gaap:NoncontrollingInterestMember2020-12-310000813762iep:IcahnEnterprisesHoldingsMemberus-gaap:CapitalUnitsMemberus-gaap:LimitedPartnerMember2020-09-300000813762iep:IcahnEnterprise</w:t>
      </w:r>
      <w:r>
        <w:rPr>
          <w:rFonts w:eastAsia="Times New Roman"/>
          <w:vanish/>
        </w:rPr>
        <w:t>sHoldingsMemberus-gaap:CapitalUnitsMemberus-gaap:GeneralPartnerMember2020-09-300000813762us-gaap:CapitalUnitsMemberus-gaap:LimitedPartnerMember2020-09-300000813762us-gaap:CapitalUnitsMemberus-gaap:GeneralPartnerMember2020-09-300000813762iep:IcahnEnterprise</w:t>
      </w:r>
      <w:r>
        <w:rPr>
          <w:rFonts w:eastAsia="Times New Roman"/>
          <w:vanish/>
        </w:rPr>
        <w:t>sHoldingsMemberus-gaap:ParentMember2020-09-300000813762iep:IcahnEnterprisesHoldingsMemberus-gaap:NoncontrollingInterestMember2020-09-300000813762us-gaap:ParentMember2020-09-300000813762us-gaap:NoncontrollingInterestMember2020-09-300000813762iep:IcahnEnterp</w:t>
      </w:r>
      <w:r>
        <w:rPr>
          <w:rFonts w:eastAsia="Times New Roman"/>
          <w:vanish/>
        </w:rPr>
        <w:t>risesHoldingsMemberus-gaap:CapitalUnitsMemberus-gaap:LimitedPartnerMember2020-06-300000813762iep:IcahnEnterprisesHoldingsMemberus-gaap:CapitalUnitsMemberus-gaap:GeneralPartnerMember2020-06-300000813762us-gaap:CapitalUnitsMemberus-gaap:LimitedPartnerMember2</w:t>
      </w:r>
      <w:r>
        <w:rPr>
          <w:rFonts w:eastAsia="Times New Roman"/>
          <w:vanish/>
        </w:rPr>
        <w:t>020-06-300000813762us-gaap:CapitalUnitsMemberus-gaap:GeneralPartnerMember2020-06-300000813762iep:IcahnEnterprisesHoldingsMemberus-gaap:ParentMember2020-06-300000813762iep:IcahnEnterprisesHoldingsMemberus-gaap:NoncontrollingInterestMember2020-06-30000081376</w:t>
      </w:r>
      <w:r>
        <w:rPr>
          <w:rFonts w:eastAsia="Times New Roman"/>
          <w:vanish/>
        </w:rPr>
        <w:t>2us-gaap:ParentMember2020-06-300000813762us-gaap:NoncontrollingInterestMember2020-06-300000813762iep:IcahnEnterprisesHoldingsMember2020-06-3000008137622020-06-300000813762iep:IcahnEnterprisesHoldingsMemberus-gaap:CapitalUnitsMemberus-gaap:LimitedPartnerMem</w:t>
      </w:r>
      <w:r>
        <w:rPr>
          <w:rFonts w:eastAsia="Times New Roman"/>
          <w:vanish/>
        </w:rPr>
        <w:t>ber2020-03-310000813762iep:IcahnEnterprisesHoldingsMemberus-gaap:CapitalUnitsMemberus-gaap:GeneralPartnerMember2020-03-310000813762us-gaap:CapitalUnitsMemberus-gaap:LimitedPartnerMember2020-03-310000813762us-gaap:CapitalUnitsMemberus-gaap:GeneralPartnerMem</w:t>
      </w:r>
      <w:r>
        <w:rPr>
          <w:rFonts w:eastAsia="Times New Roman"/>
          <w:vanish/>
        </w:rPr>
        <w:t>ber2020-03-310000813762iep:IcahnEnterprisesHoldingsMemberus-gaap:ParentMember2020-03-310000813762iep:IcahnEnterprisesHoldingsMemberus-gaap:NoncontrollingInterestMember2020-03-310000813762us-gaap:ParentMember2020-03-310000813762us-gaap:NoncontrollingInteres</w:t>
      </w:r>
      <w:r>
        <w:rPr>
          <w:rFonts w:eastAsia="Times New Roman"/>
          <w:vanish/>
        </w:rPr>
        <w:t>tMember2020-03-310000813762iep:IcahnEnterprisesHoldingsMember2020-03-3100008137622020-03-310000813762iep:IcahnEnterprisesHoldingsMemberus-gaap:CapitalUnitsMemberus-gaap:LimitedPartnerMember2019-12-310000813762iep:IcahnEnterprisesHoldingsMemberus-gaap:Capit</w:t>
      </w:r>
      <w:r>
        <w:rPr>
          <w:rFonts w:eastAsia="Times New Roman"/>
          <w:vanish/>
        </w:rPr>
        <w:t>alUnitsMemberus-gaap:GeneralPartnerMember2019-12-310000813762us-gaap:CapitalUnitsMemberus-gaap:LimitedPartnerMember2019-12-310000813762us-gaap:CapitalUnitsMemberus-gaap:GeneralPartnerMember2019-12-310000813762iep:IcahnEnterprisesHoldingsMemberus-gaap:Paren</w:t>
      </w:r>
      <w:r>
        <w:rPr>
          <w:rFonts w:eastAsia="Times New Roman"/>
          <w:vanish/>
        </w:rPr>
        <w:t>tMember2019-12-310000813762iep:IcahnEnterprisesHoldingsMemberus-gaap:NoncontrollingInterestMember2019-12-310000813762us-gaap:ParentMember2019-12-310000813762us-gaap:NoncontrollingInterestMember2019-12-310000813762us-gaap:CapitalUnitsMemberus-gaap:GeneralPa</w:t>
      </w:r>
      <w:r>
        <w:rPr>
          <w:rFonts w:eastAsia="Times New Roman"/>
          <w:vanish/>
        </w:rPr>
        <w:t>rtnerMember2020-01-012020-03-310000813762iep:IcahnEnterprisesHoldingsMemberus-gaap:CapitalUnitsMemberus-gaap:GeneralPartnerMember2021-07-012021-09-300000813762us-gaap:CapitalUnitsMemberus-gaap:GeneralPartnerMember2021-07-012021-09-300000813762iep:IcahnEnte</w:t>
      </w:r>
      <w:r>
        <w:rPr>
          <w:rFonts w:eastAsia="Times New Roman"/>
          <w:vanish/>
        </w:rPr>
        <w:t>rprisesHoldingsMemberus-gaap:CapitalUnitsMemberus-gaap:GeneralPartnerMember2021-01-012021-03-310000813762us-gaap:CapitalUnitsMemberus-gaap:GeneralPartnerMember2021-01-012021-03-310000813762us-gaap:CapitalUnitsMemberus-gaap:GeneralPartnerMember2020-07-01202</w:t>
      </w:r>
      <w:r>
        <w:rPr>
          <w:rFonts w:eastAsia="Times New Roman"/>
          <w:vanish/>
        </w:rPr>
        <w:t>0-09-300000813762us-gaap:ForeignCurrencyGainLossMember2021-07-012021-09-300000813762iep:IncomeLossFromNonConsolidatedAffiliatesMember2021-07-012021-09-300000813762iep:GainLossOnDispositionOfAssetsNetMember2021-07-012021-09-300000813762iep:DividendExpenseMe</w:t>
      </w:r>
      <w:r>
        <w:rPr>
          <w:rFonts w:eastAsia="Times New Roman"/>
          <w:vanish/>
        </w:rPr>
        <w:t>mber2021-07-012021-09-300000813762us-gaap:ForeignCurrencyGainLossMember2021-01-012021-09-300000813762iep:OtherIncomeLossNotSpecifiedMember2021-01-012021-09-300000813762iep:LossOnDebtExtinguishmentMember2021-01-012021-09-300000813762iep:IncomeLossFromNonCon</w:t>
      </w:r>
      <w:r>
        <w:rPr>
          <w:rFonts w:eastAsia="Times New Roman"/>
          <w:vanish/>
        </w:rPr>
        <w:t>solidatedAffiliatesMember2021-01-012021-09-300000813762iep:GainLossOnDispositionOfAssetsNetMember2021-01-012021-09-300000813762iep:DividendExpenseMember2021-01-012021-09-300000813762iep:OtherIncomeLossNotSpecifiedMember2020-07-012020-09-300000813762iep:Inc</w:t>
      </w:r>
      <w:r>
        <w:rPr>
          <w:rFonts w:eastAsia="Times New Roman"/>
          <w:vanish/>
        </w:rPr>
        <w:t>omeLossFromNonConsolidatedAffiliatesMember2020-07-012020-09-300000813762iep:GainLossOnDispositionOfAssetsNetMember2020-07-012020-09-300000813762iep:DividendExpenseMember2020-07-012020-09-300000813762us-gaap:ForeignCurrencyGainLossMember2020-01-012020-09-30</w:t>
      </w:r>
      <w:r>
        <w:rPr>
          <w:rFonts w:eastAsia="Times New Roman"/>
          <w:vanish/>
        </w:rPr>
        <w:t>0000813762iep:OtherIncomeLossNotSpecifiedMember2020-01-012020-09-300000813762iep:LossOnDebtExtinguishmentMember2020-01-012020-09-300000813762iep:GainLossOnDispositionOfAssetsNetMember2020-01-012020-09-300000813762iep:DividendExpenseMember2020-01-012020-09-</w:t>
      </w:r>
      <w:r>
        <w:rPr>
          <w:rFonts w:eastAsia="Times New Roman"/>
          <w:vanish/>
        </w:rPr>
        <w:t>300000813762iep:IcahnEnterprisesHoldingsMemberus-gaap:CapitalUnitsMemberus-gaap:LimitedPartnerMember2021-07-012021-09-300000813762us-gaap:CapitalUnitsMemberus-gaap:LimitedPartnerMember2021-07-012021-09-300000813762iep:IcahnEnterprisesHoldingsMemberus-gaap:</w:t>
      </w:r>
      <w:r>
        <w:rPr>
          <w:rFonts w:eastAsia="Times New Roman"/>
          <w:vanish/>
        </w:rPr>
        <w:t>ParentMember2021-07-012021-09-300000813762us-gaap:ParentMember2021-07-012021-09-300000813762iep:IcahnEnterprisesHoldingsMemberus-gaap:CapitalUnitsMemberus-gaap:LimitedPartnerMember2021-01-012021-03-310000813762us-gaap:CapitalUnitsMemberus-gaap:LimitedPartn</w:t>
      </w:r>
      <w:r>
        <w:rPr>
          <w:rFonts w:eastAsia="Times New Roman"/>
          <w:vanish/>
        </w:rPr>
        <w:t>erMember2021-01-012021-03-310000813762iep:IcahnEnterprisesHoldingsMemberus-gaap:ParentMember2021-01-012021-03-310000813762us-gaap:ParentMember2021-01-012021-03-310000813762iep:IcahnEnterprisesHoldingsMemberus-gaap:CapitalUnitsMemberus-gaap:LimitedPartnerMe</w:t>
      </w:r>
      <w:r>
        <w:rPr>
          <w:rFonts w:eastAsia="Times New Roman"/>
          <w:vanish/>
        </w:rPr>
        <w:t>mber2020-07-012020-09-300000813762us-gaap:CapitalUnitsMemberus-gaap:LimitedPartnerMember2020-07-012020-09-300000813762iep:IcahnEnterprisesHoldingsMemberus-gaap:ParentMember2020-07-012020-09-300000813762us-gaap:ParentMember2020-07-012020-09-300000813762us-g</w:t>
      </w:r>
      <w:r>
        <w:rPr>
          <w:rFonts w:eastAsia="Times New Roman"/>
          <w:vanish/>
        </w:rPr>
        <w:t>aap:CapitalUnitsMemberus-gaap:LimitedPartnerMember2020-01-012020-03-310000813762us-gaap:ParentMember2020-01-012020-03-310000813762us-gaap:OtherAssetsMember2021-09-300000813762us-gaap:OtherAssetsMember2020-12-310000813762iep:IcahnEnterprisesHoldingsMemberus</w:t>
      </w:r>
      <w:r>
        <w:rPr>
          <w:rFonts w:eastAsia="Times New Roman"/>
          <w:vanish/>
        </w:rPr>
        <w:t>-gaap:NoncontrollingInterestMember2020-04-012020-06-300000813762us-gaap:NoncontrollingInterestMember2020-04-012020-06-300000813762iep:PrincipalOwnersAndAffiliatesMemberiep:IcahnEnterprisesHoldingsMember2021-01-012021-09-300000813762iep:IcahnEnterprisesGPMe</w:t>
      </w:r>
      <w:r>
        <w:rPr>
          <w:rFonts w:eastAsia="Times New Roman"/>
          <w:vanish/>
        </w:rPr>
        <w:t>mberiep:IcahnEnterprisesHoldingsMember2021-01-012021-09-300000813762iep:IcahnEnterprisesHoldingsMemberus-gaap:VariableInterestEntityPrimaryBeneficiaryMemberus-gaap:SecuritiesSoldNotYetPurchasedMember2021-09-300000813762iep:IcahnEnterprisesHoldingsMemberus-</w:t>
      </w:r>
      <w:r>
        <w:rPr>
          <w:rFonts w:eastAsia="Times New Roman"/>
          <w:vanish/>
        </w:rPr>
        <w:t>gaap:VariableInterestEntityPrimaryBeneficiaryMemberus-gaap:DebtMember2021-09-300000813762iep:IcahnEnterprisesHoldingsMemberus-gaap:VariableInterestEntityPrimaryBeneficiaryMemberus-gaap:AccountsPayableMember2021-09-300000813762iep:IcahnEnterprisesHoldingsMe</w:t>
      </w:r>
      <w:r>
        <w:rPr>
          <w:rFonts w:eastAsia="Times New Roman"/>
          <w:vanish/>
        </w:rPr>
        <w:t>mberus-gaap:VariableInterestEntityPrimaryBeneficiaryMemberiep:UnrealizedLossOnDerivativeContractsMember2021-09-300000813762iep:IcahnEnterprisesHoldingsMemberus-gaap:VariableInterestEntityPrimaryBeneficiaryMemberiep:DueToBrokersMember2021-09-300000813762iep</w:t>
      </w:r>
      <w:r>
        <w:rPr>
          <w:rFonts w:eastAsia="Times New Roman"/>
          <w:vanish/>
        </w:rPr>
        <w:t>:IcahnEnterprisesHoldingsMemberus-gaap:VariableInterestEntityPrimaryBeneficiaryMemberiep:DeferredTaxLiabilityMember2021-09-300000813762iep:IcahnEnterprisesHoldingsMemberus-gaap:VariableInterestEntityPrimaryBeneficiaryMemberiep:AccruedExpensesAndOtherLiabil</w:t>
      </w:r>
      <w:r>
        <w:rPr>
          <w:rFonts w:eastAsia="Times New Roman"/>
          <w:vanish/>
        </w:rPr>
        <w:t>itiesMember2021-09-300000813762iep:IcahnEnterprisesHoldingsMemberus-gaap:VariableInterestEntityPrimaryBeneficiaryMemberus-gaap:SecuritiesSoldNotYetPurchasedMember2020-12-310000813762iep:IcahnEnterprisesHoldingsMemberus-gaap:VariableInterestEntityPrimaryBen</w:t>
      </w:r>
      <w:r>
        <w:rPr>
          <w:rFonts w:eastAsia="Times New Roman"/>
          <w:vanish/>
        </w:rPr>
        <w:t>eficiaryMemberus-gaap:DebtMember2020-12-310000813762iep:IcahnEnterprisesHoldingsMemberus-gaap:VariableInterestEntityPrimaryBeneficiaryMemberus-gaap:AccountsPayableMember2020-12-310000813762iep:IcahnEnterprisesHoldingsMemberus-gaap:VariableInterestEntityPri</w:t>
      </w:r>
      <w:r>
        <w:rPr>
          <w:rFonts w:eastAsia="Times New Roman"/>
          <w:vanish/>
        </w:rPr>
        <w:t>maryBeneficiaryMemberiep:UnrealizedLossOnDerivativeContractsMember2020-12-310000813762iep:IcahnEnterprisesHoldingsMemberus-gaap:VariableInterestEntityPrimaryBeneficiaryMemberiep:DueToBrokersMember2020-12-310000813762iep:IcahnEnterprisesHoldingsMemberus-gaa</w:t>
      </w:r>
      <w:r>
        <w:rPr>
          <w:rFonts w:eastAsia="Times New Roman"/>
          <w:vanish/>
        </w:rPr>
        <w:t>p:VariableInterestEntityPrimaryBeneficiaryMemberiep:DeferredTaxLiabilityMember2020-12-310000813762iep:IcahnEnterprisesHoldingsMemberus-gaap:VariableInterestEntityPrimaryBeneficiaryMemberiep:AccruedExpensesAndOtherLiabilitiesMember2020-12-310000813762us-gaa</w:t>
      </w:r>
      <w:r>
        <w:rPr>
          <w:rFonts w:eastAsia="Times New Roman"/>
          <w:vanish/>
        </w:rPr>
        <w:t>p:OtherInvestmentsMemberiep:OtherSegmentsAndHoldingCompanyMember2021-09-300000813762us-gaap:EquitySecuritiesMemberiep:InvestmentSegmentMember2021-09-300000813762us-gaap:EquityMethodInvestmentsMemberiep:OtherSegmentsAndHoldingCompanyMember2021-09-3000008137</w:t>
      </w:r>
      <w:r>
        <w:rPr>
          <w:rFonts w:eastAsia="Times New Roman"/>
          <w:vanish/>
        </w:rPr>
        <w:t>62us-gaap:DebtSecuritiesMemberiep:InvestmentSegmentMember2021-09-300000813762iep:TechnologyMemberiep:InvestmentSegmentMember2021-09-300000813762iep:IndustrialMemberiep:InvestmentSegmentMember2021-09-300000813762iep:OtherSegmentsAndHoldingCompanyMember2021-</w:t>
      </w:r>
      <w:r>
        <w:rPr>
          <w:rFonts w:eastAsia="Times New Roman"/>
          <w:vanish/>
        </w:rPr>
        <w:t>09-300000813762us-gaap:OtherInvestmentsMemberiep:OtherSegmentsAndHoldingCompanyMember2020-12-310000813762us-gaap:HeldtomaturitySecuritiesMemberiep:OtherSegmentsAndHoldingCompanyMember2020-12-310000813762us-gaap:EquitySecuritiesMemberiep:InvestmentSegmentMe</w:t>
      </w:r>
      <w:r>
        <w:rPr>
          <w:rFonts w:eastAsia="Times New Roman"/>
          <w:vanish/>
        </w:rPr>
        <w:t>mber2020-12-310000813762us-gaap:EquityMethodInvestmentsMemberiep:OtherSegmentsAndHoldingCompanyMember2020-12-310000813762us-gaap:DebtSecuritiesMemberiep:InvestmentSegmentMember2020-12-310000813762iep:TechnologyMemberiep:InvestmentSegmentMember2020-12-31000</w:t>
      </w:r>
      <w:r>
        <w:rPr>
          <w:rFonts w:eastAsia="Times New Roman"/>
          <w:vanish/>
        </w:rPr>
        <w:t>0813762iep:IndustrialMemberiep:InvestmentSegmentMember2020-12-310000813762iep:OtherSegmentsAndHoldingCompanyMember2020-12-310000813762iep:HoldingCompanyMember2021-01-012021-01-310000813762us-gaap:UnclassifiedIndefinitelivedIntangibleAssetsMember2021-09-300</w:t>
      </w:r>
      <w:r>
        <w:rPr>
          <w:rFonts w:eastAsia="Times New Roman"/>
          <w:vanish/>
        </w:rPr>
        <w:t>000813762us-gaap:DevelopedTechnologyRightsMember2021-09-300000813762us-gaap:CustomerRelationshipsMember2021-09-300000813762us-gaap:UnclassifiedIndefinitelivedIntangibleAssetsMember2020-12-310000813762us-gaap:DevelopedTechnologyRightsMember2020-12-310000813</w:t>
      </w:r>
      <w:r>
        <w:rPr>
          <w:rFonts w:eastAsia="Times New Roman"/>
          <w:vanish/>
        </w:rPr>
        <w:t>762us-gaap:CustomerRelationshipsMember2020-12-310000813762iep:UtilitiesMemberiep:InvestmentSegmentMember2021-09-300000813762iep:OtherMemberiep:InvestmentSegmentMember2021-09-300000813762iep:MaterialsMemberiep:InvestmentSegmentMember2021-09-300000813762iep:</w:t>
      </w:r>
      <w:r>
        <w:rPr>
          <w:rFonts w:eastAsia="Times New Roman"/>
          <w:vanish/>
        </w:rPr>
        <w:t>HealthcaresMemberiep:InvestmentSegmentMember2021-09-300000813762iep:EnergySectorMemberiep:InvestmentSegmentMember2021-09-300000813762iep:ConsumerNonCyclicalMemberiep:InvestmentSegmentMember2021-09-300000813762iep:ConsumerCyclicalMemberiep:InvestmentSegment</w:t>
      </w:r>
      <w:r>
        <w:rPr>
          <w:rFonts w:eastAsia="Times New Roman"/>
          <w:vanish/>
        </w:rPr>
        <w:t>Member2021-09-300000813762iep:UtilitiesMemberiep:InvestmentSegmentMember2020-12-310000813762iep:EnergySectorMemberiep:InvestmentSegmentMember2020-12-310000813762iep:ConsumerNonCyclicalMemberiep:InvestmentSegmentMember2020-12-310000813762iep:ConsumerCyclica</w:t>
      </w:r>
      <w:r>
        <w:rPr>
          <w:rFonts w:eastAsia="Times New Roman"/>
          <w:vanish/>
        </w:rPr>
        <w:t>lMemberiep:InvestmentSegmentMember2020-12-310000813762us-gaap:PropertyPlantAndEquipmentMember2021-09-300000813762us-gaap:PropertyPlantAndEquipmentMember2020-12-310000813762us-gaap:DebtMember2021-09-300000813762us-gaap:DebtMember2020-12-310000813762us-gaap:</w:t>
      </w:r>
      <w:r>
        <w:rPr>
          <w:rFonts w:eastAsia="Times New Roman"/>
          <w:vanish/>
        </w:rPr>
        <w:t>FairValueInputsLevel3Memberus-gaap:FairValueMeasurementsRecurringMember2020-09-300000813762us-gaap:FairValueInputsLevel3Memberus-gaap:FairValueMeasurementsRecurringMember2019-12-310000813762us-gaap:FairValueInputsLevel3Memberus-gaap:FairValueMeasurementsRe</w:t>
      </w:r>
      <w:r>
        <w:rPr>
          <w:rFonts w:eastAsia="Times New Roman"/>
          <w:vanish/>
        </w:rPr>
        <w:t>curringMember2021-01-012021-09-300000813762iep:OtherSegmentsAndHoldingCompanyMember2021-07-012021-09-300000813762iep:OtherSegmentsAndHoldingCompanyMember2021-01-012021-09-300000813762iep:OtherSegmentsAndHoldingCompanyMember2020-07-012020-09-300000813762iep</w:t>
      </w:r>
      <w:r>
        <w:rPr>
          <w:rFonts w:eastAsia="Times New Roman"/>
          <w:vanish/>
        </w:rPr>
        <w:t>:OtherSegmentsAndHoldingCompanyMember2020-01-012020-09-300000813762iep:BrettIcahnMemberiep:IncentivePlan2017Member2021-07-012021-09-300000813762iep:PrincipalOwnersAndAffiliatesMemberus-gaap:LimitedPartnerMember2021-01-012021-09-300000813762iep:BrettIcahnMe</w:t>
      </w:r>
      <w:r>
        <w:rPr>
          <w:rFonts w:eastAsia="Times New Roman"/>
          <w:vanish/>
        </w:rPr>
        <w:t>mberiep:IncentivePlan2017Member2021-01-012021-09-300000813762us-gaap:LimitedPartnerMember2021-08-042021-08-040000813762us-gaap:LimitedPartnerMember2021-05-052021-05-050000813762us-gaap:LimitedPartnerMember2021-02-242021-02-240000813762us-gaap:DisposalGroup</w:t>
      </w:r>
      <w:r>
        <w:rPr>
          <w:rFonts w:eastAsia="Times New Roman"/>
          <w:vanish/>
        </w:rPr>
        <w:t>NotDiscontinuedOperationsMemberiep:PscMetalsSaleAgreementMember2021-10-260000813762us-gaap:ForwardContractsMemberus-gaap:NondesignatedMemberiep:EnergySegmentMember2021-09-300000813762us-gaap:CreditDefaultSwapMemberus-gaap:NondesignatedMemberiep:EnergySegme</w:t>
      </w:r>
      <w:r>
        <w:rPr>
          <w:rFonts w:eastAsia="Times New Roman"/>
          <w:vanish/>
        </w:rPr>
        <w:t>ntMember2021-09-300000813762us-gaap:ForwardContractsMemberus-gaap:NondesignatedMemberiep:EnergySegmentMember2020-12-310000813762us-gaap:CreditDefaultSwapMemberus-gaap:NondesignatedMemberiep:EnergySegmentMember2020-12-310000813762us-gaap:CreditDefaultSwapMe</w:t>
      </w:r>
      <w:r>
        <w:rPr>
          <w:rFonts w:eastAsia="Times New Roman"/>
          <w:vanish/>
        </w:rPr>
        <w:t>mberiep:InvestmentSegmentMember2020-12-310000813762iep:CommodityContractsNotConsideredProbableOfSettlementMemberus-gaap:NondesignatedMemberiep:EnergySegmentMember2021-01-012021-09-300000813762iep:CommodityContractsNotConsideredProbableOfSettlementMemberus-</w:t>
      </w:r>
      <w:r>
        <w:rPr>
          <w:rFonts w:eastAsia="Times New Roman"/>
          <w:vanish/>
        </w:rPr>
        <w:t>gaap:NondesignatedMemberiep:EnergySegmentMember2020-01-012020-12-310000813762us-gaap:NondesignatedMemberus-gaap:CostOfGoodsTotalMemberiep:EnergySegmentMember2021-07-012021-09-300000813762us-gaap:NondesignatedMemberiep:NetGainFromInvestmentActivitiesMember2</w:t>
      </w:r>
      <w:r>
        <w:rPr>
          <w:rFonts w:eastAsia="Times New Roman"/>
          <w:vanish/>
        </w:rPr>
        <w:t>021-07-012021-09-300000813762us-gaap:EquityContractMemberus-gaap:NondesignatedMember2021-07-012021-09-300000813762us-gaap:CreditRiskContractMemberus-gaap:NondesignatedMember2021-07-012021-09-300000813762us-gaap:NondesignatedMemberus-gaap:CostOfGoodsTotalMe</w:t>
      </w:r>
      <w:r>
        <w:rPr>
          <w:rFonts w:eastAsia="Times New Roman"/>
          <w:vanish/>
        </w:rPr>
        <w:t>mberiep:EnergySegmentMember2021-01-012021-09-300000813762us-gaap:NondesignatedMemberiep:NetGainFromInvestmentActivitiesMember2021-01-012021-09-300000813762us-gaap:EquityContractMemberus-gaap:NondesignatedMember2021-01-012021-09-300000813762us-gaap:CreditRi</w:t>
      </w:r>
      <w:r>
        <w:rPr>
          <w:rFonts w:eastAsia="Times New Roman"/>
          <w:vanish/>
        </w:rPr>
        <w:t>skContractMemberus-gaap:NondesignatedMember2021-01-012021-09-300000813762us-gaap:NondesignatedMemberus-gaap:CostOfGoodsTotalMemberiep:EnergySegmentMember2020-07-012020-09-300000813762us-gaap:NondesignatedMemberiep:NetGainFromInvestmentActivitiesMember2020-</w:t>
      </w:r>
      <w:r>
        <w:rPr>
          <w:rFonts w:eastAsia="Times New Roman"/>
          <w:vanish/>
        </w:rPr>
        <w:t>07-012020-09-300000813762us-gaap:EquityContractMemberus-gaap:NondesignatedMember2020-07-012020-09-300000813762us-gaap:CreditRiskContractMemberus-gaap:NondesignatedMember2020-07-012020-09-300000813762us-gaap:NondesignatedMemberus-gaap:CostOfGoodsTotalMember</w:t>
      </w:r>
      <w:r>
        <w:rPr>
          <w:rFonts w:eastAsia="Times New Roman"/>
          <w:vanish/>
        </w:rPr>
        <w:t>iep:EnergySegmentMember2020-01-012020-09-300000813762us-gaap:NondesignatedMemberiep:NetGainFromInvestmentActivitiesMember2020-01-012020-09-300000813762us-gaap:EquityContractMemberus-gaap:NondesignatedMember2020-01-012020-09-300000813762us-gaap:CreditRiskCo</w:t>
      </w:r>
      <w:r>
        <w:rPr>
          <w:rFonts w:eastAsia="Times New Roman"/>
          <w:vanish/>
        </w:rPr>
        <w:t>ntractMemberus-gaap:NondesignatedMember2020-01-012020-09-300000813762iep:AccruedExpensesAndOtherLiabilitiesMemberus-gaap:EquityContractMemberus-gaap:NondesignatedMemberiep:InvestmentSegmentMember2021-09-300000813762iep:AccruedExpensesAndOtherLiabilitiesMem</w:t>
      </w:r>
      <w:r>
        <w:rPr>
          <w:rFonts w:eastAsia="Times New Roman"/>
          <w:vanish/>
        </w:rPr>
        <w:t>berus-gaap:EquityContractMemberus-gaap:NondesignatedMemberiep:InvestmentSegmentMember2020-12-310000813762iep:AccruedExpensesAndOtherLiabilitiesMemberus-gaap:CreditRiskContractMemberus-gaap:NondesignatedMemberiep:InvestmentSegmentMember2020-12-310000813762i</w:t>
      </w:r>
      <w:r>
        <w:rPr>
          <w:rFonts w:eastAsia="Times New Roman"/>
          <w:vanish/>
        </w:rPr>
        <w:t>ep:AccruedExpensesAndOtherLiabilitiesMemberus-gaap:NondesignatedMemberiep:InvestmentSegmentMember2021-09-300000813762iep:AccruedExpensesAndOtherLiabilitiesMemberus-gaap:NondesignatedMemberiep:InvestmentSegmentMember2020-12-310000813762us-gaap:OtherAssetsMe</w:t>
      </w:r>
      <w:r>
        <w:rPr>
          <w:rFonts w:eastAsia="Times New Roman"/>
          <w:vanish/>
        </w:rPr>
        <w:t>mberus-gaap:EquityContractMemberus-gaap:NondesignatedMemberiep:InvestmentSegmentMember2021-09-300000813762us-gaap:OtherAssetsMemberus-gaap:CreditRiskContractMemberus-gaap:NondesignatedMemberiep:InvestmentSegmentMember2021-09-300000813762us-gaap:OtherAssets</w:t>
      </w:r>
      <w:r>
        <w:rPr>
          <w:rFonts w:eastAsia="Times New Roman"/>
          <w:vanish/>
        </w:rPr>
        <w:t>Memberus-gaap:EquityContractMemberus-gaap:NondesignatedMemberiep:InvestmentSegmentMember2020-12-310000813762us-gaap:OtherAssetsMemberus-gaap:CreditRiskContractMemberus-gaap:NondesignatedMemberiep:InvestmentSegmentMember2020-12-310000813762iep:AcfMember2021</w:t>
      </w:r>
      <w:r>
        <w:rPr>
          <w:rFonts w:eastAsia="Times New Roman"/>
          <w:vanish/>
        </w:rPr>
        <w:t>-09-300000813762iep:NinePointTwoFiveSeniorNotesDue2023Memberiep:EnergySegmentMember2021-06-300000813762iep:SixPointOneTwoFiveSeniorNotesDue2028Memberiep:EnergySegmentMember2021-06-300000813762iep:NewNotes2027Memberiep:HoldingCompanyMember2021-04-3000008137</w:t>
      </w:r>
      <w:r>
        <w:rPr>
          <w:rFonts w:eastAsia="Times New Roman"/>
          <w:vanish/>
        </w:rPr>
        <w:t>62iep:NewNotesDue2029Memberiep:HoldingCompanyMember2021-01-310000813762iep:NewNotesDue2029Memberiep:HoldingCompanyMember2021-09-300000813762iep:NewNotes2027Memberiep:HoldingCompanyMember2021-09-300000813762iep:New2022NotesMemberiep:HoldingCompanyMember2021</w:t>
      </w:r>
      <w:r>
        <w:rPr>
          <w:rFonts w:eastAsia="Times New Roman"/>
          <w:vanish/>
        </w:rPr>
        <w:t>-09-300000813762iep:A4.7502024NotesMemberMemberiep:HoldingCompanyMember2021-09-300000813762iep:A2026NotesMemberiep:HoldingCompanyMember2021-09-300000813762iep:A2025NotesMemberiep:HoldingCompanyMember2021-09-300000813762iep:A2024NotesMemberiep:HoldingCompan</w:t>
      </w:r>
      <w:r>
        <w:rPr>
          <w:rFonts w:eastAsia="Times New Roman"/>
          <w:vanish/>
        </w:rPr>
        <w:t>yMember2021-09-300000813762iep:ReportingSegmentsMember2021-09-300000813762iep:NewNotesDue2029Memberiep:HoldingCompanyMember2020-12-310000813762iep:NewNotes2027Memberiep:HoldingCompanyMember2020-12-310000813762iep:New2022NotesMemberiep:HoldingCompanyMember2</w:t>
      </w:r>
      <w:r>
        <w:rPr>
          <w:rFonts w:eastAsia="Times New Roman"/>
          <w:vanish/>
        </w:rPr>
        <w:t>020-12-310000813762iep:A4.7502024NotesMemberMemberiep:HoldingCompanyMember2020-12-310000813762iep:A2026NotesMemberiep:HoldingCompanyMember2020-12-310000813762iep:A2025NotesMemberiep:HoldingCompanyMember2020-12-310000813762iep:A2024NotesMemberiep:HoldingCom</w:t>
      </w:r>
      <w:r>
        <w:rPr>
          <w:rFonts w:eastAsia="Times New Roman"/>
          <w:vanish/>
        </w:rPr>
        <w:t>panyMember2020-12-310000813762iep:ReportingSegmentsMember2020-12-310000813762iep:IcahnEnterprisesHoldingsMemberus-gaap:LimitedPartnerMember2021-07-012021-09-300000813762iep:IcahnEnterprisesHoldingsMemberus-gaap:GeneralPartnerMember2021-07-012021-09-3000008</w:t>
      </w:r>
      <w:r>
        <w:rPr>
          <w:rFonts w:eastAsia="Times New Roman"/>
          <w:vanish/>
        </w:rPr>
        <w:t>13762us-gaap:GeneralPartnerMember2021-07-012021-09-300000813762iep:IcahnEnterprisesHoldingsMemberus-gaap:LimitedPartnerMember2021-01-012021-09-300000813762iep:IcahnEnterprisesHoldingsMemberus-gaap:GeneralPartnerMember2021-01-012021-09-300000813762us-gaap:G</w:t>
      </w:r>
      <w:r>
        <w:rPr>
          <w:rFonts w:eastAsia="Times New Roman"/>
          <w:vanish/>
        </w:rPr>
        <w:t>eneralPartnerMember2021-01-012021-09-300000813762iep:IcahnEnterprisesHoldingsMemberus-gaap:LimitedPartnerMember2020-07-012020-09-300000813762iep:IcahnEnterprisesHoldingsMemberus-gaap:GeneralPartnerMember2020-07-012020-09-300000813762us-gaap:LimitedPartnerM</w:t>
      </w:r>
      <w:r>
        <w:rPr>
          <w:rFonts w:eastAsia="Times New Roman"/>
          <w:vanish/>
        </w:rPr>
        <w:t>ember2020-07-012020-09-300000813762us-gaap:GeneralPartnerMember2020-07-012020-09-300000813762iep:IcahnEnterprisesHoldingsMemberus-gaap:LimitedPartnerMember2020-01-012020-09-300000813762iep:IcahnEnterprisesHoldingsMemberus-gaap:GeneralPartnerMember2020-01-0</w:t>
      </w:r>
      <w:r>
        <w:rPr>
          <w:rFonts w:eastAsia="Times New Roman"/>
          <w:vanish/>
        </w:rPr>
        <w:t>12020-09-300000813762us-gaap:LimitedPartnerMember2020-01-012020-09-300000813762us-gaap:GeneralPartnerMember2020-01-012020-09-300000813762iep:IcahnEnterprisesHoldingsMember2020-09-3000008137622020-09-300000813762iep:IcahnEnterprisesHoldingsMember2019-12-310</w:t>
      </w:r>
      <w:r>
        <w:rPr>
          <w:rFonts w:eastAsia="Times New Roman"/>
          <w:vanish/>
        </w:rPr>
        <w:t>0008137622019-12-310000813762iep:IcahnEnterprisesHoldingsMemberus-gaap:VariableInterestEntityPrimaryBeneficiaryMemberus-gaap:PropertyPlantAndEquipmentMember2021-09-300000813762iep:IcahnEnterprisesHoldingsMemberus-gaap:VariableInterestEntityPrimaryBeneficia</w:t>
      </w:r>
      <w:r>
        <w:rPr>
          <w:rFonts w:eastAsia="Times New Roman"/>
          <w:vanish/>
        </w:rPr>
        <w:t>ryMemberus-gaap:OtherAssetsMember2021-09-300000813762iep:IcahnEnterprisesHoldingsMemberus-gaap:VariableInterestEntityPrimaryBeneficiaryMemberus-gaap:InvestmentsMember2021-09-300000813762iep:IcahnEnterprisesHoldingsMemberus-gaap:VariableInterestEntityPrimar</w:t>
      </w:r>
      <w:r>
        <w:rPr>
          <w:rFonts w:eastAsia="Times New Roman"/>
          <w:vanish/>
        </w:rPr>
        <w:t>yBeneficiaryMemberus-gaap:InventoriesMember2021-09-300000813762iep:IcahnEnterprisesHoldingsMemberus-gaap:VariableInterestEntityPrimaryBeneficiaryMemberus-gaap:CashAndCashEquivalentsMember2021-09-300000813762iep:IcahnEnterprisesHoldingsMemberus-gaap:Variabl</w:t>
      </w:r>
      <w:r>
        <w:rPr>
          <w:rFonts w:eastAsia="Times New Roman"/>
          <w:vanish/>
        </w:rPr>
        <w:t>eInterestEntityPrimaryBeneficiaryMemberiep:UnrealizedGainOnDerivativeContractsMember2021-09-300000813762iep:IcahnEnterprisesHoldingsMemberus-gaap:VariableInterestEntityPrimaryBeneficiaryMemberiep:IntangibleAssetsNetMember2021-09-300000813762iep:IcahnEnterp</w:t>
      </w:r>
      <w:r>
        <w:rPr>
          <w:rFonts w:eastAsia="Times New Roman"/>
          <w:vanish/>
        </w:rPr>
        <w:t>risesHoldingsMemberus-gaap:VariableInterestEntityPrimaryBeneficiaryMemberiep:DueFromBrokerMember2021-09-300000813762iep:IcahnEnterprisesHoldingsMemberus-gaap:VariableInterestEntityPrimaryBeneficiaryMemberiep:CashHeldAtConsolidatedAffiliatedPartnershipsAndR</w:t>
      </w:r>
      <w:r>
        <w:rPr>
          <w:rFonts w:eastAsia="Times New Roman"/>
          <w:vanish/>
        </w:rPr>
        <w:t>estrictedCashMember2021-09-300000813762iep:IcahnEnterprisesHoldingsMemberus-gaap:VariableInterestEntityPrimaryBeneficiaryMemberiep:AccountsReceivableNetMember2021-09-300000813762iep:IcahnEnterprisesHoldingsMemberus-gaap:VariableInterestEntityPrimaryBenefic</w:t>
      </w:r>
      <w:r>
        <w:rPr>
          <w:rFonts w:eastAsia="Times New Roman"/>
          <w:vanish/>
        </w:rPr>
        <w:t>iaryMemberus-gaap:PropertyPlantAndEquipmentMember2020-12-310000813762iep:IcahnEnterprisesHoldingsMemberus-gaap:VariableInterestEntityPrimaryBeneficiaryMemberus-gaap:OtherAssetsMember2020-12-310000813762iep:IcahnEnterprisesHoldingsMemberus-gaap:VariableInte</w:t>
      </w:r>
      <w:r>
        <w:rPr>
          <w:rFonts w:eastAsia="Times New Roman"/>
          <w:vanish/>
        </w:rPr>
        <w:t>restEntityPrimaryBeneficiaryMemberus-gaap:InvestmentsMember2020-12-310000813762iep:IcahnEnterprisesHoldingsMemberus-gaap:VariableInterestEntityPrimaryBeneficiaryMemberus-gaap:InventoriesMember2020-12-310000813762iep:IcahnEnterprisesHoldingsMemberus-gaap:Va</w:t>
      </w:r>
      <w:r>
        <w:rPr>
          <w:rFonts w:eastAsia="Times New Roman"/>
          <w:vanish/>
        </w:rPr>
        <w:t>riableInterestEntityPrimaryBeneficiaryMemberus-gaap:CashAndCashEquivalentsMember2020-12-310000813762iep:IcahnEnterprisesHoldingsMemberus-gaap:VariableInterestEntityPrimaryBeneficiaryMemberiep:UnrealizedGainOnDerivativeContractsMember2020-12-310000813762iep</w:t>
      </w:r>
      <w:r>
        <w:rPr>
          <w:rFonts w:eastAsia="Times New Roman"/>
          <w:vanish/>
        </w:rPr>
        <w:t>:IcahnEnterprisesHoldingsMemberus-gaap:VariableInterestEntityPrimaryBeneficiaryMemberiep:IntangibleAssetsNetMember2020-12-310000813762iep:IcahnEnterprisesHoldingsMemberus-gaap:VariableInterestEntityPrimaryBeneficiaryMemberiep:DueFromBrokerMember2020-12-310</w:t>
      </w:r>
      <w:r>
        <w:rPr>
          <w:rFonts w:eastAsia="Times New Roman"/>
          <w:vanish/>
        </w:rPr>
        <w:t>000813762iep:IcahnEnterprisesHoldingsMemberus-gaap:VariableInterestEntityPrimaryBeneficiaryMemberiep:CashHeldAtConsolidatedAffiliatedPartnershipsAndRestrictedCashMember2020-12-310000813762iep:IcahnEnterprisesHoldingsMemberus-gaap:VariableInterestEntityPrim</w:t>
      </w:r>
      <w:r>
        <w:rPr>
          <w:rFonts w:eastAsia="Times New Roman"/>
          <w:vanish/>
        </w:rPr>
        <w:t>aryBeneficiaryMemberiep:AccountsReceivableNetMember2020-12-310000813762iep:AccruedExpensesAndOtherLiabilitiesMember2021-09-300000813762iep:AccruedExpensesAndOtherLiabilitiesMember2020-12-310000813762us-gaap:OtherAssetsMemberus-gaap:NondesignatedMemberiep:I</w:t>
      </w:r>
      <w:r>
        <w:rPr>
          <w:rFonts w:eastAsia="Times New Roman"/>
          <w:vanish/>
        </w:rPr>
        <w:t>nvestmentSegmentMember2021-09-300000813762us-gaap:OtherAssetsMemberus-gaap:NondesignatedMemberiep:EnergySegmentMember2021-09-300000813762us-gaap:OtherAssetsMemberus-gaap:NondesignatedMemberiep:InvestmentSegmentMember2020-12-310000813762us-gaap:OtherAssetsM</w:t>
      </w:r>
      <w:r>
        <w:rPr>
          <w:rFonts w:eastAsia="Times New Roman"/>
          <w:vanish/>
        </w:rPr>
        <w:t>emberus-gaap:NondesignatedMemberiep:EnergySegmentMember2020-12-310000813762us-gaap:SubsequentEventMember2021-11-012021-11-010000813762iep:IcahnEnterprisesHoldingsMemberus-gaap:CapitalUnitsMemberus-gaap:LimitedPartnerMember2021-04-012021-06-300000813762iep:</w:t>
      </w:r>
      <w:r>
        <w:rPr>
          <w:rFonts w:eastAsia="Times New Roman"/>
          <w:vanish/>
        </w:rPr>
        <w:t>IcahnEnterprisesHoldingsMemberus-gaap:CapitalUnitsMemberus-gaap:GeneralPartnerMember2021-04-012021-06-300000813762us-gaap:CapitalUnitsMemberus-gaap:LimitedPartnerMember2021-04-012021-06-300000813762us-gaap:CapitalUnitsMemberus-gaap:GeneralPartnerMember2021</w:t>
      </w:r>
      <w:r>
        <w:rPr>
          <w:rFonts w:eastAsia="Times New Roman"/>
          <w:vanish/>
        </w:rPr>
        <w:t>-04-012021-06-300000813762iep:IcahnEnterprisesHoldingsMemberus-gaap:ParentMember2021-04-012021-06-300000813762us-gaap:ParentMember2021-04-012021-06-300000813762iep:IcahnEnterprisesHoldingsMemberus-gaap:CapitalUnitsMemberus-gaap:LimitedPartnerMember2020-04-</w:t>
      </w:r>
      <w:r>
        <w:rPr>
          <w:rFonts w:eastAsia="Times New Roman"/>
          <w:vanish/>
        </w:rPr>
        <w:t>012020-06-300000813762iep:IcahnEnterprisesHoldingsMemberus-gaap:CapitalUnitsMemberus-gaap:GeneralPartnerMember2020-04-012020-06-300000813762us-gaap:CapitalUnitsMemberus-gaap:LimitedPartnerMember2020-04-012020-06-300000813762us-gaap:CapitalUnitsMemberus-gaa</w:t>
      </w:r>
      <w:r>
        <w:rPr>
          <w:rFonts w:eastAsia="Times New Roman"/>
          <w:vanish/>
        </w:rPr>
        <w:t>p:GeneralPartnerMember2020-04-012020-06-300000813762iep:IcahnEnterprisesHoldingsMemberus-gaap:ParentMember2020-04-012020-06-300000813762us-gaap:ParentMember2020-04-012020-06-300000813762iep:IcahnEnterprisesHoldingsMember2020-04-012020-06-3000008137622020-0</w:t>
      </w:r>
      <w:r>
        <w:rPr>
          <w:rFonts w:eastAsia="Times New Roman"/>
          <w:vanish/>
        </w:rPr>
        <w:t>4-012020-06-300000813762iep:IcahnEnterprisesHoldingsMemberus-gaap:CapitalUnitsMemberus-gaap:LimitedPartnerMember2020-01-012020-03-310000813762iep:IcahnEnterprisesHoldingsMemberus-gaap:CapitalUnitsMemberus-gaap:GeneralPartnerMember2020-01-012020-03-31000081</w:t>
      </w:r>
      <w:r>
        <w:rPr>
          <w:rFonts w:eastAsia="Times New Roman"/>
          <w:vanish/>
        </w:rPr>
        <w:t>3762iep:IcahnEnterprisesHoldingsMemberus-gaap:ParentMember2020-01-012020-03-310000813762iep:InvestmentFundsMember2021-09-300000813762iep:InvestmentFundsMember2020-12-310000813762iep:BrettIcahnMember2021-01-012021-09-3000008137622021-08-062021-08-0600008137</w:t>
      </w:r>
      <w:r>
        <w:rPr>
          <w:rFonts w:eastAsia="Times New Roman"/>
          <w:vanish/>
        </w:rPr>
        <w:t>622021-02-262021-02-2600008137622019-05-022019-05-020000813762iep:InvestmentInFundsMemberiep:PrincipalOwnersAndAffiliatesMember2021-09-300000813762iep:InvestmentInFundsMemberiep:PrincipalOwnersAndAffiliatesMember2020-12-310000813762iep:StarfireHoldingCorpo</w:t>
      </w:r>
      <w:r>
        <w:rPr>
          <w:rFonts w:eastAsia="Times New Roman"/>
          <w:vanish/>
        </w:rPr>
        <w:t>rationMember2021-09-300000813762iep:RealEstateSegmentMember2021-09-300000813762iep:PharmaSegmentMember2021-09-300000813762iep:MetalsSegmentMember2021-09-300000813762iep:InvestmentSegmentMember2021-09-300000813762iep:HomeFashionSegmentMember2021-09-30000081</w:t>
      </w:r>
      <w:r>
        <w:rPr>
          <w:rFonts w:eastAsia="Times New Roman"/>
          <w:vanish/>
        </w:rPr>
        <w:t>3762iep:HoldingCompanyMember2021-09-300000813762iep:FoodPackagingSegmentMember2021-09-300000813762iep:EnergySegmentMember2021-09-300000813762iep:AutomotiveSegmentMember2021-09-300000813762iep:RealEstateSegmentMember2020-12-310000813762iep:PharmaSegmentMemb</w:t>
      </w:r>
      <w:r>
        <w:rPr>
          <w:rFonts w:eastAsia="Times New Roman"/>
          <w:vanish/>
        </w:rPr>
        <w:t>er2020-12-310000813762iep:MetalsSegmentMember2020-12-310000813762iep:InvestmentSegmentMember2020-12-310000813762iep:HomeFashionSegmentMember2020-12-310000813762iep:HoldingCompanyMember2020-12-310000813762iep:FoodPackagingSegmentMember2020-12-310000813762ie</w:t>
      </w:r>
      <w:r>
        <w:rPr>
          <w:rFonts w:eastAsia="Times New Roman"/>
          <w:vanish/>
        </w:rPr>
        <w:t>p:EnergySegmentMember2020-12-310000813762iep:AutomotiveSegmentMember2020-12-310000813762iep:VivusMemberiep:PharmaSegmentMember2021-01-012021-09-300000813762us-gaap:EquityContractMemberiep:InvestmentSegmentMember2021-09-300000813762us-gaap:CreditRiskContrac</w:t>
      </w:r>
      <w:r>
        <w:rPr>
          <w:rFonts w:eastAsia="Times New Roman"/>
          <w:vanish/>
        </w:rPr>
        <w:t>tMemberiep:InvestmentSegmentMember2021-09-300000813762us-gaap:CreditDefaultSwapMemberiep:InvestmentSegmentMember2021-09-300000813762us-gaap:EquityContractMemberiep:InvestmentSegmentMember2020-12-310000813762us-gaap:CreditRiskContractMemberiep:InvestmentSeg</w:t>
      </w:r>
      <w:r>
        <w:rPr>
          <w:rFonts w:eastAsia="Times New Roman"/>
          <w:vanish/>
        </w:rPr>
        <w:t>mentMember2020-12-310000813762iep:IcahnEnterprisesGPMember2021-01-012021-09-300000813762us-gaap:FairValueInputsLevel3Memberus-gaap:FairValueMeasurementsRecurringMember2021-09-300000813762us-gaap:FairValueInputsLevel2Memberus-gaap:FairValueMeasurementsRecur</w:t>
      </w:r>
      <w:r>
        <w:rPr>
          <w:rFonts w:eastAsia="Times New Roman"/>
          <w:vanish/>
        </w:rPr>
        <w:t>ringMember2021-09-300000813762us-gaap:FairValueInputsLevel1Memberus-gaap:FairValueMeasurementsRecurringMember2021-09-300000813762us-gaap:FairValueMeasurementsRecurringMember2021-09-300000813762us-gaap:FairValueInputsLevel3Memberus-gaap:FairValueMeasurement</w:t>
      </w:r>
      <w:r>
        <w:rPr>
          <w:rFonts w:eastAsia="Times New Roman"/>
          <w:vanish/>
        </w:rPr>
        <w:t>sRecurringMember2020-12-310000813762us-gaap:FairValueInputsLevel2Memberus-gaap:FairValueMeasurementsRecurringMember2020-12-310000813762us-gaap:FairValueInputsLevel1Memberus-gaap:FairValueMeasurementsRecurringMember2020-12-310000813762us-gaap:FairValueMeasu</w:t>
      </w:r>
      <w:r>
        <w:rPr>
          <w:rFonts w:eastAsia="Times New Roman"/>
          <w:vanish/>
        </w:rPr>
        <w:t>rementsRecurringMember2020-12-310000813762iep:IcahnEnterprisesHoldingsMemberus-gaap:NoncontrollingInterestMember2021-07-012021-09-300000813762us-gaap:NoncontrollingInterestMember2021-07-012021-09-300000813762iep:IcahnEnterprisesHoldingsMemberus-gaap:Noncon</w:t>
      </w:r>
      <w:r>
        <w:rPr>
          <w:rFonts w:eastAsia="Times New Roman"/>
          <w:vanish/>
        </w:rPr>
        <w:t>trollingInterestMember2021-04-012021-06-300000813762us-gaap:NoncontrollingInterestMember2021-04-012021-06-300000813762iep:IcahnEnterprisesHoldingsMember2021-04-012021-06-3000008137622021-04-012021-06-300000813762iep:IcahnEnterprisesHoldingsMemberus-gaap:No</w:t>
      </w:r>
      <w:r>
        <w:rPr>
          <w:rFonts w:eastAsia="Times New Roman"/>
          <w:vanish/>
        </w:rPr>
        <w:t>ncontrollingInterestMember2021-01-012021-03-310000813762us-gaap:NoncontrollingInterestMember2021-01-012021-03-310000813762iep:IcahnEnterprisesHoldingsMember2021-01-012021-03-3100008137622021-01-012021-03-310000813762iep:IcahnEnterprisesHoldingsMemberus-gaa</w:t>
      </w:r>
      <w:r>
        <w:rPr>
          <w:rFonts w:eastAsia="Times New Roman"/>
          <w:vanish/>
        </w:rPr>
        <w:t>p:NoncontrollingInterestMember2020-01-012020-03-310000813762us-gaap:NoncontrollingInterestMember2020-01-012020-03-310000813762iep:IcahnEnterprisesHoldingsMember2020-01-012020-03-3100008137622020-01-012020-03-310000813762iep:A767LeasingMemberiep:AutomotiveS</w:t>
      </w:r>
      <w:r>
        <w:rPr>
          <w:rFonts w:eastAsia="Times New Roman"/>
          <w:vanish/>
        </w:rPr>
        <w:t>egmentMember2021-09-300000813762iep:A767LeasingMemberiep:AutomotiveSegmentMember2020-12-310000813762iep:A767LeasingMemberiep:AutomotiveSegmentMember2021-07-012021-09-300000813762iep:A767LeasingMemberiep:AutomotiveSegmentMember2021-01-012021-09-300000813762</w:t>
      </w:r>
      <w:r>
        <w:rPr>
          <w:rFonts w:eastAsia="Times New Roman"/>
          <w:vanish/>
        </w:rPr>
        <w:t>iep:BrettIcahnMember2021-09-300000813762iep:ExpenseSharingAgreementMemberiep:ConsolidatedVIEMember2020-01-012020-09-300000813762us-gaap:FairValueInputsLevel3Memberus-gaap:FairValueMeasurementsRecurringMember2020-01-012020-09-300000813762iep:IcahnEnterprise</w:t>
      </w:r>
      <w:r>
        <w:rPr>
          <w:rFonts w:eastAsia="Times New Roman"/>
          <w:vanish/>
        </w:rPr>
        <w:t>sHoldingsMember2021-09-300000813762iep:IcahnEnterprisesHoldingsMember2020-12-310000813762iep:New2022NotesMemberiep:HoldingCompanyMember2021-04-300000813762iep:NewNotes2027Member2021-04-300000813762iep:New2022NotesMemberiep:HoldingCompanyMember2021-01-31000</w:t>
      </w:r>
      <w:r>
        <w:rPr>
          <w:rFonts w:eastAsia="Times New Roman"/>
          <w:vanish/>
        </w:rPr>
        <w:t>0813762iep:RealEstateSegmentMember2021-07-012021-09-300000813762iep:PharmaSegmentMember2021-07-012021-09-300000813762iep:MetalsSegmentMember2021-07-012021-09-300000813762iep:InvestmentSegmentMember2021-07-012021-09-300000813762iep:IcahnEnterprisesHoldingsM</w:t>
      </w:r>
      <w:r>
        <w:rPr>
          <w:rFonts w:eastAsia="Times New Roman"/>
          <w:vanish/>
        </w:rPr>
        <w:t>ember2021-07-012021-09-300000813762iep:HomeFashionSegmentMember2021-07-012021-09-300000813762iep:HoldingCompanyMember2021-07-012021-09-300000813762iep:FoodPackagingSegmentMember2021-07-012021-09-300000813762iep:EnergySegmentMember2021-07-012021-09-30000081</w:t>
      </w:r>
      <w:r>
        <w:rPr>
          <w:rFonts w:eastAsia="Times New Roman"/>
          <w:vanish/>
        </w:rPr>
        <w:t>3762iep:AutomotiveSegmentMember2021-07-012021-09-3000008137622021-07-012021-09-300000813762iep:RealEstateSegmentMember2021-01-012021-09-300000813762iep:PharmaSegmentMember2021-01-012021-09-300000813762iep:MetalsSegmentMember2021-01-012021-09-300000813762ie</w:t>
      </w:r>
      <w:r>
        <w:rPr>
          <w:rFonts w:eastAsia="Times New Roman"/>
          <w:vanish/>
        </w:rPr>
        <w:t>p:InvestmentSegmentMember2021-01-012021-09-300000813762iep:HomeFashionSegmentMember2021-01-012021-09-300000813762iep:HoldingCompanyMember2021-01-012021-09-300000813762iep:FoodPackagingSegmentMember2021-01-012021-09-300000813762iep:EnergySegmentMember2021-0</w:t>
      </w:r>
      <w:r>
        <w:rPr>
          <w:rFonts w:eastAsia="Times New Roman"/>
          <w:vanish/>
        </w:rPr>
        <w:t>1-012021-09-300000813762iep:AutomotiveSegmentMember2021-01-012021-09-300000813762iep:RealEstateSegmentMember2020-07-012020-09-300000813762iep:PharmaSegmentMember2020-07-012020-09-300000813762iep:MetalsSegmentMember2020-07-012020-09-300000813762iep:Investme</w:t>
      </w:r>
      <w:r>
        <w:rPr>
          <w:rFonts w:eastAsia="Times New Roman"/>
          <w:vanish/>
        </w:rPr>
        <w:t>ntSegmentMember2020-07-012020-09-300000813762iep:IcahnEnterprisesHoldingsMember2020-07-012020-09-300000813762iep:HomeFashionSegmentMember2020-07-012020-09-300000813762iep:HoldingCompanyMember2020-07-012020-09-300000813762iep:FoodPackagingSegmentMember2020-</w:t>
      </w:r>
      <w:r>
        <w:rPr>
          <w:rFonts w:eastAsia="Times New Roman"/>
          <w:vanish/>
        </w:rPr>
        <w:t>07-012020-09-300000813762iep:EnergySegmentMember2020-07-012020-09-300000813762iep:AutomotiveSegmentMember2020-07-012020-09-3000008137622020-07-012020-09-300000813762iep:RealEstateSegmentMember2020-01-012020-09-300000813762iep:PharmaSegmentMember2020-01-012</w:t>
      </w:r>
      <w:r>
        <w:rPr>
          <w:rFonts w:eastAsia="Times New Roman"/>
          <w:vanish/>
        </w:rPr>
        <w:t>020-09-300000813762iep:MetalsSegmentMember2020-01-012020-09-300000813762iep:InvestmentSegmentMember2020-01-012020-09-300000813762iep:IcahnEnterprisesHoldingsMember2020-01-012020-09-300000813762iep:HomeFashionSegmentMember2020-01-012020-09-300000813762iep:H</w:t>
      </w:r>
      <w:r>
        <w:rPr>
          <w:rFonts w:eastAsia="Times New Roman"/>
          <w:vanish/>
        </w:rPr>
        <w:t>oldingCompanyMember2020-01-012020-09-300000813762iep:FoodPackagingSegmentMember2020-01-012020-09-300000813762iep:EnergySegmentMember2020-01-012020-09-300000813762iep:AutomotiveSegmentMember2020-01-012020-09-3000008137622020-01-012020-09-300000813762us-gaap</w:t>
      </w:r>
      <w:r>
        <w:rPr>
          <w:rFonts w:eastAsia="Times New Roman"/>
          <w:vanish/>
        </w:rPr>
        <w:t>:LimitedPartnerMember2021-07-012021-09-300000813762us-gaap:LimitedPartnerMember2021-01-012021-09-300000813762iep:IcahnEnterprisesGPMemberiep:PrincipalOwnersAndAffiliatesMember2021-01-012021-09-3000008137622021-09-3000008137622020-12-310000813762iep:IcahnEn</w:t>
      </w:r>
      <w:r>
        <w:rPr>
          <w:rFonts w:eastAsia="Times New Roman"/>
          <w:vanish/>
        </w:rPr>
        <w:t>terprisesHoldingsMember2021-11-0200008137622021-11-020000813762iep:IcahnEnterprisesHoldingsMember2021-01-012021-09-3000008137622021-01-012021-09-30xbrli:sharesiso4217:USDxbrli:pureiep:itemiep:productutr:bbliso4217:USDxbrli:sharesiep:company</w:t>
      </w:r>
    </w:p>
    <w:p w:rsidR="00000000" w:rsidRDefault="00DB7886">
      <w:pPr>
        <w:pStyle w:val="a3"/>
        <w:spacing w:before="0" w:beforeAutospacing="0" w:after="600" w:afterAutospacing="0"/>
        <w:divId w:val="503470198"/>
        <w:rPr>
          <w:sz w:val="20"/>
          <w:szCs w:val="20"/>
        </w:rPr>
      </w:pPr>
      <w:hyperlink w:anchor="TOC" w:history="1">
        <w:r>
          <w:rPr>
            <w:rStyle w:val="a4"/>
            <w:sz w:val="20"/>
            <w:szCs w:val="20"/>
          </w:rPr>
          <w:t>Table of Contents</w:t>
        </w:r>
      </w:hyperlink>
    </w:p>
    <w:p w:rsidR="00000000" w:rsidRDefault="00DB7886">
      <w:pPr>
        <w:pStyle w:val="a3"/>
        <w:pBdr>
          <w:top w:val="single" w:sz="24" w:space="1" w:color="000000"/>
          <w:bottom w:val="single" w:sz="6" w:space="1" w:color="000000"/>
        </w:pBdr>
        <w:spacing w:before="0" w:beforeAutospacing="0" w:after="0" w:afterAutospacing="0"/>
        <w:jc w:val="center"/>
        <w:divId w:val="2075856399"/>
        <w:rPr>
          <w:sz w:val="20"/>
          <w:szCs w:val="20"/>
        </w:rPr>
      </w:pPr>
      <w:r>
        <w:rPr>
          <w:b/>
          <w:bCs/>
          <w:sz w:val="2"/>
          <w:szCs w:val="2"/>
        </w:rPr>
        <w:t>​</w:t>
      </w:r>
    </w:p>
    <w:p w:rsidR="00000000" w:rsidRDefault="00DB7886">
      <w:pPr>
        <w:pStyle w:val="a3"/>
        <w:spacing w:before="0" w:beforeAutospacing="0" w:after="0" w:afterAutospacing="0"/>
        <w:jc w:val="center"/>
        <w:divId w:val="2075856399"/>
        <w:rPr>
          <w:sz w:val="20"/>
          <w:szCs w:val="20"/>
        </w:rPr>
      </w:pPr>
      <w:r>
        <w:rPr>
          <w:b/>
          <w:bCs/>
          <w:sz w:val="12"/>
          <w:szCs w:val="12"/>
        </w:rPr>
        <w:t>​</w:t>
      </w:r>
    </w:p>
    <w:p w:rsidR="00000000" w:rsidRDefault="00DB7886">
      <w:pPr>
        <w:pStyle w:val="a3"/>
        <w:spacing w:before="0" w:beforeAutospacing="0" w:after="60" w:afterAutospacing="0"/>
        <w:jc w:val="center"/>
        <w:divId w:val="2075856399"/>
        <w:rPr>
          <w:sz w:val="16"/>
          <w:szCs w:val="16"/>
        </w:rPr>
      </w:pPr>
      <w:r>
        <w:rPr>
          <w:b/>
          <w:bCs/>
          <w:sz w:val="16"/>
          <w:szCs w:val="16"/>
        </w:rPr>
        <w:t>UNITED STATES SECURITIES AND EXCHANGE COMMISSION</w:t>
      </w:r>
    </w:p>
    <w:p w:rsidR="00000000" w:rsidRDefault="00DB7886">
      <w:pPr>
        <w:pStyle w:val="a3"/>
        <w:spacing w:before="0" w:beforeAutospacing="0" w:after="120" w:afterAutospacing="0"/>
        <w:jc w:val="center"/>
        <w:divId w:val="2075856399"/>
        <w:rPr>
          <w:sz w:val="16"/>
          <w:szCs w:val="16"/>
        </w:rPr>
      </w:pPr>
      <w:r>
        <w:rPr>
          <w:b/>
          <w:bCs/>
          <w:sz w:val="16"/>
          <w:szCs w:val="16"/>
        </w:rPr>
        <w:t>Washington, D.C. 20549</w:t>
      </w:r>
    </w:p>
    <w:p w:rsidR="00000000" w:rsidRDefault="00DB7886">
      <w:pPr>
        <w:pStyle w:val="a3"/>
        <w:spacing w:before="0" w:beforeAutospacing="0" w:after="120" w:afterAutospacing="0"/>
        <w:jc w:val="center"/>
        <w:divId w:val="2075856399"/>
        <w:rPr>
          <w:sz w:val="20"/>
          <w:szCs w:val="20"/>
        </w:rPr>
      </w:pPr>
      <w:r>
        <w:rPr>
          <w:b/>
          <w:bCs/>
          <w:sz w:val="16"/>
          <w:szCs w:val="16"/>
        </w:rPr>
        <w:t>FORM 10-Q</w:t>
      </w:r>
    </w:p>
    <w:p w:rsidR="00000000" w:rsidRDefault="00DB7886">
      <w:pPr>
        <w:pStyle w:val="a3"/>
        <w:spacing w:before="0" w:beforeAutospacing="0" w:after="0" w:afterAutospacing="0"/>
        <w:divId w:val="2075856399"/>
        <w:rPr>
          <w:sz w:val="16"/>
          <w:szCs w:val="16"/>
        </w:rPr>
      </w:pPr>
      <w:r>
        <w:rPr>
          <w:sz w:val="16"/>
          <w:szCs w:val="16"/>
        </w:rPr>
        <w:t>(Mark one)</w:t>
      </w:r>
    </w:p>
    <w:p w:rsidR="00000000" w:rsidRDefault="00DB7886">
      <w:pPr>
        <w:pStyle w:val="a3"/>
        <w:spacing w:before="0" w:beforeAutospacing="0" w:after="120" w:afterAutospacing="0"/>
        <w:divId w:val="2075856399"/>
        <w:rPr>
          <w:sz w:val="20"/>
          <w:szCs w:val="20"/>
        </w:rPr>
      </w:pPr>
      <w:r>
        <w:rPr>
          <w:rFonts w:ascii="Segoe UI Symbol" w:hAnsi="Segoe UI Symbol"/>
          <w:sz w:val="16"/>
          <w:szCs w:val="16"/>
        </w:rPr>
        <w:t>☒</w:t>
      </w:r>
      <w:r>
        <w:rPr>
          <w:sz w:val="16"/>
          <w:szCs w:val="16"/>
        </w:rPr>
        <w:t xml:space="preserve"> </w:t>
      </w:r>
      <w:r>
        <w:rPr>
          <w:b/>
          <w:bCs/>
          <w:sz w:val="16"/>
          <w:szCs w:val="16"/>
        </w:rPr>
        <w:t>QUARTERLY REPORT PURSUANT TO SECTION 13 OR 15(d) OF THE SECURITIES EXCHANGE ACT OF 1934</w:t>
      </w:r>
    </w:p>
    <w:p w:rsidR="00000000" w:rsidRDefault="00DB7886">
      <w:pPr>
        <w:pStyle w:val="a3"/>
        <w:spacing w:before="0" w:beforeAutospacing="0" w:after="120" w:afterAutospacing="0"/>
        <w:jc w:val="center"/>
        <w:divId w:val="2075856399"/>
        <w:rPr>
          <w:sz w:val="20"/>
          <w:szCs w:val="20"/>
        </w:rPr>
      </w:pPr>
      <w:r>
        <w:rPr>
          <w:b/>
          <w:bCs/>
          <w:sz w:val="16"/>
          <w:szCs w:val="16"/>
        </w:rPr>
        <w:t>For the Quarterly Period Ended September</w:t>
      </w:r>
      <w:r>
        <w:rPr>
          <w:b/>
          <w:bCs/>
          <w:sz w:val="16"/>
          <w:szCs w:val="16"/>
        </w:rPr>
        <w:t> 30, 2021</w:t>
      </w:r>
    </w:p>
    <w:p w:rsidR="00000000" w:rsidRDefault="00DB7886">
      <w:pPr>
        <w:pStyle w:val="a3"/>
        <w:spacing w:before="0" w:beforeAutospacing="0" w:after="120" w:afterAutospacing="0"/>
        <w:jc w:val="center"/>
        <w:divId w:val="2075856399"/>
        <w:rPr>
          <w:sz w:val="16"/>
          <w:szCs w:val="16"/>
        </w:rPr>
      </w:pPr>
      <w:r>
        <w:rPr>
          <w:b/>
          <w:bCs/>
          <w:sz w:val="16"/>
          <w:szCs w:val="16"/>
        </w:rPr>
        <w:t>OR</w:t>
      </w:r>
    </w:p>
    <w:p w:rsidR="00000000" w:rsidRDefault="00DB7886">
      <w:pPr>
        <w:pStyle w:val="a3"/>
        <w:spacing w:before="0" w:beforeAutospacing="0" w:after="120" w:afterAutospacing="0"/>
        <w:ind w:hanging="360"/>
        <w:divId w:val="2075856399"/>
        <w:rPr>
          <w:sz w:val="20"/>
          <w:szCs w:val="20"/>
        </w:rPr>
      </w:pPr>
      <w:r>
        <w:rPr>
          <w:rFonts w:ascii="Segoe UI Symbol" w:hAnsi="Segoe UI Symbol"/>
          <w:sz w:val="16"/>
          <w:szCs w:val="16"/>
        </w:rPr>
        <w:t>☐</w:t>
      </w:r>
      <w:r>
        <w:rPr>
          <w:sz w:val="16"/>
          <w:szCs w:val="16"/>
        </w:rPr>
        <w:t xml:space="preserve"> </w:t>
      </w:r>
      <w:r>
        <w:rPr>
          <w:b/>
          <w:bCs/>
          <w:sz w:val="16"/>
          <w:szCs w:val="16"/>
        </w:rPr>
        <w:t>TRANSITION REPORT PURSUANT TO SECTION 13 OR 15(d) OF THE SECURITIES EXCHANGE ACT OF 1934</w:t>
      </w:r>
    </w:p>
    <w:p w:rsidR="00000000" w:rsidRDefault="00DB7886">
      <w:pPr>
        <w:pStyle w:val="a3"/>
        <w:spacing w:before="0" w:beforeAutospacing="0" w:after="120" w:afterAutospacing="0"/>
        <w:jc w:val="center"/>
        <w:divId w:val="2075856399"/>
        <w:rPr>
          <w:sz w:val="16"/>
          <w:szCs w:val="16"/>
        </w:rPr>
      </w:pPr>
      <w:r>
        <w:rPr>
          <w:b/>
          <w:bCs/>
          <w:sz w:val="16"/>
          <w:szCs w:val="16"/>
        </w:rPr>
        <w:t>For the Transition Period from to</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2075856399"/>
          <w:trHeight w:val="20"/>
        </w:trPr>
        <w:tc>
          <w:tcPr>
            <w:tcW w:w="1265" w:type="pct"/>
            <w:tcMar>
              <w:top w:w="0" w:type="dxa"/>
              <w:left w:w="53" w:type="dxa"/>
              <w:bottom w:w="0" w:type="dxa"/>
              <w:right w:w="53" w:type="dxa"/>
            </w:tcMar>
            <w:vAlign w:val="bottom"/>
            <w:hideMark/>
          </w:tcPr>
          <w:p w:rsidR="00000000" w:rsidRDefault="00DB7886">
            <w:pPr>
              <w:pStyle w:val="a3"/>
              <w:spacing w:before="0" w:beforeAutospacing="0" w:after="0" w:afterAutospacing="0"/>
              <w:divId w:val="1098065200"/>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DB7886">
            <w:pPr>
              <w:pStyle w:val="a3"/>
              <w:spacing w:before="0" w:beforeAutospacing="0" w:after="0" w:afterAutospacing="0"/>
              <w:jc w:val="center"/>
              <w:divId w:val="1417360251"/>
              <w:rPr>
                <w:sz w:val="20"/>
                <w:szCs w:val="20"/>
              </w:rPr>
            </w:pPr>
            <w:r>
              <w:rPr>
                <w:sz w:val="16"/>
                <w:szCs w:val="16"/>
              </w:rPr>
              <w:t>​</w:t>
            </w:r>
          </w:p>
          <w:p w:rsidR="00000000" w:rsidRDefault="00DB7886">
            <w:pPr>
              <w:pStyle w:val="a3"/>
              <w:spacing w:before="0" w:beforeAutospacing="0" w:after="30" w:afterAutospacing="0"/>
              <w:jc w:val="center"/>
              <w:divId w:val="1417360251"/>
              <w:rPr>
                <w:sz w:val="20"/>
                <w:szCs w:val="20"/>
              </w:rPr>
            </w:pPr>
            <w:r>
              <w:rPr>
                <w:sz w:val="16"/>
                <w:szCs w:val="16"/>
              </w:rPr>
              <w:t>​</w:t>
            </w:r>
          </w:p>
          <w:p w:rsidR="00000000" w:rsidRDefault="00DB7886">
            <w:pPr>
              <w:pStyle w:val="a3"/>
              <w:spacing w:before="0" w:beforeAutospacing="0" w:after="0" w:afterAutospacing="0"/>
              <w:divId w:val="1417360251"/>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DB7886">
            <w:pPr>
              <w:pStyle w:val="a3"/>
              <w:spacing w:before="0" w:beforeAutospacing="0" w:after="0" w:afterAutospacing="0"/>
              <w:divId w:val="817648502"/>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DB7886">
            <w:pPr>
              <w:pStyle w:val="a3"/>
              <w:spacing w:before="0" w:beforeAutospacing="0" w:after="0" w:afterAutospacing="0"/>
              <w:divId w:val="65495495"/>
              <w:rPr>
                <w:sz w:val="20"/>
                <w:szCs w:val="20"/>
              </w:rPr>
            </w:pPr>
            <w:r>
              <w:rPr>
                <w:sz w:val="2"/>
                <w:szCs w:val="2"/>
              </w:rPr>
              <w:t>​</w:t>
            </w:r>
          </w:p>
        </w:tc>
      </w:tr>
      <w:tr w:rsidR="00000000">
        <w:trPr>
          <w:divId w:val="2075856399"/>
          <w:trHeight w:val="720"/>
        </w:trPr>
        <w:tc>
          <w:tcPr>
            <w:tcW w:w="1265" w:type="pct"/>
            <w:tcMar>
              <w:top w:w="0" w:type="dxa"/>
              <w:left w:w="53" w:type="dxa"/>
              <w:bottom w:w="0" w:type="dxa"/>
              <w:right w:w="53" w:type="dxa"/>
            </w:tcMar>
            <w:vAlign w:val="bottom"/>
            <w:hideMark/>
          </w:tcPr>
          <w:p w:rsidR="00000000" w:rsidRDefault="00DB7886">
            <w:pPr>
              <w:pStyle w:val="a3"/>
              <w:spacing w:before="0" w:beforeAutospacing="0" w:after="40" w:afterAutospacing="0"/>
              <w:jc w:val="center"/>
              <w:divId w:val="1629780608"/>
              <w:rPr>
                <w:sz w:val="16"/>
                <w:szCs w:val="16"/>
              </w:rPr>
            </w:pPr>
            <w:r>
              <w:rPr>
                <w:sz w:val="16"/>
                <w:szCs w:val="16"/>
              </w:rPr>
              <w:t>(Commission File Number)</w:t>
            </w:r>
          </w:p>
        </w:tc>
        <w:tc>
          <w:tcPr>
            <w:tcW w:w="2470" w:type="pct"/>
            <w:tcMar>
              <w:top w:w="0" w:type="dxa"/>
              <w:left w:w="53" w:type="dxa"/>
              <w:bottom w:w="0" w:type="dxa"/>
              <w:right w:w="53" w:type="dxa"/>
            </w:tcMar>
            <w:vAlign w:val="bottom"/>
            <w:hideMark/>
          </w:tcPr>
          <w:p w:rsidR="00000000" w:rsidRDefault="00DB7886">
            <w:pPr>
              <w:pStyle w:val="a3"/>
              <w:spacing w:before="0" w:beforeAutospacing="0" w:after="0" w:afterAutospacing="0"/>
              <w:jc w:val="center"/>
              <w:divId w:val="798373649"/>
              <w:rPr>
                <w:sz w:val="16"/>
                <w:szCs w:val="16"/>
              </w:rPr>
            </w:pPr>
            <w:r>
              <w:rPr>
                <w:sz w:val="16"/>
                <w:szCs w:val="16"/>
              </w:rPr>
              <w:t>(Exact Name of Registrant as Specified in Its Charter)</w:t>
            </w:r>
          </w:p>
          <w:p w:rsidR="00000000" w:rsidRDefault="00DB7886">
            <w:pPr>
              <w:pStyle w:val="a3"/>
              <w:spacing w:before="0" w:beforeAutospacing="0" w:after="0" w:afterAutospacing="0"/>
              <w:jc w:val="center"/>
              <w:divId w:val="798373649"/>
              <w:rPr>
                <w:sz w:val="16"/>
                <w:szCs w:val="16"/>
              </w:rPr>
            </w:pPr>
            <w:r>
              <w:rPr>
                <w:sz w:val="16"/>
                <w:szCs w:val="16"/>
              </w:rPr>
              <w:t>(Address of Principal Executive Offices) (Zip Code)</w:t>
            </w:r>
          </w:p>
          <w:p w:rsidR="00000000" w:rsidRDefault="00DB7886">
            <w:pPr>
              <w:pStyle w:val="a3"/>
              <w:spacing w:before="0" w:beforeAutospacing="0" w:after="30" w:afterAutospacing="0"/>
              <w:jc w:val="center"/>
              <w:divId w:val="798373649"/>
              <w:rPr>
                <w:sz w:val="16"/>
                <w:szCs w:val="16"/>
              </w:rPr>
            </w:pPr>
            <w:r>
              <w:rPr>
                <w:sz w:val="16"/>
                <w:szCs w:val="16"/>
              </w:rPr>
              <w:t>(Telephone Number)</w:t>
            </w:r>
          </w:p>
        </w:tc>
        <w:tc>
          <w:tcPr>
            <w:tcW w:w="632" w:type="pct"/>
            <w:tcMar>
              <w:top w:w="0" w:type="dxa"/>
              <w:left w:w="53" w:type="dxa"/>
              <w:bottom w:w="0" w:type="dxa"/>
              <w:right w:w="53" w:type="dxa"/>
            </w:tcMar>
            <w:vAlign w:val="bottom"/>
            <w:hideMark/>
          </w:tcPr>
          <w:p w:rsidR="00000000" w:rsidRDefault="00DB7886">
            <w:pPr>
              <w:pStyle w:val="a3"/>
              <w:spacing w:before="0" w:beforeAutospacing="0" w:after="40" w:afterAutospacing="0"/>
              <w:jc w:val="center"/>
              <w:divId w:val="1827352800"/>
              <w:rPr>
                <w:sz w:val="16"/>
                <w:szCs w:val="16"/>
              </w:rPr>
            </w:pPr>
            <w:r>
              <w:rPr>
                <w:sz w:val="16"/>
                <w:szCs w:val="16"/>
              </w:rPr>
              <w:t>(State or Other Jurisdiction of Incorporation or Organization)</w:t>
            </w:r>
          </w:p>
        </w:tc>
        <w:tc>
          <w:tcPr>
            <w:tcW w:w="632" w:type="pct"/>
            <w:tcMar>
              <w:top w:w="0" w:type="dxa"/>
              <w:left w:w="53" w:type="dxa"/>
              <w:bottom w:w="0" w:type="dxa"/>
              <w:right w:w="53" w:type="dxa"/>
            </w:tcMar>
            <w:vAlign w:val="bottom"/>
            <w:hideMark/>
          </w:tcPr>
          <w:p w:rsidR="00000000" w:rsidRDefault="00DB7886">
            <w:pPr>
              <w:pStyle w:val="a3"/>
              <w:spacing w:before="0" w:beforeAutospacing="0" w:after="40" w:afterAutospacing="0"/>
              <w:jc w:val="center"/>
              <w:divId w:val="1201822265"/>
              <w:rPr>
                <w:sz w:val="16"/>
                <w:szCs w:val="16"/>
              </w:rPr>
            </w:pPr>
            <w:r>
              <w:rPr>
                <w:sz w:val="16"/>
                <w:szCs w:val="16"/>
              </w:rPr>
              <w:t>(IRS Employer Identification No.)</w:t>
            </w:r>
          </w:p>
        </w:tc>
      </w:tr>
      <w:tr w:rsidR="00000000">
        <w:trPr>
          <w:divId w:val="2075856399"/>
          <w:trHeight w:val="345"/>
        </w:trPr>
        <w:tc>
          <w:tcPr>
            <w:tcW w:w="1265" w:type="pct"/>
            <w:tcMar>
              <w:top w:w="0" w:type="dxa"/>
              <w:left w:w="53" w:type="dxa"/>
              <w:bottom w:w="0" w:type="dxa"/>
              <w:right w:w="53" w:type="dxa"/>
            </w:tcMar>
            <w:vAlign w:val="bottom"/>
            <w:hideMark/>
          </w:tcPr>
          <w:p w:rsidR="00000000" w:rsidRDefault="00DB7886">
            <w:pPr>
              <w:pStyle w:val="a3"/>
              <w:spacing w:before="0" w:beforeAutospacing="0" w:after="40" w:afterAutospacing="0"/>
              <w:jc w:val="center"/>
              <w:divId w:val="862938505"/>
              <w:rPr>
                <w:sz w:val="20"/>
                <w:szCs w:val="20"/>
              </w:rPr>
            </w:pPr>
            <w:r>
              <w:rPr>
                <w:b/>
                <w:bCs/>
                <w:sz w:val="16"/>
                <w:szCs w:val="16"/>
              </w:rPr>
              <w:t>1-9516</w:t>
            </w:r>
          </w:p>
        </w:tc>
        <w:tc>
          <w:tcPr>
            <w:tcW w:w="2470" w:type="pct"/>
            <w:tcMar>
              <w:top w:w="0" w:type="dxa"/>
              <w:left w:w="53" w:type="dxa"/>
              <w:bottom w:w="0" w:type="dxa"/>
              <w:right w:w="53" w:type="dxa"/>
            </w:tcMar>
            <w:vAlign w:val="bottom"/>
            <w:hideMark/>
          </w:tcPr>
          <w:p w:rsidR="00000000" w:rsidRDefault="00DB7886">
            <w:pPr>
              <w:pStyle w:val="a3"/>
              <w:spacing w:before="0" w:beforeAutospacing="0" w:after="40" w:afterAutospacing="0"/>
              <w:jc w:val="center"/>
              <w:divId w:val="92358551"/>
              <w:rPr>
                <w:sz w:val="20"/>
                <w:szCs w:val="20"/>
              </w:rPr>
            </w:pPr>
            <w:r>
              <w:rPr>
                <w:b/>
                <w:bCs/>
                <w:sz w:val="16"/>
                <w:szCs w:val="16"/>
              </w:rPr>
              <w:t>ICAHN ENTERPRISES L.P.</w:t>
            </w:r>
          </w:p>
        </w:tc>
        <w:tc>
          <w:tcPr>
            <w:tcW w:w="632" w:type="pct"/>
            <w:tcMar>
              <w:top w:w="0" w:type="dxa"/>
              <w:left w:w="53" w:type="dxa"/>
              <w:bottom w:w="0" w:type="dxa"/>
              <w:right w:w="53" w:type="dxa"/>
            </w:tcMar>
            <w:vAlign w:val="bottom"/>
            <w:hideMark/>
          </w:tcPr>
          <w:p w:rsidR="00000000" w:rsidRDefault="00DB7886">
            <w:pPr>
              <w:pStyle w:val="a3"/>
              <w:spacing w:before="0" w:beforeAutospacing="0" w:after="40" w:afterAutospacing="0"/>
              <w:jc w:val="center"/>
              <w:divId w:val="1591088527"/>
              <w:rPr>
                <w:sz w:val="20"/>
                <w:szCs w:val="20"/>
              </w:rPr>
            </w:pPr>
            <w:r>
              <w:rPr>
                <w:b/>
                <w:bCs/>
                <w:sz w:val="16"/>
                <w:szCs w:val="16"/>
              </w:rPr>
              <w:t>De</w:t>
            </w:r>
            <w:r>
              <w:rPr>
                <w:b/>
                <w:bCs/>
                <w:sz w:val="16"/>
                <w:szCs w:val="16"/>
              </w:rPr>
              <w:t>laware</w:t>
            </w:r>
          </w:p>
        </w:tc>
        <w:tc>
          <w:tcPr>
            <w:tcW w:w="632" w:type="pct"/>
            <w:tcMar>
              <w:top w:w="0" w:type="dxa"/>
              <w:left w:w="53" w:type="dxa"/>
              <w:bottom w:w="0" w:type="dxa"/>
              <w:right w:w="53" w:type="dxa"/>
            </w:tcMar>
            <w:vAlign w:val="bottom"/>
            <w:hideMark/>
          </w:tcPr>
          <w:p w:rsidR="00000000" w:rsidRDefault="00DB7886">
            <w:pPr>
              <w:pStyle w:val="a3"/>
              <w:spacing w:before="0" w:beforeAutospacing="0" w:after="40" w:afterAutospacing="0"/>
              <w:jc w:val="center"/>
              <w:divId w:val="862405732"/>
              <w:rPr>
                <w:sz w:val="20"/>
                <w:szCs w:val="20"/>
              </w:rPr>
            </w:pPr>
            <w:r>
              <w:rPr>
                <w:b/>
                <w:bCs/>
                <w:sz w:val="16"/>
                <w:szCs w:val="16"/>
              </w:rPr>
              <w:t>13-3398766</w:t>
            </w:r>
          </w:p>
        </w:tc>
      </w:tr>
    </w:tbl>
    <w:p w:rsidR="00000000" w:rsidRDefault="00DB7886">
      <w:pPr>
        <w:pStyle w:val="a3"/>
        <w:spacing w:before="0" w:beforeAutospacing="0" w:after="0" w:afterAutospacing="0"/>
        <w:divId w:val="2075856399"/>
        <w:rPr>
          <w:sz w:val="20"/>
          <w:szCs w:val="20"/>
        </w:rPr>
      </w:pPr>
      <w:r>
        <w:rPr>
          <w:sz w:val="20"/>
          <w:szCs w:val="20"/>
        </w:rPr>
        <w:t>​</w:t>
      </w:r>
    </w:p>
    <w:p w:rsidR="00000000" w:rsidRDefault="00DB7886">
      <w:pPr>
        <w:pStyle w:val="a3"/>
        <w:spacing w:before="120" w:beforeAutospacing="0" w:after="0" w:afterAutospacing="0"/>
        <w:jc w:val="center"/>
        <w:divId w:val="2075856399"/>
        <w:rPr>
          <w:sz w:val="20"/>
          <w:szCs w:val="20"/>
        </w:rPr>
      </w:pPr>
      <w:r>
        <w:rPr>
          <w:b/>
          <w:bCs/>
          <w:sz w:val="16"/>
          <w:szCs w:val="16"/>
        </w:rPr>
        <w:t>16690 Collins Avenue, PH-1</w:t>
      </w:r>
    </w:p>
    <w:p w:rsidR="00000000" w:rsidRDefault="00DB7886">
      <w:pPr>
        <w:pStyle w:val="a3"/>
        <w:spacing w:before="0" w:beforeAutospacing="0" w:after="0" w:afterAutospacing="0"/>
        <w:jc w:val="center"/>
        <w:divId w:val="2075856399"/>
        <w:rPr>
          <w:sz w:val="20"/>
          <w:szCs w:val="20"/>
        </w:rPr>
      </w:pPr>
      <w:r>
        <w:rPr>
          <w:b/>
          <w:bCs/>
          <w:sz w:val="16"/>
          <w:szCs w:val="16"/>
        </w:rPr>
        <w:t>Sunny Isles Beach, FL 33160</w:t>
      </w:r>
    </w:p>
    <w:p w:rsidR="00000000" w:rsidRDefault="00DB7886">
      <w:pPr>
        <w:pStyle w:val="a3"/>
        <w:spacing w:before="0" w:beforeAutospacing="0" w:after="120" w:afterAutospacing="0"/>
        <w:jc w:val="center"/>
        <w:divId w:val="2075856399"/>
        <w:rPr>
          <w:sz w:val="20"/>
          <w:szCs w:val="20"/>
        </w:rPr>
      </w:pPr>
      <w:r>
        <w:rPr>
          <w:b/>
          <w:bCs/>
          <w:sz w:val="16"/>
          <w:szCs w:val="16"/>
        </w:rPr>
        <w:t>(305) 422-4100</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2075856399"/>
          <w:trHeight w:val="20"/>
        </w:trPr>
        <w:tc>
          <w:tcPr>
            <w:tcW w:w="1265" w:type="pct"/>
            <w:tcMar>
              <w:top w:w="0" w:type="dxa"/>
              <w:left w:w="53" w:type="dxa"/>
              <w:bottom w:w="0" w:type="dxa"/>
              <w:right w:w="53" w:type="dxa"/>
            </w:tcMar>
            <w:vAlign w:val="bottom"/>
            <w:hideMark/>
          </w:tcPr>
          <w:p w:rsidR="00000000" w:rsidRDefault="00DB7886">
            <w:pPr>
              <w:pStyle w:val="a3"/>
              <w:spacing w:before="0" w:beforeAutospacing="0" w:after="0" w:afterAutospacing="0"/>
              <w:divId w:val="1540587288"/>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DB7886">
            <w:pPr>
              <w:pStyle w:val="a3"/>
              <w:spacing w:before="0" w:beforeAutospacing="0" w:after="0" w:afterAutospacing="0"/>
              <w:divId w:val="1583484335"/>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DB7886">
            <w:pPr>
              <w:pStyle w:val="a3"/>
              <w:spacing w:before="0" w:beforeAutospacing="0" w:after="0" w:afterAutospacing="0"/>
              <w:divId w:val="131302735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DB7886">
            <w:pPr>
              <w:pStyle w:val="a3"/>
              <w:spacing w:before="0" w:beforeAutospacing="0" w:after="0" w:afterAutospacing="0"/>
              <w:divId w:val="551115963"/>
              <w:rPr>
                <w:sz w:val="20"/>
                <w:szCs w:val="20"/>
              </w:rPr>
            </w:pPr>
            <w:r>
              <w:rPr>
                <w:sz w:val="2"/>
                <w:szCs w:val="2"/>
              </w:rPr>
              <w:t>​</w:t>
            </w:r>
          </w:p>
        </w:tc>
      </w:tr>
      <w:tr w:rsidR="00000000">
        <w:trPr>
          <w:divId w:val="2075856399"/>
          <w:trHeight w:val="345"/>
        </w:trPr>
        <w:tc>
          <w:tcPr>
            <w:tcW w:w="1265" w:type="pct"/>
            <w:tcMar>
              <w:top w:w="0" w:type="dxa"/>
              <w:left w:w="53" w:type="dxa"/>
              <w:bottom w:w="0" w:type="dxa"/>
              <w:right w:w="53" w:type="dxa"/>
            </w:tcMar>
            <w:vAlign w:val="bottom"/>
            <w:hideMark/>
          </w:tcPr>
          <w:p w:rsidR="00000000" w:rsidRDefault="00DB7886">
            <w:pPr>
              <w:pStyle w:val="a3"/>
              <w:spacing w:before="0" w:beforeAutospacing="0" w:after="40" w:afterAutospacing="0"/>
              <w:jc w:val="center"/>
              <w:divId w:val="2072147091"/>
              <w:rPr>
                <w:sz w:val="20"/>
                <w:szCs w:val="20"/>
              </w:rPr>
            </w:pPr>
            <w:r>
              <w:rPr>
                <w:b/>
                <w:bCs/>
                <w:sz w:val="16"/>
                <w:szCs w:val="16"/>
              </w:rPr>
              <w:t>333-118021-01</w:t>
            </w:r>
          </w:p>
        </w:tc>
        <w:tc>
          <w:tcPr>
            <w:tcW w:w="2470" w:type="pct"/>
            <w:tcMar>
              <w:top w:w="0" w:type="dxa"/>
              <w:left w:w="53" w:type="dxa"/>
              <w:bottom w:w="0" w:type="dxa"/>
              <w:right w:w="53" w:type="dxa"/>
            </w:tcMar>
            <w:vAlign w:val="bottom"/>
            <w:hideMark/>
          </w:tcPr>
          <w:p w:rsidR="00000000" w:rsidRDefault="00DB7886">
            <w:pPr>
              <w:pStyle w:val="a3"/>
              <w:spacing w:before="0" w:beforeAutospacing="0" w:after="40" w:afterAutospacing="0"/>
              <w:jc w:val="center"/>
              <w:divId w:val="1366713613"/>
              <w:rPr>
                <w:sz w:val="20"/>
                <w:szCs w:val="20"/>
              </w:rPr>
            </w:pPr>
            <w:r>
              <w:rPr>
                <w:b/>
                <w:bCs/>
                <w:sz w:val="16"/>
                <w:szCs w:val="16"/>
              </w:rPr>
              <w:t>ICAHN ENTERPRISES HOLDINGS L.P.</w:t>
            </w:r>
          </w:p>
        </w:tc>
        <w:tc>
          <w:tcPr>
            <w:tcW w:w="632" w:type="pct"/>
            <w:tcMar>
              <w:top w:w="0" w:type="dxa"/>
              <w:left w:w="53" w:type="dxa"/>
              <w:bottom w:w="0" w:type="dxa"/>
              <w:right w:w="53" w:type="dxa"/>
            </w:tcMar>
            <w:vAlign w:val="bottom"/>
            <w:hideMark/>
          </w:tcPr>
          <w:p w:rsidR="00000000" w:rsidRDefault="00DB7886">
            <w:pPr>
              <w:pStyle w:val="a3"/>
              <w:spacing w:before="0" w:beforeAutospacing="0" w:after="40" w:afterAutospacing="0"/>
              <w:jc w:val="center"/>
              <w:divId w:val="2052000416"/>
              <w:rPr>
                <w:sz w:val="20"/>
                <w:szCs w:val="20"/>
              </w:rPr>
            </w:pPr>
            <w:r>
              <w:rPr>
                <w:b/>
                <w:bCs/>
                <w:sz w:val="16"/>
                <w:szCs w:val="16"/>
              </w:rPr>
              <w:t>Delaware</w:t>
            </w:r>
          </w:p>
        </w:tc>
        <w:tc>
          <w:tcPr>
            <w:tcW w:w="632" w:type="pct"/>
            <w:tcMar>
              <w:top w:w="0" w:type="dxa"/>
              <w:left w:w="53" w:type="dxa"/>
              <w:bottom w:w="0" w:type="dxa"/>
              <w:right w:w="53" w:type="dxa"/>
            </w:tcMar>
            <w:vAlign w:val="bottom"/>
            <w:hideMark/>
          </w:tcPr>
          <w:p w:rsidR="00000000" w:rsidRDefault="00DB7886">
            <w:pPr>
              <w:pStyle w:val="a3"/>
              <w:spacing w:before="0" w:beforeAutospacing="0" w:after="40" w:afterAutospacing="0"/>
              <w:jc w:val="center"/>
              <w:divId w:val="1146825323"/>
              <w:rPr>
                <w:sz w:val="20"/>
                <w:szCs w:val="20"/>
              </w:rPr>
            </w:pPr>
            <w:r>
              <w:rPr>
                <w:b/>
                <w:bCs/>
                <w:sz w:val="16"/>
                <w:szCs w:val="16"/>
              </w:rPr>
              <w:t>13-3398767</w:t>
            </w:r>
          </w:p>
        </w:tc>
      </w:tr>
    </w:tbl>
    <w:p w:rsidR="00000000" w:rsidRDefault="00DB7886">
      <w:pPr>
        <w:pStyle w:val="a3"/>
        <w:spacing w:before="0" w:beforeAutospacing="0" w:after="0" w:afterAutospacing="0"/>
        <w:divId w:val="2075856399"/>
        <w:rPr>
          <w:sz w:val="20"/>
          <w:szCs w:val="20"/>
        </w:rPr>
      </w:pPr>
      <w:r>
        <w:rPr>
          <w:sz w:val="20"/>
          <w:szCs w:val="20"/>
        </w:rPr>
        <w:t>​</w:t>
      </w:r>
    </w:p>
    <w:p w:rsidR="00000000" w:rsidRDefault="00DB7886">
      <w:pPr>
        <w:pStyle w:val="a3"/>
        <w:spacing w:before="120" w:beforeAutospacing="0" w:after="0" w:afterAutospacing="0"/>
        <w:jc w:val="center"/>
        <w:divId w:val="2075856399"/>
        <w:rPr>
          <w:sz w:val="20"/>
          <w:szCs w:val="20"/>
        </w:rPr>
      </w:pPr>
      <w:r>
        <w:rPr>
          <w:b/>
          <w:bCs/>
          <w:sz w:val="16"/>
          <w:szCs w:val="16"/>
        </w:rPr>
        <w:t>16690 Collins Avenue, PH-1</w:t>
      </w:r>
    </w:p>
    <w:p w:rsidR="00000000" w:rsidRDefault="00DB7886">
      <w:pPr>
        <w:pStyle w:val="a3"/>
        <w:spacing w:before="0" w:beforeAutospacing="0" w:after="0" w:afterAutospacing="0"/>
        <w:jc w:val="center"/>
        <w:divId w:val="2075856399"/>
        <w:rPr>
          <w:sz w:val="20"/>
          <w:szCs w:val="20"/>
        </w:rPr>
      </w:pPr>
      <w:r>
        <w:rPr>
          <w:b/>
          <w:bCs/>
          <w:sz w:val="16"/>
          <w:szCs w:val="16"/>
        </w:rPr>
        <w:t>Sunny Isles Beach, FL 33160</w:t>
      </w:r>
    </w:p>
    <w:p w:rsidR="00000000" w:rsidRDefault="00DB7886">
      <w:pPr>
        <w:pStyle w:val="a3"/>
        <w:spacing w:before="0" w:beforeAutospacing="0" w:after="60" w:afterAutospacing="0"/>
        <w:jc w:val="center"/>
        <w:divId w:val="2075856399"/>
        <w:rPr>
          <w:sz w:val="20"/>
          <w:szCs w:val="20"/>
        </w:rPr>
      </w:pPr>
      <w:r>
        <w:rPr>
          <w:b/>
          <w:bCs/>
          <w:sz w:val="16"/>
          <w:szCs w:val="16"/>
        </w:rPr>
        <w:t>(305) 422-4100</w:t>
      </w:r>
    </w:p>
    <w:p w:rsidR="00000000" w:rsidRDefault="00DB7886">
      <w:pPr>
        <w:pStyle w:val="a3"/>
        <w:spacing w:before="0" w:beforeAutospacing="0" w:after="120" w:afterAutospacing="0"/>
        <w:jc w:val="center"/>
        <w:divId w:val="2075856399"/>
        <w:rPr>
          <w:sz w:val="16"/>
          <w:szCs w:val="16"/>
        </w:rPr>
      </w:pPr>
      <w:r>
        <w:rPr>
          <w:sz w:val="16"/>
          <w:szCs w:val="16"/>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3124"/>
        <w:gridCol w:w="160"/>
        <w:gridCol w:w="1650"/>
        <w:gridCol w:w="266"/>
        <w:gridCol w:w="1315"/>
        <w:gridCol w:w="1791"/>
      </w:tblGrid>
      <w:tr w:rsidR="00000000">
        <w:trPr>
          <w:divId w:val="2075856399"/>
          <w:trHeight w:val="20"/>
        </w:trPr>
        <w:tc>
          <w:tcPr>
            <w:tcW w:w="1894"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
                <w:szCs w:val="2"/>
              </w:rPr>
              <w:t>​</w:t>
            </w:r>
          </w:p>
        </w:tc>
        <w:tc>
          <w:tcPr>
            <w:tcW w:w="74"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
                <w:szCs w:val="2"/>
              </w:rPr>
              <w:t>​</w:t>
            </w:r>
          </w:p>
        </w:tc>
        <w:tc>
          <w:tcPr>
            <w:tcW w:w="1007" w:type="pct"/>
            <w:tcMar>
              <w:top w:w="0" w:type="dxa"/>
              <w:left w:w="53" w:type="dxa"/>
              <w:bottom w:w="0" w:type="dxa"/>
              <w:right w:w="53" w:type="dxa"/>
            </w:tcMar>
            <w:vAlign w:val="center"/>
            <w:hideMark/>
          </w:tcPr>
          <w:p w:rsidR="00000000" w:rsidRDefault="00DB7886">
            <w:pPr>
              <w:pStyle w:val="a3"/>
              <w:spacing w:before="0" w:beforeAutospacing="0" w:after="0" w:afterAutospacing="0"/>
              <w:rPr>
                <w:sz w:val="20"/>
                <w:szCs w:val="20"/>
              </w:rPr>
            </w:pPr>
            <w:r>
              <w:rPr>
                <w:sz w:val="2"/>
                <w:szCs w:val="2"/>
              </w:rPr>
              <w:t>​</w:t>
            </w:r>
          </w:p>
        </w:tc>
        <w:tc>
          <w:tcPr>
            <w:tcW w:w="125"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
                <w:szCs w:val="2"/>
              </w:rPr>
              <w:t>​</w:t>
            </w:r>
          </w:p>
        </w:tc>
        <w:tc>
          <w:tcPr>
            <w:tcW w:w="806" w:type="pct"/>
            <w:tcMar>
              <w:top w:w="0" w:type="dxa"/>
              <w:left w:w="53" w:type="dxa"/>
              <w:bottom w:w="0" w:type="dxa"/>
              <w:right w:w="53" w:type="dxa"/>
            </w:tcMar>
            <w:vAlign w:val="center"/>
            <w:hideMark/>
          </w:tcPr>
          <w:p w:rsidR="00000000" w:rsidRDefault="00DB7886">
            <w:pPr>
              <w:pStyle w:val="a3"/>
              <w:spacing w:before="0" w:beforeAutospacing="0" w:after="0" w:afterAutospacing="0"/>
              <w:rPr>
                <w:sz w:val="20"/>
                <w:szCs w:val="20"/>
              </w:rPr>
            </w:pPr>
            <w:r>
              <w:rPr>
                <w:sz w:val="2"/>
                <w:szCs w:val="2"/>
              </w:rPr>
              <w:t>​</w:t>
            </w:r>
          </w:p>
        </w:tc>
        <w:tc>
          <w:tcPr>
            <w:tcW w:w="1090" w:type="pct"/>
            <w:tcMar>
              <w:top w:w="0" w:type="dxa"/>
              <w:left w:w="53" w:type="dxa"/>
              <w:bottom w:w="0" w:type="dxa"/>
              <w:right w:w="53" w:type="dxa"/>
            </w:tcMar>
            <w:vAlign w:val="center"/>
            <w:hideMark/>
          </w:tcPr>
          <w:p w:rsidR="00000000" w:rsidRDefault="00DB7886">
            <w:pPr>
              <w:pStyle w:val="a3"/>
              <w:spacing w:before="0" w:beforeAutospacing="0" w:after="0" w:afterAutospacing="0"/>
              <w:rPr>
                <w:sz w:val="20"/>
                <w:szCs w:val="20"/>
              </w:rPr>
            </w:pPr>
            <w:r>
              <w:rPr>
                <w:sz w:val="2"/>
                <w:szCs w:val="2"/>
              </w:rPr>
              <w:t>​</w:t>
            </w:r>
          </w:p>
        </w:tc>
      </w:tr>
      <w:tr w:rsidR="00000000">
        <w:trPr>
          <w:divId w:val="2075856399"/>
          <w:trHeight w:val="285"/>
        </w:trPr>
        <w:tc>
          <w:tcPr>
            <w:tcW w:w="1894" w:type="pct"/>
            <w:tcMar>
              <w:top w:w="0" w:type="dxa"/>
              <w:left w:w="53" w:type="dxa"/>
              <w:bottom w:w="0" w:type="dxa"/>
              <w:right w:w="53" w:type="dxa"/>
            </w:tcMar>
            <w:vAlign w:val="bottom"/>
            <w:hideMark/>
          </w:tcPr>
          <w:p w:rsidR="00000000" w:rsidRDefault="00DB7886">
            <w:pPr>
              <w:pStyle w:val="a3"/>
              <w:spacing w:before="0" w:beforeAutospacing="0" w:after="40" w:afterAutospacing="0"/>
              <w:jc w:val="center"/>
              <w:rPr>
                <w:sz w:val="16"/>
                <w:szCs w:val="16"/>
              </w:rPr>
            </w:pPr>
            <w:r>
              <w:rPr>
                <w:b/>
                <w:bCs/>
                <w:sz w:val="16"/>
                <w:szCs w:val="16"/>
              </w:rPr>
              <w:t>Title of Each Class</w:t>
            </w:r>
          </w:p>
        </w:tc>
        <w:tc>
          <w:tcPr>
            <w:tcW w:w="74" w:type="pct"/>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1007" w:type="pct"/>
            <w:tcMar>
              <w:top w:w="0" w:type="dxa"/>
              <w:left w:w="53" w:type="dxa"/>
              <w:bottom w:w="0" w:type="dxa"/>
              <w:right w:w="53" w:type="dxa"/>
            </w:tcMar>
            <w:vAlign w:val="bottom"/>
            <w:hideMark/>
          </w:tcPr>
          <w:p w:rsidR="00000000" w:rsidRDefault="00DB7886">
            <w:pPr>
              <w:pStyle w:val="a3"/>
              <w:spacing w:before="0" w:beforeAutospacing="0" w:after="40" w:afterAutospacing="0"/>
              <w:jc w:val="center"/>
              <w:rPr>
                <w:sz w:val="16"/>
                <w:szCs w:val="16"/>
              </w:rPr>
            </w:pPr>
            <w:r>
              <w:rPr>
                <w:b/>
                <w:bCs/>
                <w:sz w:val="16"/>
                <w:szCs w:val="16"/>
              </w:rPr>
              <w:t>Trading Symbol(s)</w:t>
            </w:r>
          </w:p>
        </w:tc>
        <w:tc>
          <w:tcPr>
            <w:tcW w:w="125" w:type="pct"/>
            <w:tcMar>
              <w:top w:w="0" w:type="dxa"/>
              <w:left w:w="53" w:type="dxa"/>
              <w:bottom w:w="0" w:type="dxa"/>
              <w:right w:w="53" w:type="dxa"/>
            </w:tcMar>
            <w:vAlign w:val="bottom"/>
            <w:hideMark/>
          </w:tcPr>
          <w:p w:rsidR="00000000" w:rsidRDefault="00DB7886">
            <w:pPr>
              <w:pStyle w:val="a3"/>
              <w:spacing w:before="0" w:beforeAutospacing="0" w:after="40" w:afterAutospacing="0"/>
              <w:jc w:val="center"/>
              <w:rPr>
                <w:sz w:val="16"/>
                <w:szCs w:val="16"/>
              </w:rPr>
            </w:pPr>
            <w:r>
              <w:rPr>
                <w:sz w:val="16"/>
                <w:szCs w:val="16"/>
              </w:rPr>
              <w:t>    </w:t>
            </w:r>
          </w:p>
        </w:tc>
        <w:tc>
          <w:tcPr>
            <w:tcW w:w="1897" w:type="pct"/>
            <w:gridSpan w:val="2"/>
            <w:tcMar>
              <w:top w:w="0" w:type="dxa"/>
              <w:left w:w="53" w:type="dxa"/>
              <w:bottom w:w="0" w:type="dxa"/>
              <w:right w:w="53" w:type="dxa"/>
            </w:tcMar>
            <w:vAlign w:val="bottom"/>
            <w:hideMark/>
          </w:tcPr>
          <w:p w:rsidR="00000000" w:rsidRDefault="00DB7886">
            <w:pPr>
              <w:pStyle w:val="a3"/>
              <w:spacing w:before="0" w:beforeAutospacing="0" w:after="40" w:afterAutospacing="0"/>
              <w:jc w:val="center"/>
              <w:rPr>
                <w:sz w:val="16"/>
                <w:szCs w:val="16"/>
              </w:rPr>
            </w:pPr>
            <w:r>
              <w:rPr>
                <w:b/>
                <w:bCs/>
                <w:sz w:val="16"/>
                <w:szCs w:val="16"/>
              </w:rPr>
              <w:t>Name of Each Exchange on Which Registered</w:t>
            </w:r>
          </w:p>
        </w:tc>
      </w:tr>
      <w:tr w:rsidR="00000000">
        <w:trPr>
          <w:divId w:val="2075856399"/>
          <w:trHeight w:val="435"/>
        </w:trPr>
        <w:tc>
          <w:tcPr>
            <w:tcW w:w="1894" w:type="pct"/>
            <w:tcBorders>
              <w:top w:val="single" w:sz="8" w:space="0" w:color="000000"/>
            </w:tcBorders>
            <w:tcMar>
              <w:top w:w="0" w:type="dxa"/>
              <w:left w:w="53" w:type="dxa"/>
              <w:bottom w:w="0" w:type="dxa"/>
              <w:right w:w="53" w:type="dxa"/>
            </w:tcMar>
            <w:vAlign w:val="bottom"/>
            <w:hideMark/>
          </w:tcPr>
          <w:p w:rsidR="00000000" w:rsidRDefault="00DB7886">
            <w:pPr>
              <w:pStyle w:val="a3"/>
              <w:spacing w:before="0" w:beforeAutospacing="0" w:after="40" w:afterAutospacing="0"/>
              <w:jc w:val="center"/>
              <w:divId w:val="472065470"/>
              <w:rPr>
                <w:sz w:val="20"/>
                <w:szCs w:val="20"/>
              </w:rPr>
            </w:pPr>
            <w:r>
              <w:rPr>
                <w:sz w:val="16"/>
                <w:szCs w:val="16"/>
              </w:rPr>
              <w:t xml:space="preserve">Depositary Units of Icahn Enterprises L.P. </w:t>
            </w:r>
            <w:r>
              <w:rPr>
                <w:sz w:val="16"/>
                <w:szCs w:val="16"/>
              </w:rPr>
              <w:br/>
            </w:r>
            <w:r>
              <w:rPr>
                <w:sz w:val="16"/>
                <w:szCs w:val="16"/>
              </w:rPr>
              <w:t>Representing Limited Partner Interests</w:t>
            </w:r>
          </w:p>
        </w:tc>
        <w:tc>
          <w:tcPr>
            <w:tcW w:w="74" w:type="pct"/>
            <w:tcMar>
              <w:top w:w="0" w:type="dxa"/>
              <w:left w:w="0" w:type="dxa"/>
              <w:bottom w:w="0" w:type="dxa"/>
              <w:right w:w="0" w:type="dxa"/>
            </w:tcMar>
            <w:vAlign w:val="bottom"/>
            <w:hideMark/>
          </w:tcPr>
          <w:p w:rsidR="00000000" w:rsidRDefault="00DB7886">
            <w:pPr>
              <w:pStyle w:val="a3"/>
              <w:spacing w:before="0" w:beforeAutospacing="0" w:after="0" w:afterAutospacing="0"/>
              <w:divId w:val="1744643706"/>
              <w:rPr>
                <w:sz w:val="20"/>
                <w:szCs w:val="20"/>
              </w:rPr>
            </w:pPr>
            <w:r>
              <w:rPr>
                <w:sz w:val="16"/>
                <w:szCs w:val="16"/>
              </w:rPr>
              <w:t>​</w:t>
            </w:r>
          </w:p>
        </w:tc>
        <w:tc>
          <w:tcPr>
            <w:tcW w:w="1007" w:type="pct"/>
            <w:tcBorders>
              <w:top w:val="single" w:sz="8" w:space="0" w:color="000000"/>
            </w:tcBorders>
            <w:tcMar>
              <w:top w:w="0" w:type="dxa"/>
              <w:left w:w="53" w:type="dxa"/>
              <w:bottom w:w="0" w:type="dxa"/>
              <w:right w:w="53" w:type="dxa"/>
            </w:tcMar>
            <w:vAlign w:val="center"/>
            <w:hideMark/>
          </w:tcPr>
          <w:p w:rsidR="00000000" w:rsidRDefault="00DB7886">
            <w:pPr>
              <w:pStyle w:val="a3"/>
              <w:spacing w:before="0" w:beforeAutospacing="0" w:after="0" w:afterAutospacing="0"/>
              <w:jc w:val="center"/>
              <w:divId w:val="1935476714"/>
              <w:rPr>
                <w:sz w:val="20"/>
                <w:szCs w:val="20"/>
              </w:rPr>
            </w:pPr>
            <w:r>
              <w:rPr>
                <w:sz w:val="16"/>
                <w:szCs w:val="16"/>
              </w:rPr>
              <w:t>IEP</w:t>
            </w:r>
          </w:p>
        </w:tc>
        <w:tc>
          <w:tcPr>
            <w:tcW w:w="125" w:type="pct"/>
            <w:tcMar>
              <w:top w:w="0" w:type="dxa"/>
              <w:left w:w="53" w:type="dxa"/>
              <w:bottom w:w="0" w:type="dxa"/>
              <w:right w:w="53" w:type="dxa"/>
            </w:tcMar>
            <w:vAlign w:val="bottom"/>
            <w:hideMark/>
          </w:tcPr>
          <w:p w:rsidR="00000000" w:rsidRDefault="00DB7886">
            <w:pPr>
              <w:pStyle w:val="a3"/>
              <w:spacing w:before="0" w:beforeAutospacing="0" w:after="40" w:afterAutospacing="0"/>
              <w:jc w:val="center"/>
              <w:divId w:val="1597865320"/>
              <w:rPr>
                <w:sz w:val="16"/>
                <w:szCs w:val="16"/>
              </w:rPr>
            </w:pPr>
            <w:r>
              <w:rPr>
                <w:sz w:val="16"/>
                <w:szCs w:val="16"/>
              </w:rPr>
              <w:t> </w:t>
            </w:r>
          </w:p>
        </w:tc>
        <w:tc>
          <w:tcPr>
            <w:tcW w:w="806" w:type="pct"/>
            <w:tcBorders>
              <w:top w:val="single" w:sz="8" w:space="0" w:color="000000"/>
            </w:tcBorders>
            <w:tcMar>
              <w:top w:w="0" w:type="dxa"/>
              <w:left w:w="53" w:type="dxa"/>
              <w:bottom w:w="0" w:type="dxa"/>
              <w:right w:w="53" w:type="dxa"/>
            </w:tcMar>
            <w:vAlign w:val="center"/>
            <w:hideMark/>
          </w:tcPr>
          <w:p w:rsidR="00000000" w:rsidRDefault="00DB7886">
            <w:pPr>
              <w:pStyle w:val="a3"/>
              <w:spacing w:before="0" w:beforeAutospacing="0" w:after="0" w:afterAutospacing="0"/>
              <w:jc w:val="right"/>
              <w:divId w:val="676733619"/>
              <w:rPr>
                <w:sz w:val="20"/>
                <w:szCs w:val="20"/>
              </w:rPr>
            </w:pPr>
            <w:r>
              <w:rPr>
                <w:sz w:val="16"/>
                <w:szCs w:val="16"/>
              </w:rPr>
              <w:t>Nasdaq</w:t>
            </w:r>
          </w:p>
        </w:tc>
        <w:tc>
          <w:tcPr>
            <w:tcW w:w="1090" w:type="pct"/>
            <w:tcBorders>
              <w:top w:val="single" w:sz="8" w:space="0" w:color="000000"/>
            </w:tcBorders>
            <w:tcMar>
              <w:top w:w="0" w:type="dxa"/>
              <w:left w:w="53" w:type="dxa"/>
              <w:bottom w:w="0" w:type="dxa"/>
              <w:right w:w="53" w:type="dxa"/>
            </w:tcMar>
            <w:vAlign w:val="center"/>
            <w:hideMark/>
          </w:tcPr>
          <w:p w:rsidR="00000000" w:rsidRDefault="00DB7886">
            <w:pPr>
              <w:pStyle w:val="a3"/>
              <w:spacing w:before="0" w:beforeAutospacing="0" w:after="0" w:afterAutospacing="0"/>
              <w:divId w:val="1851796429"/>
              <w:rPr>
                <w:sz w:val="16"/>
                <w:szCs w:val="16"/>
              </w:rPr>
            </w:pPr>
            <w:r>
              <w:rPr>
                <w:sz w:val="16"/>
                <w:szCs w:val="16"/>
              </w:rPr>
              <w:t>Global Select Market</w:t>
            </w:r>
          </w:p>
        </w:tc>
      </w:tr>
    </w:tbl>
    <w:p w:rsidR="00000000" w:rsidRDefault="00DB7886">
      <w:pPr>
        <w:pStyle w:val="a3"/>
        <w:spacing w:before="0" w:beforeAutospacing="0" w:after="0" w:afterAutospacing="0"/>
        <w:divId w:val="2075856399"/>
        <w:rPr>
          <w:sz w:val="20"/>
          <w:szCs w:val="20"/>
        </w:rPr>
      </w:pPr>
      <w:r>
        <w:rPr>
          <w:sz w:val="20"/>
          <w:szCs w:val="20"/>
        </w:rPr>
        <w:t>​</w:t>
      </w:r>
    </w:p>
    <w:p w:rsidR="00000000" w:rsidRDefault="00DB7886">
      <w:pPr>
        <w:pStyle w:val="a3"/>
        <w:spacing w:before="0" w:beforeAutospacing="0" w:after="120" w:afterAutospacing="0"/>
        <w:divId w:val="2075856399"/>
        <w:rPr>
          <w:sz w:val="16"/>
          <w:szCs w:val="16"/>
        </w:rPr>
      </w:pPr>
      <w:r>
        <w:rPr>
          <w:sz w:val="16"/>
          <w:szCs w:val="16"/>
        </w:rPr>
        <w:t>Indicate by check mark whether the registrant (1) has filed all reports required to be filed by Section 13 or 15(d) </w:t>
      </w:r>
      <w:r>
        <w:rPr>
          <w:sz w:val="16"/>
          <w:szCs w:val="16"/>
        </w:rPr>
        <w:t>of the Securities Exchange Act of 1934 during the preceding 12 months (or for such shorter period that the registrant was required to file such reports), and (2) has been subject to such filing requirements for the past 90 days.</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2075856399"/>
          <w:trHeight w:val="20"/>
        </w:trPr>
        <w:tc>
          <w:tcPr>
            <w:tcW w:w="2500" w:type="pct"/>
            <w:tcMar>
              <w:top w:w="0" w:type="dxa"/>
              <w:left w:w="0" w:type="dxa"/>
              <w:bottom w:w="0" w:type="dxa"/>
              <w:right w:w="0" w:type="dxa"/>
            </w:tcMar>
            <w:hideMark/>
          </w:tcPr>
          <w:p w:rsidR="00000000" w:rsidRDefault="00DB7886">
            <w:pPr>
              <w:pStyle w:val="a3"/>
              <w:spacing w:before="0" w:beforeAutospacing="0" w:after="0" w:afterAutospacing="0"/>
              <w:divId w:val="1605459193"/>
              <w:rPr>
                <w:sz w:val="20"/>
                <w:szCs w:val="20"/>
              </w:rPr>
            </w:pPr>
            <w:r>
              <w:rPr>
                <w:sz w:val="2"/>
                <w:szCs w:val="2"/>
              </w:rPr>
              <w:t>​</w:t>
            </w:r>
          </w:p>
        </w:tc>
        <w:tc>
          <w:tcPr>
            <w:tcW w:w="2500" w:type="pct"/>
            <w:tcMar>
              <w:top w:w="0" w:type="dxa"/>
              <w:left w:w="0" w:type="dxa"/>
              <w:bottom w:w="0" w:type="dxa"/>
              <w:right w:w="0" w:type="dxa"/>
            </w:tcMar>
            <w:hideMark/>
          </w:tcPr>
          <w:p w:rsidR="00000000" w:rsidRDefault="00DB7886">
            <w:pPr>
              <w:pStyle w:val="a3"/>
              <w:spacing w:before="0" w:beforeAutospacing="0" w:after="0" w:afterAutospacing="0"/>
              <w:divId w:val="1739816852"/>
              <w:rPr>
                <w:sz w:val="20"/>
                <w:szCs w:val="20"/>
              </w:rPr>
            </w:pPr>
            <w:r>
              <w:rPr>
                <w:sz w:val="2"/>
                <w:szCs w:val="2"/>
              </w:rPr>
              <w:t>​</w:t>
            </w:r>
          </w:p>
        </w:tc>
      </w:tr>
      <w:tr w:rsidR="00000000">
        <w:trPr>
          <w:divId w:val="2075856399"/>
        </w:trPr>
        <w:tc>
          <w:tcPr>
            <w:tcW w:w="2500" w:type="pct"/>
            <w:tcMar>
              <w:top w:w="0" w:type="dxa"/>
              <w:left w:w="0" w:type="dxa"/>
              <w:bottom w:w="0" w:type="dxa"/>
              <w:right w:w="0" w:type="dxa"/>
            </w:tcMar>
            <w:hideMark/>
          </w:tcPr>
          <w:p w:rsidR="00000000" w:rsidRDefault="00DB7886">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c>
          <w:tcPr>
            <w:tcW w:w="2500" w:type="pct"/>
            <w:tcMar>
              <w:top w:w="0" w:type="dxa"/>
              <w:left w:w="0" w:type="dxa"/>
              <w:bottom w:w="0" w:type="dxa"/>
              <w:right w:w="0" w:type="dxa"/>
            </w:tcMar>
            <w:hideMark/>
          </w:tcPr>
          <w:p w:rsidR="00000000" w:rsidRDefault="00DB7886">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r>
    </w:tbl>
    <w:p w:rsidR="00000000" w:rsidRDefault="00DB7886">
      <w:pPr>
        <w:pStyle w:val="a3"/>
        <w:spacing w:before="0" w:beforeAutospacing="0" w:after="0" w:afterAutospacing="0"/>
        <w:divId w:val="2075856399"/>
        <w:rPr>
          <w:sz w:val="20"/>
          <w:szCs w:val="20"/>
        </w:rPr>
      </w:pPr>
      <w:r>
        <w:rPr>
          <w:sz w:val="20"/>
          <w:szCs w:val="20"/>
        </w:rPr>
        <w:t>​</w:t>
      </w:r>
    </w:p>
    <w:p w:rsidR="00000000" w:rsidRDefault="00DB7886">
      <w:pPr>
        <w:pStyle w:val="a3"/>
        <w:spacing w:before="0" w:beforeAutospacing="0" w:after="120" w:afterAutospacing="0"/>
        <w:divId w:val="2075856399"/>
        <w:rPr>
          <w:sz w:val="16"/>
          <w:szCs w:val="16"/>
        </w:rPr>
      </w:pPr>
      <w:r>
        <w:rPr>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16"/>
          <w:szCs w:val="16"/>
        </w:rPr>
        <w:t>t the registrant was required to submit such files).</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2075856399"/>
          <w:trHeight w:val="20"/>
        </w:trPr>
        <w:tc>
          <w:tcPr>
            <w:tcW w:w="2500" w:type="pct"/>
            <w:tcMar>
              <w:top w:w="0" w:type="dxa"/>
              <w:left w:w="0" w:type="dxa"/>
              <w:bottom w:w="0" w:type="dxa"/>
              <w:right w:w="0" w:type="dxa"/>
            </w:tcMar>
            <w:hideMark/>
          </w:tcPr>
          <w:p w:rsidR="00000000" w:rsidRDefault="00DB7886">
            <w:pPr>
              <w:pStyle w:val="a3"/>
              <w:spacing w:before="0" w:beforeAutospacing="0" w:after="0" w:afterAutospacing="0"/>
              <w:divId w:val="1976521702"/>
              <w:rPr>
                <w:sz w:val="20"/>
                <w:szCs w:val="20"/>
              </w:rPr>
            </w:pPr>
            <w:r>
              <w:rPr>
                <w:sz w:val="2"/>
                <w:szCs w:val="2"/>
              </w:rPr>
              <w:t>​</w:t>
            </w:r>
          </w:p>
        </w:tc>
        <w:tc>
          <w:tcPr>
            <w:tcW w:w="2500" w:type="pct"/>
            <w:tcMar>
              <w:top w:w="0" w:type="dxa"/>
              <w:left w:w="0" w:type="dxa"/>
              <w:bottom w:w="0" w:type="dxa"/>
              <w:right w:w="0" w:type="dxa"/>
            </w:tcMar>
            <w:hideMark/>
          </w:tcPr>
          <w:p w:rsidR="00000000" w:rsidRDefault="00DB7886">
            <w:pPr>
              <w:pStyle w:val="a3"/>
              <w:spacing w:before="0" w:beforeAutospacing="0" w:after="0" w:afterAutospacing="0"/>
              <w:divId w:val="292640093"/>
              <w:rPr>
                <w:sz w:val="20"/>
                <w:szCs w:val="20"/>
              </w:rPr>
            </w:pPr>
            <w:r>
              <w:rPr>
                <w:sz w:val="2"/>
                <w:szCs w:val="2"/>
              </w:rPr>
              <w:t>​</w:t>
            </w:r>
          </w:p>
        </w:tc>
      </w:tr>
      <w:tr w:rsidR="00000000">
        <w:trPr>
          <w:divId w:val="2075856399"/>
        </w:trPr>
        <w:tc>
          <w:tcPr>
            <w:tcW w:w="2500" w:type="pct"/>
            <w:tcMar>
              <w:top w:w="0" w:type="dxa"/>
              <w:left w:w="0" w:type="dxa"/>
              <w:bottom w:w="0" w:type="dxa"/>
              <w:right w:w="0" w:type="dxa"/>
            </w:tcMar>
            <w:hideMark/>
          </w:tcPr>
          <w:p w:rsidR="00000000" w:rsidRDefault="00DB7886">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c>
          <w:tcPr>
            <w:tcW w:w="2500" w:type="pct"/>
            <w:tcMar>
              <w:top w:w="0" w:type="dxa"/>
              <w:left w:w="0" w:type="dxa"/>
              <w:bottom w:w="0" w:type="dxa"/>
              <w:right w:w="0" w:type="dxa"/>
            </w:tcMar>
            <w:hideMark/>
          </w:tcPr>
          <w:p w:rsidR="00000000" w:rsidRDefault="00DB7886">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r>
    </w:tbl>
    <w:p w:rsidR="00000000" w:rsidRDefault="00DB7886">
      <w:pPr>
        <w:pStyle w:val="a3"/>
        <w:spacing w:before="0" w:beforeAutospacing="0" w:after="0" w:afterAutospacing="0"/>
        <w:divId w:val="2075856399"/>
        <w:rPr>
          <w:sz w:val="20"/>
          <w:szCs w:val="20"/>
        </w:rPr>
      </w:pPr>
      <w:r>
        <w:rPr>
          <w:sz w:val="16"/>
          <w:szCs w:val="16"/>
        </w:rPr>
        <w:t>​</w:t>
      </w:r>
    </w:p>
    <w:p w:rsidR="00000000" w:rsidRDefault="00DB7886">
      <w:pPr>
        <w:pStyle w:val="a3"/>
        <w:spacing w:before="0" w:beforeAutospacing="0" w:after="0" w:afterAutospacing="0"/>
        <w:divId w:val="2075856399"/>
        <w:rPr>
          <w:sz w:val="16"/>
          <w:szCs w:val="16"/>
        </w:rPr>
      </w:pPr>
      <w:r>
        <w:rPr>
          <w:sz w:val="16"/>
          <w:szCs w:val="16"/>
        </w:rPr>
        <w:lastRenderedPageBreak/>
        <w:t>Indicate by check mark whether the registrant is a large accelerated filer, an accelerated filer, a non-accelerated filer, a smaller reporting company or an emerging growth company. See the definitions of “large accelerated filer,” “accelerated filer,” “sm</w:t>
      </w:r>
      <w:r>
        <w:rPr>
          <w:sz w:val="16"/>
          <w:szCs w:val="16"/>
        </w:rPr>
        <w:t>aller reporting company” and “emerging growth company” in Rule 12b-2 of the Exchange Act (Check One):</w:t>
      </w:r>
    </w:p>
    <w:tbl>
      <w:tblPr>
        <w:tblW w:w="5000" w:type="pct"/>
        <w:tblCellMar>
          <w:top w:w="15" w:type="dxa"/>
          <w:left w:w="0" w:type="dxa"/>
          <w:bottom w:w="15" w:type="dxa"/>
          <w:right w:w="43" w:type="dxa"/>
        </w:tblCellMar>
        <w:tblLook w:val="04A0" w:firstRow="1" w:lastRow="0" w:firstColumn="1" w:lastColumn="0" w:noHBand="0" w:noVBand="1"/>
      </w:tblPr>
      <w:tblGrid>
        <w:gridCol w:w="1910"/>
        <w:gridCol w:w="275"/>
        <w:gridCol w:w="1764"/>
        <w:gridCol w:w="277"/>
        <w:gridCol w:w="138"/>
        <w:gridCol w:w="1686"/>
        <w:gridCol w:w="274"/>
        <w:gridCol w:w="1661"/>
        <w:gridCol w:w="321"/>
      </w:tblGrid>
      <w:tr w:rsidR="00000000">
        <w:trPr>
          <w:divId w:val="2075856399"/>
          <w:trHeight w:val="20"/>
        </w:trPr>
        <w:tc>
          <w:tcPr>
            <w:tcW w:w="1149" w:type="pct"/>
            <w:tcMar>
              <w:top w:w="0" w:type="dxa"/>
              <w:left w:w="0" w:type="dxa"/>
              <w:bottom w:w="0" w:type="dxa"/>
              <w:right w:w="43" w:type="dxa"/>
            </w:tcMar>
            <w:vAlign w:val="bottom"/>
            <w:hideMark/>
          </w:tcPr>
          <w:p w:rsidR="00000000" w:rsidRDefault="00DB7886">
            <w:pPr>
              <w:rPr>
                <w:sz w:val="16"/>
                <w:szCs w:val="16"/>
              </w:rPr>
            </w:pPr>
          </w:p>
        </w:tc>
        <w:tc>
          <w:tcPr>
            <w:tcW w:w="165" w:type="pct"/>
            <w:tcMar>
              <w:top w:w="0" w:type="dxa"/>
              <w:left w:w="0" w:type="dxa"/>
              <w:bottom w:w="0" w:type="dxa"/>
              <w:right w:w="43" w:type="dxa"/>
            </w:tcMar>
            <w:vAlign w:val="bottom"/>
            <w:hideMark/>
          </w:tcPr>
          <w:p w:rsidR="00000000" w:rsidRDefault="00DB7886">
            <w:pPr>
              <w:rPr>
                <w:rFonts w:eastAsia="Times New Roman"/>
                <w:sz w:val="20"/>
                <w:szCs w:val="20"/>
              </w:rPr>
            </w:pPr>
          </w:p>
        </w:tc>
        <w:tc>
          <w:tcPr>
            <w:tcW w:w="1061" w:type="pct"/>
            <w:tcMar>
              <w:top w:w="0" w:type="dxa"/>
              <w:left w:w="0" w:type="dxa"/>
              <w:bottom w:w="0" w:type="dxa"/>
              <w:right w:w="43" w:type="dxa"/>
            </w:tcMar>
            <w:vAlign w:val="bottom"/>
            <w:hideMark/>
          </w:tcPr>
          <w:p w:rsidR="00000000" w:rsidRDefault="00DB7886">
            <w:pPr>
              <w:rPr>
                <w:rFonts w:eastAsia="Times New Roman"/>
                <w:sz w:val="20"/>
                <w:szCs w:val="20"/>
              </w:rPr>
            </w:pPr>
          </w:p>
        </w:tc>
        <w:tc>
          <w:tcPr>
            <w:tcW w:w="165" w:type="pct"/>
            <w:tcMar>
              <w:top w:w="0" w:type="dxa"/>
              <w:left w:w="0" w:type="dxa"/>
              <w:bottom w:w="0" w:type="dxa"/>
              <w:right w:w="43" w:type="dxa"/>
            </w:tcMar>
            <w:vAlign w:val="bottom"/>
            <w:hideMark/>
          </w:tcPr>
          <w:p w:rsidR="00000000" w:rsidRDefault="00DB7886">
            <w:pPr>
              <w:rPr>
                <w:rFonts w:eastAsia="Times New Roman"/>
                <w:sz w:val="20"/>
                <w:szCs w:val="20"/>
              </w:rPr>
            </w:pPr>
          </w:p>
        </w:tc>
        <w:tc>
          <w:tcPr>
            <w:tcW w:w="83" w:type="pct"/>
            <w:tcMar>
              <w:top w:w="0" w:type="dxa"/>
              <w:left w:w="0" w:type="dxa"/>
              <w:bottom w:w="0" w:type="dxa"/>
              <w:right w:w="43" w:type="dxa"/>
            </w:tcMar>
            <w:hideMark/>
          </w:tcPr>
          <w:p w:rsidR="00000000" w:rsidRDefault="00DB7886">
            <w:pPr>
              <w:pStyle w:val="a3"/>
              <w:spacing w:before="0" w:beforeAutospacing="0" w:after="0" w:afterAutospacing="0"/>
              <w:divId w:val="83840214"/>
              <w:rPr>
                <w:sz w:val="20"/>
                <w:szCs w:val="20"/>
              </w:rPr>
            </w:pPr>
            <w:r>
              <w:rPr>
                <w:sz w:val="2"/>
                <w:szCs w:val="2"/>
              </w:rPr>
              <w:t>​</w:t>
            </w:r>
          </w:p>
        </w:tc>
        <w:tc>
          <w:tcPr>
            <w:tcW w:w="1015" w:type="pct"/>
            <w:tcMar>
              <w:top w:w="0" w:type="dxa"/>
              <w:left w:w="0" w:type="dxa"/>
              <w:bottom w:w="0" w:type="dxa"/>
              <w:right w:w="43" w:type="dxa"/>
            </w:tcMar>
            <w:vAlign w:val="bottom"/>
            <w:hideMark/>
          </w:tcPr>
          <w:p w:rsidR="00000000" w:rsidRDefault="00DB7886">
            <w:pPr>
              <w:rPr>
                <w:sz w:val="20"/>
                <w:szCs w:val="20"/>
              </w:rPr>
            </w:pPr>
          </w:p>
        </w:tc>
        <w:tc>
          <w:tcPr>
            <w:tcW w:w="165" w:type="pct"/>
            <w:tcMar>
              <w:top w:w="0" w:type="dxa"/>
              <w:left w:w="0" w:type="dxa"/>
              <w:bottom w:w="0" w:type="dxa"/>
              <w:right w:w="43" w:type="dxa"/>
            </w:tcMar>
            <w:vAlign w:val="bottom"/>
            <w:hideMark/>
          </w:tcPr>
          <w:p w:rsidR="00000000" w:rsidRDefault="00DB7886">
            <w:pPr>
              <w:rPr>
                <w:rFonts w:eastAsia="Times New Roman"/>
                <w:sz w:val="20"/>
                <w:szCs w:val="20"/>
              </w:rPr>
            </w:pPr>
          </w:p>
        </w:tc>
        <w:tc>
          <w:tcPr>
            <w:tcW w:w="1000" w:type="pct"/>
            <w:tcMar>
              <w:top w:w="0" w:type="dxa"/>
              <w:left w:w="0" w:type="dxa"/>
              <w:bottom w:w="0" w:type="dxa"/>
              <w:right w:w="43" w:type="dxa"/>
            </w:tcMar>
            <w:vAlign w:val="bottom"/>
            <w:hideMark/>
          </w:tcPr>
          <w:p w:rsidR="00000000" w:rsidRDefault="00DB7886">
            <w:pPr>
              <w:rPr>
                <w:rFonts w:eastAsia="Times New Roman"/>
                <w:sz w:val="20"/>
                <w:szCs w:val="20"/>
              </w:rPr>
            </w:pPr>
          </w:p>
        </w:tc>
        <w:tc>
          <w:tcPr>
            <w:tcW w:w="192" w:type="pct"/>
            <w:tcMar>
              <w:top w:w="0" w:type="dxa"/>
              <w:left w:w="0" w:type="dxa"/>
              <w:bottom w:w="0" w:type="dxa"/>
              <w:right w:w="43" w:type="dxa"/>
            </w:tcMar>
            <w:vAlign w:val="bottom"/>
            <w:hideMark/>
          </w:tcPr>
          <w:p w:rsidR="00000000" w:rsidRDefault="00DB7886">
            <w:pPr>
              <w:rPr>
                <w:rFonts w:eastAsia="Times New Roman"/>
                <w:sz w:val="20"/>
                <w:szCs w:val="20"/>
              </w:rPr>
            </w:pPr>
          </w:p>
        </w:tc>
      </w:tr>
      <w:tr w:rsidR="00000000">
        <w:trPr>
          <w:divId w:val="2075856399"/>
        </w:trPr>
        <w:tc>
          <w:tcPr>
            <w:tcW w:w="2542" w:type="pct"/>
            <w:gridSpan w:val="4"/>
            <w:tcMar>
              <w:top w:w="0" w:type="dxa"/>
              <w:left w:w="0" w:type="dxa"/>
              <w:bottom w:w="0" w:type="dxa"/>
              <w:right w:w="43" w:type="dxa"/>
            </w:tcMar>
            <w:vAlign w:val="bottom"/>
            <w:hideMark/>
          </w:tcPr>
          <w:p w:rsidR="00000000" w:rsidRDefault="00DB7886">
            <w:pPr>
              <w:pStyle w:val="a3"/>
              <w:spacing w:before="0" w:beforeAutospacing="0" w:after="0" w:afterAutospacing="0"/>
              <w:jc w:val="center"/>
              <w:rPr>
                <w:sz w:val="16"/>
                <w:szCs w:val="16"/>
              </w:rPr>
            </w:pPr>
            <w:r>
              <w:rPr>
                <w:sz w:val="16"/>
                <w:szCs w:val="16"/>
                <w:u w:val="single"/>
              </w:rPr>
              <w:t>Icahn Enterprises L.</w:t>
            </w:r>
            <w:r>
              <w:rPr>
                <w:sz w:val="16"/>
                <w:szCs w:val="16"/>
                <w:u w:val="single"/>
              </w:rPr>
              <w:t>P</w:t>
            </w:r>
          </w:p>
        </w:tc>
        <w:tc>
          <w:tcPr>
            <w:tcW w:w="83" w:type="pct"/>
            <w:tcMar>
              <w:top w:w="0" w:type="dxa"/>
              <w:left w:w="0" w:type="dxa"/>
              <w:bottom w:w="0" w:type="dxa"/>
              <w:right w:w="43" w:type="dxa"/>
            </w:tcMar>
            <w:hideMark/>
          </w:tcPr>
          <w:p w:rsidR="00000000" w:rsidRDefault="00DB7886">
            <w:pPr>
              <w:pStyle w:val="a3"/>
              <w:spacing w:before="0" w:beforeAutospacing="0" w:after="0" w:afterAutospacing="0"/>
              <w:ind w:left="-30" w:firstLine="30"/>
              <w:rPr>
                <w:sz w:val="20"/>
                <w:szCs w:val="20"/>
              </w:rPr>
            </w:pPr>
            <w:r>
              <w:rPr>
                <w:sz w:val="16"/>
                <w:szCs w:val="16"/>
              </w:rPr>
              <w:t>​</w:t>
            </w:r>
          </w:p>
        </w:tc>
        <w:tc>
          <w:tcPr>
            <w:tcW w:w="2373" w:type="pct"/>
            <w:gridSpan w:val="4"/>
            <w:tcMar>
              <w:top w:w="0" w:type="dxa"/>
              <w:left w:w="0" w:type="dxa"/>
              <w:bottom w:w="0" w:type="dxa"/>
              <w:right w:w="43" w:type="dxa"/>
            </w:tcMar>
            <w:vAlign w:val="bottom"/>
            <w:hideMark/>
          </w:tcPr>
          <w:p w:rsidR="00000000" w:rsidRDefault="00DB7886">
            <w:pPr>
              <w:pStyle w:val="a3"/>
              <w:spacing w:before="0" w:beforeAutospacing="0" w:after="0" w:afterAutospacing="0"/>
              <w:jc w:val="center"/>
              <w:rPr>
                <w:sz w:val="16"/>
                <w:szCs w:val="16"/>
              </w:rPr>
            </w:pPr>
            <w:r>
              <w:rPr>
                <w:sz w:val="16"/>
                <w:szCs w:val="16"/>
                <w:u w:val="single"/>
              </w:rPr>
              <w:t>Icahn Enterprises Holdings L.P</w:t>
            </w:r>
            <w:r>
              <w:rPr>
                <w:sz w:val="16"/>
                <w:szCs w:val="16"/>
                <w:u w:val="single"/>
              </w:rPr>
              <w:t>.</w:t>
            </w:r>
          </w:p>
        </w:tc>
      </w:tr>
      <w:tr w:rsidR="00000000">
        <w:trPr>
          <w:divId w:val="2075856399"/>
        </w:trPr>
        <w:tc>
          <w:tcPr>
            <w:tcW w:w="1149" w:type="pct"/>
            <w:tcMar>
              <w:top w:w="0" w:type="dxa"/>
              <w:left w:w="0" w:type="dxa"/>
              <w:bottom w:w="0" w:type="dxa"/>
              <w:right w:w="43" w:type="dxa"/>
            </w:tcMar>
            <w:vAlign w:val="bottom"/>
            <w:hideMark/>
          </w:tcPr>
          <w:p w:rsidR="00000000" w:rsidRDefault="00DB7886">
            <w:pPr>
              <w:pStyle w:val="a3"/>
              <w:spacing w:before="0" w:beforeAutospacing="0" w:after="0" w:afterAutospacing="0"/>
              <w:jc w:val="right"/>
              <w:rPr>
                <w:sz w:val="20"/>
                <w:szCs w:val="20"/>
              </w:rPr>
            </w:pPr>
            <w:r>
              <w:rPr>
                <w:sz w:val="16"/>
                <w:szCs w:val="16"/>
              </w:rPr>
              <w:t>Large Accelerated Filer</w:t>
            </w:r>
          </w:p>
        </w:tc>
        <w:tc>
          <w:tcPr>
            <w:tcW w:w="165" w:type="pct"/>
            <w:tcMar>
              <w:top w:w="0" w:type="dxa"/>
              <w:left w:w="0" w:type="dxa"/>
              <w:bottom w:w="0" w:type="dxa"/>
              <w:right w:w="43" w:type="dxa"/>
            </w:tcMar>
            <w:vAlign w:val="bottom"/>
            <w:hideMark/>
          </w:tcPr>
          <w:p w:rsidR="00000000" w:rsidRDefault="00DB7886">
            <w:pPr>
              <w:pStyle w:val="a3"/>
              <w:spacing w:before="0" w:beforeAutospacing="0" w:after="0" w:afterAutospacing="0"/>
              <w:jc w:val="center"/>
              <w:rPr>
                <w:sz w:val="16"/>
                <w:szCs w:val="16"/>
              </w:rPr>
            </w:pPr>
            <w:r>
              <w:rPr>
                <w:rFonts w:ascii="Segoe UI Symbol" w:hAnsi="Segoe UI Symbol"/>
                <w:sz w:val="16"/>
                <w:szCs w:val="16"/>
              </w:rPr>
              <w:t>☒</w:t>
            </w:r>
          </w:p>
        </w:tc>
        <w:tc>
          <w:tcPr>
            <w:tcW w:w="1061" w:type="pct"/>
            <w:tcMar>
              <w:top w:w="0" w:type="dxa"/>
              <w:left w:w="0" w:type="dxa"/>
              <w:bottom w:w="0" w:type="dxa"/>
              <w:right w:w="43" w:type="dxa"/>
            </w:tcMar>
            <w:vAlign w:val="bottom"/>
            <w:hideMark/>
          </w:tcPr>
          <w:p w:rsidR="00000000" w:rsidRDefault="00DB7886">
            <w:pPr>
              <w:pStyle w:val="a3"/>
              <w:spacing w:before="0" w:beforeAutospacing="0" w:after="0" w:afterAutospacing="0"/>
              <w:jc w:val="right"/>
              <w:rPr>
                <w:sz w:val="16"/>
                <w:szCs w:val="16"/>
              </w:rPr>
            </w:pPr>
            <w:r>
              <w:rPr>
                <w:sz w:val="16"/>
                <w:szCs w:val="16"/>
              </w:rPr>
              <w:t>Accelerated Filer</w:t>
            </w:r>
          </w:p>
        </w:tc>
        <w:tc>
          <w:tcPr>
            <w:tcW w:w="165" w:type="pct"/>
            <w:tcMar>
              <w:top w:w="0" w:type="dxa"/>
              <w:left w:w="0" w:type="dxa"/>
              <w:bottom w:w="0" w:type="dxa"/>
              <w:right w:w="43" w:type="dxa"/>
            </w:tcMar>
            <w:vAlign w:val="bottom"/>
            <w:hideMark/>
          </w:tcPr>
          <w:p w:rsidR="00000000" w:rsidRDefault="00DB7886">
            <w:pPr>
              <w:pStyle w:val="a3"/>
              <w:spacing w:before="0" w:beforeAutospacing="0" w:after="0" w:afterAutospacing="0"/>
              <w:jc w:val="center"/>
              <w:rPr>
                <w:sz w:val="16"/>
                <w:szCs w:val="16"/>
              </w:rPr>
            </w:pPr>
            <w:r>
              <w:rPr>
                <w:rFonts w:ascii="Segoe UI Symbol" w:hAnsi="Segoe UI Symbol"/>
                <w:sz w:val="16"/>
                <w:szCs w:val="16"/>
              </w:rPr>
              <w:t>☐</w:t>
            </w:r>
          </w:p>
        </w:tc>
        <w:tc>
          <w:tcPr>
            <w:tcW w:w="83" w:type="pct"/>
            <w:tcMar>
              <w:top w:w="0" w:type="dxa"/>
              <w:left w:w="0" w:type="dxa"/>
              <w:bottom w:w="0" w:type="dxa"/>
              <w:right w:w="43" w:type="dxa"/>
            </w:tcMar>
            <w:hideMark/>
          </w:tcPr>
          <w:p w:rsidR="00000000" w:rsidRDefault="00DB7886">
            <w:pPr>
              <w:pStyle w:val="a3"/>
              <w:spacing w:before="0" w:beforeAutospacing="0" w:after="0" w:afterAutospacing="0"/>
              <w:rPr>
                <w:sz w:val="20"/>
                <w:szCs w:val="20"/>
              </w:rPr>
            </w:pPr>
            <w:r>
              <w:rPr>
                <w:sz w:val="16"/>
                <w:szCs w:val="16"/>
              </w:rPr>
              <w:t>​</w:t>
            </w:r>
          </w:p>
        </w:tc>
        <w:tc>
          <w:tcPr>
            <w:tcW w:w="1015" w:type="pct"/>
            <w:tcMar>
              <w:top w:w="0" w:type="dxa"/>
              <w:left w:w="0" w:type="dxa"/>
              <w:bottom w:w="0" w:type="dxa"/>
              <w:right w:w="43" w:type="dxa"/>
            </w:tcMar>
            <w:vAlign w:val="bottom"/>
            <w:hideMark/>
          </w:tcPr>
          <w:p w:rsidR="00000000" w:rsidRDefault="00DB7886">
            <w:pPr>
              <w:pStyle w:val="a3"/>
              <w:spacing w:before="0" w:beforeAutospacing="0" w:after="0" w:afterAutospacing="0"/>
              <w:jc w:val="right"/>
              <w:rPr>
                <w:sz w:val="16"/>
                <w:szCs w:val="16"/>
              </w:rPr>
            </w:pPr>
            <w:r>
              <w:rPr>
                <w:sz w:val="16"/>
                <w:szCs w:val="16"/>
              </w:rPr>
              <w:t>Large Accelerated Filer</w:t>
            </w:r>
          </w:p>
        </w:tc>
        <w:tc>
          <w:tcPr>
            <w:tcW w:w="165" w:type="pct"/>
            <w:tcMar>
              <w:top w:w="0" w:type="dxa"/>
              <w:left w:w="0" w:type="dxa"/>
              <w:bottom w:w="0" w:type="dxa"/>
              <w:right w:w="43" w:type="dxa"/>
            </w:tcMar>
            <w:vAlign w:val="bottom"/>
            <w:hideMark/>
          </w:tcPr>
          <w:p w:rsidR="00000000" w:rsidRDefault="00DB7886">
            <w:pPr>
              <w:pStyle w:val="a3"/>
              <w:spacing w:before="0" w:beforeAutospacing="0" w:after="0" w:afterAutospacing="0"/>
              <w:jc w:val="center"/>
              <w:rPr>
                <w:sz w:val="16"/>
                <w:szCs w:val="16"/>
              </w:rPr>
            </w:pPr>
            <w:r>
              <w:rPr>
                <w:rFonts w:ascii="Segoe UI Symbol" w:hAnsi="Segoe UI Symbol"/>
                <w:sz w:val="16"/>
                <w:szCs w:val="16"/>
              </w:rPr>
              <w:t>☐</w:t>
            </w:r>
          </w:p>
        </w:tc>
        <w:tc>
          <w:tcPr>
            <w:tcW w:w="1000" w:type="pct"/>
            <w:tcMar>
              <w:top w:w="0" w:type="dxa"/>
              <w:left w:w="0" w:type="dxa"/>
              <w:bottom w:w="0" w:type="dxa"/>
              <w:right w:w="43" w:type="dxa"/>
            </w:tcMar>
            <w:vAlign w:val="bottom"/>
            <w:hideMark/>
          </w:tcPr>
          <w:p w:rsidR="00000000" w:rsidRDefault="00DB7886">
            <w:pPr>
              <w:pStyle w:val="a3"/>
              <w:spacing w:before="0" w:beforeAutospacing="0" w:after="0" w:afterAutospacing="0"/>
              <w:jc w:val="right"/>
              <w:rPr>
                <w:sz w:val="16"/>
                <w:szCs w:val="16"/>
              </w:rPr>
            </w:pPr>
            <w:r>
              <w:rPr>
                <w:sz w:val="16"/>
                <w:szCs w:val="16"/>
              </w:rPr>
              <w:t>Accelerated Filer</w:t>
            </w:r>
          </w:p>
        </w:tc>
        <w:tc>
          <w:tcPr>
            <w:tcW w:w="192" w:type="pct"/>
            <w:tcMar>
              <w:top w:w="0" w:type="dxa"/>
              <w:left w:w="0" w:type="dxa"/>
              <w:bottom w:w="0" w:type="dxa"/>
              <w:right w:w="43" w:type="dxa"/>
            </w:tcMar>
            <w:vAlign w:val="bottom"/>
            <w:hideMark/>
          </w:tcPr>
          <w:p w:rsidR="00000000" w:rsidRDefault="00DB7886">
            <w:pPr>
              <w:pStyle w:val="a3"/>
              <w:spacing w:before="0" w:beforeAutospacing="0" w:after="0" w:afterAutospacing="0"/>
              <w:jc w:val="center"/>
              <w:rPr>
                <w:sz w:val="16"/>
                <w:szCs w:val="16"/>
              </w:rPr>
            </w:pPr>
            <w:r>
              <w:rPr>
                <w:rFonts w:ascii="Segoe UI Symbol" w:hAnsi="Segoe UI Symbol"/>
                <w:sz w:val="16"/>
                <w:szCs w:val="16"/>
              </w:rPr>
              <w:t>☐</w:t>
            </w:r>
          </w:p>
        </w:tc>
      </w:tr>
      <w:tr w:rsidR="00000000">
        <w:trPr>
          <w:divId w:val="2075856399"/>
        </w:trPr>
        <w:tc>
          <w:tcPr>
            <w:tcW w:w="1149" w:type="pct"/>
            <w:tcMar>
              <w:top w:w="0" w:type="dxa"/>
              <w:left w:w="0" w:type="dxa"/>
              <w:bottom w:w="0" w:type="dxa"/>
              <w:right w:w="43" w:type="dxa"/>
            </w:tcMar>
            <w:vAlign w:val="bottom"/>
            <w:hideMark/>
          </w:tcPr>
          <w:p w:rsidR="00000000" w:rsidRDefault="00DB7886">
            <w:pPr>
              <w:pStyle w:val="a3"/>
              <w:spacing w:before="0" w:beforeAutospacing="0" w:after="0" w:afterAutospacing="0"/>
              <w:jc w:val="right"/>
              <w:rPr>
                <w:sz w:val="16"/>
                <w:szCs w:val="16"/>
              </w:rPr>
            </w:pPr>
            <w:r>
              <w:rPr>
                <w:sz w:val="16"/>
                <w:szCs w:val="16"/>
              </w:rPr>
              <w:t>Non-accelerated Filer</w:t>
            </w:r>
          </w:p>
        </w:tc>
        <w:tc>
          <w:tcPr>
            <w:tcW w:w="165" w:type="pct"/>
            <w:tcMar>
              <w:top w:w="0" w:type="dxa"/>
              <w:left w:w="0" w:type="dxa"/>
              <w:bottom w:w="0" w:type="dxa"/>
              <w:right w:w="43" w:type="dxa"/>
            </w:tcMar>
            <w:vAlign w:val="bottom"/>
            <w:hideMark/>
          </w:tcPr>
          <w:p w:rsidR="00000000" w:rsidRDefault="00DB7886">
            <w:pPr>
              <w:pStyle w:val="a3"/>
              <w:spacing w:before="0" w:beforeAutospacing="0" w:after="0" w:afterAutospacing="0"/>
              <w:jc w:val="center"/>
              <w:rPr>
                <w:sz w:val="16"/>
                <w:szCs w:val="16"/>
              </w:rPr>
            </w:pPr>
            <w:r>
              <w:rPr>
                <w:rFonts w:ascii="Segoe UI Symbol" w:hAnsi="Segoe UI Symbol"/>
                <w:sz w:val="16"/>
                <w:szCs w:val="16"/>
              </w:rPr>
              <w:t>☐</w:t>
            </w:r>
          </w:p>
        </w:tc>
        <w:tc>
          <w:tcPr>
            <w:tcW w:w="1061" w:type="pct"/>
            <w:tcMar>
              <w:top w:w="0" w:type="dxa"/>
              <w:left w:w="0" w:type="dxa"/>
              <w:bottom w:w="0" w:type="dxa"/>
              <w:right w:w="43" w:type="dxa"/>
            </w:tcMar>
            <w:vAlign w:val="bottom"/>
            <w:hideMark/>
          </w:tcPr>
          <w:p w:rsidR="00000000" w:rsidRDefault="00DB7886">
            <w:pPr>
              <w:pStyle w:val="a3"/>
              <w:spacing w:before="0" w:beforeAutospacing="0" w:after="0" w:afterAutospacing="0"/>
              <w:jc w:val="right"/>
              <w:rPr>
                <w:sz w:val="16"/>
                <w:szCs w:val="16"/>
              </w:rPr>
            </w:pPr>
            <w:r>
              <w:rPr>
                <w:sz w:val="16"/>
                <w:szCs w:val="16"/>
              </w:rPr>
              <w:t>Smaller Reporting Company</w:t>
            </w:r>
          </w:p>
        </w:tc>
        <w:tc>
          <w:tcPr>
            <w:tcW w:w="165" w:type="pct"/>
            <w:tcMar>
              <w:top w:w="0" w:type="dxa"/>
              <w:left w:w="0" w:type="dxa"/>
              <w:bottom w:w="0" w:type="dxa"/>
              <w:right w:w="43" w:type="dxa"/>
            </w:tcMar>
            <w:vAlign w:val="bottom"/>
            <w:hideMark/>
          </w:tcPr>
          <w:p w:rsidR="00000000" w:rsidRDefault="00DB7886">
            <w:pPr>
              <w:pStyle w:val="a3"/>
              <w:spacing w:before="0" w:beforeAutospacing="0" w:after="0" w:afterAutospacing="0"/>
              <w:jc w:val="center"/>
              <w:rPr>
                <w:sz w:val="20"/>
                <w:szCs w:val="20"/>
              </w:rPr>
            </w:pPr>
            <w:r>
              <w:rPr>
                <w:rFonts w:ascii="Segoe UI Symbol" w:hAnsi="Segoe UI Symbol"/>
                <w:sz w:val="16"/>
                <w:szCs w:val="16"/>
              </w:rPr>
              <w:t>☐</w:t>
            </w:r>
          </w:p>
        </w:tc>
        <w:tc>
          <w:tcPr>
            <w:tcW w:w="83" w:type="pct"/>
            <w:tcMar>
              <w:top w:w="0" w:type="dxa"/>
              <w:left w:w="0" w:type="dxa"/>
              <w:bottom w:w="0" w:type="dxa"/>
              <w:right w:w="43" w:type="dxa"/>
            </w:tcMar>
            <w:hideMark/>
          </w:tcPr>
          <w:p w:rsidR="00000000" w:rsidRDefault="00DB7886">
            <w:pPr>
              <w:pStyle w:val="a3"/>
              <w:spacing w:before="0" w:beforeAutospacing="0" w:after="0" w:afterAutospacing="0"/>
              <w:rPr>
                <w:sz w:val="20"/>
                <w:szCs w:val="20"/>
              </w:rPr>
            </w:pPr>
            <w:r>
              <w:rPr>
                <w:sz w:val="16"/>
                <w:szCs w:val="16"/>
              </w:rPr>
              <w:t>​</w:t>
            </w:r>
          </w:p>
        </w:tc>
        <w:tc>
          <w:tcPr>
            <w:tcW w:w="1015" w:type="pct"/>
            <w:tcMar>
              <w:top w:w="0" w:type="dxa"/>
              <w:left w:w="0" w:type="dxa"/>
              <w:bottom w:w="0" w:type="dxa"/>
              <w:right w:w="43" w:type="dxa"/>
            </w:tcMar>
            <w:vAlign w:val="bottom"/>
            <w:hideMark/>
          </w:tcPr>
          <w:p w:rsidR="00000000" w:rsidRDefault="00DB7886">
            <w:pPr>
              <w:pStyle w:val="a3"/>
              <w:spacing w:before="0" w:beforeAutospacing="0" w:after="0" w:afterAutospacing="0"/>
              <w:jc w:val="right"/>
              <w:rPr>
                <w:sz w:val="20"/>
                <w:szCs w:val="20"/>
              </w:rPr>
            </w:pPr>
            <w:r>
              <w:rPr>
                <w:sz w:val="16"/>
                <w:szCs w:val="16"/>
              </w:rPr>
              <w:t>Non-accelerated Filer</w:t>
            </w:r>
          </w:p>
        </w:tc>
        <w:tc>
          <w:tcPr>
            <w:tcW w:w="165" w:type="pct"/>
            <w:tcMar>
              <w:top w:w="0" w:type="dxa"/>
              <w:left w:w="0" w:type="dxa"/>
              <w:bottom w:w="0" w:type="dxa"/>
              <w:right w:w="43" w:type="dxa"/>
            </w:tcMar>
            <w:vAlign w:val="bottom"/>
            <w:hideMark/>
          </w:tcPr>
          <w:p w:rsidR="00000000" w:rsidRDefault="00DB7886">
            <w:pPr>
              <w:pStyle w:val="a3"/>
              <w:spacing w:before="0" w:beforeAutospacing="0" w:after="0" w:afterAutospacing="0"/>
              <w:jc w:val="center"/>
              <w:rPr>
                <w:sz w:val="16"/>
                <w:szCs w:val="16"/>
              </w:rPr>
            </w:pPr>
            <w:r>
              <w:rPr>
                <w:rFonts w:ascii="Segoe UI Symbol" w:hAnsi="Segoe UI Symbol"/>
                <w:sz w:val="16"/>
                <w:szCs w:val="16"/>
              </w:rPr>
              <w:t>☒</w:t>
            </w:r>
          </w:p>
        </w:tc>
        <w:tc>
          <w:tcPr>
            <w:tcW w:w="1000" w:type="pct"/>
            <w:tcMar>
              <w:top w:w="0" w:type="dxa"/>
              <w:left w:w="0" w:type="dxa"/>
              <w:bottom w:w="0" w:type="dxa"/>
              <w:right w:w="43" w:type="dxa"/>
            </w:tcMar>
            <w:vAlign w:val="bottom"/>
            <w:hideMark/>
          </w:tcPr>
          <w:p w:rsidR="00000000" w:rsidRDefault="00DB7886">
            <w:pPr>
              <w:pStyle w:val="a3"/>
              <w:spacing w:before="0" w:beforeAutospacing="0" w:after="0" w:afterAutospacing="0"/>
              <w:jc w:val="right"/>
              <w:rPr>
                <w:sz w:val="16"/>
                <w:szCs w:val="16"/>
              </w:rPr>
            </w:pPr>
            <w:r>
              <w:rPr>
                <w:sz w:val="16"/>
                <w:szCs w:val="16"/>
              </w:rPr>
              <w:t>Smaller Reporting Company</w:t>
            </w:r>
          </w:p>
        </w:tc>
        <w:tc>
          <w:tcPr>
            <w:tcW w:w="192" w:type="pct"/>
            <w:tcMar>
              <w:top w:w="0" w:type="dxa"/>
              <w:left w:w="0" w:type="dxa"/>
              <w:bottom w:w="0" w:type="dxa"/>
              <w:right w:w="43" w:type="dxa"/>
            </w:tcMar>
            <w:vAlign w:val="bottom"/>
            <w:hideMark/>
          </w:tcPr>
          <w:p w:rsidR="00000000" w:rsidRDefault="00DB7886">
            <w:pPr>
              <w:pStyle w:val="a3"/>
              <w:spacing w:before="0" w:beforeAutospacing="0" w:after="0" w:afterAutospacing="0"/>
              <w:jc w:val="center"/>
              <w:rPr>
                <w:sz w:val="20"/>
                <w:szCs w:val="20"/>
              </w:rPr>
            </w:pPr>
            <w:r>
              <w:rPr>
                <w:rFonts w:ascii="Segoe UI Symbol" w:hAnsi="Segoe UI Symbol"/>
                <w:sz w:val="16"/>
                <w:szCs w:val="16"/>
              </w:rPr>
              <w:t>☐</w:t>
            </w:r>
          </w:p>
        </w:tc>
      </w:tr>
      <w:tr w:rsidR="00000000">
        <w:trPr>
          <w:divId w:val="2075856399"/>
        </w:trPr>
        <w:tc>
          <w:tcPr>
            <w:tcW w:w="1149" w:type="pct"/>
            <w:tcMar>
              <w:top w:w="0" w:type="dxa"/>
              <w:left w:w="0" w:type="dxa"/>
              <w:bottom w:w="0" w:type="dxa"/>
              <w:right w:w="43" w:type="dxa"/>
            </w:tcMar>
            <w:vAlign w:val="bottom"/>
            <w:hideMark/>
          </w:tcPr>
          <w:p w:rsidR="00000000" w:rsidRDefault="00DB7886">
            <w:pPr>
              <w:pStyle w:val="a3"/>
              <w:spacing w:before="0" w:beforeAutospacing="0" w:after="0" w:afterAutospacing="0"/>
              <w:jc w:val="right"/>
              <w:rPr>
                <w:sz w:val="16"/>
                <w:szCs w:val="16"/>
              </w:rPr>
            </w:pPr>
            <w:r>
              <w:rPr>
                <w:sz w:val="16"/>
                <w:szCs w:val="16"/>
              </w:rPr>
              <w:t>Emerging Growth Company</w:t>
            </w:r>
          </w:p>
        </w:tc>
        <w:tc>
          <w:tcPr>
            <w:tcW w:w="165" w:type="pct"/>
            <w:tcMar>
              <w:top w:w="0" w:type="dxa"/>
              <w:left w:w="0" w:type="dxa"/>
              <w:bottom w:w="0" w:type="dxa"/>
              <w:right w:w="43" w:type="dxa"/>
            </w:tcMar>
            <w:vAlign w:val="bottom"/>
            <w:hideMark/>
          </w:tcPr>
          <w:p w:rsidR="00000000" w:rsidRDefault="00DB7886">
            <w:pPr>
              <w:pStyle w:val="a3"/>
              <w:spacing w:before="0" w:beforeAutospacing="0" w:after="0" w:afterAutospacing="0"/>
              <w:jc w:val="center"/>
              <w:rPr>
                <w:sz w:val="20"/>
                <w:szCs w:val="20"/>
              </w:rPr>
            </w:pPr>
            <w:r>
              <w:rPr>
                <w:rFonts w:ascii="Segoe UI Symbol" w:hAnsi="Segoe UI Symbol"/>
                <w:sz w:val="16"/>
                <w:szCs w:val="16"/>
              </w:rPr>
              <w:t>☐</w:t>
            </w:r>
          </w:p>
        </w:tc>
        <w:tc>
          <w:tcPr>
            <w:tcW w:w="1061" w:type="pct"/>
            <w:tcMar>
              <w:top w:w="0" w:type="dxa"/>
              <w:left w:w="0" w:type="dxa"/>
              <w:bottom w:w="0" w:type="dxa"/>
              <w:right w:w="43" w:type="dxa"/>
            </w:tcMar>
            <w:hideMark/>
          </w:tcPr>
          <w:p w:rsidR="00000000" w:rsidRDefault="00DB7886">
            <w:pPr>
              <w:pStyle w:val="a3"/>
              <w:spacing w:before="0" w:beforeAutospacing="0" w:after="0" w:afterAutospacing="0"/>
              <w:rPr>
                <w:sz w:val="20"/>
                <w:szCs w:val="20"/>
              </w:rPr>
            </w:pPr>
            <w:r>
              <w:rPr>
                <w:sz w:val="16"/>
                <w:szCs w:val="16"/>
              </w:rPr>
              <w:t>​</w:t>
            </w:r>
          </w:p>
        </w:tc>
        <w:tc>
          <w:tcPr>
            <w:tcW w:w="165" w:type="pct"/>
            <w:tcMar>
              <w:top w:w="0" w:type="dxa"/>
              <w:left w:w="0" w:type="dxa"/>
              <w:bottom w:w="0" w:type="dxa"/>
              <w:right w:w="43" w:type="dxa"/>
            </w:tcMar>
            <w:hideMark/>
          </w:tcPr>
          <w:p w:rsidR="00000000" w:rsidRDefault="00DB7886">
            <w:pPr>
              <w:pStyle w:val="a3"/>
              <w:spacing w:before="0" w:beforeAutospacing="0" w:after="0" w:afterAutospacing="0"/>
              <w:rPr>
                <w:sz w:val="20"/>
                <w:szCs w:val="20"/>
              </w:rPr>
            </w:pPr>
            <w:r>
              <w:rPr>
                <w:sz w:val="16"/>
                <w:szCs w:val="16"/>
              </w:rPr>
              <w:t>​</w:t>
            </w:r>
          </w:p>
        </w:tc>
        <w:tc>
          <w:tcPr>
            <w:tcW w:w="83" w:type="pct"/>
            <w:tcMar>
              <w:top w:w="0" w:type="dxa"/>
              <w:left w:w="0" w:type="dxa"/>
              <w:bottom w:w="0" w:type="dxa"/>
              <w:right w:w="43" w:type="dxa"/>
            </w:tcMar>
            <w:hideMark/>
          </w:tcPr>
          <w:p w:rsidR="00000000" w:rsidRDefault="00DB7886">
            <w:pPr>
              <w:pStyle w:val="a3"/>
              <w:spacing w:before="0" w:beforeAutospacing="0" w:after="0" w:afterAutospacing="0"/>
              <w:rPr>
                <w:sz w:val="20"/>
                <w:szCs w:val="20"/>
              </w:rPr>
            </w:pPr>
            <w:r>
              <w:rPr>
                <w:sz w:val="16"/>
                <w:szCs w:val="16"/>
              </w:rPr>
              <w:t>​</w:t>
            </w:r>
          </w:p>
        </w:tc>
        <w:tc>
          <w:tcPr>
            <w:tcW w:w="1015" w:type="pct"/>
            <w:tcMar>
              <w:top w:w="0" w:type="dxa"/>
              <w:left w:w="0" w:type="dxa"/>
              <w:bottom w:w="0" w:type="dxa"/>
              <w:right w:w="43" w:type="dxa"/>
            </w:tcMar>
            <w:vAlign w:val="bottom"/>
            <w:hideMark/>
          </w:tcPr>
          <w:p w:rsidR="00000000" w:rsidRDefault="00DB7886">
            <w:pPr>
              <w:pStyle w:val="a3"/>
              <w:spacing w:before="0" w:beforeAutospacing="0" w:after="0" w:afterAutospacing="0"/>
              <w:jc w:val="right"/>
              <w:rPr>
                <w:sz w:val="16"/>
                <w:szCs w:val="16"/>
              </w:rPr>
            </w:pPr>
            <w:r>
              <w:rPr>
                <w:sz w:val="16"/>
                <w:szCs w:val="16"/>
              </w:rPr>
              <w:t>Emerging Growth Company</w:t>
            </w:r>
          </w:p>
        </w:tc>
        <w:tc>
          <w:tcPr>
            <w:tcW w:w="165" w:type="pct"/>
            <w:tcMar>
              <w:top w:w="0" w:type="dxa"/>
              <w:left w:w="0" w:type="dxa"/>
              <w:bottom w:w="0" w:type="dxa"/>
              <w:right w:w="43" w:type="dxa"/>
            </w:tcMar>
            <w:vAlign w:val="bottom"/>
            <w:hideMark/>
          </w:tcPr>
          <w:p w:rsidR="00000000" w:rsidRDefault="00DB7886">
            <w:pPr>
              <w:pStyle w:val="a3"/>
              <w:spacing w:before="0" w:beforeAutospacing="0" w:after="0" w:afterAutospacing="0"/>
              <w:jc w:val="center"/>
              <w:rPr>
                <w:sz w:val="20"/>
                <w:szCs w:val="20"/>
              </w:rPr>
            </w:pPr>
            <w:r>
              <w:rPr>
                <w:rFonts w:ascii="Segoe UI Symbol" w:hAnsi="Segoe UI Symbol"/>
                <w:sz w:val="16"/>
                <w:szCs w:val="16"/>
              </w:rPr>
              <w:t>☐</w:t>
            </w:r>
          </w:p>
        </w:tc>
        <w:tc>
          <w:tcPr>
            <w:tcW w:w="1000" w:type="pct"/>
            <w:tcMar>
              <w:top w:w="0" w:type="dxa"/>
              <w:left w:w="0" w:type="dxa"/>
              <w:bottom w:w="0" w:type="dxa"/>
              <w:right w:w="43" w:type="dxa"/>
            </w:tcMar>
            <w:hideMark/>
          </w:tcPr>
          <w:p w:rsidR="00000000" w:rsidRDefault="00DB7886">
            <w:pPr>
              <w:pStyle w:val="a3"/>
              <w:spacing w:before="0" w:beforeAutospacing="0" w:after="0" w:afterAutospacing="0"/>
              <w:rPr>
                <w:sz w:val="20"/>
                <w:szCs w:val="20"/>
              </w:rPr>
            </w:pPr>
            <w:r>
              <w:rPr>
                <w:sz w:val="16"/>
                <w:szCs w:val="16"/>
              </w:rPr>
              <w:t>​</w:t>
            </w:r>
          </w:p>
        </w:tc>
        <w:tc>
          <w:tcPr>
            <w:tcW w:w="192" w:type="pct"/>
            <w:tcMar>
              <w:top w:w="0" w:type="dxa"/>
              <w:left w:w="0" w:type="dxa"/>
              <w:bottom w:w="0" w:type="dxa"/>
              <w:right w:w="43" w:type="dxa"/>
            </w:tcMar>
            <w:hideMark/>
          </w:tcPr>
          <w:p w:rsidR="00000000" w:rsidRDefault="00DB7886">
            <w:pPr>
              <w:pStyle w:val="a3"/>
              <w:spacing w:before="0" w:beforeAutospacing="0" w:after="0" w:afterAutospacing="0"/>
              <w:rPr>
                <w:sz w:val="20"/>
                <w:szCs w:val="20"/>
              </w:rPr>
            </w:pPr>
            <w:r>
              <w:rPr>
                <w:sz w:val="16"/>
                <w:szCs w:val="16"/>
              </w:rPr>
              <w:t>​</w:t>
            </w:r>
          </w:p>
        </w:tc>
      </w:tr>
    </w:tbl>
    <w:p w:rsidR="00000000" w:rsidRDefault="00DB7886">
      <w:pPr>
        <w:pStyle w:val="a3"/>
        <w:spacing w:before="0" w:beforeAutospacing="0" w:after="0" w:afterAutospacing="0"/>
        <w:divId w:val="2075856399"/>
        <w:rPr>
          <w:sz w:val="20"/>
          <w:szCs w:val="20"/>
        </w:rPr>
      </w:pPr>
      <w:r>
        <w:rPr>
          <w:sz w:val="20"/>
          <w:szCs w:val="20"/>
        </w:rPr>
        <w:t>​</w:t>
      </w:r>
    </w:p>
    <w:p w:rsidR="00000000" w:rsidRDefault="00DB7886">
      <w:pPr>
        <w:pStyle w:val="a3"/>
        <w:spacing w:before="0" w:beforeAutospacing="0" w:after="120" w:afterAutospacing="0"/>
        <w:divId w:val="2075856399"/>
        <w:rPr>
          <w:sz w:val="16"/>
          <w:szCs w:val="16"/>
        </w:rPr>
      </w:pPr>
      <w:r>
        <w:rPr>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6"/>
          <w:szCs w:val="16"/>
        </w:rPr>
        <w:t>☐</w:t>
      </w:r>
    </w:p>
    <w:p w:rsidR="00000000" w:rsidRDefault="00DB7886">
      <w:pPr>
        <w:pStyle w:val="a3"/>
        <w:spacing w:before="0" w:beforeAutospacing="0" w:after="120" w:afterAutospacing="0"/>
        <w:divId w:val="2075856399"/>
        <w:rPr>
          <w:sz w:val="16"/>
          <w:szCs w:val="16"/>
        </w:rPr>
      </w:pPr>
      <w:r>
        <w:rPr>
          <w:sz w:val="16"/>
          <w:szCs w:val="16"/>
        </w:rPr>
        <w:t>Ind</w:t>
      </w:r>
      <w:r>
        <w:rPr>
          <w:sz w:val="16"/>
          <w:szCs w:val="16"/>
        </w:rPr>
        <w:t>icate by check mark whether the registrant is a shell company (as defined in Rule 12b-2 of the Exchange Act).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2075856399"/>
          <w:trHeight w:val="20"/>
        </w:trPr>
        <w:tc>
          <w:tcPr>
            <w:tcW w:w="2500" w:type="pct"/>
            <w:tcMar>
              <w:top w:w="0" w:type="dxa"/>
              <w:left w:w="0" w:type="dxa"/>
              <w:bottom w:w="0" w:type="dxa"/>
              <w:right w:w="0" w:type="dxa"/>
            </w:tcMar>
            <w:hideMark/>
          </w:tcPr>
          <w:p w:rsidR="00000000" w:rsidRDefault="00DB7886">
            <w:pPr>
              <w:pStyle w:val="a3"/>
              <w:spacing w:before="0" w:beforeAutospacing="0" w:after="0" w:afterAutospacing="0"/>
              <w:divId w:val="2106995906"/>
              <w:rPr>
                <w:sz w:val="20"/>
                <w:szCs w:val="20"/>
              </w:rPr>
            </w:pPr>
            <w:r>
              <w:rPr>
                <w:sz w:val="2"/>
                <w:szCs w:val="2"/>
              </w:rPr>
              <w:t>​</w:t>
            </w:r>
          </w:p>
        </w:tc>
        <w:tc>
          <w:tcPr>
            <w:tcW w:w="2500" w:type="pct"/>
            <w:tcMar>
              <w:top w:w="0" w:type="dxa"/>
              <w:left w:w="0" w:type="dxa"/>
              <w:bottom w:w="0" w:type="dxa"/>
              <w:right w:w="0" w:type="dxa"/>
            </w:tcMar>
            <w:hideMark/>
          </w:tcPr>
          <w:p w:rsidR="00000000" w:rsidRDefault="00DB7886">
            <w:pPr>
              <w:pStyle w:val="a3"/>
              <w:spacing w:before="0" w:beforeAutospacing="0" w:after="0" w:afterAutospacing="0"/>
              <w:divId w:val="1493908118"/>
              <w:rPr>
                <w:sz w:val="20"/>
                <w:szCs w:val="20"/>
              </w:rPr>
            </w:pPr>
            <w:r>
              <w:rPr>
                <w:sz w:val="2"/>
                <w:szCs w:val="2"/>
              </w:rPr>
              <w:t>​</w:t>
            </w:r>
          </w:p>
        </w:tc>
      </w:tr>
      <w:tr w:rsidR="00000000">
        <w:trPr>
          <w:divId w:val="2075856399"/>
        </w:trPr>
        <w:tc>
          <w:tcPr>
            <w:tcW w:w="2500" w:type="pct"/>
            <w:tcMar>
              <w:top w:w="0" w:type="dxa"/>
              <w:left w:w="0" w:type="dxa"/>
              <w:bottom w:w="0" w:type="dxa"/>
              <w:right w:w="0" w:type="dxa"/>
            </w:tcMar>
            <w:hideMark/>
          </w:tcPr>
          <w:p w:rsidR="00000000" w:rsidRDefault="00DB7886">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 Yes</w:t>
            </w:r>
            <w:r>
              <w:rPr>
                <w:sz w:val="16"/>
                <w:szCs w:val="16"/>
              </w:rPr>
              <w:t xml:space="preserve"> </w:t>
            </w:r>
            <w:r>
              <w:rPr>
                <w:rFonts w:ascii="Segoe UI Symbol" w:hAnsi="Segoe UI Symbol"/>
                <w:sz w:val="16"/>
                <w:szCs w:val="16"/>
              </w:rPr>
              <w:t>☐</w:t>
            </w:r>
            <w:r>
              <w:rPr>
                <w:sz w:val="16"/>
                <w:szCs w:val="16"/>
              </w:rPr>
              <w:t xml:space="preserve"> No </w:t>
            </w:r>
            <w:r>
              <w:rPr>
                <w:rFonts w:ascii="Segoe UI Symbol" w:hAnsi="Segoe UI Symbol"/>
                <w:sz w:val="16"/>
                <w:szCs w:val="16"/>
              </w:rPr>
              <w:t>☒</w:t>
            </w:r>
          </w:p>
        </w:tc>
        <w:tc>
          <w:tcPr>
            <w:tcW w:w="2500" w:type="pct"/>
            <w:tcMar>
              <w:top w:w="0" w:type="dxa"/>
              <w:left w:w="0" w:type="dxa"/>
              <w:bottom w:w="0" w:type="dxa"/>
              <w:right w:w="0" w:type="dxa"/>
            </w:tcMar>
            <w:hideMark/>
          </w:tcPr>
          <w:p w:rsidR="00000000" w:rsidRDefault="00DB7886">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 Yes</w:t>
            </w:r>
            <w:r>
              <w:rPr>
                <w:sz w:val="16"/>
                <w:szCs w:val="16"/>
              </w:rPr>
              <w:t xml:space="preserve"> </w:t>
            </w:r>
            <w:r>
              <w:rPr>
                <w:rFonts w:ascii="Segoe UI Symbol" w:hAnsi="Segoe UI Symbol"/>
                <w:sz w:val="16"/>
                <w:szCs w:val="16"/>
              </w:rPr>
              <w:t>☐</w:t>
            </w:r>
            <w:r>
              <w:rPr>
                <w:sz w:val="16"/>
                <w:szCs w:val="16"/>
              </w:rPr>
              <w:t xml:space="preserve"> No </w:t>
            </w:r>
            <w:r>
              <w:rPr>
                <w:rFonts w:ascii="Segoe UI Symbol" w:hAnsi="Segoe UI Symbol"/>
                <w:sz w:val="16"/>
                <w:szCs w:val="16"/>
              </w:rPr>
              <w:t>☒</w:t>
            </w:r>
          </w:p>
        </w:tc>
      </w:tr>
    </w:tbl>
    <w:p w:rsidR="00000000" w:rsidRDefault="00DB7886">
      <w:pPr>
        <w:pStyle w:val="a3"/>
        <w:spacing w:before="0" w:beforeAutospacing="0" w:after="0" w:afterAutospacing="0"/>
        <w:divId w:val="2075856399"/>
        <w:rPr>
          <w:sz w:val="20"/>
          <w:szCs w:val="20"/>
        </w:rPr>
      </w:pPr>
      <w:r>
        <w:rPr>
          <w:sz w:val="16"/>
          <w:szCs w:val="16"/>
        </w:rPr>
        <w:t>​</w:t>
      </w:r>
    </w:p>
    <w:p w:rsidR="00000000" w:rsidRDefault="00DB7886">
      <w:pPr>
        <w:pStyle w:val="a3"/>
        <w:spacing w:before="0" w:beforeAutospacing="0" w:after="120" w:afterAutospacing="0"/>
        <w:ind w:firstLine="360"/>
        <w:divId w:val="2075856399"/>
        <w:rPr>
          <w:sz w:val="20"/>
          <w:szCs w:val="20"/>
        </w:rPr>
      </w:pPr>
      <w:r>
        <w:rPr>
          <w:sz w:val="16"/>
          <w:szCs w:val="16"/>
        </w:rPr>
        <w:t>As of November 2, 2021, there were 278,605,558 of Icahn Enterprises’ depositary units</w:t>
      </w:r>
      <w:r>
        <w:rPr>
          <w:sz w:val="16"/>
          <w:szCs w:val="16"/>
        </w:rPr>
        <w:t xml:space="preserve"> </w:t>
      </w:r>
      <w:r>
        <w:rPr>
          <w:sz w:val="16"/>
          <w:szCs w:val="16"/>
        </w:rPr>
        <w:t>outstandin</w:t>
      </w:r>
      <w:r>
        <w:rPr>
          <w:sz w:val="16"/>
          <w:szCs w:val="16"/>
        </w:rPr>
        <w:t>g</w:t>
      </w:r>
      <w:r>
        <w:rPr>
          <w:sz w:val="16"/>
          <w:szCs w:val="16"/>
        </w:rPr>
        <w:t>.</w:t>
      </w:r>
    </w:p>
    <w:p w:rsidR="00000000" w:rsidRDefault="00DB7886">
      <w:pPr>
        <w:pStyle w:val="a3"/>
        <w:pBdr>
          <w:top w:val="single" w:sz="6" w:space="1" w:color="000000"/>
          <w:bottom w:val="single" w:sz="24" w:space="1" w:color="000000"/>
        </w:pBdr>
        <w:spacing w:before="0" w:beforeAutospacing="0" w:after="0" w:afterAutospacing="0"/>
        <w:divId w:val="2075856399"/>
        <w:rPr>
          <w:sz w:val="20"/>
          <w:szCs w:val="20"/>
        </w:rPr>
      </w:pPr>
      <w:r>
        <w:rPr>
          <w:b/>
          <w:bCs/>
          <w:sz w:val="2"/>
          <w:szCs w:val="2"/>
        </w:rPr>
        <w:t>​</w:t>
      </w:r>
    </w:p>
    <w:p w:rsidR="00000000" w:rsidRDefault="00DB7886">
      <w:pPr>
        <w:pStyle w:val="a3"/>
        <w:spacing w:before="0" w:beforeAutospacing="0" w:after="0" w:afterAutospacing="0" w:line="0" w:lineRule="atLeast"/>
        <w:divId w:val="2075856399"/>
        <w:rPr>
          <w:vanish/>
        </w:rPr>
      </w:pPr>
      <w:r>
        <w:rPr>
          <w:b/>
          <w:bCs/>
          <w:vanish/>
          <w:sz w:val="2"/>
          <w:szCs w:val="2"/>
        </w:rPr>
        <w:t>​</w:t>
      </w:r>
    </w:p>
    <w:p w:rsidR="00000000" w:rsidRDefault="00DB7886">
      <w:pPr>
        <w:pStyle w:val="a3"/>
        <w:spacing w:before="0" w:beforeAutospacing="0" w:after="0" w:afterAutospacing="0"/>
        <w:jc w:val="center"/>
        <w:divId w:val="1668164638"/>
        <w:rPr>
          <w:b/>
          <w:bCs/>
          <w:sz w:val="20"/>
          <w:szCs w:val="20"/>
        </w:rPr>
      </w:pPr>
      <w:r>
        <w:rPr>
          <w:b/>
          <w:bCs/>
          <w:sz w:val="20"/>
          <w:szCs w:val="20"/>
        </w:rPr>
        <w:t>ICAHN ENTERPRISES L.P.</w:t>
      </w:r>
    </w:p>
    <w:p w:rsidR="00000000" w:rsidRDefault="00DB7886">
      <w:pPr>
        <w:pStyle w:val="a3"/>
        <w:spacing w:before="0" w:beforeAutospacing="0" w:after="240" w:afterAutospacing="0"/>
        <w:jc w:val="center"/>
        <w:divId w:val="1668164638"/>
        <w:rPr>
          <w:b/>
          <w:bCs/>
          <w:sz w:val="20"/>
          <w:szCs w:val="20"/>
        </w:rPr>
      </w:pPr>
      <w:r>
        <w:rPr>
          <w:b/>
          <w:bCs/>
          <w:sz w:val="20"/>
          <w:szCs w:val="20"/>
        </w:rPr>
        <w:t>ICAHN ENTERPRISES HOLDINGS L.P.</w:t>
      </w:r>
    </w:p>
    <w:p w:rsidR="00000000" w:rsidRDefault="00DB7886">
      <w:pPr>
        <w:pStyle w:val="a3"/>
        <w:spacing w:before="0" w:beforeAutospacing="0" w:after="240" w:afterAutospacing="0"/>
        <w:jc w:val="center"/>
        <w:divId w:val="1668164638"/>
        <w:rPr>
          <w:b/>
          <w:bCs/>
          <w:sz w:val="20"/>
          <w:szCs w:val="20"/>
        </w:rPr>
      </w:pPr>
      <w:r>
        <w:rPr>
          <w:b/>
          <w:bCs/>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934"/>
        <w:gridCol w:w="6502"/>
        <w:gridCol w:w="870"/>
      </w:tblGrid>
      <w:tr w:rsidR="00000000">
        <w:trPr>
          <w:divId w:val="1668164638"/>
          <w:trHeight w:val="20"/>
        </w:trPr>
        <w:tc>
          <w:tcPr>
            <w:tcW w:w="56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t>​</w:t>
            </w:r>
          </w:p>
        </w:tc>
        <w:tc>
          <w:tcPr>
            <w:tcW w:w="524" w:type="pct"/>
            <w:tcBorders>
              <w:bottom w:val="single" w:sz="8" w:space="0" w:color="000000"/>
            </w:tcBorders>
            <w:tcMar>
              <w:top w:w="0" w:type="dxa"/>
              <w:left w:w="53" w:type="dxa"/>
              <w:bottom w:w="0" w:type="dxa"/>
              <w:right w:w="53" w:type="dxa"/>
            </w:tcMar>
            <w:vAlign w:val="bottom"/>
            <w:hideMark/>
          </w:tcPr>
          <w:p w:rsidR="00000000" w:rsidRDefault="00DB7886">
            <w:pPr>
              <w:pStyle w:val="a3"/>
              <w:spacing w:before="0" w:beforeAutospacing="0" w:after="0" w:afterAutospacing="0"/>
              <w:jc w:val="center"/>
              <w:rPr>
                <w:sz w:val="16"/>
                <w:szCs w:val="16"/>
              </w:rPr>
            </w:pPr>
            <w:r>
              <w:rPr>
                <w:b/>
                <w:bCs/>
                <w:sz w:val="16"/>
                <w:szCs w:val="16"/>
              </w:rPr>
              <w:t>Page No</w:t>
            </w:r>
            <w:r>
              <w:rPr>
                <w:sz w:val="16"/>
                <w:szCs w:val="16"/>
              </w:rPr>
              <w:t>.</w:t>
            </w:r>
          </w:p>
        </w:tc>
      </w:tr>
      <w:tr w:rsidR="00000000">
        <w:trPr>
          <w:divId w:val="1668164638"/>
          <w:trHeight w:val="20"/>
        </w:trPr>
        <w:tc>
          <w:tcPr>
            <w:tcW w:w="56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hyperlink w:anchor="EXPLANATORYNOTE_323833" w:history="1">
              <w:r>
                <w:rPr>
                  <w:rStyle w:val="a4"/>
                  <w:sz w:val="20"/>
                  <w:szCs w:val="20"/>
                </w:rPr>
                <w:t>Explanatory Note and Forward-Looking Statements</w:t>
              </w:r>
            </w:hyperlink>
          </w:p>
        </w:tc>
        <w:tc>
          <w:tcPr>
            <w:tcW w:w="524" w:type="pct"/>
            <w:tcBorders>
              <w:top w:val="single" w:sz="8" w:space="0" w:color="000000"/>
            </w:tcBorders>
            <w:tcMar>
              <w:top w:w="0" w:type="dxa"/>
              <w:left w:w="53" w:type="dxa"/>
              <w:bottom w:w="0" w:type="dxa"/>
              <w:right w:w="53" w:type="dxa"/>
            </w:tcMar>
            <w:vAlign w:val="bottom"/>
            <w:hideMark/>
          </w:tcPr>
          <w:p w:rsidR="00000000" w:rsidRDefault="00DB7886">
            <w:pPr>
              <w:pStyle w:val="a3"/>
              <w:spacing w:before="0" w:beforeAutospacing="0" w:after="0" w:afterAutospacing="0"/>
              <w:jc w:val="center"/>
              <w:rPr>
                <w:sz w:val="20"/>
                <w:szCs w:val="20"/>
              </w:rPr>
            </w:pPr>
            <w:r>
              <w:rPr>
                <w:sz w:val="20"/>
                <w:szCs w:val="20"/>
              </w:rPr>
              <w:t>1</w:t>
            </w:r>
          </w:p>
        </w:tc>
      </w:tr>
      <w:tr w:rsidR="00000000">
        <w:trPr>
          <w:divId w:val="1668164638"/>
          <w:trHeight w:val="20"/>
        </w:trPr>
        <w:tc>
          <w:tcPr>
            <w:tcW w:w="56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t>​</w:t>
            </w:r>
          </w:p>
        </w:tc>
        <w:tc>
          <w:tcPr>
            <w:tcW w:w="524"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1668164638"/>
          <w:trHeight w:val="20"/>
        </w:trPr>
        <w:tc>
          <w:tcPr>
            <w:tcW w:w="56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DB7886">
            <w:pPr>
              <w:pStyle w:val="a3"/>
              <w:spacing w:before="0" w:beforeAutospacing="0" w:after="0" w:afterAutospacing="0"/>
              <w:jc w:val="center"/>
              <w:rPr>
                <w:sz w:val="20"/>
                <w:szCs w:val="20"/>
              </w:rPr>
            </w:pPr>
            <w:r>
              <w:rPr>
                <w:b/>
                <w:bCs/>
                <w:sz w:val="20"/>
                <w:szCs w:val="20"/>
              </w:rPr>
              <w:t>PART I. FINANCIAL INFORMATION</w:t>
            </w:r>
          </w:p>
        </w:tc>
        <w:tc>
          <w:tcPr>
            <w:tcW w:w="524"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1668164638"/>
          <w:trHeight w:val="20"/>
        </w:trPr>
        <w:tc>
          <w:tcPr>
            <w:tcW w:w="562"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hyperlink w:anchor="Item1FinancialStatements_797771" w:history="1">
              <w:r>
                <w:rPr>
                  <w:rStyle w:val="a4"/>
                  <w:sz w:val="20"/>
                  <w:szCs w:val="20"/>
                </w:rPr>
                <w:t>Item 1.</w:t>
              </w:r>
            </w:hyperlink>
          </w:p>
        </w:tc>
        <w:tc>
          <w:tcPr>
            <w:tcW w:w="3913"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hyperlink w:anchor="Item1FinancialStatements_797771" w:history="1">
              <w:r>
                <w:rPr>
                  <w:rStyle w:val="a4"/>
                  <w:sz w:val="20"/>
                  <w:szCs w:val="20"/>
                </w:rPr>
                <w:t>Fi</w:t>
              </w:r>
              <w:r>
                <w:rPr>
                  <w:rStyle w:val="a4"/>
                  <w:sz w:val="20"/>
                  <w:szCs w:val="20"/>
                </w:rPr>
                <w:t>nancial Statements (Unaudited)</w:t>
              </w:r>
            </w:hyperlink>
          </w:p>
        </w:tc>
        <w:tc>
          <w:tcPr>
            <w:tcW w:w="524" w:type="pct"/>
            <w:tcMar>
              <w:top w:w="0" w:type="dxa"/>
              <w:left w:w="53" w:type="dxa"/>
              <w:bottom w:w="0" w:type="dxa"/>
              <w:right w:w="53" w:type="dxa"/>
            </w:tcMar>
            <w:vAlign w:val="bottom"/>
            <w:hideMark/>
          </w:tcPr>
          <w:p w:rsidR="00000000" w:rsidRDefault="00DB7886">
            <w:pPr>
              <w:pStyle w:val="a3"/>
              <w:spacing w:before="0" w:beforeAutospacing="0" w:after="0" w:afterAutospacing="0"/>
              <w:jc w:val="center"/>
              <w:rPr>
                <w:sz w:val="20"/>
                <w:szCs w:val="20"/>
              </w:rPr>
            </w:pPr>
            <w:r>
              <w:rPr>
                <w:sz w:val="20"/>
                <w:szCs w:val="20"/>
              </w:rPr>
              <w:t>2</w:t>
            </w:r>
          </w:p>
        </w:tc>
      </w:tr>
      <w:tr w:rsidR="00000000">
        <w:trPr>
          <w:divId w:val="1668164638"/>
          <w:trHeight w:val="20"/>
        </w:trPr>
        <w:tc>
          <w:tcPr>
            <w:tcW w:w="562"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3913"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hyperlink w:anchor="Item2ManagementsDiscussionandAnalysisof" w:history="1">
              <w:r>
                <w:rPr>
                  <w:rStyle w:val="a4"/>
                  <w:sz w:val="20"/>
                  <w:szCs w:val="20"/>
                </w:rPr>
                <w:t>Management’</w:t>
              </w:r>
              <w:r>
                <w:rPr>
                  <w:rStyle w:val="a4"/>
                  <w:sz w:val="20"/>
                  <w:szCs w:val="20"/>
                </w:rPr>
                <w:t>s Discussion and Analysis of Financial Condition and Results of Operations</w:t>
              </w:r>
            </w:hyperlink>
          </w:p>
        </w:tc>
        <w:tc>
          <w:tcPr>
            <w:tcW w:w="524" w:type="pct"/>
            <w:tcMar>
              <w:top w:w="0" w:type="dxa"/>
              <w:left w:w="53" w:type="dxa"/>
              <w:bottom w:w="0" w:type="dxa"/>
              <w:right w:w="53" w:type="dxa"/>
            </w:tcMar>
            <w:vAlign w:val="bottom"/>
            <w:hideMark/>
          </w:tcPr>
          <w:p w:rsidR="00000000" w:rsidRDefault="00DB7886">
            <w:pPr>
              <w:pStyle w:val="a3"/>
              <w:spacing w:before="0" w:beforeAutospacing="0" w:after="0" w:afterAutospacing="0"/>
              <w:jc w:val="center"/>
              <w:rPr>
                <w:sz w:val="20"/>
                <w:szCs w:val="20"/>
              </w:rPr>
            </w:pPr>
            <w:r>
              <w:rPr>
                <w:sz w:val="20"/>
                <w:szCs w:val="20"/>
              </w:rPr>
              <w:t>41</w:t>
            </w:r>
          </w:p>
        </w:tc>
      </w:tr>
      <w:tr w:rsidR="00000000">
        <w:trPr>
          <w:divId w:val="1668164638"/>
          <w:trHeight w:val="20"/>
        </w:trPr>
        <w:tc>
          <w:tcPr>
            <w:tcW w:w="562"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3913"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w:t>
              </w:r>
              <w:r>
                <w:rPr>
                  <w:rStyle w:val="a4"/>
                  <w:sz w:val="20"/>
                  <w:szCs w:val="20"/>
                </w:rPr>
                <w:t>t Market Risk</w:t>
              </w:r>
            </w:hyperlink>
          </w:p>
        </w:tc>
        <w:tc>
          <w:tcPr>
            <w:tcW w:w="524" w:type="pct"/>
            <w:tcMar>
              <w:top w:w="0" w:type="dxa"/>
              <w:left w:w="53" w:type="dxa"/>
              <w:bottom w:w="0" w:type="dxa"/>
              <w:right w:w="53" w:type="dxa"/>
            </w:tcMar>
            <w:vAlign w:val="bottom"/>
            <w:hideMark/>
          </w:tcPr>
          <w:p w:rsidR="00000000" w:rsidRDefault="00DB7886">
            <w:pPr>
              <w:pStyle w:val="a3"/>
              <w:spacing w:before="0" w:beforeAutospacing="0" w:after="0" w:afterAutospacing="0"/>
              <w:jc w:val="center"/>
              <w:rPr>
                <w:sz w:val="20"/>
                <w:szCs w:val="20"/>
              </w:rPr>
            </w:pPr>
            <w:r>
              <w:rPr>
                <w:sz w:val="20"/>
                <w:szCs w:val="20"/>
              </w:rPr>
              <w:t>58</w:t>
            </w:r>
          </w:p>
        </w:tc>
      </w:tr>
      <w:tr w:rsidR="00000000">
        <w:trPr>
          <w:divId w:val="1668164638"/>
          <w:trHeight w:val="20"/>
        </w:trPr>
        <w:tc>
          <w:tcPr>
            <w:tcW w:w="562"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hyperlink w:anchor="Item4ControlsandProcedures_867240" w:history="1">
              <w:r>
                <w:rPr>
                  <w:rStyle w:val="a4"/>
                  <w:sz w:val="20"/>
                  <w:szCs w:val="20"/>
                </w:rPr>
                <w:t>Item 4.</w:t>
              </w:r>
            </w:hyperlink>
          </w:p>
        </w:tc>
        <w:tc>
          <w:tcPr>
            <w:tcW w:w="3913"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hyperlink w:anchor="Item4ControlsandProcedures_867240" w:history="1">
              <w:r>
                <w:rPr>
                  <w:rStyle w:val="a4"/>
                  <w:sz w:val="20"/>
                  <w:szCs w:val="20"/>
                </w:rPr>
                <w:t>Controls and Procedures</w:t>
              </w:r>
            </w:hyperlink>
          </w:p>
        </w:tc>
        <w:tc>
          <w:tcPr>
            <w:tcW w:w="524" w:type="pct"/>
            <w:tcMar>
              <w:top w:w="0" w:type="dxa"/>
              <w:left w:w="53" w:type="dxa"/>
              <w:bottom w:w="0" w:type="dxa"/>
              <w:right w:w="53" w:type="dxa"/>
            </w:tcMar>
            <w:vAlign w:val="bottom"/>
            <w:hideMark/>
          </w:tcPr>
          <w:p w:rsidR="00000000" w:rsidRDefault="00DB7886">
            <w:pPr>
              <w:pStyle w:val="a3"/>
              <w:spacing w:before="0" w:beforeAutospacing="0" w:after="0" w:afterAutospacing="0"/>
              <w:jc w:val="center"/>
              <w:rPr>
                <w:sz w:val="20"/>
                <w:szCs w:val="20"/>
              </w:rPr>
            </w:pPr>
            <w:r>
              <w:rPr>
                <w:sz w:val="20"/>
                <w:szCs w:val="20"/>
              </w:rPr>
              <w:t>59</w:t>
            </w:r>
          </w:p>
        </w:tc>
      </w:tr>
      <w:tr w:rsidR="00000000">
        <w:trPr>
          <w:divId w:val="1668164638"/>
          <w:trHeight w:val="20"/>
        </w:trPr>
        <w:tc>
          <w:tcPr>
            <w:tcW w:w="56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t>​</w:t>
            </w:r>
          </w:p>
        </w:tc>
        <w:tc>
          <w:tcPr>
            <w:tcW w:w="524"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1668164638"/>
          <w:trHeight w:val="20"/>
        </w:trPr>
        <w:tc>
          <w:tcPr>
            <w:tcW w:w="56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DB7886">
            <w:pPr>
              <w:pStyle w:val="a3"/>
              <w:spacing w:before="0" w:beforeAutospacing="0" w:after="0" w:afterAutospacing="0"/>
              <w:jc w:val="center"/>
              <w:rPr>
                <w:sz w:val="20"/>
                <w:szCs w:val="20"/>
              </w:rPr>
            </w:pPr>
            <w:r>
              <w:rPr>
                <w:b/>
                <w:bCs/>
                <w:sz w:val="20"/>
                <w:szCs w:val="20"/>
              </w:rPr>
              <w:t>PART II. OTHER INFORMATION</w:t>
            </w:r>
          </w:p>
        </w:tc>
        <w:tc>
          <w:tcPr>
            <w:tcW w:w="524"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1668164638"/>
          <w:trHeight w:val="20"/>
        </w:trPr>
        <w:tc>
          <w:tcPr>
            <w:tcW w:w="562"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hyperlink w:anchor="Item1LegalProceedings_984640" w:history="1">
              <w:r>
                <w:rPr>
                  <w:rStyle w:val="a4"/>
                  <w:sz w:val="20"/>
                  <w:szCs w:val="20"/>
                </w:rPr>
                <w:t>Item 1.</w:t>
              </w:r>
            </w:hyperlink>
          </w:p>
        </w:tc>
        <w:tc>
          <w:tcPr>
            <w:tcW w:w="3913"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hyperlink w:anchor="Item1LegalProceedings_984640" w:history="1">
              <w:r>
                <w:rPr>
                  <w:rStyle w:val="a4"/>
                  <w:sz w:val="20"/>
                  <w:szCs w:val="20"/>
                </w:rPr>
                <w:t>Legal Proceedings</w:t>
              </w:r>
            </w:hyperlink>
          </w:p>
        </w:tc>
        <w:tc>
          <w:tcPr>
            <w:tcW w:w="524" w:type="pct"/>
            <w:tcMar>
              <w:top w:w="0" w:type="dxa"/>
              <w:left w:w="53" w:type="dxa"/>
              <w:bottom w:w="0" w:type="dxa"/>
              <w:right w:w="53" w:type="dxa"/>
            </w:tcMar>
            <w:vAlign w:val="bottom"/>
            <w:hideMark/>
          </w:tcPr>
          <w:p w:rsidR="00000000" w:rsidRDefault="00DB7886">
            <w:pPr>
              <w:pStyle w:val="a3"/>
              <w:spacing w:before="0" w:beforeAutospacing="0" w:after="0" w:afterAutospacing="0"/>
              <w:jc w:val="center"/>
              <w:rPr>
                <w:sz w:val="20"/>
                <w:szCs w:val="20"/>
              </w:rPr>
            </w:pPr>
            <w:r>
              <w:rPr>
                <w:sz w:val="20"/>
                <w:szCs w:val="20"/>
              </w:rPr>
              <w:t>60</w:t>
            </w:r>
          </w:p>
        </w:tc>
      </w:tr>
      <w:tr w:rsidR="00000000">
        <w:trPr>
          <w:divId w:val="1668164638"/>
          <w:trHeight w:val="20"/>
        </w:trPr>
        <w:tc>
          <w:tcPr>
            <w:tcW w:w="562"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hyperlink w:anchor="Item1ARiskFactors_993647" w:history="1">
              <w:r>
                <w:rPr>
                  <w:rStyle w:val="a4"/>
                  <w:sz w:val="20"/>
                  <w:szCs w:val="20"/>
                </w:rPr>
                <w:t>Item 1A.</w:t>
              </w:r>
            </w:hyperlink>
          </w:p>
        </w:tc>
        <w:tc>
          <w:tcPr>
            <w:tcW w:w="3913"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hyperlink w:anchor="Item1ARiskFactors_993647" w:history="1">
              <w:r>
                <w:rPr>
                  <w:rStyle w:val="a4"/>
                  <w:sz w:val="20"/>
                  <w:szCs w:val="20"/>
                </w:rPr>
                <w:t>Risk Factors</w:t>
              </w:r>
            </w:hyperlink>
          </w:p>
        </w:tc>
        <w:tc>
          <w:tcPr>
            <w:tcW w:w="524" w:type="pct"/>
            <w:tcMar>
              <w:top w:w="0" w:type="dxa"/>
              <w:left w:w="53" w:type="dxa"/>
              <w:bottom w:w="0" w:type="dxa"/>
              <w:right w:w="53" w:type="dxa"/>
            </w:tcMar>
            <w:vAlign w:val="bottom"/>
            <w:hideMark/>
          </w:tcPr>
          <w:p w:rsidR="00000000" w:rsidRDefault="00DB7886">
            <w:pPr>
              <w:pStyle w:val="a3"/>
              <w:spacing w:before="0" w:beforeAutospacing="0" w:after="0" w:afterAutospacing="0"/>
              <w:jc w:val="center"/>
              <w:rPr>
                <w:sz w:val="20"/>
                <w:szCs w:val="20"/>
              </w:rPr>
            </w:pPr>
            <w:r>
              <w:rPr>
                <w:sz w:val="20"/>
                <w:szCs w:val="20"/>
              </w:rPr>
              <w:t>60</w:t>
            </w:r>
          </w:p>
        </w:tc>
      </w:tr>
      <w:tr w:rsidR="00000000">
        <w:trPr>
          <w:divId w:val="1668164638"/>
          <w:trHeight w:val="20"/>
        </w:trPr>
        <w:tc>
          <w:tcPr>
            <w:tcW w:w="562"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hyperlink w:anchor="Item2UnregisteredSalesofEquitySecuritie" w:history="1">
              <w:r>
                <w:rPr>
                  <w:rStyle w:val="a4"/>
                  <w:sz w:val="20"/>
                  <w:szCs w:val="20"/>
                </w:rPr>
                <w:t>Item 2</w:t>
              </w:r>
            </w:hyperlink>
            <w:r>
              <w:rPr>
                <w:sz w:val="20"/>
                <w:szCs w:val="20"/>
              </w:rPr>
              <w:t>.</w:t>
            </w:r>
          </w:p>
        </w:tc>
        <w:tc>
          <w:tcPr>
            <w:tcW w:w="3913"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hyperlink w:anchor="Item2UnregisteredSalesofEquitySecuritie" w:history="1">
              <w:r>
                <w:rPr>
                  <w:rStyle w:val="a4"/>
                  <w:sz w:val="20"/>
                  <w:szCs w:val="20"/>
                </w:rPr>
                <w:t>Unregistered Sales of Equity Securities and use of Proceeds</w:t>
              </w:r>
            </w:hyperlink>
          </w:p>
        </w:tc>
        <w:tc>
          <w:tcPr>
            <w:tcW w:w="524" w:type="pct"/>
            <w:tcMar>
              <w:top w:w="0" w:type="dxa"/>
              <w:left w:w="53" w:type="dxa"/>
              <w:bottom w:w="0" w:type="dxa"/>
              <w:right w:w="53" w:type="dxa"/>
            </w:tcMar>
            <w:vAlign w:val="bottom"/>
            <w:hideMark/>
          </w:tcPr>
          <w:p w:rsidR="00000000" w:rsidRDefault="00DB7886">
            <w:pPr>
              <w:pStyle w:val="a3"/>
              <w:spacing w:before="0" w:beforeAutospacing="0" w:after="0" w:afterAutospacing="0"/>
              <w:jc w:val="center"/>
              <w:rPr>
                <w:sz w:val="20"/>
                <w:szCs w:val="20"/>
              </w:rPr>
            </w:pPr>
            <w:r>
              <w:rPr>
                <w:sz w:val="20"/>
                <w:szCs w:val="20"/>
              </w:rPr>
              <w:t>60</w:t>
            </w:r>
          </w:p>
        </w:tc>
      </w:tr>
      <w:tr w:rsidR="00000000">
        <w:trPr>
          <w:divId w:val="1668164638"/>
          <w:trHeight w:val="20"/>
        </w:trPr>
        <w:tc>
          <w:tcPr>
            <w:tcW w:w="562"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hyperlink w:anchor="Item6Exhibits_796652" w:history="1">
              <w:r>
                <w:rPr>
                  <w:rStyle w:val="a4"/>
                  <w:sz w:val="20"/>
                  <w:szCs w:val="20"/>
                </w:rPr>
                <w:t>Item 6.</w:t>
              </w:r>
            </w:hyperlink>
          </w:p>
        </w:tc>
        <w:tc>
          <w:tcPr>
            <w:tcW w:w="3913"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hyperlink w:anchor="Item6Exhibits_796652" w:history="1">
              <w:r>
                <w:rPr>
                  <w:rStyle w:val="a4"/>
                  <w:sz w:val="20"/>
                  <w:szCs w:val="20"/>
                </w:rPr>
                <w:t>Exhibits</w:t>
              </w:r>
            </w:hyperlink>
          </w:p>
        </w:tc>
        <w:tc>
          <w:tcPr>
            <w:tcW w:w="524" w:type="pct"/>
            <w:tcMar>
              <w:top w:w="0" w:type="dxa"/>
              <w:left w:w="53" w:type="dxa"/>
              <w:bottom w:w="0" w:type="dxa"/>
              <w:right w:w="53" w:type="dxa"/>
            </w:tcMar>
            <w:vAlign w:val="bottom"/>
            <w:hideMark/>
          </w:tcPr>
          <w:p w:rsidR="00000000" w:rsidRDefault="00DB7886">
            <w:pPr>
              <w:pStyle w:val="a3"/>
              <w:spacing w:before="0" w:beforeAutospacing="0" w:after="0" w:afterAutospacing="0"/>
              <w:jc w:val="center"/>
              <w:rPr>
                <w:sz w:val="20"/>
                <w:szCs w:val="20"/>
              </w:rPr>
            </w:pPr>
            <w:r>
              <w:rPr>
                <w:sz w:val="20"/>
                <w:szCs w:val="20"/>
              </w:rPr>
              <w:t>61</w:t>
            </w:r>
          </w:p>
        </w:tc>
      </w:tr>
    </w:tbl>
    <w:p w:rsidR="00000000" w:rsidRDefault="00DB7886">
      <w:pPr>
        <w:pStyle w:val="a3"/>
        <w:spacing w:before="0" w:beforeAutospacing="0" w:after="0" w:afterAutospacing="0"/>
        <w:divId w:val="1668164638"/>
        <w:rPr>
          <w:sz w:val="20"/>
          <w:szCs w:val="20"/>
        </w:rPr>
      </w:pPr>
      <w:r>
        <w:rPr>
          <w:sz w:val="2"/>
          <w:szCs w:val="2"/>
        </w:rPr>
        <w:t>​</w:t>
      </w:r>
    </w:p>
    <w:p w:rsidR="00000000" w:rsidRDefault="00DB7886">
      <w:pPr>
        <w:pStyle w:val="a3"/>
        <w:spacing w:before="0" w:beforeAutospacing="0" w:after="0" w:afterAutospacing="0"/>
        <w:divId w:val="1668164638"/>
        <w:rPr>
          <w:sz w:val="20"/>
          <w:szCs w:val="20"/>
        </w:rPr>
      </w:pPr>
      <w:r>
        <w:rPr>
          <w:sz w:val="20"/>
          <w:szCs w:val="20"/>
        </w:rPr>
        <w:t>​</w:t>
      </w:r>
    </w:p>
    <w:p w:rsidR="00000000" w:rsidRDefault="00DB7886">
      <w:pPr>
        <w:pStyle w:val="a3"/>
        <w:spacing w:before="0" w:beforeAutospacing="0" w:after="240" w:afterAutospacing="0"/>
        <w:jc w:val="center"/>
        <w:divId w:val="1668164638"/>
        <w:rPr>
          <w:b/>
          <w:bCs/>
          <w:sz w:val="20"/>
          <w:szCs w:val="20"/>
        </w:rPr>
      </w:pPr>
      <w:r>
        <w:rPr>
          <w:b/>
          <w:bCs/>
          <w:sz w:val="20"/>
          <w:szCs w:val="20"/>
        </w:rPr>
        <w:t>​</w:t>
      </w:r>
    </w:p>
    <w:p w:rsidR="00000000" w:rsidRDefault="00DB7886">
      <w:pPr>
        <w:pStyle w:val="a3"/>
        <w:spacing w:before="0" w:beforeAutospacing="0" w:after="240" w:afterAutospacing="0" w:line="0" w:lineRule="atLeast"/>
        <w:ind w:firstLine="360"/>
        <w:divId w:val="1668164638"/>
        <w:rPr>
          <w:vanish/>
        </w:rPr>
      </w:pPr>
      <w:r>
        <w:rPr>
          <w:vanish/>
          <w:sz w:val="2"/>
          <w:szCs w:val="2"/>
        </w:rPr>
        <w:t>​</w:t>
      </w:r>
    </w:p>
    <w:p w:rsidR="00000000" w:rsidRDefault="00DB7886">
      <w:pPr>
        <w:pStyle w:val="a3"/>
        <w:spacing w:before="480" w:beforeAutospacing="0" w:after="0" w:afterAutospacing="0"/>
        <w:jc w:val="center"/>
        <w:divId w:val="2134131473"/>
        <w:rPr>
          <w:sz w:val="20"/>
          <w:szCs w:val="20"/>
        </w:rPr>
      </w:pPr>
      <w:r>
        <w:rPr>
          <w:sz w:val="20"/>
          <w:szCs w:val="20"/>
        </w:rPr>
        <w:t>i</w:t>
      </w:r>
    </w:p>
    <w:p w:rsidR="00000000" w:rsidRDefault="00DB7886">
      <w:pPr>
        <w:pStyle w:val="a3"/>
        <w:spacing w:before="0" w:beforeAutospacing="0" w:after="600" w:afterAutospacing="0"/>
        <w:divId w:val="304552672"/>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jc w:val="center"/>
        <w:divId w:val="46994977"/>
        <w:rPr>
          <w:b/>
          <w:bCs/>
          <w:sz w:val="20"/>
          <w:szCs w:val="20"/>
        </w:rPr>
      </w:pPr>
      <w:r>
        <w:rPr>
          <w:b/>
          <w:bCs/>
          <w:sz w:val="20"/>
          <w:szCs w:val="20"/>
        </w:rPr>
        <w:t>EXPLANATORY NOTE</w:t>
      </w:r>
    </w:p>
    <w:p w:rsidR="00000000" w:rsidRDefault="00DB7886">
      <w:pPr>
        <w:pStyle w:val="a3"/>
        <w:spacing w:before="0" w:beforeAutospacing="0" w:after="240" w:afterAutospacing="0"/>
        <w:ind w:firstLine="360"/>
        <w:divId w:val="46994977"/>
        <w:rPr>
          <w:sz w:val="20"/>
          <w:szCs w:val="20"/>
        </w:rPr>
      </w:pPr>
      <w:r>
        <w:rPr>
          <w:sz w:val="20"/>
          <w:szCs w:val="20"/>
        </w:rPr>
        <w:t>This Quarterly Report on Form 10-Q (this “Report”</w:t>
      </w:r>
      <w:r>
        <w:rPr>
          <w:sz w:val="20"/>
          <w:szCs w:val="20"/>
        </w:rPr>
        <w:t xml:space="preserve">) is a joint report being filed by Icahn Enterprises L.P. and Icahn Enterprises Holdings L.P. Each registrant hereto is filing on its own behalf all of the information contained in this Report that relates to such registrant. Each registrant hereto is not </w:t>
      </w:r>
      <w:r>
        <w:rPr>
          <w:sz w:val="20"/>
          <w:szCs w:val="20"/>
        </w:rPr>
        <w:t>filing any information that does not relate to such registrant, and therefore makes no representation as to any such information.</w:t>
      </w:r>
    </w:p>
    <w:p w:rsidR="00000000" w:rsidRDefault="00DB7886">
      <w:pPr>
        <w:pStyle w:val="a3"/>
        <w:spacing w:before="0" w:beforeAutospacing="0" w:after="240" w:afterAutospacing="0"/>
        <w:jc w:val="center"/>
        <w:divId w:val="46994977"/>
        <w:rPr>
          <w:b/>
          <w:bCs/>
          <w:sz w:val="20"/>
          <w:szCs w:val="20"/>
        </w:rPr>
      </w:pPr>
      <w:r>
        <w:rPr>
          <w:b/>
          <w:bCs/>
          <w:sz w:val="20"/>
          <w:szCs w:val="20"/>
        </w:rPr>
        <w:t>FORWARD-LOOKING STATEMENTS</w:t>
      </w:r>
    </w:p>
    <w:p w:rsidR="00000000" w:rsidRDefault="00DB7886">
      <w:pPr>
        <w:pStyle w:val="a3"/>
        <w:spacing w:before="0" w:beforeAutospacing="0" w:after="240" w:afterAutospacing="0"/>
        <w:ind w:firstLine="360"/>
        <w:divId w:val="46994977"/>
        <w:rPr>
          <w:sz w:val="20"/>
          <w:szCs w:val="20"/>
        </w:rPr>
      </w:pPr>
      <w:r>
        <w:rPr>
          <w:sz w:val="20"/>
          <w:szCs w:val="20"/>
        </w:rPr>
        <w:lastRenderedPageBreak/>
        <w:t>This Report contains certain statements that are, or may be deemed to be, “forward-looking statemen</w:t>
      </w:r>
      <w:r>
        <w:rPr>
          <w:sz w:val="20"/>
          <w:szCs w:val="20"/>
        </w:rPr>
        <w:t>ts” within the meaning of Section 27A of the Securities Act of 1933, as amended, and Section 21E of the Securities Exchange Act of 1934, as amended (the “Exchange Act”), or by the Private Securities Litigation Reform Act. All statements included in this Re</w:t>
      </w:r>
      <w:r>
        <w:rPr>
          <w:sz w:val="20"/>
          <w:szCs w:val="20"/>
        </w:rPr>
        <w:t>port, other than statements that relate solely to historical fact, are “forward-looking statements.” Such statements include, but are not limited to, any statement that may predict, forecast, indicate or imply future results, performance, achievements or e</w:t>
      </w:r>
      <w:r>
        <w:rPr>
          <w:sz w:val="20"/>
          <w:szCs w:val="20"/>
        </w:rPr>
        <w:t>vents, including the impact of the COVID-19 pandemic, or any statement that may relate to strategies, plans or objectives for, or potential results of, future operations, financial results, financial condition, business prospects, growth strategy or liquid</w:t>
      </w:r>
      <w:r>
        <w:rPr>
          <w:sz w:val="20"/>
          <w:szCs w:val="20"/>
        </w:rPr>
        <w:t>ity, and are based upon management’s current plans and beliefs or current estimates of future results or trends. Forward-looking statements can generally be identified by phrases such as “believes,” “expects,” “potential,” “continues,” “may,” “should,” “se</w:t>
      </w:r>
      <w:r>
        <w:rPr>
          <w:sz w:val="20"/>
          <w:szCs w:val="20"/>
        </w:rPr>
        <w:t>eks,” “predicts,” “anticipates,” “intends,” “projects,” “estimates,” “plans,” “could,” “designed,” “should be” and other similar expressions that denote expectations of future or conditional events rather than statements of fact.</w:t>
      </w:r>
    </w:p>
    <w:p w:rsidR="00000000" w:rsidRDefault="00DB7886">
      <w:pPr>
        <w:pStyle w:val="a3"/>
        <w:spacing w:before="0" w:beforeAutospacing="0" w:after="240" w:afterAutospacing="0"/>
        <w:ind w:firstLine="360"/>
        <w:divId w:val="46994977"/>
        <w:rPr>
          <w:sz w:val="20"/>
          <w:szCs w:val="20"/>
        </w:rPr>
      </w:pPr>
      <w:r>
        <w:rPr>
          <w:sz w:val="20"/>
          <w:szCs w:val="20"/>
        </w:rPr>
        <w:t>Forward-looking statements</w:t>
      </w:r>
      <w:r>
        <w:rPr>
          <w:sz w:val="20"/>
          <w:szCs w:val="20"/>
        </w:rPr>
        <w:t xml:space="preserve"> include certain statements made under the caption, “Management’s Discussion and Analysis of Financial Condition and Results of Operations,” under Part I, Item 2 of this Report, but also forward-looking statements that appear in other parts of this Report.</w:t>
      </w:r>
      <w:r>
        <w:rPr>
          <w:sz w:val="20"/>
          <w:szCs w:val="20"/>
        </w:rPr>
        <w:t> Forward-looking statements reflect our current views with respect to future events and are based on certain assumptions and are subject to risks and uncertainties that could cause our actual results to differ materially from trends, plans, or expectations</w:t>
      </w:r>
      <w:r>
        <w:rPr>
          <w:sz w:val="20"/>
          <w:szCs w:val="20"/>
        </w:rPr>
        <w:t xml:space="preserve"> set forth in the forward-looking statements. These include risks related to economic downturns, substantial competition and rising operating costs; risks related to the severity, magnitude and duration of the COVID-19 pandemic and its impact on the global</w:t>
      </w:r>
      <w:r>
        <w:rPr>
          <w:sz w:val="20"/>
          <w:szCs w:val="20"/>
        </w:rPr>
        <w:t xml:space="preserve"> economy, financial markets and industries in which our subsidiaries operate; risks related to our investment activities, including the nature of the investments made by the private funds in which we invest, declines in the fair value of our investments as</w:t>
      </w:r>
      <w:r>
        <w:rPr>
          <w:sz w:val="20"/>
          <w:szCs w:val="20"/>
        </w:rPr>
        <w:t xml:space="preserve"> a result of the COVID-19 pandemic, losses in the private funds and loss of key employees; risks related to our ability to continue to conduct our activities in a manner so as to not be deemed an investment company under the Investment Company Act of 1940,</w:t>
      </w:r>
      <w:r>
        <w:rPr>
          <w:sz w:val="20"/>
          <w:szCs w:val="20"/>
        </w:rPr>
        <w:t xml:space="preserve"> as amended; risks related to our energy business, including the volatility and availability of crude oil, declines in global demand for crude oil, refined products and liquid transportation fuels as result of the COVID-19 pandemic, other feed stocks and r</w:t>
      </w:r>
      <w:r>
        <w:rPr>
          <w:sz w:val="20"/>
          <w:szCs w:val="20"/>
        </w:rPr>
        <w:t>efined products, unfavorable refining margin (crack spread), interrupted access to pipelines, significant fluctuations in nitrogen fertilizer demand in the agricultural industry and seasonality of results; risks related to our automotive activities and exp</w:t>
      </w:r>
      <w:r>
        <w:rPr>
          <w:sz w:val="20"/>
          <w:szCs w:val="20"/>
        </w:rPr>
        <w:t xml:space="preserve">osure to adverse conditions in the automotive industry, including as a result of the COVID-19 pandemic; risks related to our food packaging activities, including competition from better capitalized competitors, inability of our suppliers to timely deliver </w:t>
      </w:r>
      <w:r>
        <w:rPr>
          <w:sz w:val="20"/>
          <w:szCs w:val="20"/>
        </w:rPr>
        <w:t>raw materials, and the failure to effectively respond to industry changes in casings technology; supply chain issues; inflation, including increased costs of raw materials and shipping; labor shortages and workforce availability; risks related to our scrap</w:t>
      </w:r>
      <w:r>
        <w:rPr>
          <w:sz w:val="20"/>
          <w:szCs w:val="20"/>
        </w:rPr>
        <w:t xml:space="preserve"> metals activities, including potential environmental exposure; risks related to our real estate activities, including the extent of any tenant bankruptcies and insolvencies; risks related to our home fashion operations, including changes in the availabili</w:t>
      </w:r>
      <w:r>
        <w:rPr>
          <w:sz w:val="20"/>
          <w:szCs w:val="20"/>
        </w:rPr>
        <w:t>ty and price of raw materials, and changes in transportation costs and delivery times. These risks and uncertainties also include the risks and uncertainties described in our Annual Report on Form 10-K for the year ended December 31, 2020 and those set for</w:t>
      </w:r>
      <w:r>
        <w:rPr>
          <w:sz w:val="20"/>
          <w:szCs w:val="20"/>
        </w:rPr>
        <w:t>th in this Report, including under the caption “Risk Factors,” under Part II, Item 1A of this Report. Additionally, there may be other factors not presently known to us or which we currently consider to be immaterial that may cause our actual results to di</w:t>
      </w:r>
      <w:r>
        <w:rPr>
          <w:sz w:val="20"/>
          <w:szCs w:val="20"/>
        </w:rPr>
        <w:t>ffer materially from the forward-looking statements.</w:t>
      </w:r>
    </w:p>
    <w:p w:rsidR="00000000" w:rsidRDefault="00DB7886">
      <w:pPr>
        <w:pStyle w:val="a3"/>
        <w:spacing w:before="0" w:beforeAutospacing="0" w:after="0" w:afterAutospacing="0"/>
        <w:divId w:val="46994977"/>
        <w:rPr>
          <w:sz w:val="20"/>
          <w:szCs w:val="20"/>
        </w:rPr>
      </w:pPr>
      <w:r>
        <w:rPr>
          <w:sz w:val="20"/>
          <w:szCs w:val="20"/>
        </w:rPr>
        <w:t>​</w:t>
      </w:r>
    </w:p>
    <w:p w:rsidR="00000000" w:rsidRDefault="00DB7886">
      <w:pPr>
        <w:pStyle w:val="a3"/>
        <w:spacing w:before="480" w:beforeAutospacing="0" w:after="0" w:afterAutospacing="0"/>
        <w:jc w:val="center"/>
        <w:divId w:val="1516778"/>
        <w:rPr>
          <w:sz w:val="20"/>
          <w:szCs w:val="20"/>
        </w:rPr>
      </w:pPr>
      <w:r>
        <w:rPr>
          <w:sz w:val="20"/>
          <w:szCs w:val="20"/>
        </w:rPr>
        <w:t>1</w:t>
      </w:r>
    </w:p>
    <w:p w:rsidR="00000000" w:rsidRDefault="00DB7886">
      <w:pPr>
        <w:pStyle w:val="a3"/>
        <w:spacing w:before="0" w:beforeAutospacing="0" w:after="600" w:afterAutospacing="0"/>
        <w:divId w:val="29917074"/>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jc w:val="center"/>
        <w:divId w:val="477261240"/>
        <w:rPr>
          <w:b/>
          <w:bCs/>
          <w:sz w:val="20"/>
          <w:szCs w:val="20"/>
        </w:rPr>
      </w:pPr>
      <w:r>
        <w:rPr>
          <w:b/>
          <w:bCs/>
          <w:sz w:val="20"/>
          <w:szCs w:val="20"/>
        </w:rPr>
        <w:t>PART I. FINANCIAL INFORMATION</w:t>
      </w:r>
    </w:p>
    <w:p w:rsidR="00000000" w:rsidRDefault="00DB7886">
      <w:pPr>
        <w:pStyle w:val="a3"/>
        <w:spacing w:before="0" w:beforeAutospacing="0" w:after="240" w:afterAutospacing="0"/>
        <w:divId w:val="477261240"/>
        <w:rPr>
          <w:b/>
          <w:bCs/>
          <w:sz w:val="20"/>
          <w:szCs w:val="20"/>
        </w:rPr>
      </w:pPr>
      <w:r>
        <w:rPr>
          <w:b/>
          <w:bCs/>
          <w:sz w:val="20"/>
          <w:szCs w:val="20"/>
        </w:rPr>
        <w:t>Item 1. Financial Statements</w:t>
      </w:r>
    </w:p>
    <w:p w:rsidR="00000000" w:rsidRDefault="00DB7886">
      <w:pPr>
        <w:pStyle w:val="a3"/>
        <w:spacing w:before="0" w:beforeAutospacing="0" w:after="240" w:afterAutospacing="0"/>
        <w:jc w:val="center"/>
        <w:divId w:val="477261240"/>
        <w:rPr>
          <w:b/>
          <w:bCs/>
          <w:sz w:val="20"/>
          <w:szCs w:val="20"/>
        </w:rPr>
      </w:pPr>
      <w:r>
        <w:rPr>
          <w:b/>
          <w:bCs/>
          <w:sz w:val="20"/>
          <w:szCs w:val="20"/>
        </w:rPr>
        <w:lastRenderedPageBreak/>
        <w:t>ICAHN ENTERPRISES L.P. AND SUBSIDIARIES</w:t>
      </w:r>
    </w:p>
    <w:p w:rsidR="00000000" w:rsidRDefault="00DB7886">
      <w:pPr>
        <w:pStyle w:val="a3"/>
        <w:spacing w:before="0" w:beforeAutospacing="0" w:after="240" w:afterAutospacing="0"/>
        <w:jc w:val="center"/>
        <w:divId w:val="477261240"/>
        <w:rPr>
          <w:b/>
          <w:bCs/>
          <w:sz w:val="20"/>
          <w:szCs w:val="20"/>
        </w:rPr>
      </w:pPr>
      <w:r>
        <w:rPr>
          <w:b/>
          <w:bCs/>
          <w:sz w:val="20"/>
          <w:szCs w:val="20"/>
        </w:rPr>
        <w:t>CONDENSED CONSOLIDATED BALANCE SHEETS (UNAUDITED)</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64"/>
        <w:gridCol w:w="1108"/>
        <w:gridCol w:w="200"/>
        <w:gridCol w:w="156"/>
        <w:gridCol w:w="1061"/>
      </w:tblGrid>
      <w:tr w:rsidR="00000000">
        <w:trPr>
          <w:divId w:val="477261240"/>
          <w:trHeight w:val="2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divId w:val="70209545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88015758"/>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13609407"/>
              <w:rPr>
                <w:sz w:val="20"/>
                <w:szCs w:val="20"/>
              </w:rPr>
            </w:pPr>
            <w:r>
              <w:rPr>
                <w:sz w:val="2"/>
                <w:szCs w:val="2"/>
              </w:rPr>
              <w:t>​</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0632123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22829704"/>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77236325"/>
              <w:rPr>
                <w:sz w:val="20"/>
                <w:szCs w:val="20"/>
              </w:rPr>
            </w:pPr>
            <w:r>
              <w:rPr>
                <w:sz w:val="2"/>
                <w:szCs w:val="2"/>
              </w:rPr>
              <w:t>​</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58508964"/>
              <w:rPr>
                <w:sz w:val="20"/>
                <w:szCs w:val="20"/>
              </w:rPr>
            </w:pPr>
            <w:r>
              <w:rPr>
                <w:sz w:val="2"/>
                <w:szCs w:val="2"/>
              </w:rPr>
              <w:t>​</w:t>
            </w:r>
          </w:p>
        </w:tc>
      </w:tr>
      <w:tr w:rsidR="00000000">
        <w:trPr>
          <w:divId w:val="47726124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655"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December 31, </w:t>
            </w:r>
          </w:p>
        </w:tc>
      </w:tr>
      <w:tr w:rsidR="00000000">
        <w:trPr>
          <w:divId w:val="47726124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r>
      <w:tr w:rsidR="00000000">
        <w:trPr>
          <w:divId w:val="477261240"/>
        </w:trPr>
        <w:tc>
          <w:tcPr>
            <w:tcW w:w="0" w:type="auto"/>
            <w:gridSpan w:val="7"/>
            <w:tcMar>
              <w:top w:w="0" w:type="dxa"/>
              <w:left w:w="0" w:type="dxa"/>
              <w:bottom w:w="0" w:type="dxa"/>
              <w:right w:w="0" w:type="dxa"/>
            </w:tcMar>
            <w:vAlign w:val="center"/>
            <w:hideMark/>
          </w:tcPr>
          <w:p w:rsidR="00000000" w:rsidRDefault="00DB7886">
            <w:pPr>
              <w:rPr>
                <w:sz w:val="20"/>
                <w:szCs w:val="20"/>
              </w:rPr>
            </w:pPr>
          </w:p>
        </w:tc>
      </w:tr>
      <w:tr w:rsidR="00000000">
        <w:trPr>
          <w:divId w:val="477261240"/>
        </w:trPr>
        <w:tc>
          <w:tcPr>
            <w:tcW w:w="3532"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385" w:type="pct"/>
            <w:gridSpan w:val="5"/>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 except unit amounts)</w:t>
            </w:r>
          </w:p>
        </w:tc>
      </w:tr>
      <w:tr w:rsidR="00000000">
        <w:trPr>
          <w:divId w:val="477261240"/>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w:t>
            </w:r>
          </w:p>
        </w:tc>
      </w:tr>
      <w:tr w:rsidR="00000000">
        <w:trPr>
          <w:divId w:val="47726124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Cash and cash equivalents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1,945</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1,679</w:t>
            </w:r>
          </w:p>
        </w:tc>
      </w:tr>
      <w:tr w:rsidR="00000000">
        <w:trPr>
          <w:divId w:val="477261240"/>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Cash held at consolidated affiliated partnerships and restricted cash</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1,747</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1,612</w:t>
            </w:r>
          </w:p>
        </w:tc>
      </w:tr>
      <w:tr w:rsidR="00000000">
        <w:trPr>
          <w:divId w:val="47726124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Investments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9,897</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8,913</w:t>
            </w:r>
          </w:p>
        </w:tc>
      </w:tr>
      <w:tr w:rsidR="00000000">
        <w:trPr>
          <w:divId w:val="477261240"/>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Due from brokers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5,149</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3,437</w:t>
            </w:r>
          </w:p>
        </w:tc>
      </w:tr>
      <w:tr w:rsidR="00000000">
        <w:trPr>
          <w:divId w:val="47726124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Accounts receivable, net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598</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501</w:t>
            </w:r>
          </w:p>
        </w:tc>
      </w:tr>
      <w:tr w:rsidR="00000000">
        <w:trPr>
          <w:divId w:val="477261240"/>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Inventories, net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1,590</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1,580</w:t>
            </w:r>
          </w:p>
        </w:tc>
      </w:tr>
      <w:tr w:rsidR="00000000">
        <w:trPr>
          <w:divId w:val="47726124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Property, plant and equipment, net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4,194</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4,228</w:t>
            </w:r>
          </w:p>
        </w:tc>
      </w:tr>
      <w:tr w:rsidR="00000000">
        <w:trPr>
          <w:divId w:val="477261240"/>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Derivative assets, net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796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785</w:t>
            </w:r>
          </w:p>
        </w:tc>
      </w:tr>
      <w:tr w:rsidR="00000000">
        <w:trPr>
          <w:divId w:val="47726124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Goodwill</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294</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294</w:t>
            </w:r>
          </w:p>
        </w:tc>
      </w:tr>
      <w:tr w:rsidR="00000000">
        <w:trPr>
          <w:divId w:val="477261240"/>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Intangible assets, net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613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660</w:t>
            </w:r>
          </w:p>
        </w:tc>
      </w:tr>
      <w:tr w:rsidR="00000000">
        <w:trPr>
          <w:divId w:val="47726124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Other assets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1,150</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1,300</w:t>
            </w:r>
          </w:p>
        </w:tc>
      </w:tr>
      <w:tr w:rsidR="00000000">
        <w:trPr>
          <w:divId w:val="477261240"/>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Total Assets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27,973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24,989</w:t>
            </w:r>
          </w:p>
        </w:tc>
      </w:tr>
      <w:tr w:rsidR="00000000">
        <w:trPr>
          <w:divId w:val="47726124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LIABILITIES AND EQUITY</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r>
      <w:tr w:rsidR="00000000">
        <w:trPr>
          <w:divId w:val="477261240"/>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Accounts payable</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829</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738</w:t>
            </w:r>
          </w:p>
        </w:tc>
      </w:tr>
      <w:tr w:rsidR="00000000">
        <w:trPr>
          <w:divId w:val="47726124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Accrued expenses and other liabilities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1,782</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1,588</w:t>
            </w:r>
          </w:p>
        </w:tc>
      </w:tr>
      <w:tr w:rsidR="00000000">
        <w:trPr>
          <w:divId w:val="477261240"/>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Deferred tax liabilities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585</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568</w:t>
            </w:r>
          </w:p>
        </w:tc>
      </w:tr>
      <w:tr w:rsidR="00000000">
        <w:trPr>
          <w:divId w:val="47726124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Derivative liabilities, net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479</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639</w:t>
            </w:r>
          </w:p>
        </w:tc>
      </w:tr>
      <w:tr w:rsidR="00000000">
        <w:trPr>
          <w:divId w:val="477261240"/>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Securities sold, not yet purchased, at fair value</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4,957</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2,521</w:t>
            </w:r>
          </w:p>
        </w:tc>
      </w:tr>
      <w:tr w:rsidR="00000000">
        <w:trPr>
          <w:divId w:val="47726124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Due to brokers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1,622</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1,618</w:t>
            </w:r>
          </w:p>
        </w:tc>
      </w:tr>
      <w:tr w:rsidR="00000000">
        <w:trPr>
          <w:divId w:val="477261240"/>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Debt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7,712</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8,059</w:t>
            </w:r>
          </w:p>
        </w:tc>
      </w:tr>
      <w:tr w:rsidR="00000000">
        <w:trPr>
          <w:divId w:val="47726124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Total liabilities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17,966</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15,731</w:t>
            </w:r>
          </w:p>
        </w:tc>
      </w:tr>
      <w:tr w:rsidR="00000000">
        <w:trPr>
          <w:divId w:val="477261240"/>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47726124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Commitments and contingencies (Note 16)</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r>
      <w:tr w:rsidR="00000000">
        <w:trPr>
          <w:divId w:val="477261240"/>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47726124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xml:space="preserve">Equity: </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r>
      <w:tr w:rsidR="00000000">
        <w:trPr>
          <w:divId w:val="477261240"/>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15" w:hanging="144"/>
              <w:rPr>
                <w:sz w:val="20"/>
                <w:szCs w:val="20"/>
              </w:rPr>
            </w:pPr>
            <w:r>
              <w:rPr>
                <w:sz w:val="20"/>
                <w:szCs w:val="20"/>
              </w:rPr>
              <w:t>Limited partners: Depositary units: 278,605,558 units issued and</w:t>
            </w:r>
            <w:r>
              <w:rPr>
                <w:sz w:val="20"/>
                <w:szCs w:val="20"/>
              </w:rPr>
              <w:t xml:space="preserve"> </w:t>
            </w:r>
            <w:r>
              <w:rPr>
                <w:sz w:val="20"/>
                <w:szCs w:val="20"/>
              </w:rPr>
              <w:t>outstandin</w:t>
            </w:r>
            <w:r>
              <w:rPr>
                <w:sz w:val="20"/>
                <w:szCs w:val="20"/>
              </w:rPr>
              <w:t>g</w:t>
            </w:r>
            <w:r>
              <w:rPr>
                <w:sz w:val="20"/>
                <w:szCs w:val="20"/>
              </w:rPr>
              <w:t xml:space="preserve"> at September 30, 2021 and 241,338,835 units issued and</w:t>
            </w:r>
            <w:r>
              <w:rPr>
                <w:sz w:val="20"/>
                <w:szCs w:val="20"/>
              </w:rPr>
              <w:t xml:space="preserve"> </w:t>
            </w:r>
            <w:r>
              <w:rPr>
                <w:sz w:val="20"/>
                <w:szCs w:val="20"/>
              </w:rPr>
              <w:t>outstandin</w:t>
            </w:r>
            <w:r>
              <w:rPr>
                <w:sz w:val="20"/>
                <w:szCs w:val="20"/>
              </w:rPr>
              <w:t>g</w:t>
            </w:r>
            <w:r>
              <w:rPr>
                <w:sz w:val="20"/>
                <w:szCs w:val="20"/>
              </w:rPr>
              <w:t xml:space="preserve"> </w:t>
            </w:r>
            <w:r>
              <w:rPr>
                <w:sz w:val="20"/>
                <w:szCs w:val="20"/>
              </w:rPr>
              <w:t>at December 31, 2020</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4,616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4,236</w:t>
            </w:r>
          </w:p>
        </w:tc>
      </w:tr>
      <w:tr w:rsidR="00000000">
        <w:trPr>
          <w:divId w:val="47726124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General partner</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(846)</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(853)</w:t>
            </w:r>
          </w:p>
        </w:tc>
      </w:tr>
      <w:tr w:rsidR="00000000">
        <w:trPr>
          <w:divId w:val="477261240"/>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Equity attributable to Icahn Enterprises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3,770</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3,383</w:t>
            </w:r>
          </w:p>
        </w:tc>
      </w:tr>
      <w:tr w:rsidR="00000000">
        <w:trPr>
          <w:divId w:val="47726124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Equity attributable to non-controlling interests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6,237</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5,875</w:t>
            </w:r>
          </w:p>
        </w:tc>
      </w:tr>
      <w:tr w:rsidR="00000000">
        <w:trPr>
          <w:divId w:val="477261240"/>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Total equity</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10,007</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9,258</w:t>
            </w:r>
          </w:p>
        </w:tc>
      </w:tr>
      <w:tr w:rsidR="00000000">
        <w:trPr>
          <w:divId w:val="47726124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Total Liabilities and Equity</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27,973</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24,989</w:t>
            </w:r>
          </w:p>
        </w:tc>
      </w:tr>
    </w:tbl>
    <w:p w:rsidR="00000000" w:rsidRDefault="00DB7886">
      <w:pPr>
        <w:pStyle w:val="a3"/>
        <w:spacing w:before="0" w:beforeAutospacing="0" w:after="0" w:afterAutospacing="0"/>
        <w:divId w:val="477261240"/>
        <w:rPr>
          <w:sz w:val="20"/>
          <w:szCs w:val="20"/>
        </w:rPr>
      </w:pPr>
      <w:r>
        <w:rPr>
          <w:sz w:val="20"/>
          <w:szCs w:val="20"/>
        </w:rPr>
        <w:t>​</w:t>
      </w:r>
    </w:p>
    <w:p w:rsidR="00000000" w:rsidRDefault="00DB7886">
      <w:pPr>
        <w:pStyle w:val="a3"/>
        <w:spacing w:before="0" w:beforeAutospacing="0" w:after="240" w:afterAutospacing="0"/>
        <w:ind w:firstLine="360"/>
        <w:jc w:val="center"/>
        <w:divId w:val="477261240"/>
        <w:rPr>
          <w:sz w:val="20"/>
          <w:szCs w:val="20"/>
        </w:rPr>
      </w:pPr>
      <w:r>
        <w:rPr>
          <w:i/>
          <w:iCs/>
          <w:sz w:val="20"/>
          <w:szCs w:val="20"/>
        </w:rPr>
        <w:t>See notes to condensed consolidated financial statements.</w:t>
      </w:r>
    </w:p>
    <w:p w:rsidR="00000000" w:rsidRDefault="00DB7886">
      <w:pPr>
        <w:pStyle w:val="a3"/>
        <w:spacing w:before="0" w:beforeAutospacing="0" w:after="0" w:afterAutospacing="0"/>
        <w:divId w:val="477261240"/>
        <w:rPr>
          <w:sz w:val="20"/>
          <w:szCs w:val="20"/>
        </w:rPr>
      </w:pPr>
      <w:r>
        <w:rPr>
          <w:i/>
          <w:iCs/>
          <w:sz w:val="20"/>
          <w:szCs w:val="20"/>
        </w:rPr>
        <w:t>​</w:t>
      </w:r>
    </w:p>
    <w:p w:rsidR="00000000" w:rsidRDefault="00DB7886">
      <w:pPr>
        <w:pStyle w:val="a3"/>
        <w:spacing w:before="480" w:beforeAutospacing="0" w:after="0" w:afterAutospacing="0"/>
        <w:jc w:val="center"/>
        <w:divId w:val="1310285279"/>
        <w:rPr>
          <w:sz w:val="20"/>
          <w:szCs w:val="20"/>
        </w:rPr>
      </w:pPr>
      <w:r>
        <w:rPr>
          <w:sz w:val="20"/>
          <w:szCs w:val="20"/>
        </w:rPr>
        <w:t>2</w:t>
      </w:r>
    </w:p>
    <w:p w:rsidR="00000000" w:rsidRDefault="00DB7886">
      <w:pPr>
        <w:pStyle w:val="a3"/>
        <w:spacing w:before="0" w:beforeAutospacing="0" w:after="600" w:afterAutospacing="0"/>
        <w:divId w:val="33387509"/>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jc w:val="center"/>
        <w:divId w:val="1785074024"/>
        <w:rPr>
          <w:b/>
          <w:bCs/>
          <w:sz w:val="20"/>
          <w:szCs w:val="20"/>
        </w:rPr>
      </w:pPr>
      <w:r>
        <w:rPr>
          <w:b/>
          <w:bCs/>
          <w:sz w:val="20"/>
          <w:szCs w:val="20"/>
        </w:rPr>
        <w:t>ICAHN ENTERPRISES L.P. AND SUBSIDIARIES</w:t>
      </w:r>
    </w:p>
    <w:p w:rsidR="00000000" w:rsidRDefault="00DB7886">
      <w:pPr>
        <w:pStyle w:val="a3"/>
        <w:spacing w:before="0" w:beforeAutospacing="0" w:after="240" w:afterAutospacing="0"/>
        <w:jc w:val="center"/>
        <w:divId w:val="1785074024"/>
        <w:rPr>
          <w:b/>
          <w:bCs/>
          <w:sz w:val="20"/>
          <w:szCs w:val="20"/>
        </w:rPr>
      </w:pPr>
      <w:r>
        <w:rPr>
          <w:b/>
          <w:bCs/>
          <w:sz w:val="20"/>
          <w:szCs w:val="20"/>
        </w:rPr>
        <w:t>CONDENSED CONSOLIDATED STATEMENTS OF OPERATIONS (UNAUDITED)</w:t>
      </w:r>
    </w:p>
    <w:tbl>
      <w:tblPr>
        <w:tblW w:w="5007" w:type="pct"/>
        <w:tblCellMar>
          <w:top w:w="15" w:type="dxa"/>
          <w:left w:w="0" w:type="dxa"/>
          <w:bottom w:w="15" w:type="dxa"/>
          <w:right w:w="0" w:type="dxa"/>
        </w:tblCellMar>
        <w:tblLook w:val="04A0" w:firstRow="1" w:lastRow="0" w:firstColumn="1" w:lastColumn="0" w:noHBand="0" w:noVBand="1"/>
      </w:tblPr>
      <w:tblGrid>
        <w:gridCol w:w="4740"/>
        <w:gridCol w:w="160"/>
        <w:gridCol w:w="100"/>
        <w:gridCol w:w="616"/>
        <w:gridCol w:w="200"/>
        <w:gridCol w:w="100"/>
        <w:gridCol w:w="621"/>
        <w:gridCol w:w="160"/>
        <w:gridCol w:w="100"/>
        <w:gridCol w:w="611"/>
        <w:gridCol w:w="200"/>
        <w:gridCol w:w="100"/>
        <w:gridCol w:w="610"/>
      </w:tblGrid>
      <w:tr w:rsidR="00000000">
        <w:trPr>
          <w:divId w:val="1785074024"/>
          <w:trHeight w:val="20"/>
        </w:trPr>
        <w:tc>
          <w:tcPr>
            <w:tcW w:w="2861" w:type="pct"/>
            <w:tcMar>
              <w:top w:w="0" w:type="dxa"/>
              <w:left w:w="0" w:type="dxa"/>
              <w:bottom w:w="0" w:type="dxa"/>
              <w:right w:w="0" w:type="dxa"/>
            </w:tcMar>
            <w:vAlign w:val="bottom"/>
            <w:hideMark/>
          </w:tcPr>
          <w:p w:rsidR="00000000" w:rsidRDefault="00DB7886">
            <w:pPr>
              <w:pStyle w:val="a3"/>
              <w:spacing w:before="0" w:beforeAutospacing="0" w:after="0" w:afterAutospacing="0"/>
              <w:divId w:val="406922087"/>
              <w:rPr>
                <w:sz w:val="20"/>
                <w:szCs w:val="20"/>
              </w:rPr>
            </w:pPr>
            <w:r>
              <w:rPr>
                <w:sz w:val="2"/>
                <w:szCs w:val="2"/>
              </w:rPr>
              <w:lastRenderedPageBreak/>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09497845"/>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07796561"/>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75367724"/>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91812446"/>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68696765"/>
              <w:rPr>
                <w:sz w:val="20"/>
                <w:szCs w:val="20"/>
              </w:rPr>
            </w:pPr>
            <w:r>
              <w:rPr>
                <w:sz w:val="2"/>
                <w:szCs w:val="2"/>
              </w:rPr>
              <w:t>​</w:t>
            </w:r>
          </w:p>
        </w:tc>
        <w:tc>
          <w:tcPr>
            <w:tcW w:w="38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468590776"/>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19754413"/>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47728763"/>
              <w:rPr>
                <w:sz w:val="20"/>
                <w:szCs w:val="20"/>
              </w:rPr>
            </w:pPr>
            <w:r>
              <w:rPr>
                <w:sz w:val="2"/>
                <w:szCs w:val="2"/>
              </w:rPr>
              <w:t>​</w:t>
            </w:r>
          </w:p>
        </w:tc>
        <w:tc>
          <w:tcPr>
            <w:tcW w:w="38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48877641"/>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78740513"/>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412700810"/>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46185656"/>
              <w:rPr>
                <w:sz w:val="20"/>
                <w:szCs w:val="20"/>
              </w:rPr>
            </w:pPr>
            <w:r>
              <w:rPr>
                <w:sz w:val="2"/>
                <w:szCs w:val="2"/>
              </w:rPr>
              <w:t>​</w:t>
            </w:r>
          </w:p>
        </w:tc>
      </w:tr>
      <w:tr w:rsidR="00000000">
        <w:trPr>
          <w:divId w:val="1785074024"/>
        </w:trPr>
        <w:tc>
          <w:tcPr>
            <w:tcW w:w="28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16"/>
                <w:szCs w:val="16"/>
              </w:rPr>
              <w:t>​</w:t>
            </w:r>
          </w:p>
        </w:tc>
        <w:tc>
          <w:tcPr>
            <w:tcW w:w="981" w:type="pct"/>
            <w:gridSpan w:val="5"/>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Three Months Ended September 30, </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16"/>
                <w:szCs w:val="16"/>
              </w:rPr>
              <w:t>​</w:t>
            </w:r>
          </w:p>
        </w:tc>
        <w:tc>
          <w:tcPr>
            <w:tcW w:w="980" w:type="pct"/>
            <w:gridSpan w:val="5"/>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Nine Months Ended September 30, </w:t>
            </w:r>
          </w:p>
        </w:tc>
      </w:tr>
      <w:tr w:rsidR="00000000">
        <w:trPr>
          <w:divId w:val="1785074024"/>
        </w:trPr>
        <w:tc>
          <w:tcPr>
            <w:tcW w:w="28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43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r>
      <w:tr w:rsidR="00000000">
        <w:trPr>
          <w:divId w:val="1785074024"/>
        </w:trPr>
        <w:tc>
          <w:tcPr>
            <w:tcW w:w="0" w:type="auto"/>
            <w:gridSpan w:val="13"/>
            <w:tcMar>
              <w:top w:w="0" w:type="dxa"/>
              <w:left w:w="0" w:type="dxa"/>
              <w:bottom w:w="0" w:type="dxa"/>
              <w:right w:w="0" w:type="dxa"/>
            </w:tcMar>
            <w:vAlign w:val="center"/>
            <w:hideMark/>
          </w:tcPr>
          <w:p w:rsidR="00000000" w:rsidRDefault="00DB7886">
            <w:pPr>
              <w:rPr>
                <w:sz w:val="20"/>
                <w:szCs w:val="20"/>
              </w:rPr>
            </w:pPr>
          </w:p>
        </w:tc>
      </w:tr>
      <w:tr w:rsidR="00000000">
        <w:trPr>
          <w:divId w:val="1785074024"/>
        </w:trPr>
        <w:tc>
          <w:tcPr>
            <w:tcW w:w="2861"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2050" w:type="pct"/>
            <w:gridSpan w:val="11"/>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 except per unit amounts)</w:t>
            </w:r>
          </w:p>
        </w:tc>
      </w:tr>
      <w:tr w:rsidR="00000000">
        <w:trPr>
          <w:divId w:val="1785074024"/>
        </w:trPr>
        <w:tc>
          <w:tcPr>
            <w:tcW w:w="286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Revenues:</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3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3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3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r>
      <w:tr w:rsidR="00000000">
        <w:trPr>
          <w:divId w:val="1785074024"/>
        </w:trPr>
        <w:tc>
          <w:tcPr>
            <w:tcW w:w="2861"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Net sales</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2,657</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1,764</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7,487</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7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4,951</w:t>
            </w:r>
          </w:p>
        </w:tc>
      </w:tr>
      <w:tr w:rsidR="00000000">
        <w:trPr>
          <w:divId w:val="1785074024"/>
        </w:trPr>
        <w:tc>
          <w:tcPr>
            <w:tcW w:w="286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Other revenues from operations</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165</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163</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481</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460</w:t>
            </w:r>
          </w:p>
        </w:tc>
      </w:tr>
      <w:tr w:rsidR="00000000">
        <w:trPr>
          <w:divId w:val="1785074024"/>
        </w:trPr>
        <w:tc>
          <w:tcPr>
            <w:tcW w:w="2861"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Net (loss) gain from investment activities</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(177)</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(1,259)</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1,035</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7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(2,152)</w:t>
            </w:r>
          </w:p>
        </w:tc>
      </w:tr>
      <w:tr w:rsidR="00000000">
        <w:trPr>
          <w:divId w:val="1785074024"/>
        </w:trPr>
        <w:tc>
          <w:tcPr>
            <w:tcW w:w="286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Interest and dividend income</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34</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46</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94</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135</w:t>
            </w:r>
          </w:p>
        </w:tc>
      </w:tr>
      <w:tr w:rsidR="00000000">
        <w:trPr>
          <w:divId w:val="1785074024"/>
        </w:trPr>
        <w:tc>
          <w:tcPr>
            <w:tcW w:w="2861"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Other (loss) income, net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(33)</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(79)</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7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(22)</w:t>
            </w:r>
          </w:p>
        </w:tc>
      </w:tr>
      <w:tr w:rsidR="00000000">
        <w:trPr>
          <w:divId w:val="1785074024"/>
        </w:trPr>
        <w:tc>
          <w:tcPr>
            <w:tcW w:w="286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2,646</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723</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9,018</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3,372</w:t>
            </w:r>
          </w:p>
        </w:tc>
      </w:tr>
      <w:tr w:rsidR="00000000">
        <w:trPr>
          <w:divId w:val="1785074024"/>
        </w:trPr>
        <w:tc>
          <w:tcPr>
            <w:tcW w:w="28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Expenses:</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7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1785074024"/>
        </w:trPr>
        <w:tc>
          <w:tcPr>
            <w:tcW w:w="286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Cost of goods sold</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2,270</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1,599</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6,807</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4,544</w:t>
            </w:r>
          </w:p>
        </w:tc>
      </w:tr>
      <w:tr w:rsidR="00000000">
        <w:trPr>
          <w:divId w:val="1785074024"/>
        </w:trPr>
        <w:tc>
          <w:tcPr>
            <w:tcW w:w="2861"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Other expenses from operations</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130</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127</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374</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7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369</w:t>
            </w:r>
          </w:p>
        </w:tc>
      </w:tr>
      <w:tr w:rsidR="00000000">
        <w:trPr>
          <w:divId w:val="1785074024"/>
        </w:trPr>
        <w:tc>
          <w:tcPr>
            <w:tcW w:w="286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Selling, general and administrative</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317</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290</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937</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888</w:t>
            </w:r>
          </w:p>
        </w:tc>
      </w:tr>
      <w:tr w:rsidR="00000000">
        <w:trPr>
          <w:divId w:val="1785074024"/>
        </w:trPr>
        <w:tc>
          <w:tcPr>
            <w:tcW w:w="2861"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Restructuring, net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7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w:t>
            </w:r>
          </w:p>
        </w:tc>
      </w:tr>
      <w:tr w:rsidR="00000000">
        <w:trPr>
          <w:divId w:val="1785074024"/>
        </w:trPr>
        <w:tc>
          <w:tcPr>
            <w:tcW w:w="286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Impairment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w:t>
            </w:r>
          </w:p>
        </w:tc>
      </w:tr>
      <w:tr w:rsidR="00000000">
        <w:trPr>
          <w:divId w:val="1785074024"/>
        </w:trPr>
        <w:tc>
          <w:tcPr>
            <w:tcW w:w="2861"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Interest expense</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158</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171</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511</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7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517</w:t>
            </w:r>
          </w:p>
        </w:tc>
      </w:tr>
      <w:tr w:rsidR="00000000">
        <w:trPr>
          <w:divId w:val="1785074024"/>
        </w:trPr>
        <w:tc>
          <w:tcPr>
            <w:tcW w:w="286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2,876</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2,189</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8,635</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6,332</w:t>
            </w:r>
          </w:p>
        </w:tc>
      </w:tr>
      <w:tr w:rsidR="00000000">
        <w:trPr>
          <w:divId w:val="1785074024"/>
        </w:trPr>
        <w:tc>
          <w:tcPr>
            <w:tcW w:w="28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(Loss) income before income tax (expense) benefit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(230)</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(1,466)</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383</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7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(2,960)</w:t>
            </w:r>
          </w:p>
        </w:tc>
      </w:tr>
      <w:tr w:rsidR="00000000">
        <w:trPr>
          <w:divId w:val="1785074024"/>
        </w:trPr>
        <w:tc>
          <w:tcPr>
            <w:tcW w:w="286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Income tax benefit (expense)</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19</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66</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(57)</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118</w:t>
            </w:r>
          </w:p>
        </w:tc>
      </w:tr>
      <w:tr w:rsidR="00000000">
        <w:trPr>
          <w:divId w:val="1785074024"/>
        </w:trPr>
        <w:tc>
          <w:tcPr>
            <w:tcW w:w="28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Net (loss) income</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(211)</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(1,400)</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326</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7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(2,842)</w:t>
            </w:r>
          </w:p>
        </w:tc>
      </w:tr>
      <w:tr w:rsidR="00000000">
        <w:trPr>
          <w:divId w:val="1785074024"/>
        </w:trPr>
        <w:tc>
          <w:tcPr>
            <w:tcW w:w="286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Less: net (loss) income attributable to non-controlling interests</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(63)</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(686)</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448</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(1,043)</w:t>
            </w:r>
          </w:p>
        </w:tc>
      </w:tr>
      <w:tr w:rsidR="00000000">
        <w:trPr>
          <w:divId w:val="1785074024"/>
        </w:trPr>
        <w:tc>
          <w:tcPr>
            <w:tcW w:w="28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Net loss attributable to Icahn Enterprises</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(148)</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4"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(714)</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(122)</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7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(1,799)</w:t>
            </w:r>
          </w:p>
        </w:tc>
      </w:tr>
      <w:tr w:rsidR="00000000">
        <w:trPr>
          <w:divId w:val="1785074024"/>
        </w:trPr>
        <w:tc>
          <w:tcPr>
            <w:tcW w:w="286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1785074024"/>
        </w:trPr>
        <w:tc>
          <w:tcPr>
            <w:tcW w:w="28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Net loss attributable to Icahn Enterprises allocated to:</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7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1785074024"/>
        </w:trPr>
        <w:tc>
          <w:tcPr>
            <w:tcW w:w="286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Limited partners</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(145)</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(700)</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(120)</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(1,763)</w:t>
            </w:r>
          </w:p>
        </w:tc>
      </w:tr>
      <w:tr w:rsidR="00000000">
        <w:trPr>
          <w:divId w:val="1785074024"/>
        </w:trPr>
        <w:tc>
          <w:tcPr>
            <w:tcW w:w="2861"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General partner</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(14)</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7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(36)</w:t>
            </w:r>
          </w:p>
        </w:tc>
      </w:tr>
      <w:tr w:rsidR="00000000">
        <w:trPr>
          <w:divId w:val="1785074024"/>
        </w:trPr>
        <w:tc>
          <w:tcPr>
            <w:tcW w:w="286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(148)</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(714)</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(122)</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(1,799)</w:t>
            </w:r>
          </w:p>
        </w:tc>
      </w:tr>
      <w:tr w:rsidR="00000000">
        <w:trPr>
          <w:divId w:val="1785074024"/>
        </w:trPr>
        <w:tc>
          <w:tcPr>
            <w:tcW w:w="28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7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1785074024"/>
        </w:trPr>
        <w:tc>
          <w:tcPr>
            <w:tcW w:w="286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Basic and diluted loss per LP unit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(0.55)</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(3.14)</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(0.47)</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(8.12)</w:t>
            </w:r>
          </w:p>
        </w:tc>
      </w:tr>
      <w:tr w:rsidR="00000000">
        <w:trPr>
          <w:divId w:val="1785074024"/>
        </w:trPr>
        <w:tc>
          <w:tcPr>
            <w:tcW w:w="28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Basic and diluted weighted average LP units outstanding</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266</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4"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223</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253</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7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217</w:t>
            </w:r>
          </w:p>
        </w:tc>
      </w:tr>
      <w:tr w:rsidR="00000000">
        <w:trPr>
          <w:divId w:val="1785074024"/>
        </w:trPr>
        <w:tc>
          <w:tcPr>
            <w:tcW w:w="286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Cash distributions declared per LP unit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2.00</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2.00</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6.00</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6.00</w:t>
            </w:r>
          </w:p>
        </w:tc>
      </w:tr>
    </w:tbl>
    <w:p w:rsidR="00000000" w:rsidRDefault="00DB7886">
      <w:pPr>
        <w:pStyle w:val="a3"/>
        <w:spacing w:before="0" w:beforeAutospacing="0" w:after="0" w:afterAutospacing="0"/>
        <w:divId w:val="1785074024"/>
        <w:rPr>
          <w:sz w:val="20"/>
          <w:szCs w:val="20"/>
        </w:rPr>
      </w:pPr>
      <w:r>
        <w:rPr>
          <w:sz w:val="20"/>
          <w:szCs w:val="20"/>
        </w:rPr>
        <w:t>​</w:t>
      </w:r>
    </w:p>
    <w:p w:rsidR="00000000" w:rsidRDefault="00DB7886">
      <w:pPr>
        <w:pStyle w:val="a3"/>
        <w:spacing w:before="0" w:beforeAutospacing="0" w:after="0" w:afterAutospacing="0"/>
        <w:ind w:firstLine="360"/>
        <w:jc w:val="center"/>
        <w:divId w:val="1785074024"/>
        <w:rPr>
          <w:sz w:val="20"/>
          <w:szCs w:val="20"/>
        </w:rPr>
      </w:pPr>
      <w:r>
        <w:rPr>
          <w:i/>
          <w:iCs/>
          <w:sz w:val="20"/>
          <w:szCs w:val="20"/>
        </w:rPr>
        <w:t>See notes to condensed consolidated financial statements.</w:t>
      </w:r>
    </w:p>
    <w:p w:rsidR="00000000" w:rsidRDefault="00DB7886">
      <w:pPr>
        <w:pStyle w:val="a3"/>
        <w:spacing w:before="0" w:beforeAutospacing="0" w:after="0" w:afterAutospacing="0"/>
        <w:divId w:val="1785074024"/>
        <w:rPr>
          <w:sz w:val="20"/>
          <w:szCs w:val="20"/>
        </w:rPr>
      </w:pPr>
      <w:r>
        <w:rPr>
          <w:i/>
          <w:iCs/>
          <w:sz w:val="20"/>
          <w:szCs w:val="20"/>
        </w:rPr>
        <w:t>​</w:t>
      </w:r>
    </w:p>
    <w:p w:rsidR="00000000" w:rsidRDefault="00DB7886">
      <w:pPr>
        <w:pStyle w:val="a3"/>
        <w:spacing w:before="480" w:beforeAutospacing="0" w:after="0" w:afterAutospacing="0"/>
        <w:jc w:val="center"/>
        <w:divId w:val="1562670013"/>
        <w:rPr>
          <w:sz w:val="20"/>
          <w:szCs w:val="20"/>
        </w:rPr>
      </w:pPr>
      <w:r>
        <w:rPr>
          <w:sz w:val="20"/>
          <w:szCs w:val="20"/>
        </w:rPr>
        <w:t>3</w:t>
      </w:r>
    </w:p>
    <w:p w:rsidR="00000000" w:rsidRDefault="00DB7886">
      <w:pPr>
        <w:pStyle w:val="a3"/>
        <w:spacing w:before="0" w:beforeAutospacing="0" w:after="600" w:afterAutospacing="0"/>
        <w:divId w:val="1689331811"/>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jc w:val="center"/>
        <w:divId w:val="1996953191"/>
        <w:rPr>
          <w:b/>
          <w:bCs/>
          <w:sz w:val="20"/>
          <w:szCs w:val="20"/>
        </w:rPr>
      </w:pPr>
      <w:r>
        <w:rPr>
          <w:b/>
          <w:bCs/>
          <w:sz w:val="20"/>
          <w:szCs w:val="20"/>
        </w:rPr>
        <w:t>ICAHN ENTERPRISES L.P. AND SUBSIDIARIES</w:t>
      </w:r>
    </w:p>
    <w:p w:rsidR="00000000" w:rsidRDefault="00DB7886">
      <w:pPr>
        <w:pStyle w:val="a3"/>
        <w:spacing w:before="0" w:beforeAutospacing="0" w:after="240" w:afterAutospacing="0"/>
        <w:jc w:val="center"/>
        <w:divId w:val="1996953191"/>
        <w:rPr>
          <w:b/>
          <w:bCs/>
          <w:sz w:val="20"/>
          <w:szCs w:val="20"/>
        </w:rPr>
      </w:pPr>
      <w:r>
        <w:rPr>
          <w:b/>
          <w:bCs/>
          <w:sz w:val="20"/>
          <w:szCs w:val="20"/>
        </w:rPr>
        <w:t>CONDENSED CONSOLIDATED STATEMENTS OF COMPREHENSIVE INCOME (LOSS) (UNAUDITED)</w:t>
      </w:r>
    </w:p>
    <w:tbl>
      <w:tblPr>
        <w:tblW w:w="5000" w:type="pct"/>
        <w:tblCellMar>
          <w:top w:w="15" w:type="dxa"/>
          <w:left w:w="0" w:type="dxa"/>
          <w:bottom w:w="15" w:type="dxa"/>
          <w:right w:w="0" w:type="dxa"/>
        </w:tblCellMar>
        <w:tblLook w:val="04A0" w:firstRow="1" w:lastRow="0" w:firstColumn="1" w:lastColumn="0" w:noHBand="0" w:noVBand="1"/>
      </w:tblPr>
      <w:tblGrid>
        <w:gridCol w:w="4723"/>
        <w:gridCol w:w="160"/>
        <w:gridCol w:w="100"/>
        <w:gridCol w:w="614"/>
        <w:gridCol w:w="200"/>
        <w:gridCol w:w="100"/>
        <w:gridCol w:w="615"/>
        <w:gridCol w:w="160"/>
        <w:gridCol w:w="100"/>
        <w:gridCol w:w="617"/>
        <w:gridCol w:w="200"/>
        <w:gridCol w:w="100"/>
        <w:gridCol w:w="617"/>
      </w:tblGrid>
      <w:tr w:rsidR="00000000">
        <w:trPr>
          <w:divId w:val="1996953191"/>
          <w:trHeight w:val="20"/>
        </w:trPr>
        <w:tc>
          <w:tcPr>
            <w:tcW w:w="2855" w:type="pct"/>
            <w:tcMar>
              <w:top w:w="0" w:type="dxa"/>
              <w:left w:w="0" w:type="dxa"/>
              <w:bottom w:w="0" w:type="dxa"/>
              <w:right w:w="0" w:type="dxa"/>
            </w:tcMar>
            <w:vAlign w:val="bottom"/>
            <w:hideMark/>
          </w:tcPr>
          <w:p w:rsidR="00000000" w:rsidRDefault="00DB7886">
            <w:pPr>
              <w:pStyle w:val="a3"/>
              <w:spacing w:before="0" w:beforeAutospacing="0" w:after="0" w:afterAutospacing="0"/>
              <w:divId w:val="1731270853"/>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49112027"/>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19774985"/>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97969959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57281516"/>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64861945"/>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91972843"/>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98654598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82738406"/>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0047535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28979576"/>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8937447"/>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5654107"/>
              <w:rPr>
                <w:sz w:val="20"/>
                <w:szCs w:val="20"/>
              </w:rPr>
            </w:pPr>
            <w:r>
              <w:rPr>
                <w:sz w:val="2"/>
                <w:szCs w:val="2"/>
              </w:rPr>
              <w:t>​</w:t>
            </w:r>
          </w:p>
        </w:tc>
      </w:tr>
      <w:tr w:rsidR="00000000">
        <w:trPr>
          <w:divId w:val="1996953191"/>
        </w:trPr>
        <w:tc>
          <w:tcPr>
            <w:tcW w:w="285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978" w:type="pct"/>
            <w:gridSpan w:val="5"/>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Three Months Ended September 30, </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988" w:type="pct"/>
            <w:gridSpan w:val="5"/>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Nine Months Ended September 30, </w:t>
            </w:r>
          </w:p>
        </w:tc>
      </w:tr>
      <w:tr w:rsidR="00000000">
        <w:trPr>
          <w:divId w:val="1996953191"/>
        </w:trPr>
        <w:tc>
          <w:tcPr>
            <w:tcW w:w="285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3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43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44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r>
      <w:tr w:rsidR="00000000">
        <w:trPr>
          <w:divId w:val="1996953191"/>
        </w:trPr>
        <w:tc>
          <w:tcPr>
            <w:tcW w:w="0" w:type="auto"/>
            <w:gridSpan w:val="13"/>
            <w:tcMar>
              <w:top w:w="0" w:type="dxa"/>
              <w:left w:w="0" w:type="dxa"/>
              <w:bottom w:w="0" w:type="dxa"/>
              <w:right w:w="0" w:type="dxa"/>
            </w:tcMar>
            <w:vAlign w:val="center"/>
            <w:hideMark/>
          </w:tcPr>
          <w:p w:rsidR="00000000" w:rsidRDefault="00DB7886">
            <w:pPr>
              <w:rPr>
                <w:sz w:val="20"/>
                <w:szCs w:val="20"/>
              </w:rPr>
            </w:pPr>
          </w:p>
        </w:tc>
      </w:tr>
      <w:tr w:rsidR="00000000">
        <w:trPr>
          <w:divId w:val="1996953191"/>
        </w:trPr>
        <w:tc>
          <w:tcPr>
            <w:tcW w:w="285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lastRenderedPageBreak/>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2055" w:type="pct"/>
            <w:gridSpan w:val="11"/>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1996953191"/>
        </w:trPr>
        <w:tc>
          <w:tcPr>
            <w:tcW w:w="285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Net (loss) income</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(211)</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(1,400)</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326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(2,842)</w:t>
            </w:r>
          </w:p>
        </w:tc>
      </w:tr>
      <w:tr w:rsidR="00000000">
        <w:trPr>
          <w:divId w:val="1996953191"/>
        </w:trPr>
        <w:tc>
          <w:tcPr>
            <w:tcW w:w="285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Other comprehensive (loss) income, net of tax:</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1996953191"/>
        </w:trPr>
        <w:tc>
          <w:tcPr>
            <w:tcW w:w="285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Translation adjustments</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r>
      <w:tr w:rsidR="00000000">
        <w:trPr>
          <w:divId w:val="1996953191"/>
        </w:trPr>
        <w:tc>
          <w:tcPr>
            <w:tcW w:w="2855"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Post-retirement benefits and other</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r>
      <w:tr w:rsidR="00000000">
        <w:trPr>
          <w:divId w:val="1996953191"/>
        </w:trPr>
        <w:tc>
          <w:tcPr>
            <w:tcW w:w="285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Other comprehensive (loss) income, net of tax</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r>
      <w:tr w:rsidR="00000000">
        <w:trPr>
          <w:divId w:val="1996953191"/>
        </w:trPr>
        <w:tc>
          <w:tcPr>
            <w:tcW w:w="285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Comprehensive (loss) income</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(216)</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(1,398)</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323</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(2,841)</w:t>
            </w:r>
          </w:p>
        </w:tc>
      </w:tr>
      <w:tr w:rsidR="00000000">
        <w:trPr>
          <w:divId w:val="1996953191"/>
        </w:trPr>
        <w:tc>
          <w:tcPr>
            <w:tcW w:w="285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20"/>
                <w:szCs w:val="20"/>
              </w:rPr>
            </w:pPr>
            <w:r>
              <w:rPr>
                <w:sz w:val="20"/>
                <w:szCs w:val="20"/>
              </w:rPr>
              <w:t>Less: Comprehensive (loss) income attributable to non-controlling interests</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(64)</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(686)</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448</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(1,042)</w:t>
            </w:r>
          </w:p>
        </w:tc>
      </w:tr>
      <w:tr w:rsidR="00000000">
        <w:trPr>
          <w:divId w:val="1996953191"/>
        </w:trPr>
        <w:tc>
          <w:tcPr>
            <w:tcW w:w="285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Comprehensive loss attributable to Icahn Enterprises</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(152)</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(712)</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(125)</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(1,799)</w:t>
            </w:r>
          </w:p>
        </w:tc>
      </w:tr>
      <w:tr w:rsidR="00000000">
        <w:trPr>
          <w:divId w:val="1996953191"/>
        </w:trPr>
        <w:tc>
          <w:tcPr>
            <w:tcW w:w="285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1996953191"/>
        </w:trPr>
        <w:tc>
          <w:tcPr>
            <w:tcW w:w="285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Comprehensive loss attributable to Icahn Enterprises allocated to:</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1996953191"/>
        </w:trPr>
        <w:tc>
          <w:tcPr>
            <w:tcW w:w="285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Limited partners</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(149)</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(698)</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(123)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(1,763)</w:t>
            </w:r>
          </w:p>
        </w:tc>
      </w:tr>
      <w:tr w:rsidR="00000000">
        <w:trPr>
          <w:divId w:val="1996953191"/>
        </w:trPr>
        <w:tc>
          <w:tcPr>
            <w:tcW w:w="2855"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General partner</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(14)</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(36)</w:t>
            </w:r>
          </w:p>
        </w:tc>
      </w:tr>
      <w:tr w:rsidR="00000000">
        <w:trPr>
          <w:divId w:val="1996953191"/>
        </w:trPr>
        <w:tc>
          <w:tcPr>
            <w:tcW w:w="285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(152)</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(712)</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(125)</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(1,799)</w:t>
            </w:r>
          </w:p>
        </w:tc>
      </w:tr>
    </w:tbl>
    <w:p w:rsidR="00000000" w:rsidRDefault="00DB7886">
      <w:pPr>
        <w:pStyle w:val="a3"/>
        <w:spacing w:before="0" w:beforeAutospacing="0" w:after="0" w:afterAutospacing="0"/>
        <w:divId w:val="1996953191"/>
        <w:rPr>
          <w:sz w:val="20"/>
          <w:szCs w:val="20"/>
        </w:rPr>
      </w:pPr>
      <w:r>
        <w:rPr>
          <w:sz w:val="20"/>
          <w:szCs w:val="20"/>
        </w:rPr>
        <w:t>​</w:t>
      </w:r>
    </w:p>
    <w:p w:rsidR="00000000" w:rsidRDefault="00DB7886">
      <w:pPr>
        <w:pStyle w:val="a3"/>
        <w:spacing w:before="0" w:beforeAutospacing="0" w:after="240" w:afterAutospacing="0"/>
        <w:ind w:firstLine="360"/>
        <w:jc w:val="center"/>
        <w:divId w:val="1996953191"/>
        <w:rPr>
          <w:sz w:val="20"/>
          <w:szCs w:val="20"/>
        </w:rPr>
      </w:pPr>
      <w:r>
        <w:rPr>
          <w:i/>
          <w:iCs/>
          <w:sz w:val="20"/>
          <w:szCs w:val="20"/>
        </w:rPr>
        <w:t>See notes to condensed consolidated financial statements.</w:t>
      </w:r>
    </w:p>
    <w:p w:rsidR="00000000" w:rsidRDefault="00DB7886">
      <w:pPr>
        <w:pStyle w:val="a3"/>
        <w:spacing w:before="0" w:beforeAutospacing="0" w:after="0" w:afterAutospacing="0"/>
        <w:divId w:val="1996953191"/>
        <w:rPr>
          <w:sz w:val="20"/>
          <w:szCs w:val="20"/>
        </w:rPr>
      </w:pPr>
      <w:r>
        <w:rPr>
          <w:i/>
          <w:iCs/>
          <w:sz w:val="20"/>
          <w:szCs w:val="20"/>
        </w:rPr>
        <w:t>​</w:t>
      </w:r>
    </w:p>
    <w:p w:rsidR="00000000" w:rsidRDefault="00DB7886">
      <w:pPr>
        <w:pStyle w:val="a3"/>
        <w:spacing w:before="480" w:beforeAutospacing="0" w:after="0" w:afterAutospacing="0"/>
        <w:jc w:val="center"/>
        <w:divId w:val="95565050"/>
        <w:rPr>
          <w:sz w:val="20"/>
          <w:szCs w:val="20"/>
        </w:rPr>
      </w:pPr>
      <w:r>
        <w:rPr>
          <w:sz w:val="20"/>
          <w:szCs w:val="20"/>
        </w:rPr>
        <w:t>4</w:t>
      </w:r>
    </w:p>
    <w:p w:rsidR="00000000" w:rsidRDefault="00DB7886">
      <w:pPr>
        <w:pStyle w:val="a3"/>
        <w:spacing w:before="0" w:beforeAutospacing="0" w:after="600" w:afterAutospacing="0"/>
        <w:divId w:val="375009168"/>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jc w:val="center"/>
        <w:divId w:val="589045892"/>
        <w:rPr>
          <w:b/>
          <w:bCs/>
          <w:sz w:val="20"/>
          <w:szCs w:val="20"/>
        </w:rPr>
      </w:pPr>
      <w:r>
        <w:rPr>
          <w:b/>
          <w:bCs/>
          <w:sz w:val="20"/>
          <w:szCs w:val="20"/>
        </w:rPr>
        <w:t>ICAHN ENTERPRISES L.P. AND SUBSIDIARIES</w:t>
      </w:r>
    </w:p>
    <w:p w:rsidR="00000000" w:rsidRDefault="00DB7886">
      <w:pPr>
        <w:pStyle w:val="a3"/>
        <w:spacing w:before="0" w:beforeAutospacing="0" w:after="0" w:afterAutospacing="0"/>
        <w:jc w:val="center"/>
        <w:divId w:val="589045892"/>
        <w:rPr>
          <w:b/>
          <w:bCs/>
          <w:sz w:val="20"/>
          <w:szCs w:val="20"/>
        </w:rPr>
      </w:pPr>
      <w:r>
        <w:rPr>
          <w:b/>
          <w:bCs/>
          <w:sz w:val="20"/>
          <w:szCs w:val="20"/>
        </w:rPr>
        <w:t>CONDENSED CONSOLIDATED STATEMENTS OF CHANGES IN EQUITY (UNAUDITED)</w:t>
      </w:r>
    </w:p>
    <w:p w:rsidR="00000000" w:rsidRDefault="00DB7886">
      <w:pPr>
        <w:pStyle w:val="a3"/>
        <w:spacing w:before="0" w:beforeAutospacing="0" w:after="0" w:afterAutospacing="0"/>
        <w:divId w:val="58904589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298"/>
        <w:gridCol w:w="150"/>
        <w:gridCol w:w="146"/>
        <w:gridCol w:w="888"/>
        <w:gridCol w:w="151"/>
        <w:gridCol w:w="91"/>
        <w:gridCol w:w="556"/>
        <w:gridCol w:w="150"/>
        <w:gridCol w:w="144"/>
        <w:gridCol w:w="881"/>
        <w:gridCol w:w="150"/>
        <w:gridCol w:w="105"/>
        <w:gridCol w:w="633"/>
        <w:gridCol w:w="150"/>
        <w:gridCol w:w="114"/>
        <w:gridCol w:w="699"/>
      </w:tblGrid>
      <w:tr w:rsidR="00000000">
        <w:trPr>
          <w:divId w:val="589045892"/>
          <w:trHeight w:val="20"/>
        </w:trPr>
        <w:tc>
          <w:tcPr>
            <w:tcW w:w="2351" w:type="pct"/>
            <w:tcMar>
              <w:top w:w="0" w:type="dxa"/>
              <w:left w:w="0" w:type="dxa"/>
              <w:bottom w:w="0" w:type="dxa"/>
              <w:right w:w="0" w:type="dxa"/>
            </w:tcMar>
            <w:vAlign w:val="bottom"/>
            <w:hideMark/>
          </w:tcPr>
          <w:p w:rsidR="00000000" w:rsidRDefault="00DB7886">
            <w:pPr>
              <w:pStyle w:val="a3"/>
              <w:spacing w:before="0" w:beforeAutospacing="0" w:after="0" w:afterAutospacing="0"/>
              <w:divId w:val="126592082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11505330"/>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50549871"/>
              <w:rPr>
                <w:sz w:val="20"/>
                <w:szCs w:val="20"/>
              </w:rPr>
            </w:pPr>
            <w:r>
              <w:rPr>
                <w:sz w:val="2"/>
                <w:szCs w:val="2"/>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959606424"/>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90341936"/>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39140732"/>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48693781"/>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7015922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92353141"/>
              <w:rPr>
                <w:sz w:val="20"/>
                <w:szCs w:val="20"/>
              </w:rPr>
            </w:pPr>
            <w:r>
              <w:rPr>
                <w:sz w:val="2"/>
                <w:szCs w:val="2"/>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4884303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64782793"/>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4089825"/>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6933029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06104401"/>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09316239"/>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5485902"/>
              <w:rPr>
                <w:sz w:val="20"/>
                <w:szCs w:val="20"/>
              </w:rPr>
            </w:pPr>
            <w:r>
              <w:rPr>
                <w:sz w:val="2"/>
                <w:szCs w:val="2"/>
              </w:rPr>
              <w:t>​</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1613" w:type="pct"/>
            <w:gridSpan w:val="8"/>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Equity Attributable to Icahn Enterprises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5"/>
                <w:szCs w:val="15"/>
              </w:rPr>
              <w:t> </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32"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General </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395"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Limited </w:t>
            </w:r>
            <w:r>
              <w:rPr>
                <w:sz w:val="15"/>
                <w:szCs w:val="15"/>
              </w:rPr>
              <w:t> </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381"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Non-</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32"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Partner’s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395"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Partners’ </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28"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Total Partners’ </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381"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controlling </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421"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15"/>
                <w:szCs w:val="15"/>
              </w:rPr>
              <w:t>​</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    </w:t>
            </w:r>
          </w:p>
        </w:tc>
        <w:tc>
          <w:tcPr>
            <w:tcW w:w="532"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 (Deficit) Equity</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    </w:t>
            </w:r>
          </w:p>
        </w:tc>
        <w:tc>
          <w:tcPr>
            <w:tcW w:w="395"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Equity</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    </w:t>
            </w:r>
          </w:p>
        </w:tc>
        <w:tc>
          <w:tcPr>
            <w:tcW w:w="528"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Equity</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Interests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Total Equity</w:t>
            </w:r>
          </w:p>
        </w:tc>
      </w:tr>
      <w:tr w:rsidR="00000000">
        <w:trPr>
          <w:divId w:val="589045892"/>
        </w:trPr>
        <w:tc>
          <w:tcPr>
            <w:tcW w:w="0" w:type="auto"/>
            <w:gridSpan w:val="16"/>
            <w:tcMar>
              <w:top w:w="0" w:type="dxa"/>
              <w:left w:w="0" w:type="dxa"/>
              <w:bottom w:w="0" w:type="dxa"/>
              <w:right w:w="0" w:type="dxa"/>
            </w:tcMar>
            <w:vAlign w:val="center"/>
            <w:hideMark/>
          </w:tcPr>
          <w:p w:rsidR="00000000" w:rsidRDefault="00DB7886">
            <w:pPr>
              <w:rPr>
                <w:sz w:val="14"/>
                <w:szCs w:val="14"/>
              </w:rPr>
            </w:pP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2570" w:type="pct"/>
            <w:gridSpan w:val="14"/>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5"/>
                <w:szCs w:val="15"/>
              </w:rPr>
              <w:t>(in millions)</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Balance, December 31, 2020</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(853)</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w:t>
            </w:r>
          </w:p>
        </w:tc>
        <w:tc>
          <w:tcPr>
            <w:tcW w:w="3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4,236</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3,383</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5,875</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w:t>
            </w:r>
          </w:p>
        </w:tc>
        <w:tc>
          <w:tcPr>
            <w:tcW w:w="3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9,258</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Net income</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3</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33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159</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162</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437</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599</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Other comprehensive loss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distributions payable</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(10)</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(489)</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(499)</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(499)</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contributions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182</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186</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186</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Investment segment contributions from non-controlling interests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40</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40</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Changes in subsidiary equity and other</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Balance, March 31, 2021</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(856)</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4,086</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3,230</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6,352</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9,582</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Net (loss) income</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(2)</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(134)</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(136)</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74</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(62)</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Other comprehensive income</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3</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distributions payable reversal</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10</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489</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499</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499</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distributions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(56)</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(57)</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(57)</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contributions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198</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202</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202</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Investment segment contributions from non-controlling interests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6</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6</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Dividends and distributions to non-controlling interests in subsidiaries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(144)</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(144)</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Changes in subsidiary equity and other</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(5)</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Balance, June 30, 2021</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(846)</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4,581</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3,735</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6,290</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10,025</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Net loss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(3)</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(145)</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(148)</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(63)</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(211)</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Other comprehensive loss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(5)</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distributions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(35)</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(36)</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(36)</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contributions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218</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222</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222</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Investment segment contributions from non-controlling interests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22</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22</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Dividends and distributions to non-controlling interests in subsidiaries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(11)</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(11)</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Changes in subsidiary equity and other</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Balance, September 30, 2021</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w:t>
            </w:r>
          </w:p>
        </w:tc>
        <w:tc>
          <w:tcPr>
            <w:tcW w:w="4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b/>
                <w:bCs/>
                <w:sz w:val="15"/>
                <w:szCs w:val="15"/>
              </w:rPr>
              <w:t>(846)</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b/>
                <w:bCs/>
                <w:sz w:val="15"/>
                <w:szCs w:val="15"/>
              </w:rPr>
              <w:t>4,616</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b/>
                <w:bCs/>
                <w:sz w:val="15"/>
                <w:szCs w:val="15"/>
              </w:rPr>
              <w:t>3,770</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b/>
                <w:bCs/>
                <w:sz w:val="15"/>
                <w:szCs w:val="15"/>
              </w:rPr>
              <w:t>6,237</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w:t>
            </w:r>
          </w:p>
        </w:tc>
        <w:tc>
          <w:tcPr>
            <w:tcW w:w="3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b/>
                <w:bCs/>
                <w:sz w:val="15"/>
                <w:szCs w:val="15"/>
              </w:rPr>
              <w:t>10,007</w:t>
            </w:r>
          </w:p>
        </w:tc>
      </w:tr>
    </w:tbl>
    <w:p w:rsidR="00000000" w:rsidRDefault="00DB7886">
      <w:pPr>
        <w:pStyle w:val="a3"/>
        <w:spacing w:before="0" w:beforeAutospacing="0" w:after="0" w:afterAutospacing="0"/>
        <w:divId w:val="58904589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298"/>
        <w:gridCol w:w="150"/>
        <w:gridCol w:w="146"/>
        <w:gridCol w:w="888"/>
        <w:gridCol w:w="151"/>
        <w:gridCol w:w="91"/>
        <w:gridCol w:w="556"/>
        <w:gridCol w:w="150"/>
        <w:gridCol w:w="144"/>
        <w:gridCol w:w="881"/>
        <w:gridCol w:w="150"/>
        <w:gridCol w:w="105"/>
        <w:gridCol w:w="633"/>
        <w:gridCol w:w="150"/>
        <w:gridCol w:w="114"/>
        <w:gridCol w:w="699"/>
      </w:tblGrid>
      <w:tr w:rsidR="00000000">
        <w:trPr>
          <w:divId w:val="589045892"/>
          <w:trHeight w:val="20"/>
        </w:trPr>
        <w:tc>
          <w:tcPr>
            <w:tcW w:w="2351" w:type="pct"/>
            <w:tcMar>
              <w:top w:w="0" w:type="dxa"/>
              <w:left w:w="0" w:type="dxa"/>
              <w:bottom w:w="0" w:type="dxa"/>
              <w:right w:w="0" w:type="dxa"/>
            </w:tcMar>
            <w:vAlign w:val="bottom"/>
            <w:hideMark/>
          </w:tcPr>
          <w:p w:rsidR="00000000" w:rsidRDefault="00DB7886">
            <w:pPr>
              <w:pStyle w:val="a3"/>
              <w:spacing w:before="0" w:beforeAutospacing="0" w:after="1" w:afterAutospacing="0"/>
              <w:divId w:val="25494281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33123695"/>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626698335"/>
              <w:rPr>
                <w:sz w:val="20"/>
                <w:szCs w:val="20"/>
              </w:rPr>
            </w:pPr>
            <w:r>
              <w:rPr>
                <w:sz w:val="2"/>
                <w:szCs w:val="2"/>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9602489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726561831"/>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093087046"/>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304819732"/>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825851025"/>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882061109"/>
              <w:rPr>
                <w:sz w:val="20"/>
                <w:szCs w:val="20"/>
              </w:rPr>
            </w:pPr>
            <w:r>
              <w:rPr>
                <w:sz w:val="2"/>
                <w:szCs w:val="2"/>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42202313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833831292"/>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782021164"/>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30751521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029940203"/>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67795502"/>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389810030"/>
              <w:rPr>
                <w:sz w:val="20"/>
                <w:szCs w:val="20"/>
              </w:rPr>
            </w:pPr>
            <w:r>
              <w:rPr>
                <w:sz w:val="2"/>
                <w:szCs w:val="2"/>
              </w:rPr>
              <w:t>​</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1613" w:type="pct"/>
            <w:gridSpan w:val="8"/>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5"/>
                <w:szCs w:val="15"/>
              </w:rPr>
              <w:t>Equity Attributable to Icahn Enterprises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5"/>
                <w:szCs w:val="15"/>
              </w:rPr>
              <w:t>​</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5"/>
                <w:szCs w:val="15"/>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sz w:val="15"/>
                <w:szCs w:val="15"/>
              </w:rPr>
              <w:t> </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5"/>
                <w:szCs w:val="15"/>
              </w:rPr>
              <w:t>​</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532" w:type="pct"/>
            <w:gridSpan w:val="2"/>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5"/>
                <w:szCs w:val="15"/>
              </w:rPr>
              <w:t>General </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395" w:type="pct"/>
            <w:gridSpan w:val="2"/>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5"/>
                <w:szCs w:val="15"/>
              </w:rPr>
              <w:t>Limited </w:t>
            </w:r>
            <w:r>
              <w:rPr>
                <w:sz w:val="15"/>
                <w:szCs w:val="15"/>
              </w:rPr>
              <w:t> </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381" w:type="pct"/>
            <w:gridSpan w:val="2"/>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5"/>
                <w:szCs w:val="15"/>
              </w:rPr>
              <w:t>Non-</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5"/>
                <w:szCs w:val="15"/>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5"/>
                <w:szCs w:val="15"/>
              </w:rPr>
              <w:t>​</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532" w:type="pct"/>
            <w:gridSpan w:val="2"/>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5"/>
                <w:szCs w:val="15"/>
              </w:rPr>
              <w:t>Partner’s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395" w:type="pct"/>
            <w:gridSpan w:val="2"/>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5"/>
                <w:szCs w:val="15"/>
              </w:rPr>
              <w:t>Partners’ </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528" w:type="pct"/>
            <w:gridSpan w:val="2"/>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5"/>
                <w:szCs w:val="15"/>
              </w:rPr>
              <w:t>Total Partners’ </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381" w:type="pct"/>
            <w:gridSpan w:val="2"/>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5"/>
                <w:szCs w:val="15"/>
              </w:rPr>
              <w:t>controlling </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421" w:type="pct"/>
            <w:gridSpan w:val="2"/>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15"/>
                <w:szCs w:val="15"/>
              </w:rPr>
              <w:t>​</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b/>
                <w:bCs/>
                <w:sz w:val="15"/>
                <w:szCs w:val="15"/>
              </w:rPr>
              <w:t>    </w:t>
            </w:r>
          </w:p>
        </w:tc>
        <w:tc>
          <w:tcPr>
            <w:tcW w:w="532"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5"/>
                <w:szCs w:val="15"/>
              </w:rPr>
              <w:t> </w:t>
            </w:r>
            <w:r>
              <w:rPr>
                <w:b/>
                <w:bCs/>
                <w:sz w:val="15"/>
                <w:szCs w:val="15"/>
              </w:rPr>
              <w:t>(Deficit) Equity</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b/>
                <w:bCs/>
                <w:sz w:val="15"/>
                <w:szCs w:val="15"/>
              </w:rPr>
              <w:t>    </w:t>
            </w:r>
          </w:p>
        </w:tc>
        <w:tc>
          <w:tcPr>
            <w:tcW w:w="395"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5"/>
                <w:szCs w:val="15"/>
              </w:rPr>
              <w:t>Equity</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b/>
                <w:bCs/>
                <w:sz w:val="15"/>
                <w:szCs w:val="15"/>
              </w:rPr>
              <w:t>    </w:t>
            </w:r>
          </w:p>
        </w:tc>
        <w:tc>
          <w:tcPr>
            <w:tcW w:w="528"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5"/>
                <w:szCs w:val="15"/>
              </w:rPr>
              <w:t>Equity</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b/>
                <w:bCs/>
                <w:sz w:val="15"/>
                <w:szCs w:val="15"/>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5"/>
                <w:szCs w:val="15"/>
              </w:rPr>
              <w:t>Interests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b/>
                <w:bCs/>
                <w:sz w:val="15"/>
                <w:szCs w:val="15"/>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5"/>
                <w:szCs w:val="15"/>
              </w:rPr>
              <w:t>Total Equity</w:t>
            </w:r>
          </w:p>
        </w:tc>
      </w:tr>
      <w:tr w:rsidR="00000000">
        <w:trPr>
          <w:divId w:val="589045892"/>
        </w:trPr>
        <w:tc>
          <w:tcPr>
            <w:tcW w:w="0" w:type="auto"/>
            <w:gridSpan w:val="16"/>
            <w:tcMar>
              <w:top w:w="0" w:type="dxa"/>
              <w:left w:w="0" w:type="dxa"/>
              <w:bottom w:w="0" w:type="dxa"/>
              <w:right w:w="0" w:type="dxa"/>
            </w:tcMar>
            <w:vAlign w:val="center"/>
            <w:hideMark/>
          </w:tcPr>
          <w:p w:rsidR="00000000" w:rsidRDefault="00DB7886">
            <w:pPr>
              <w:rPr>
                <w:sz w:val="14"/>
                <w:szCs w:val="14"/>
              </w:rPr>
            </w:pP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5"/>
                <w:szCs w:val="15"/>
              </w:rPr>
              <w:t>​</w:t>
            </w:r>
          </w:p>
        </w:tc>
        <w:tc>
          <w:tcPr>
            <w:tcW w:w="2570" w:type="pct"/>
            <w:gridSpan w:val="14"/>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sz w:val="15"/>
                <w:szCs w:val="15"/>
              </w:rPr>
              <w:t>(in millions)</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b/>
                <w:bCs/>
                <w:sz w:val="15"/>
                <w:szCs w:val="15"/>
              </w:rPr>
              <w:t>Balance, December 31, 2019</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(812)</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w:t>
            </w:r>
          </w:p>
        </w:tc>
        <w:tc>
          <w:tcPr>
            <w:tcW w:w="3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6,268</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5,456</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5,486</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w:t>
            </w:r>
          </w:p>
        </w:tc>
        <w:tc>
          <w:tcPr>
            <w:tcW w:w="3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10,942</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Net loss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(28)</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5"/>
                <w:szCs w:val="15"/>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5"/>
                <w:szCs w:val="15"/>
              </w:rPr>
              <w:t>​</w:t>
            </w:r>
          </w:p>
        </w:tc>
        <w:tc>
          <w:tcPr>
            <w:tcW w:w="339"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(1,356)</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5"/>
                <w:szCs w:val="15"/>
              </w:rPr>
              <w:t>​</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(1,384)</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5"/>
                <w:szCs w:val="15"/>
              </w:rPr>
              <w:t>​</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w:t>
            </w:r>
            <w:r>
              <w:rPr>
                <w:sz w:val="15"/>
                <w:szCs w:val="15"/>
              </w:rPr>
              <w:t>922)</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5"/>
                <w:szCs w:val="15"/>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5"/>
                <w:szCs w:val="15"/>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(2,306)</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Other comprehensive loss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(3)</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(3)</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(3)</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Partnership distributions payable</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(9)</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39"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(428)</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(437)</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(437)</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Partnership contributions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7</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7</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7</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Investment segment contributions from non-controlling interests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3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1,241</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1,241</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Dividends and distributions to non-controlling interests in subsidiaries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(23)</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(23)</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Changes in subsidiary equity and other</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(4)</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(4)</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(4)</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b/>
                <w:bCs/>
                <w:sz w:val="15"/>
                <w:szCs w:val="15"/>
              </w:rPr>
              <w:t>Balance, March 31, 2020</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(849)</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4,484</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3,635</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5,782</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9,417</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Net income</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6</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3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293</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299</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565</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864</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Other comprehensive income</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1</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1</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1</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2</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Partnership distributions payable reversal</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9</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3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428</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437</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437</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Partnership distributions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(9)</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(452)</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(461)</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(461)</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Partnership contributions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3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19</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19</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5"/>
                <w:szCs w:val="15"/>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19</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Dividends and distributions to non-controlling interests in subsidiaries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(13)</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(13)</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Changes in subsidiary equity and other</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5"/>
                <w:szCs w:val="15"/>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1</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1</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2</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(2)</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5"/>
                <w:szCs w:val="15"/>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b/>
                <w:bCs/>
                <w:sz w:val="15"/>
                <w:szCs w:val="15"/>
              </w:rPr>
              <w:t>Balance, June 30, 2020</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(842)</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4,774</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3,932</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6,333</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10,265</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Net loss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(14)</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39"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(700)</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(714)</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(686)</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(1,400)</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Other comprehensive income</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2</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2</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2</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Partnership distributions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(1)</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39"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(31)</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(32)</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62"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(32)</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Partnership contributions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1</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34</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35</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35</w:t>
            </w:r>
          </w:p>
        </w:tc>
      </w:tr>
      <w:tr w:rsidR="00000000">
        <w:trPr>
          <w:divId w:val="589045892"/>
        </w:trPr>
        <w:tc>
          <w:tcPr>
            <w:tcW w:w="2351"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Changes in subsidiary equity and other</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7</w:t>
            </w:r>
          </w:p>
        </w:tc>
        <w:tc>
          <w:tcPr>
            <w:tcW w:w="7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7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7</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5"/>
                <w:szCs w:val="15"/>
              </w:rPr>
              <w:t>(4)</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5"/>
                <w:szCs w:val="15"/>
              </w:rPr>
              <w:t> </w:t>
            </w:r>
          </w:p>
        </w:tc>
        <w:tc>
          <w:tcPr>
            <w:tcW w:w="5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5"/>
                <w:szCs w:val="15"/>
              </w:rPr>
              <w:t>​</w:t>
            </w:r>
          </w:p>
        </w:tc>
        <w:tc>
          <w:tcPr>
            <w:tcW w:w="3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5"/>
                <w:szCs w:val="15"/>
              </w:rPr>
              <w:t>3</w:t>
            </w:r>
          </w:p>
        </w:tc>
      </w:tr>
      <w:tr w:rsidR="00000000">
        <w:trPr>
          <w:divId w:val="589045892"/>
        </w:trPr>
        <w:tc>
          <w:tcPr>
            <w:tcW w:w="235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b/>
                <w:bCs/>
                <w:sz w:val="15"/>
                <w:szCs w:val="15"/>
              </w:rPr>
              <w:t>Balance, September 30, 2020</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b/>
                <w:bCs/>
                <w:sz w:val="15"/>
                <w:szCs w:val="15"/>
              </w:rPr>
              <w:t>$</w:t>
            </w:r>
          </w:p>
        </w:tc>
        <w:tc>
          <w:tcPr>
            <w:tcW w:w="4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b/>
                <w:bCs/>
                <w:sz w:val="15"/>
                <w:szCs w:val="15"/>
              </w:rPr>
              <w:t>(856)</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b/>
                <w:bCs/>
                <w:sz w:val="15"/>
                <w:szCs w:val="15"/>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b/>
                <w:bCs/>
                <w:sz w:val="15"/>
                <w:szCs w:val="15"/>
              </w:rPr>
              <w:t>4,086</w:t>
            </w:r>
          </w:p>
        </w:tc>
        <w:tc>
          <w:tcPr>
            <w:tcW w:w="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b/>
                <w:bCs/>
                <w:sz w:val="15"/>
                <w:szCs w:val="15"/>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b/>
                <w:bCs/>
                <w:sz w:val="15"/>
                <w:szCs w:val="15"/>
              </w:rPr>
              <w:t>3,230</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b/>
                <w:bCs/>
                <w:sz w:val="15"/>
                <w:szCs w:val="15"/>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b/>
                <w:bCs/>
                <w:sz w:val="15"/>
                <w:szCs w:val="15"/>
              </w:rPr>
              <w:t>5,643</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5"/>
                <w:szCs w:val="15"/>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b/>
                <w:bCs/>
                <w:sz w:val="15"/>
                <w:szCs w:val="15"/>
              </w:rPr>
              <w:t>$</w:t>
            </w:r>
          </w:p>
        </w:tc>
        <w:tc>
          <w:tcPr>
            <w:tcW w:w="3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b/>
                <w:bCs/>
                <w:sz w:val="15"/>
                <w:szCs w:val="15"/>
              </w:rPr>
              <w:t>8,873</w:t>
            </w:r>
          </w:p>
        </w:tc>
      </w:tr>
    </w:tbl>
    <w:p w:rsidR="00000000" w:rsidRDefault="00DB7886">
      <w:pPr>
        <w:pStyle w:val="a3"/>
        <w:spacing w:before="0" w:beforeAutospacing="0" w:after="0" w:afterAutospacing="0"/>
        <w:ind w:firstLine="360"/>
        <w:jc w:val="center"/>
        <w:divId w:val="589045892"/>
        <w:rPr>
          <w:sz w:val="20"/>
          <w:szCs w:val="20"/>
        </w:rPr>
      </w:pPr>
      <w:r>
        <w:rPr>
          <w:i/>
          <w:iCs/>
          <w:sz w:val="20"/>
          <w:szCs w:val="20"/>
        </w:rPr>
        <w:t>​</w:t>
      </w:r>
    </w:p>
    <w:p w:rsidR="00000000" w:rsidRDefault="00DB7886">
      <w:pPr>
        <w:pStyle w:val="a3"/>
        <w:spacing w:before="0" w:beforeAutospacing="0" w:after="240" w:afterAutospacing="0"/>
        <w:ind w:firstLine="360"/>
        <w:jc w:val="center"/>
        <w:divId w:val="589045892"/>
        <w:rPr>
          <w:sz w:val="20"/>
          <w:szCs w:val="20"/>
        </w:rPr>
      </w:pPr>
      <w:r>
        <w:rPr>
          <w:i/>
          <w:iCs/>
          <w:sz w:val="20"/>
          <w:szCs w:val="20"/>
        </w:rPr>
        <w:t>See notes to condensed consolidated financial statements.</w:t>
      </w:r>
    </w:p>
    <w:p w:rsidR="00000000" w:rsidRDefault="00DB7886">
      <w:pPr>
        <w:pStyle w:val="a3"/>
        <w:spacing w:before="0" w:beforeAutospacing="0" w:after="0" w:afterAutospacing="0"/>
        <w:divId w:val="589045892"/>
        <w:rPr>
          <w:sz w:val="20"/>
          <w:szCs w:val="20"/>
        </w:rPr>
      </w:pPr>
      <w:r>
        <w:rPr>
          <w:sz w:val="20"/>
          <w:szCs w:val="20"/>
        </w:rPr>
        <w:t>​</w:t>
      </w:r>
    </w:p>
    <w:p w:rsidR="00000000" w:rsidRDefault="00DB7886">
      <w:pPr>
        <w:pStyle w:val="a3"/>
        <w:spacing w:before="480" w:beforeAutospacing="0" w:after="0" w:afterAutospacing="0"/>
        <w:jc w:val="center"/>
        <w:divId w:val="2058435179"/>
        <w:rPr>
          <w:sz w:val="20"/>
          <w:szCs w:val="20"/>
        </w:rPr>
      </w:pPr>
      <w:r>
        <w:rPr>
          <w:sz w:val="20"/>
          <w:szCs w:val="20"/>
        </w:rPr>
        <w:t>5</w:t>
      </w:r>
    </w:p>
    <w:p w:rsidR="00000000" w:rsidRDefault="00DB7886">
      <w:pPr>
        <w:pStyle w:val="a3"/>
        <w:spacing w:before="0" w:beforeAutospacing="0" w:after="600" w:afterAutospacing="0"/>
        <w:divId w:val="595677871"/>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jc w:val="center"/>
        <w:divId w:val="1899365448"/>
        <w:rPr>
          <w:b/>
          <w:bCs/>
          <w:sz w:val="20"/>
          <w:szCs w:val="20"/>
        </w:rPr>
      </w:pPr>
      <w:r>
        <w:rPr>
          <w:b/>
          <w:bCs/>
          <w:sz w:val="20"/>
          <w:szCs w:val="20"/>
        </w:rPr>
        <w:t>ICAHN ENTERPRISES L.P. AND SUBSIDIARIES</w:t>
      </w:r>
    </w:p>
    <w:p w:rsidR="00000000" w:rsidRDefault="00DB7886">
      <w:pPr>
        <w:pStyle w:val="a3"/>
        <w:spacing w:before="0" w:beforeAutospacing="0" w:after="0" w:afterAutospacing="0"/>
        <w:jc w:val="center"/>
        <w:divId w:val="1899365448"/>
        <w:rPr>
          <w:b/>
          <w:bCs/>
          <w:sz w:val="20"/>
          <w:szCs w:val="20"/>
        </w:rPr>
      </w:pPr>
      <w:r>
        <w:rPr>
          <w:b/>
          <w:bCs/>
          <w:sz w:val="20"/>
          <w:szCs w:val="20"/>
        </w:rPr>
        <w:t>CONDENSED CONSOLIDATED STATEMENTS OF CASH FLOWS (UNAUDITED)</w:t>
      </w:r>
    </w:p>
    <w:p w:rsidR="00000000" w:rsidRDefault="00DB7886">
      <w:pPr>
        <w:pStyle w:val="a3"/>
        <w:spacing w:before="0" w:beforeAutospacing="0" w:after="0" w:afterAutospacing="0"/>
        <w:ind w:firstLine="360"/>
        <w:divId w:val="189936544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385"/>
        <w:gridCol w:w="190"/>
        <w:gridCol w:w="175"/>
        <w:gridCol w:w="1063"/>
        <w:gridCol w:w="253"/>
        <w:gridCol w:w="172"/>
        <w:gridCol w:w="1068"/>
      </w:tblGrid>
      <w:tr w:rsidR="00000000">
        <w:trPr>
          <w:divId w:val="1899365448"/>
          <w:trHeight w:val="20"/>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divId w:val="758795655"/>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388119415"/>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103917467"/>
              <w:rPr>
                <w:sz w:val="20"/>
                <w:szCs w:val="20"/>
              </w:rPr>
            </w:pPr>
            <w:r>
              <w:rPr>
                <w:sz w:val="2"/>
                <w:szCs w:val="2"/>
              </w:rPr>
              <w:t>​</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004865876"/>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998225156"/>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128277683"/>
              <w:rPr>
                <w:sz w:val="20"/>
                <w:szCs w:val="20"/>
              </w:rPr>
            </w:pPr>
            <w:r>
              <w:rPr>
                <w:sz w:val="2"/>
                <w:szCs w:val="2"/>
              </w:rPr>
              <w:t>​</w:t>
            </w:r>
          </w:p>
        </w:tc>
        <w:tc>
          <w:tcPr>
            <w:tcW w:w="550"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493327740"/>
              <w:rPr>
                <w:sz w:val="20"/>
                <w:szCs w:val="20"/>
              </w:rPr>
            </w:pPr>
            <w:r>
              <w:rPr>
                <w:sz w:val="2"/>
                <w:szCs w:val="2"/>
              </w:rPr>
              <w:t>​</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9"/>
                <w:szCs w:val="19"/>
              </w:rPr>
              <w:t>​</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9"/>
                <w:szCs w:val="19"/>
              </w:rPr>
              <w:t>​</w:t>
            </w:r>
          </w:p>
        </w:tc>
        <w:tc>
          <w:tcPr>
            <w:tcW w:w="1408"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8"/>
                <w:szCs w:val="18"/>
              </w:rPr>
            </w:pPr>
            <w:r>
              <w:rPr>
                <w:b/>
                <w:bCs/>
                <w:sz w:val="18"/>
                <w:szCs w:val="18"/>
              </w:rPr>
              <w:t>Nine Months Ended September 30, </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9"/>
                <w:szCs w:val="19"/>
              </w:rPr>
              <w:t>​</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9"/>
                <w:szCs w:val="19"/>
              </w:rPr>
              <w:t>    </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8"/>
                <w:szCs w:val="18"/>
              </w:rPr>
            </w:pPr>
            <w:r>
              <w:rPr>
                <w:b/>
                <w:bCs/>
                <w:sz w:val="18"/>
                <w:szCs w:val="18"/>
              </w:rPr>
              <w:t>2021</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639"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8"/>
                <w:szCs w:val="18"/>
              </w:rPr>
            </w:pPr>
            <w:r>
              <w:rPr>
                <w:b/>
                <w:bCs/>
                <w:sz w:val="18"/>
                <w:szCs w:val="18"/>
              </w:rPr>
              <w:t>2020</w:t>
            </w:r>
          </w:p>
        </w:tc>
      </w:tr>
      <w:tr w:rsidR="00000000">
        <w:trPr>
          <w:divId w:val="1899365448"/>
        </w:trPr>
        <w:tc>
          <w:tcPr>
            <w:tcW w:w="0" w:type="auto"/>
            <w:gridSpan w:val="7"/>
            <w:tcMar>
              <w:top w:w="0" w:type="dxa"/>
              <w:left w:w="0" w:type="dxa"/>
              <w:bottom w:w="0" w:type="dxa"/>
              <w:right w:w="0" w:type="dxa"/>
            </w:tcMar>
            <w:vAlign w:val="center"/>
            <w:hideMark/>
          </w:tcPr>
          <w:p w:rsidR="00000000" w:rsidRDefault="00DB7886">
            <w:pPr>
              <w:rPr>
                <w:sz w:val="18"/>
                <w:szCs w:val="18"/>
              </w:rPr>
            </w:pPr>
          </w:p>
        </w:tc>
      </w:tr>
      <w:tr w:rsidR="00000000">
        <w:trPr>
          <w:divId w:val="1899365448"/>
        </w:trPr>
        <w:tc>
          <w:tcPr>
            <w:tcW w:w="3493"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9"/>
                <w:szCs w:val="19"/>
              </w:rPr>
              <w:t>​</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9"/>
                <w:szCs w:val="19"/>
              </w:rPr>
              <w:t>​</w:t>
            </w:r>
          </w:p>
        </w:tc>
        <w:tc>
          <w:tcPr>
            <w:tcW w:w="1408" w:type="pct"/>
            <w:gridSpan w:val="5"/>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6"/>
                <w:szCs w:val="16"/>
              </w:rPr>
            </w:pPr>
            <w:r>
              <w:rPr>
                <w:sz w:val="16"/>
                <w:szCs w:val="16"/>
              </w:rPr>
              <w:t>(in millions)</w:t>
            </w:r>
          </w:p>
        </w:tc>
      </w:tr>
      <w:tr w:rsidR="00000000">
        <w:trPr>
          <w:divId w:val="1899365448"/>
        </w:trPr>
        <w:tc>
          <w:tcPr>
            <w:tcW w:w="349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b/>
                <w:bCs/>
                <w:sz w:val="18"/>
                <w:szCs w:val="18"/>
              </w:rPr>
              <w:t>Cash flows from operating activities:</w:t>
            </w:r>
          </w:p>
        </w:tc>
        <w:tc>
          <w:tcPr>
            <w:tcW w:w="9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8"/>
                <w:szCs w:val="18"/>
              </w:rPr>
              <w:t>​</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8"/>
                <w:szCs w:val="18"/>
              </w:rPr>
              <w:t>​</w:t>
            </w:r>
          </w:p>
        </w:tc>
        <w:tc>
          <w:tcPr>
            <w:tcW w:w="5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8"/>
                <w:szCs w:val="18"/>
              </w:rPr>
              <w:t>​</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Net income (loss)</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326</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w:t>
            </w:r>
          </w:p>
        </w:tc>
        <w:tc>
          <w:tcPr>
            <w:tcW w:w="550"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(2,842)</w:t>
            </w:r>
          </w:p>
        </w:tc>
      </w:tr>
      <w:tr w:rsidR="00000000">
        <w:trPr>
          <w:divId w:val="1899365448"/>
        </w:trPr>
        <w:tc>
          <w:tcPr>
            <w:tcW w:w="349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Adjustments to reconcile net income (loss) to net cash used in operating activities:</w:t>
            </w:r>
          </w:p>
        </w:tc>
        <w:tc>
          <w:tcPr>
            <w:tcW w:w="9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8"/>
                <w:szCs w:val="18"/>
              </w:rPr>
              <w:t>​</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  </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Net (gain) loss from securities transactions</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(1,603)</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2,777</w:t>
            </w:r>
          </w:p>
        </w:tc>
      </w:tr>
      <w:tr w:rsidR="00000000">
        <w:trPr>
          <w:divId w:val="1899365448"/>
        </w:trPr>
        <w:tc>
          <w:tcPr>
            <w:tcW w:w="349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Purchases of securities</w:t>
            </w:r>
          </w:p>
        </w:tc>
        <w:tc>
          <w:tcPr>
            <w:tcW w:w="9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(1,991)</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(1,480)</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Proceeds from sales of securities</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3,246</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3,756</w:t>
            </w:r>
          </w:p>
        </w:tc>
      </w:tr>
      <w:tr w:rsidR="00000000">
        <w:trPr>
          <w:divId w:val="1899365448"/>
        </w:trPr>
        <w:tc>
          <w:tcPr>
            <w:tcW w:w="349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Payments to cover securities sold, not yet purchased</w:t>
            </w:r>
          </w:p>
        </w:tc>
        <w:tc>
          <w:tcPr>
            <w:tcW w:w="9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(2,325)</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(2,291)</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Proceeds from securities sold, not yet purchased</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3,626</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1,547</w:t>
            </w:r>
          </w:p>
        </w:tc>
      </w:tr>
      <w:tr w:rsidR="00000000">
        <w:trPr>
          <w:divId w:val="1899365448"/>
        </w:trPr>
        <w:tc>
          <w:tcPr>
            <w:tcW w:w="349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Changes in receivables and payables relating to securities transactions</w:t>
            </w:r>
          </w:p>
        </w:tc>
        <w:tc>
          <w:tcPr>
            <w:tcW w:w="9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(1,672)</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1,080</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Changes in derivative assets and liabilities</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(171)</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(2,309)</w:t>
            </w:r>
          </w:p>
        </w:tc>
      </w:tr>
      <w:tr w:rsidR="00000000">
        <w:trPr>
          <w:divId w:val="1899365448"/>
        </w:trPr>
        <w:tc>
          <w:tcPr>
            <w:tcW w:w="349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Depreciation and amortization</w:t>
            </w:r>
          </w:p>
        </w:tc>
        <w:tc>
          <w:tcPr>
            <w:tcW w:w="9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385</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379</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Deferred taxes</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18</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(59)</w:t>
            </w:r>
          </w:p>
        </w:tc>
      </w:tr>
      <w:tr w:rsidR="00000000">
        <w:trPr>
          <w:divId w:val="1899365448"/>
        </w:trPr>
        <w:tc>
          <w:tcPr>
            <w:tcW w:w="349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Other, net</w:t>
            </w:r>
          </w:p>
        </w:tc>
        <w:tc>
          <w:tcPr>
            <w:tcW w:w="9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60</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74</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Changes in other operating assets and liabilities</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167</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92</w:t>
            </w:r>
          </w:p>
        </w:tc>
      </w:tr>
      <w:tr w:rsidR="00000000">
        <w:trPr>
          <w:divId w:val="1899365448"/>
        </w:trPr>
        <w:tc>
          <w:tcPr>
            <w:tcW w:w="349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b/>
                <w:bCs/>
                <w:sz w:val="18"/>
                <w:szCs w:val="18"/>
              </w:rPr>
              <w:t>Net cash provided by operating activities</w:t>
            </w:r>
          </w:p>
        </w:tc>
        <w:tc>
          <w:tcPr>
            <w:tcW w:w="9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66</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724</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b/>
                <w:bCs/>
                <w:sz w:val="18"/>
                <w:szCs w:val="18"/>
              </w:rPr>
              <w:t>Cash flows from investing activities:</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  </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  </w:t>
            </w:r>
          </w:p>
        </w:tc>
      </w:tr>
      <w:tr w:rsidR="00000000">
        <w:trPr>
          <w:divId w:val="1899365448"/>
        </w:trPr>
        <w:tc>
          <w:tcPr>
            <w:tcW w:w="349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Capital expenditures</w:t>
            </w:r>
          </w:p>
        </w:tc>
        <w:tc>
          <w:tcPr>
            <w:tcW w:w="9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(239)</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(155)</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Turnaround expenditures</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(3)</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550"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(158)</w:t>
            </w:r>
          </w:p>
        </w:tc>
      </w:tr>
      <w:tr w:rsidR="00000000">
        <w:trPr>
          <w:divId w:val="1899365448"/>
        </w:trPr>
        <w:tc>
          <w:tcPr>
            <w:tcW w:w="349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Acquisition of businesses, net of cash acquired</w:t>
            </w:r>
          </w:p>
        </w:tc>
        <w:tc>
          <w:tcPr>
            <w:tcW w:w="9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(20)</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(2)</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Purchases of investments</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(317)</w:t>
            </w:r>
          </w:p>
        </w:tc>
      </w:tr>
      <w:tr w:rsidR="00000000">
        <w:trPr>
          <w:divId w:val="1899365448"/>
        </w:trPr>
        <w:tc>
          <w:tcPr>
            <w:tcW w:w="349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Proceeds from sale of investments</w:t>
            </w:r>
          </w:p>
        </w:tc>
        <w:tc>
          <w:tcPr>
            <w:tcW w:w="9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422</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55</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Proceeds from disposition of businesses and assets</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60</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23</w:t>
            </w:r>
          </w:p>
        </w:tc>
      </w:tr>
      <w:tr w:rsidR="00000000">
        <w:trPr>
          <w:divId w:val="1899365448"/>
        </w:trPr>
        <w:tc>
          <w:tcPr>
            <w:tcW w:w="349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Other, net</w:t>
            </w:r>
          </w:p>
        </w:tc>
        <w:tc>
          <w:tcPr>
            <w:tcW w:w="9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3</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b/>
                <w:bCs/>
                <w:sz w:val="18"/>
                <w:szCs w:val="18"/>
              </w:rPr>
              <w:t>Net cash provided by (used in) investing activities</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220</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(551)</w:t>
            </w:r>
          </w:p>
        </w:tc>
      </w:tr>
      <w:tr w:rsidR="00000000">
        <w:trPr>
          <w:divId w:val="1899365448"/>
        </w:trPr>
        <w:tc>
          <w:tcPr>
            <w:tcW w:w="349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b/>
                <w:bCs/>
                <w:sz w:val="18"/>
                <w:szCs w:val="18"/>
              </w:rPr>
              <w:t>Cash flows from financing activities:</w:t>
            </w:r>
          </w:p>
        </w:tc>
        <w:tc>
          <w:tcPr>
            <w:tcW w:w="9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  </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  </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Investment segment contributions from non-controlling interests</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62</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1</w:t>
            </w:r>
          </w:p>
        </w:tc>
      </w:tr>
      <w:tr w:rsidR="00000000">
        <w:trPr>
          <w:divId w:val="1899365448"/>
        </w:trPr>
        <w:tc>
          <w:tcPr>
            <w:tcW w:w="349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Partnership contributions</w:t>
            </w:r>
          </w:p>
        </w:tc>
        <w:tc>
          <w:tcPr>
            <w:tcW w:w="9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586</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61</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Partnership distributions</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(92)</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(493)</w:t>
            </w:r>
          </w:p>
        </w:tc>
      </w:tr>
      <w:tr w:rsidR="00000000">
        <w:trPr>
          <w:divId w:val="1899365448"/>
        </w:trPr>
        <w:tc>
          <w:tcPr>
            <w:tcW w:w="349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Dividends and distributions to non-controlling interests in subsidiaries</w:t>
            </w:r>
          </w:p>
        </w:tc>
        <w:tc>
          <w:tcPr>
            <w:tcW w:w="9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(81)</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(36)</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Proceeds from Holding Company senior unsecured notes</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1,214</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866</w:t>
            </w:r>
          </w:p>
        </w:tc>
      </w:tr>
      <w:tr w:rsidR="00000000">
        <w:trPr>
          <w:divId w:val="1899365448"/>
        </w:trPr>
        <w:tc>
          <w:tcPr>
            <w:tcW w:w="349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Repayments of Holding Company senior unsecured notes</w:t>
            </w:r>
          </w:p>
        </w:tc>
        <w:tc>
          <w:tcPr>
            <w:tcW w:w="9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(1,205)</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(1,350)</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Proceeds from subsidiary borrowings</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1,116</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1,644</w:t>
            </w:r>
          </w:p>
        </w:tc>
      </w:tr>
      <w:tr w:rsidR="00000000">
        <w:trPr>
          <w:divId w:val="1899365448"/>
        </w:trPr>
        <w:tc>
          <w:tcPr>
            <w:tcW w:w="349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Repayments of subsidiary borrowings</w:t>
            </w:r>
          </w:p>
        </w:tc>
        <w:tc>
          <w:tcPr>
            <w:tcW w:w="9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(1,477)</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(1,244)</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Other, net</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(13)</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(17)</w:t>
            </w:r>
          </w:p>
        </w:tc>
      </w:tr>
      <w:tr w:rsidR="00000000">
        <w:trPr>
          <w:divId w:val="1899365448"/>
        </w:trPr>
        <w:tc>
          <w:tcPr>
            <w:tcW w:w="349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b/>
                <w:bCs/>
                <w:sz w:val="18"/>
                <w:szCs w:val="18"/>
              </w:rPr>
              <w:t>Net cash provided by (used in) financing activities</w:t>
            </w:r>
          </w:p>
        </w:tc>
        <w:tc>
          <w:tcPr>
            <w:tcW w:w="9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110</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(568)</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ind w:hanging="144"/>
              <w:rPr>
                <w:sz w:val="18"/>
                <w:szCs w:val="18"/>
              </w:rPr>
            </w:pPr>
            <w:r>
              <w:rPr>
                <w:sz w:val="18"/>
                <w:szCs w:val="18"/>
              </w:rPr>
              <w:t>Effect of exchange rate changes on cash and cash equivalents and restricted cash and restricted cash equivalents</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5</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w:t>
            </w:r>
          </w:p>
        </w:tc>
      </w:tr>
      <w:tr w:rsidR="00000000">
        <w:trPr>
          <w:divId w:val="1899365448"/>
        </w:trPr>
        <w:tc>
          <w:tcPr>
            <w:tcW w:w="349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hanging="144"/>
              <w:rPr>
                <w:sz w:val="18"/>
                <w:szCs w:val="18"/>
              </w:rPr>
            </w:pPr>
            <w:r>
              <w:rPr>
                <w:b/>
                <w:bCs/>
                <w:sz w:val="18"/>
                <w:szCs w:val="18"/>
              </w:rPr>
              <w:t>Net increase (decrease) in cash and cash equivalents and restricted cash and restricted cash equivalents</w:t>
            </w:r>
          </w:p>
        </w:tc>
        <w:tc>
          <w:tcPr>
            <w:tcW w:w="9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401</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(396)</w:t>
            </w:r>
          </w:p>
        </w:tc>
      </w:tr>
      <w:tr w:rsidR="00000000">
        <w:trPr>
          <w:divId w:val="1899365448"/>
        </w:trPr>
        <w:tc>
          <w:tcPr>
            <w:tcW w:w="3493" w:type="pct"/>
            <w:tcMar>
              <w:top w:w="0" w:type="dxa"/>
              <w:left w:w="0" w:type="dxa"/>
              <w:bottom w:w="0" w:type="dxa"/>
              <w:right w:w="0" w:type="dxa"/>
            </w:tcMar>
            <w:vAlign w:val="bottom"/>
            <w:hideMark/>
          </w:tcPr>
          <w:p w:rsidR="00000000" w:rsidRDefault="00DB7886">
            <w:pPr>
              <w:pStyle w:val="a3"/>
              <w:spacing w:before="0" w:beforeAutospacing="0" w:after="1" w:afterAutospacing="0"/>
              <w:ind w:hanging="144"/>
              <w:rPr>
                <w:sz w:val="18"/>
                <w:szCs w:val="18"/>
              </w:rPr>
            </w:pPr>
            <w:r>
              <w:rPr>
                <w:sz w:val="18"/>
                <w:szCs w:val="18"/>
              </w:rPr>
              <w:t>Cash and cash equivalents and restricted cash and restricted cash equivalents, beginning of period</w:t>
            </w:r>
          </w:p>
        </w:tc>
        <w:tc>
          <w:tcPr>
            <w:tcW w:w="9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3,291</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5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4,945</w:t>
            </w:r>
          </w:p>
        </w:tc>
      </w:tr>
      <w:tr w:rsidR="00000000">
        <w:trPr>
          <w:divId w:val="1899365448"/>
        </w:trPr>
        <w:tc>
          <w:tcPr>
            <w:tcW w:w="349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Cash and cash equivalents and restricted cash and restricted cash equivalents, end of period</w:t>
            </w:r>
          </w:p>
        </w:tc>
        <w:tc>
          <w:tcPr>
            <w:tcW w:w="9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3,692</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w:t>
            </w:r>
          </w:p>
        </w:tc>
        <w:tc>
          <w:tcPr>
            <w:tcW w:w="5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4,549</w:t>
            </w:r>
          </w:p>
        </w:tc>
      </w:tr>
    </w:tbl>
    <w:p w:rsidR="00000000" w:rsidRDefault="00DB7886">
      <w:pPr>
        <w:pStyle w:val="a3"/>
        <w:spacing w:before="0" w:beforeAutospacing="0" w:after="240" w:afterAutospacing="0"/>
        <w:ind w:firstLine="360"/>
        <w:jc w:val="center"/>
        <w:divId w:val="1899365448"/>
        <w:rPr>
          <w:sz w:val="20"/>
          <w:szCs w:val="20"/>
        </w:rPr>
      </w:pPr>
      <w:r>
        <w:rPr>
          <w:i/>
          <w:iCs/>
          <w:sz w:val="20"/>
          <w:szCs w:val="20"/>
        </w:rPr>
        <w:t>See notes to condensed consolidated financial statements.</w:t>
      </w:r>
    </w:p>
    <w:p w:rsidR="00000000" w:rsidRDefault="00DB7886">
      <w:pPr>
        <w:pStyle w:val="a3"/>
        <w:spacing w:before="0" w:beforeAutospacing="0" w:after="0" w:afterAutospacing="0"/>
        <w:divId w:val="1899365448"/>
        <w:rPr>
          <w:sz w:val="20"/>
          <w:szCs w:val="20"/>
        </w:rPr>
      </w:pPr>
      <w:r>
        <w:rPr>
          <w:i/>
          <w:iCs/>
          <w:sz w:val="20"/>
          <w:szCs w:val="20"/>
        </w:rPr>
        <w:t>​</w:t>
      </w:r>
    </w:p>
    <w:p w:rsidR="00000000" w:rsidRDefault="00DB7886">
      <w:pPr>
        <w:pStyle w:val="a3"/>
        <w:spacing w:before="480" w:beforeAutospacing="0" w:after="0" w:afterAutospacing="0"/>
        <w:jc w:val="center"/>
        <w:divId w:val="1085490535"/>
        <w:rPr>
          <w:sz w:val="20"/>
          <w:szCs w:val="20"/>
        </w:rPr>
      </w:pPr>
      <w:r>
        <w:rPr>
          <w:sz w:val="20"/>
          <w:szCs w:val="20"/>
        </w:rPr>
        <w:t>6</w:t>
      </w:r>
    </w:p>
    <w:p w:rsidR="00000000" w:rsidRDefault="00DB7886">
      <w:pPr>
        <w:pStyle w:val="a3"/>
        <w:spacing w:before="0" w:beforeAutospacing="0" w:after="600" w:afterAutospacing="0"/>
        <w:divId w:val="198512834"/>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jc w:val="center"/>
        <w:divId w:val="2119443833"/>
        <w:rPr>
          <w:b/>
          <w:bCs/>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2119443833"/>
        <w:rPr>
          <w:b/>
          <w:bCs/>
          <w:sz w:val="20"/>
          <w:szCs w:val="20"/>
        </w:rPr>
      </w:pPr>
      <w:r>
        <w:rPr>
          <w:b/>
          <w:bCs/>
          <w:sz w:val="20"/>
          <w:szCs w:val="20"/>
        </w:rPr>
        <w:t>CONDENSED CONSOLIDATED BALANCE SHEETS (UNAUDITED)</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64"/>
        <w:gridCol w:w="1108"/>
        <w:gridCol w:w="200"/>
        <w:gridCol w:w="156"/>
        <w:gridCol w:w="1061"/>
      </w:tblGrid>
      <w:tr w:rsidR="00000000">
        <w:trPr>
          <w:divId w:val="2119443833"/>
          <w:trHeight w:val="2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divId w:val="192521780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497966251"/>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88541996"/>
              <w:rPr>
                <w:sz w:val="20"/>
                <w:szCs w:val="20"/>
              </w:rPr>
            </w:pPr>
            <w:r>
              <w:rPr>
                <w:sz w:val="2"/>
                <w:szCs w:val="2"/>
              </w:rPr>
              <w:t>​</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9005355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1243165"/>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23837403"/>
              <w:rPr>
                <w:sz w:val="20"/>
                <w:szCs w:val="20"/>
              </w:rPr>
            </w:pPr>
            <w:r>
              <w:rPr>
                <w:sz w:val="2"/>
                <w:szCs w:val="2"/>
              </w:rPr>
              <w:t>​</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975717264"/>
              <w:rPr>
                <w:sz w:val="20"/>
                <w:szCs w:val="20"/>
              </w:rPr>
            </w:pPr>
            <w:r>
              <w:rPr>
                <w:sz w:val="2"/>
                <w:szCs w:val="2"/>
              </w:rPr>
              <w:t>​</w:t>
            </w:r>
          </w:p>
        </w:tc>
      </w:tr>
      <w:tr w:rsidR="00000000">
        <w:trPr>
          <w:divId w:val="21194438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655"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December 31, </w:t>
            </w:r>
          </w:p>
        </w:tc>
      </w:tr>
      <w:tr w:rsidR="00000000">
        <w:trPr>
          <w:divId w:val="21194438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r>
      <w:tr w:rsidR="00000000">
        <w:trPr>
          <w:divId w:val="2119443833"/>
        </w:trPr>
        <w:tc>
          <w:tcPr>
            <w:tcW w:w="0" w:type="auto"/>
            <w:gridSpan w:val="7"/>
            <w:tcMar>
              <w:top w:w="0" w:type="dxa"/>
              <w:left w:w="0" w:type="dxa"/>
              <w:bottom w:w="0" w:type="dxa"/>
              <w:right w:w="0" w:type="dxa"/>
            </w:tcMar>
            <w:vAlign w:val="center"/>
            <w:hideMark/>
          </w:tcPr>
          <w:p w:rsidR="00000000" w:rsidRDefault="00DB7886">
            <w:pPr>
              <w:rPr>
                <w:sz w:val="20"/>
                <w:szCs w:val="20"/>
              </w:rPr>
            </w:pPr>
          </w:p>
        </w:tc>
      </w:tr>
      <w:tr w:rsidR="00000000">
        <w:trPr>
          <w:divId w:val="2119443833"/>
        </w:trPr>
        <w:tc>
          <w:tcPr>
            <w:tcW w:w="3532"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385" w:type="pct"/>
            <w:gridSpan w:val="5"/>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2119443833"/>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w:t>
            </w:r>
          </w:p>
        </w:tc>
      </w:tr>
      <w:tr w:rsidR="00000000">
        <w:trPr>
          <w:divId w:val="21194438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Cash and cash equivalents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1,945</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1,679</w:t>
            </w:r>
          </w:p>
        </w:tc>
      </w:tr>
      <w:tr w:rsidR="00000000">
        <w:trPr>
          <w:divId w:val="2119443833"/>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Cash held at consolidated affiliated partnerships and restricted cash</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1,747</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1,612</w:t>
            </w:r>
          </w:p>
        </w:tc>
      </w:tr>
      <w:tr w:rsidR="00000000">
        <w:trPr>
          <w:divId w:val="21194438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Investments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9,897</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8,913</w:t>
            </w:r>
          </w:p>
        </w:tc>
      </w:tr>
      <w:tr w:rsidR="00000000">
        <w:trPr>
          <w:divId w:val="2119443833"/>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Due from brokers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5,149</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3,437</w:t>
            </w:r>
          </w:p>
        </w:tc>
      </w:tr>
      <w:tr w:rsidR="00000000">
        <w:trPr>
          <w:divId w:val="21194438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Accounts receivable, net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598</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501</w:t>
            </w:r>
          </w:p>
        </w:tc>
      </w:tr>
      <w:tr w:rsidR="00000000">
        <w:trPr>
          <w:divId w:val="2119443833"/>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Inventories, net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1,590</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1,580</w:t>
            </w:r>
          </w:p>
        </w:tc>
      </w:tr>
      <w:tr w:rsidR="00000000">
        <w:trPr>
          <w:divId w:val="21194438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Property, plant and equipment, net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4,194</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4,228</w:t>
            </w:r>
          </w:p>
        </w:tc>
      </w:tr>
      <w:tr w:rsidR="00000000">
        <w:trPr>
          <w:divId w:val="2119443833"/>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Derivative assets, net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796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785</w:t>
            </w:r>
          </w:p>
        </w:tc>
      </w:tr>
      <w:tr w:rsidR="00000000">
        <w:trPr>
          <w:divId w:val="21194438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Goodwill</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294</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294</w:t>
            </w:r>
          </w:p>
        </w:tc>
      </w:tr>
      <w:tr w:rsidR="00000000">
        <w:trPr>
          <w:divId w:val="2119443833"/>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Intangible assets, net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613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660</w:t>
            </w:r>
          </w:p>
        </w:tc>
      </w:tr>
      <w:tr w:rsidR="00000000">
        <w:trPr>
          <w:divId w:val="21194438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Other assets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1,150</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1,300</w:t>
            </w:r>
          </w:p>
        </w:tc>
      </w:tr>
      <w:tr w:rsidR="00000000">
        <w:trPr>
          <w:divId w:val="2119443833"/>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Total Assets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27,973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24,989</w:t>
            </w:r>
          </w:p>
        </w:tc>
      </w:tr>
      <w:tr w:rsidR="00000000">
        <w:trPr>
          <w:divId w:val="21194438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LIABILITIES AND EQUITY</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r>
      <w:tr w:rsidR="00000000">
        <w:trPr>
          <w:divId w:val="2119443833"/>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Accounts payable</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829</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738</w:t>
            </w:r>
          </w:p>
        </w:tc>
      </w:tr>
      <w:tr w:rsidR="00000000">
        <w:trPr>
          <w:divId w:val="21194438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Accrued expenses and other liabilities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1,782</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1,588</w:t>
            </w:r>
          </w:p>
        </w:tc>
      </w:tr>
      <w:tr w:rsidR="00000000">
        <w:trPr>
          <w:divId w:val="2119443833"/>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Deferred tax liabilities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585</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568</w:t>
            </w:r>
          </w:p>
        </w:tc>
      </w:tr>
      <w:tr w:rsidR="00000000">
        <w:trPr>
          <w:divId w:val="21194438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Derivative liabilities, net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479</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639</w:t>
            </w:r>
          </w:p>
        </w:tc>
      </w:tr>
      <w:tr w:rsidR="00000000">
        <w:trPr>
          <w:divId w:val="2119443833"/>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Securities sold, not yet purchased, at fair value</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4,957</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2,521</w:t>
            </w:r>
          </w:p>
        </w:tc>
      </w:tr>
      <w:tr w:rsidR="00000000">
        <w:trPr>
          <w:divId w:val="21194438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Due to brokers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1,622</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1,618</w:t>
            </w:r>
          </w:p>
        </w:tc>
      </w:tr>
      <w:tr w:rsidR="00000000">
        <w:trPr>
          <w:divId w:val="2119443833"/>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Debt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7,713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8,061</w:t>
            </w:r>
          </w:p>
        </w:tc>
      </w:tr>
      <w:tr w:rsidR="00000000">
        <w:trPr>
          <w:divId w:val="21194438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Total liabilities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17,967</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15,733</w:t>
            </w:r>
          </w:p>
        </w:tc>
      </w:tr>
      <w:tr w:rsidR="00000000">
        <w:trPr>
          <w:divId w:val="2119443833"/>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21194438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Commitments and contingencies (Note 16)</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2119443833"/>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21194438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Equity:</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2119443833"/>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Limited partner</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4,661</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4,277</w:t>
            </w:r>
          </w:p>
        </w:tc>
      </w:tr>
      <w:tr w:rsidR="00000000">
        <w:trPr>
          <w:divId w:val="21194438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General partner</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(892)</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(896)</w:t>
            </w:r>
          </w:p>
        </w:tc>
      </w:tr>
      <w:tr w:rsidR="00000000">
        <w:trPr>
          <w:divId w:val="2119443833"/>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Equity attributable to Icahn Enterprises Holdings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3,769</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3,381</w:t>
            </w:r>
          </w:p>
        </w:tc>
      </w:tr>
      <w:tr w:rsidR="00000000">
        <w:trPr>
          <w:divId w:val="21194438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Equity attributable to non-controlling interests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6,237</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5,875</w:t>
            </w:r>
          </w:p>
        </w:tc>
      </w:tr>
      <w:tr w:rsidR="00000000">
        <w:trPr>
          <w:divId w:val="2119443833"/>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Total equity</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10,006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9,256</w:t>
            </w:r>
          </w:p>
        </w:tc>
      </w:tr>
      <w:tr w:rsidR="00000000">
        <w:trPr>
          <w:divId w:val="21194438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Total Liabilities and Equity</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27,973</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24,989</w:t>
            </w:r>
          </w:p>
        </w:tc>
      </w:tr>
    </w:tbl>
    <w:p w:rsidR="00000000" w:rsidRDefault="00DB7886">
      <w:pPr>
        <w:pStyle w:val="a3"/>
        <w:spacing w:before="0" w:beforeAutospacing="0" w:after="0" w:afterAutospacing="0"/>
        <w:divId w:val="2119443833"/>
        <w:rPr>
          <w:sz w:val="20"/>
          <w:szCs w:val="20"/>
        </w:rPr>
      </w:pPr>
      <w:r>
        <w:rPr>
          <w:sz w:val="20"/>
          <w:szCs w:val="20"/>
        </w:rPr>
        <w:t>​</w:t>
      </w:r>
    </w:p>
    <w:p w:rsidR="00000000" w:rsidRDefault="00DB7886">
      <w:pPr>
        <w:pStyle w:val="a3"/>
        <w:spacing w:before="0" w:beforeAutospacing="0" w:after="240" w:afterAutospacing="0"/>
        <w:ind w:firstLine="360"/>
        <w:jc w:val="center"/>
        <w:divId w:val="2119443833"/>
        <w:rPr>
          <w:sz w:val="20"/>
          <w:szCs w:val="20"/>
        </w:rPr>
      </w:pPr>
      <w:r>
        <w:rPr>
          <w:i/>
          <w:iCs/>
          <w:sz w:val="20"/>
          <w:szCs w:val="20"/>
        </w:rPr>
        <w:t>See notes to condensed consolidated financial statements.</w:t>
      </w:r>
    </w:p>
    <w:p w:rsidR="00000000" w:rsidRDefault="00DB7886">
      <w:pPr>
        <w:pStyle w:val="a3"/>
        <w:spacing w:before="0" w:beforeAutospacing="0" w:after="0" w:afterAutospacing="0"/>
        <w:divId w:val="2119443833"/>
        <w:rPr>
          <w:sz w:val="20"/>
          <w:szCs w:val="20"/>
        </w:rPr>
      </w:pPr>
      <w:r>
        <w:rPr>
          <w:i/>
          <w:iCs/>
          <w:sz w:val="20"/>
          <w:szCs w:val="20"/>
        </w:rPr>
        <w:t>​</w:t>
      </w:r>
    </w:p>
    <w:p w:rsidR="00000000" w:rsidRDefault="00DB7886">
      <w:pPr>
        <w:pStyle w:val="a3"/>
        <w:spacing w:before="480" w:beforeAutospacing="0" w:after="0" w:afterAutospacing="0"/>
        <w:jc w:val="center"/>
        <w:divId w:val="396126439"/>
        <w:rPr>
          <w:sz w:val="20"/>
          <w:szCs w:val="20"/>
        </w:rPr>
      </w:pPr>
      <w:r>
        <w:rPr>
          <w:sz w:val="20"/>
          <w:szCs w:val="20"/>
        </w:rPr>
        <w:t>7</w:t>
      </w:r>
    </w:p>
    <w:p w:rsidR="00000000" w:rsidRDefault="00DB7886">
      <w:pPr>
        <w:pStyle w:val="a3"/>
        <w:spacing w:before="0" w:beforeAutospacing="0" w:after="600" w:afterAutospacing="0"/>
        <w:divId w:val="1006440961"/>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jc w:val="center"/>
        <w:divId w:val="2068065549"/>
        <w:rPr>
          <w:b/>
          <w:bCs/>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2068065549"/>
        <w:rPr>
          <w:b/>
          <w:bCs/>
          <w:sz w:val="20"/>
          <w:szCs w:val="20"/>
        </w:rPr>
      </w:pPr>
      <w:r>
        <w:rPr>
          <w:b/>
          <w:bCs/>
          <w:sz w:val="20"/>
          <w:szCs w:val="20"/>
        </w:rPr>
        <w:t>CONDENSED CONSOLIDATED STATEMENTS OF OPERATIONS (UNAUDITED)</w:t>
      </w:r>
    </w:p>
    <w:tbl>
      <w:tblPr>
        <w:tblW w:w="5000" w:type="pct"/>
        <w:tblCellMar>
          <w:top w:w="15" w:type="dxa"/>
          <w:left w:w="0" w:type="dxa"/>
          <w:bottom w:w="15" w:type="dxa"/>
          <w:right w:w="0" w:type="dxa"/>
        </w:tblCellMar>
        <w:tblLook w:val="04A0" w:firstRow="1" w:lastRow="0" w:firstColumn="1" w:lastColumn="0" w:noHBand="0" w:noVBand="1"/>
      </w:tblPr>
      <w:tblGrid>
        <w:gridCol w:w="1767"/>
        <w:gridCol w:w="160"/>
        <w:gridCol w:w="200"/>
        <w:gridCol w:w="1227"/>
        <w:gridCol w:w="290"/>
        <w:gridCol w:w="192"/>
        <w:gridCol w:w="1236"/>
        <w:gridCol w:w="200"/>
        <w:gridCol w:w="180"/>
        <w:gridCol w:w="1145"/>
        <w:gridCol w:w="267"/>
        <w:gridCol w:w="179"/>
        <w:gridCol w:w="1263"/>
      </w:tblGrid>
      <w:tr w:rsidR="00000000">
        <w:trPr>
          <w:divId w:val="2068065549"/>
          <w:trHeight w:val="20"/>
        </w:trPr>
        <w:tc>
          <w:tcPr>
            <w:tcW w:w="1623" w:type="pct"/>
            <w:tcMar>
              <w:top w:w="0" w:type="dxa"/>
              <w:left w:w="0" w:type="dxa"/>
              <w:bottom w:w="0" w:type="dxa"/>
              <w:right w:w="0" w:type="dxa"/>
            </w:tcMar>
            <w:vAlign w:val="bottom"/>
            <w:hideMark/>
          </w:tcPr>
          <w:p w:rsidR="00000000" w:rsidRDefault="00DB7886">
            <w:pPr>
              <w:pStyle w:val="a3"/>
              <w:spacing w:before="0" w:beforeAutospacing="0" w:after="0" w:afterAutospacing="0"/>
              <w:divId w:val="73027018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7185293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62883944"/>
              <w:rPr>
                <w:sz w:val="20"/>
                <w:szCs w:val="20"/>
              </w:rPr>
            </w:pPr>
            <w:r>
              <w:rPr>
                <w:sz w:val="2"/>
                <w:szCs w:val="2"/>
              </w:rPr>
              <w:t>​</w:t>
            </w:r>
          </w:p>
        </w:tc>
        <w:tc>
          <w:tcPr>
            <w:tcW w:w="63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2707713"/>
              <w:rPr>
                <w:sz w:val="20"/>
                <w:szCs w:val="20"/>
              </w:rPr>
            </w:pPr>
            <w:r>
              <w:rPr>
                <w:sz w:val="2"/>
                <w:szCs w:val="2"/>
              </w:rPr>
              <w:t>​</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52604119"/>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86772360"/>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4208531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9805631"/>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24482334"/>
              <w:rPr>
                <w:sz w:val="20"/>
                <w:szCs w:val="20"/>
              </w:rPr>
            </w:pPr>
            <w:r>
              <w:rPr>
                <w:sz w:val="2"/>
                <w:szCs w:val="2"/>
              </w:rPr>
              <w:t>​</w:t>
            </w:r>
          </w:p>
        </w:tc>
        <w:tc>
          <w:tcPr>
            <w:tcW w:w="591"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50983122"/>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92647589"/>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76791744"/>
              <w:rPr>
                <w:sz w:val="20"/>
                <w:szCs w:val="20"/>
              </w:rPr>
            </w:pPr>
            <w:r>
              <w:rPr>
                <w:sz w:val="2"/>
                <w:szCs w:val="2"/>
              </w:rPr>
              <w:t>​</w:t>
            </w:r>
          </w:p>
        </w:tc>
        <w:tc>
          <w:tcPr>
            <w:tcW w:w="65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482896312"/>
              <w:rPr>
                <w:sz w:val="20"/>
                <w:szCs w:val="20"/>
              </w:rPr>
            </w:pPr>
            <w:r>
              <w:rPr>
                <w:sz w:val="2"/>
                <w:szCs w:val="2"/>
              </w:rPr>
              <w:t>​</w:t>
            </w:r>
          </w:p>
        </w:tc>
      </w:tr>
      <w:tr w:rsidR="00000000">
        <w:trPr>
          <w:divId w:val="2068065549"/>
        </w:trPr>
        <w:tc>
          <w:tcPr>
            <w:tcW w:w="1623"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1620"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Three Months Ended September 30,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w:t>
            </w:r>
          </w:p>
        </w:tc>
        <w:tc>
          <w:tcPr>
            <w:tcW w:w="1570"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Nine Months Ended September 30, </w:t>
            </w:r>
          </w:p>
        </w:tc>
      </w:tr>
      <w:tr w:rsidR="00000000">
        <w:trPr>
          <w:divId w:val="2068065549"/>
        </w:trPr>
        <w:tc>
          <w:tcPr>
            <w:tcW w:w="1623"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735"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734"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685"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74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r>
      <w:tr w:rsidR="00000000">
        <w:trPr>
          <w:divId w:val="2068065549"/>
        </w:trPr>
        <w:tc>
          <w:tcPr>
            <w:tcW w:w="0" w:type="auto"/>
            <w:gridSpan w:val="13"/>
            <w:tcMar>
              <w:top w:w="0" w:type="dxa"/>
              <w:left w:w="0" w:type="dxa"/>
              <w:bottom w:w="0" w:type="dxa"/>
              <w:right w:w="0" w:type="dxa"/>
            </w:tcMar>
            <w:vAlign w:val="center"/>
            <w:hideMark/>
          </w:tcPr>
          <w:p w:rsidR="00000000" w:rsidRDefault="00DB7886">
            <w:pPr>
              <w:rPr>
                <w:sz w:val="20"/>
                <w:szCs w:val="20"/>
              </w:rPr>
            </w:pPr>
          </w:p>
        </w:tc>
      </w:tr>
      <w:tr w:rsidR="00000000">
        <w:trPr>
          <w:divId w:val="2068065549"/>
        </w:trPr>
        <w:tc>
          <w:tcPr>
            <w:tcW w:w="1623"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3293" w:type="pct"/>
            <w:gridSpan w:val="11"/>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2068065549"/>
        </w:trPr>
        <w:tc>
          <w:tcPr>
            <w:tcW w:w="162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Revenues: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w:t>
            </w:r>
          </w:p>
        </w:tc>
      </w:tr>
      <w:tr w:rsidR="00000000">
        <w:trPr>
          <w:divId w:val="2068065549"/>
        </w:trPr>
        <w:tc>
          <w:tcPr>
            <w:tcW w:w="1623"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Net sales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2,657</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1,764</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7,487</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4,951</w:t>
            </w:r>
          </w:p>
        </w:tc>
      </w:tr>
      <w:tr w:rsidR="00000000">
        <w:trPr>
          <w:divId w:val="2068065549"/>
        </w:trPr>
        <w:tc>
          <w:tcPr>
            <w:tcW w:w="162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Other revenues from operations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165</w:t>
            </w:r>
          </w:p>
        </w:tc>
        <w:tc>
          <w:tcPr>
            <w:tcW w:w="1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9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481</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460</w:t>
            </w:r>
          </w:p>
        </w:tc>
      </w:tr>
      <w:tr w:rsidR="00000000">
        <w:trPr>
          <w:divId w:val="2068065549"/>
        </w:trPr>
        <w:tc>
          <w:tcPr>
            <w:tcW w:w="1623" w:type="pct"/>
            <w:tcMar>
              <w:top w:w="0" w:type="dxa"/>
              <w:left w:w="0" w:type="dxa"/>
              <w:bottom w:w="0" w:type="dxa"/>
              <w:right w:w="0" w:type="dxa"/>
            </w:tcMar>
            <w:vAlign w:val="bottom"/>
            <w:hideMark/>
          </w:tcPr>
          <w:p w:rsidR="00000000" w:rsidRDefault="00DB7886">
            <w:pPr>
              <w:pStyle w:val="a3"/>
              <w:spacing w:before="0" w:beforeAutospacing="0" w:after="0" w:afterAutospacing="0"/>
              <w:ind w:left="115" w:hanging="144"/>
              <w:rPr>
                <w:sz w:val="20"/>
                <w:szCs w:val="20"/>
              </w:rPr>
            </w:pPr>
            <w:r>
              <w:rPr>
                <w:sz w:val="20"/>
                <w:szCs w:val="20"/>
              </w:rPr>
              <w:t>Net (loss) gain from investment activities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(177)</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(1,259)</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9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1,035</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(2,152)</w:t>
            </w:r>
          </w:p>
        </w:tc>
      </w:tr>
      <w:tr w:rsidR="00000000">
        <w:trPr>
          <w:divId w:val="2068065549"/>
        </w:trPr>
        <w:tc>
          <w:tcPr>
            <w:tcW w:w="162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Interest and dividend income</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34</w:t>
            </w:r>
          </w:p>
        </w:tc>
        <w:tc>
          <w:tcPr>
            <w:tcW w:w="1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9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94</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135</w:t>
            </w:r>
          </w:p>
        </w:tc>
      </w:tr>
      <w:tr w:rsidR="00000000">
        <w:trPr>
          <w:divId w:val="2068065549"/>
        </w:trPr>
        <w:tc>
          <w:tcPr>
            <w:tcW w:w="1623"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Other (loss) income, net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(33)</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9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(78)</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(22)</w:t>
            </w:r>
          </w:p>
        </w:tc>
      </w:tr>
      <w:tr w:rsidR="00000000">
        <w:trPr>
          <w:divId w:val="2068065549"/>
        </w:trPr>
        <w:tc>
          <w:tcPr>
            <w:tcW w:w="162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2,646</w:t>
            </w:r>
          </w:p>
        </w:tc>
        <w:tc>
          <w:tcPr>
            <w:tcW w:w="1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723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9,019</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3,372</w:t>
            </w:r>
          </w:p>
        </w:tc>
      </w:tr>
      <w:tr w:rsidR="00000000">
        <w:trPr>
          <w:divId w:val="2068065549"/>
        </w:trPr>
        <w:tc>
          <w:tcPr>
            <w:tcW w:w="1623"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Expenses: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1"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2068065549"/>
        </w:trPr>
        <w:tc>
          <w:tcPr>
            <w:tcW w:w="162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Cost of goods sold</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2,270</w:t>
            </w:r>
          </w:p>
        </w:tc>
        <w:tc>
          <w:tcPr>
            <w:tcW w:w="1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1,599</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9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6,807</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4,544</w:t>
            </w:r>
          </w:p>
        </w:tc>
      </w:tr>
      <w:tr w:rsidR="00000000">
        <w:trPr>
          <w:divId w:val="2068065549"/>
        </w:trPr>
        <w:tc>
          <w:tcPr>
            <w:tcW w:w="1623"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Other expenses from operations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130</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127</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9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374</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369</w:t>
            </w:r>
          </w:p>
        </w:tc>
      </w:tr>
      <w:tr w:rsidR="00000000">
        <w:trPr>
          <w:divId w:val="2068065549"/>
        </w:trPr>
        <w:tc>
          <w:tcPr>
            <w:tcW w:w="162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Selling, general and administrative</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317</w:t>
            </w:r>
          </w:p>
        </w:tc>
        <w:tc>
          <w:tcPr>
            <w:tcW w:w="1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290</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9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937</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888</w:t>
            </w:r>
          </w:p>
        </w:tc>
      </w:tr>
      <w:tr w:rsidR="00000000">
        <w:trPr>
          <w:divId w:val="2068065549"/>
        </w:trPr>
        <w:tc>
          <w:tcPr>
            <w:tcW w:w="1623"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Restructuring, net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9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w:t>
            </w:r>
          </w:p>
        </w:tc>
      </w:tr>
      <w:tr w:rsidR="00000000">
        <w:trPr>
          <w:divId w:val="2068065549"/>
        </w:trPr>
        <w:tc>
          <w:tcPr>
            <w:tcW w:w="162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Impairment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9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w:t>
            </w:r>
          </w:p>
        </w:tc>
      </w:tr>
      <w:tr w:rsidR="00000000">
        <w:trPr>
          <w:divId w:val="2068065549"/>
        </w:trPr>
        <w:tc>
          <w:tcPr>
            <w:tcW w:w="1623"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Interest expense</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158</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171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9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511</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517</w:t>
            </w:r>
          </w:p>
        </w:tc>
      </w:tr>
      <w:tr w:rsidR="00000000">
        <w:trPr>
          <w:divId w:val="2068065549"/>
        </w:trPr>
        <w:tc>
          <w:tcPr>
            <w:tcW w:w="162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2,876</w:t>
            </w:r>
          </w:p>
        </w:tc>
        <w:tc>
          <w:tcPr>
            <w:tcW w:w="1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2,189</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8,635</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6,332</w:t>
            </w:r>
          </w:p>
        </w:tc>
      </w:tr>
      <w:tr w:rsidR="00000000">
        <w:trPr>
          <w:divId w:val="2068065549"/>
        </w:trPr>
        <w:tc>
          <w:tcPr>
            <w:tcW w:w="1623"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20"/>
                <w:szCs w:val="20"/>
              </w:rPr>
            </w:pPr>
            <w:r>
              <w:rPr>
                <w:sz w:val="20"/>
                <w:szCs w:val="20"/>
              </w:rPr>
              <w:t>(Loss) income before income tax (expense) benefit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(230)</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(1,466)</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9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384</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(2,960)</w:t>
            </w:r>
          </w:p>
        </w:tc>
      </w:tr>
      <w:tr w:rsidR="00000000">
        <w:trPr>
          <w:divId w:val="2068065549"/>
        </w:trPr>
        <w:tc>
          <w:tcPr>
            <w:tcW w:w="162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Income tax benefit (expense)</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19</w:t>
            </w:r>
          </w:p>
        </w:tc>
        <w:tc>
          <w:tcPr>
            <w:tcW w:w="1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(57)</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118</w:t>
            </w:r>
          </w:p>
        </w:tc>
      </w:tr>
      <w:tr w:rsidR="00000000">
        <w:trPr>
          <w:divId w:val="2068065549"/>
        </w:trPr>
        <w:tc>
          <w:tcPr>
            <w:tcW w:w="1623"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Net (loss) income</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(211)</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(1,400)</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9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327</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(2,842)</w:t>
            </w:r>
          </w:p>
        </w:tc>
      </w:tr>
      <w:tr w:rsidR="00000000">
        <w:trPr>
          <w:divId w:val="2068065549"/>
        </w:trPr>
        <w:tc>
          <w:tcPr>
            <w:tcW w:w="162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20"/>
                <w:szCs w:val="20"/>
              </w:rPr>
            </w:pPr>
            <w:r>
              <w:rPr>
                <w:sz w:val="20"/>
                <w:szCs w:val="20"/>
              </w:rPr>
              <w:t>Less: net (loss) income attributable to non-controlling interests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(63)</w:t>
            </w:r>
          </w:p>
        </w:tc>
        <w:tc>
          <w:tcPr>
            <w:tcW w:w="1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(686)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448</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(1,043)</w:t>
            </w:r>
          </w:p>
        </w:tc>
      </w:tr>
      <w:tr w:rsidR="00000000">
        <w:trPr>
          <w:divId w:val="2068065549"/>
        </w:trPr>
        <w:tc>
          <w:tcPr>
            <w:tcW w:w="1623"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20"/>
                <w:szCs w:val="20"/>
              </w:rPr>
            </w:pPr>
            <w:r>
              <w:rPr>
                <w:sz w:val="20"/>
                <w:szCs w:val="20"/>
              </w:rPr>
              <w:t>Net loss attributable to Icahn Enterprises Holdings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(148)</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4"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(714)</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1"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(121)</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4"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(1,799)</w:t>
            </w:r>
          </w:p>
        </w:tc>
      </w:tr>
      <w:tr w:rsidR="00000000">
        <w:trPr>
          <w:divId w:val="2068065549"/>
        </w:trPr>
        <w:tc>
          <w:tcPr>
            <w:tcW w:w="162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2068065549"/>
        </w:trPr>
        <w:tc>
          <w:tcPr>
            <w:tcW w:w="1623"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20"/>
                <w:szCs w:val="20"/>
              </w:rPr>
            </w:pPr>
            <w:r>
              <w:rPr>
                <w:sz w:val="20"/>
                <w:szCs w:val="20"/>
              </w:rPr>
              <w:t>Net loss attributable to Icahn Enterprises Holdings allocated to:</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1"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2068065549"/>
        </w:trPr>
        <w:tc>
          <w:tcPr>
            <w:tcW w:w="162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Limited partner</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(147)</w:t>
            </w:r>
          </w:p>
        </w:tc>
        <w:tc>
          <w:tcPr>
            <w:tcW w:w="1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(707)</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(120)</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(1,781)</w:t>
            </w:r>
          </w:p>
        </w:tc>
      </w:tr>
      <w:tr w:rsidR="00000000">
        <w:trPr>
          <w:divId w:val="2068065549"/>
        </w:trPr>
        <w:tc>
          <w:tcPr>
            <w:tcW w:w="1623"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General partner</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(7)</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9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(18)</w:t>
            </w:r>
          </w:p>
        </w:tc>
      </w:tr>
      <w:tr w:rsidR="00000000">
        <w:trPr>
          <w:divId w:val="2068065549"/>
        </w:trPr>
        <w:tc>
          <w:tcPr>
            <w:tcW w:w="162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(148)</w:t>
            </w:r>
          </w:p>
        </w:tc>
        <w:tc>
          <w:tcPr>
            <w:tcW w:w="1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(714)</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(121)</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(1,799)</w:t>
            </w:r>
          </w:p>
        </w:tc>
      </w:tr>
    </w:tbl>
    <w:p w:rsidR="00000000" w:rsidRDefault="00DB7886">
      <w:pPr>
        <w:pStyle w:val="a3"/>
        <w:spacing w:before="0" w:beforeAutospacing="0" w:after="0" w:afterAutospacing="0"/>
        <w:divId w:val="2068065549"/>
        <w:rPr>
          <w:sz w:val="20"/>
          <w:szCs w:val="20"/>
        </w:rPr>
      </w:pPr>
      <w:r>
        <w:rPr>
          <w:sz w:val="20"/>
          <w:szCs w:val="20"/>
        </w:rPr>
        <w:t>​</w:t>
      </w:r>
    </w:p>
    <w:p w:rsidR="00000000" w:rsidRDefault="00DB7886">
      <w:pPr>
        <w:pStyle w:val="a3"/>
        <w:spacing w:before="0" w:beforeAutospacing="0" w:after="240" w:afterAutospacing="0"/>
        <w:ind w:firstLine="360"/>
        <w:jc w:val="center"/>
        <w:divId w:val="2068065549"/>
        <w:rPr>
          <w:sz w:val="20"/>
          <w:szCs w:val="20"/>
        </w:rPr>
      </w:pPr>
      <w:r>
        <w:rPr>
          <w:i/>
          <w:iCs/>
          <w:sz w:val="20"/>
          <w:szCs w:val="20"/>
        </w:rPr>
        <w:t>See notes to condensed consolidated financial statements.</w:t>
      </w:r>
    </w:p>
    <w:p w:rsidR="00000000" w:rsidRDefault="00DB7886">
      <w:pPr>
        <w:pStyle w:val="a3"/>
        <w:spacing w:before="0" w:beforeAutospacing="0" w:after="0" w:afterAutospacing="0"/>
        <w:divId w:val="2068065549"/>
        <w:rPr>
          <w:sz w:val="20"/>
          <w:szCs w:val="20"/>
        </w:rPr>
      </w:pPr>
      <w:r>
        <w:rPr>
          <w:i/>
          <w:iCs/>
          <w:sz w:val="20"/>
          <w:szCs w:val="20"/>
        </w:rPr>
        <w:t>​</w:t>
      </w:r>
    </w:p>
    <w:p w:rsidR="00000000" w:rsidRDefault="00DB7886">
      <w:pPr>
        <w:pStyle w:val="a3"/>
        <w:spacing w:before="480" w:beforeAutospacing="0" w:after="0" w:afterAutospacing="0"/>
        <w:jc w:val="center"/>
        <w:divId w:val="1748192009"/>
        <w:rPr>
          <w:sz w:val="20"/>
          <w:szCs w:val="20"/>
        </w:rPr>
      </w:pPr>
      <w:r>
        <w:rPr>
          <w:sz w:val="20"/>
          <w:szCs w:val="20"/>
        </w:rPr>
        <w:t>8</w:t>
      </w:r>
    </w:p>
    <w:p w:rsidR="00000000" w:rsidRDefault="00DB7886">
      <w:pPr>
        <w:pStyle w:val="a3"/>
        <w:spacing w:before="0" w:beforeAutospacing="0" w:after="600" w:afterAutospacing="0"/>
        <w:divId w:val="897008925"/>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jc w:val="center"/>
        <w:divId w:val="1548106140"/>
        <w:rPr>
          <w:b/>
          <w:bCs/>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1548106140"/>
        <w:rPr>
          <w:b/>
          <w:bCs/>
          <w:sz w:val="20"/>
          <w:szCs w:val="20"/>
        </w:rPr>
      </w:pPr>
      <w:r>
        <w:rPr>
          <w:b/>
          <w:bCs/>
          <w:sz w:val="20"/>
          <w:szCs w:val="20"/>
        </w:rPr>
        <w:t>CONDENSED CONSOLIDATED STATEMENTS OF COMPREHENSIVE INCOME (LOSS) (UNAUDITED)</w:t>
      </w:r>
    </w:p>
    <w:tbl>
      <w:tblPr>
        <w:tblW w:w="5000" w:type="pct"/>
        <w:tblCellMar>
          <w:top w:w="15" w:type="dxa"/>
          <w:left w:w="0" w:type="dxa"/>
          <w:bottom w:w="15" w:type="dxa"/>
          <w:right w:w="0" w:type="dxa"/>
        </w:tblCellMar>
        <w:tblLook w:val="04A0" w:firstRow="1" w:lastRow="0" w:firstColumn="1" w:lastColumn="0" w:noHBand="0" w:noVBand="1"/>
      </w:tblPr>
      <w:tblGrid>
        <w:gridCol w:w="1767"/>
        <w:gridCol w:w="160"/>
        <w:gridCol w:w="200"/>
        <w:gridCol w:w="1229"/>
        <w:gridCol w:w="289"/>
        <w:gridCol w:w="199"/>
        <w:gridCol w:w="1228"/>
        <w:gridCol w:w="200"/>
        <w:gridCol w:w="179"/>
        <w:gridCol w:w="1194"/>
        <w:gridCol w:w="280"/>
        <w:gridCol w:w="178"/>
        <w:gridCol w:w="1203"/>
      </w:tblGrid>
      <w:tr w:rsidR="00000000">
        <w:trPr>
          <w:divId w:val="1548106140"/>
          <w:trHeight w:val="20"/>
        </w:trPr>
        <w:tc>
          <w:tcPr>
            <w:tcW w:w="1625" w:type="pct"/>
            <w:tcMar>
              <w:top w:w="0" w:type="dxa"/>
              <w:left w:w="0" w:type="dxa"/>
              <w:bottom w:w="0" w:type="dxa"/>
              <w:right w:w="0" w:type="dxa"/>
            </w:tcMar>
            <w:vAlign w:val="bottom"/>
            <w:hideMark/>
          </w:tcPr>
          <w:p w:rsidR="00000000" w:rsidRDefault="00DB7886">
            <w:pPr>
              <w:pStyle w:val="a3"/>
              <w:spacing w:before="0" w:beforeAutospacing="0" w:after="0" w:afterAutospacing="0"/>
              <w:divId w:val="204682861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972119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07989789"/>
              <w:rPr>
                <w:sz w:val="20"/>
                <w:szCs w:val="20"/>
              </w:rPr>
            </w:pPr>
            <w:r>
              <w:rPr>
                <w:sz w:val="2"/>
                <w:szCs w:val="2"/>
              </w:rPr>
              <w:t>​</w:t>
            </w:r>
          </w:p>
        </w:tc>
        <w:tc>
          <w:tcPr>
            <w:tcW w:w="63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1925799"/>
              <w:rPr>
                <w:sz w:val="20"/>
                <w:szCs w:val="20"/>
              </w:rPr>
            </w:pPr>
            <w:r>
              <w:rPr>
                <w:sz w:val="2"/>
                <w:szCs w:val="2"/>
              </w:rPr>
              <w:t>​</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92962820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98392818"/>
              <w:rPr>
                <w:sz w:val="20"/>
                <w:szCs w:val="20"/>
              </w:rPr>
            </w:pPr>
            <w:r>
              <w:rPr>
                <w:sz w:val="2"/>
                <w:szCs w:val="2"/>
              </w:rPr>
              <w:t>​</w:t>
            </w:r>
          </w:p>
        </w:tc>
        <w:tc>
          <w:tcPr>
            <w:tcW w:w="63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5245892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867275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09615780"/>
              <w:rPr>
                <w:sz w:val="20"/>
                <w:szCs w:val="20"/>
              </w:rPr>
            </w:pPr>
            <w:r>
              <w:rPr>
                <w:sz w:val="2"/>
                <w:szCs w:val="2"/>
              </w:rPr>
              <w:t>​</w:t>
            </w:r>
          </w:p>
        </w:tc>
        <w:tc>
          <w:tcPr>
            <w:tcW w:w="61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403914224"/>
              <w:rPr>
                <w:sz w:val="20"/>
                <w:szCs w:val="20"/>
              </w:rPr>
            </w:pPr>
            <w:r>
              <w:rPr>
                <w:sz w:val="2"/>
                <w:szCs w:val="2"/>
              </w:rPr>
              <w:t>​</w:t>
            </w:r>
          </w:p>
        </w:tc>
        <w:tc>
          <w:tcPr>
            <w:tcW w:w="14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2877380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03378295"/>
              <w:rPr>
                <w:sz w:val="20"/>
                <w:szCs w:val="20"/>
              </w:rPr>
            </w:pPr>
            <w:r>
              <w:rPr>
                <w:sz w:val="2"/>
                <w:szCs w:val="2"/>
              </w:rPr>
              <w:t>​</w:t>
            </w:r>
          </w:p>
        </w:tc>
        <w:tc>
          <w:tcPr>
            <w:tcW w:w="62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56839003"/>
              <w:rPr>
                <w:sz w:val="20"/>
                <w:szCs w:val="20"/>
              </w:rPr>
            </w:pPr>
            <w:r>
              <w:rPr>
                <w:sz w:val="2"/>
                <w:szCs w:val="2"/>
              </w:rPr>
              <w:t>​</w:t>
            </w:r>
          </w:p>
        </w:tc>
      </w:tr>
      <w:tr w:rsidR="00000000">
        <w:trPr>
          <w:divId w:val="1548106140"/>
        </w:trPr>
        <w:tc>
          <w:tcPr>
            <w:tcW w:w="162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1621"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Three Months Ended September 30,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w:t>
            </w:r>
          </w:p>
        </w:tc>
        <w:tc>
          <w:tcPr>
            <w:tcW w:w="1568"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Nine Months Ended September 30, </w:t>
            </w:r>
          </w:p>
        </w:tc>
      </w:tr>
      <w:tr w:rsidR="00000000">
        <w:trPr>
          <w:divId w:val="1548106140"/>
        </w:trPr>
        <w:tc>
          <w:tcPr>
            <w:tcW w:w="162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73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735"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709"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712"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r>
      <w:tr w:rsidR="00000000">
        <w:trPr>
          <w:divId w:val="1548106140"/>
        </w:trPr>
        <w:tc>
          <w:tcPr>
            <w:tcW w:w="0" w:type="auto"/>
            <w:gridSpan w:val="13"/>
            <w:tcMar>
              <w:top w:w="0" w:type="dxa"/>
              <w:left w:w="0" w:type="dxa"/>
              <w:bottom w:w="0" w:type="dxa"/>
              <w:right w:w="0" w:type="dxa"/>
            </w:tcMar>
            <w:vAlign w:val="center"/>
            <w:hideMark/>
          </w:tcPr>
          <w:p w:rsidR="00000000" w:rsidRDefault="00DB7886">
            <w:pPr>
              <w:rPr>
                <w:sz w:val="20"/>
                <w:szCs w:val="20"/>
              </w:rPr>
            </w:pPr>
          </w:p>
        </w:tc>
      </w:tr>
      <w:tr w:rsidR="00000000">
        <w:trPr>
          <w:divId w:val="1548106140"/>
        </w:trPr>
        <w:tc>
          <w:tcPr>
            <w:tcW w:w="162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3292" w:type="pct"/>
            <w:gridSpan w:val="11"/>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1548106140"/>
        </w:trPr>
        <w:tc>
          <w:tcPr>
            <w:tcW w:w="162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Net (loss) income</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(211)</w:t>
            </w:r>
          </w:p>
        </w:tc>
        <w:tc>
          <w:tcPr>
            <w:tcW w:w="1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(1,400)</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1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327</w:t>
            </w:r>
          </w:p>
        </w:tc>
        <w:tc>
          <w:tcPr>
            <w:tcW w:w="1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(2,842)</w:t>
            </w:r>
          </w:p>
        </w:tc>
      </w:tr>
      <w:tr w:rsidR="00000000">
        <w:trPr>
          <w:divId w:val="1548106140"/>
        </w:trPr>
        <w:tc>
          <w:tcPr>
            <w:tcW w:w="1625"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20"/>
                <w:szCs w:val="20"/>
              </w:rPr>
            </w:pPr>
            <w:r>
              <w:rPr>
                <w:sz w:val="20"/>
                <w:szCs w:val="20"/>
              </w:rPr>
              <w:t>Other comprehensive (loss) income, net of tax:</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1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1548106140"/>
        </w:trPr>
        <w:tc>
          <w:tcPr>
            <w:tcW w:w="162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Translation adjustments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(5)</w:t>
            </w:r>
          </w:p>
        </w:tc>
        <w:tc>
          <w:tcPr>
            <w:tcW w:w="1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1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(4)</w:t>
            </w:r>
          </w:p>
        </w:tc>
        <w:tc>
          <w:tcPr>
            <w:tcW w:w="1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r>
      <w:tr w:rsidR="00000000">
        <w:trPr>
          <w:divId w:val="1548106140"/>
        </w:trPr>
        <w:tc>
          <w:tcPr>
            <w:tcW w:w="1625"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Post-retirement benefits and other</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63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1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c>
          <w:tcPr>
            <w:tcW w:w="1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r>
      <w:tr w:rsidR="00000000">
        <w:trPr>
          <w:divId w:val="1548106140"/>
        </w:trPr>
        <w:tc>
          <w:tcPr>
            <w:tcW w:w="162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20"/>
                <w:szCs w:val="20"/>
              </w:rPr>
            </w:pPr>
            <w:r>
              <w:rPr>
                <w:sz w:val="20"/>
                <w:szCs w:val="20"/>
              </w:rPr>
              <w:t>Other comprehensive (loss) income, net of tax</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(5)</w:t>
            </w:r>
          </w:p>
        </w:tc>
        <w:tc>
          <w:tcPr>
            <w:tcW w:w="1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w:t>
            </w:r>
          </w:p>
        </w:tc>
        <w:tc>
          <w:tcPr>
            <w:tcW w:w="1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r>
      <w:tr w:rsidR="00000000">
        <w:trPr>
          <w:divId w:val="1548106140"/>
        </w:trPr>
        <w:tc>
          <w:tcPr>
            <w:tcW w:w="162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Comprehensive (loss) income</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(216)</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(1,398)</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1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324</w:t>
            </w:r>
          </w:p>
        </w:tc>
        <w:tc>
          <w:tcPr>
            <w:tcW w:w="1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(2,841)</w:t>
            </w:r>
          </w:p>
        </w:tc>
      </w:tr>
      <w:tr w:rsidR="00000000">
        <w:trPr>
          <w:divId w:val="1548106140"/>
        </w:trPr>
        <w:tc>
          <w:tcPr>
            <w:tcW w:w="162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20"/>
                <w:szCs w:val="20"/>
              </w:rPr>
            </w:pPr>
            <w:r>
              <w:rPr>
                <w:sz w:val="20"/>
                <w:szCs w:val="20"/>
              </w:rPr>
              <w:t>Less: Comprehensive (loss) income attributable to non-controlling interests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(64)</w:t>
            </w:r>
          </w:p>
        </w:tc>
        <w:tc>
          <w:tcPr>
            <w:tcW w:w="1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(686)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448</w:t>
            </w:r>
          </w:p>
        </w:tc>
        <w:tc>
          <w:tcPr>
            <w:tcW w:w="1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(1,042)</w:t>
            </w:r>
          </w:p>
        </w:tc>
      </w:tr>
      <w:tr w:rsidR="00000000">
        <w:trPr>
          <w:divId w:val="1548106140"/>
        </w:trPr>
        <w:tc>
          <w:tcPr>
            <w:tcW w:w="1625"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20"/>
                <w:szCs w:val="20"/>
              </w:rPr>
            </w:pPr>
            <w:r>
              <w:rPr>
                <w:sz w:val="20"/>
                <w:szCs w:val="20"/>
              </w:rPr>
              <w:t>Comprehensive loss attributable to Icahn Enterprises Holdings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(152)</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(712)</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1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(124)</w:t>
            </w:r>
          </w:p>
        </w:tc>
        <w:tc>
          <w:tcPr>
            <w:tcW w:w="1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(1,799)</w:t>
            </w:r>
          </w:p>
        </w:tc>
      </w:tr>
      <w:tr w:rsidR="00000000">
        <w:trPr>
          <w:divId w:val="1548106140"/>
        </w:trPr>
        <w:tc>
          <w:tcPr>
            <w:tcW w:w="162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1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1548106140"/>
        </w:trPr>
        <w:tc>
          <w:tcPr>
            <w:tcW w:w="1625"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20"/>
                <w:szCs w:val="20"/>
              </w:rPr>
            </w:pPr>
            <w:r>
              <w:rPr>
                <w:sz w:val="20"/>
                <w:szCs w:val="20"/>
              </w:rPr>
              <w:t>Comprehensive loss attributable to Icahn Enterprises Holdings allocated to:</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1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1548106140"/>
        </w:trPr>
        <w:tc>
          <w:tcPr>
            <w:tcW w:w="162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Limited partner</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(151)</w:t>
            </w:r>
          </w:p>
        </w:tc>
        <w:tc>
          <w:tcPr>
            <w:tcW w:w="1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(705)</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1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(123)</w:t>
            </w:r>
          </w:p>
        </w:tc>
        <w:tc>
          <w:tcPr>
            <w:tcW w:w="1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(1,781)</w:t>
            </w:r>
          </w:p>
        </w:tc>
      </w:tr>
      <w:tr w:rsidR="00000000">
        <w:trPr>
          <w:divId w:val="1548106140"/>
        </w:trPr>
        <w:tc>
          <w:tcPr>
            <w:tcW w:w="1625"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General partner</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w:t>
            </w:r>
          </w:p>
        </w:tc>
        <w:tc>
          <w:tcPr>
            <w:tcW w:w="1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(7)</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1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w:t>
            </w:r>
          </w:p>
        </w:tc>
        <w:tc>
          <w:tcPr>
            <w:tcW w:w="1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(18)</w:t>
            </w:r>
          </w:p>
        </w:tc>
      </w:tr>
      <w:tr w:rsidR="00000000">
        <w:trPr>
          <w:divId w:val="1548106140"/>
        </w:trPr>
        <w:tc>
          <w:tcPr>
            <w:tcW w:w="162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(152)</w:t>
            </w:r>
          </w:p>
        </w:tc>
        <w:tc>
          <w:tcPr>
            <w:tcW w:w="1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(712)</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1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(124)</w:t>
            </w:r>
          </w:p>
        </w:tc>
        <w:tc>
          <w:tcPr>
            <w:tcW w:w="1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r>
              <w:rPr>
                <w:sz w:val="20"/>
                <w:szCs w:val="20"/>
              </w:rPr>
              <w:t>1,799)</w:t>
            </w:r>
          </w:p>
        </w:tc>
      </w:tr>
    </w:tbl>
    <w:p w:rsidR="00000000" w:rsidRDefault="00DB7886">
      <w:pPr>
        <w:pStyle w:val="a3"/>
        <w:spacing w:before="0" w:beforeAutospacing="0" w:after="0" w:afterAutospacing="0"/>
        <w:divId w:val="1548106140"/>
        <w:rPr>
          <w:sz w:val="20"/>
          <w:szCs w:val="20"/>
        </w:rPr>
      </w:pPr>
      <w:r>
        <w:rPr>
          <w:sz w:val="20"/>
          <w:szCs w:val="20"/>
        </w:rPr>
        <w:t>​</w:t>
      </w:r>
    </w:p>
    <w:p w:rsidR="00000000" w:rsidRDefault="00DB7886">
      <w:pPr>
        <w:pStyle w:val="a3"/>
        <w:spacing w:before="0" w:beforeAutospacing="0" w:after="240" w:afterAutospacing="0"/>
        <w:ind w:firstLine="360"/>
        <w:jc w:val="center"/>
        <w:divId w:val="1548106140"/>
        <w:rPr>
          <w:sz w:val="20"/>
          <w:szCs w:val="20"/>
        </w:rPr>
      </w:pPr>
      <w:r>
        <w:rPr>
          <w:i/>
          <w:iCs/>
          <w:sz w:val="20"/>
          <w:szCs w:val="20"/>
        </w:rPr>
        <w:t>See notes to condensed consolidated financial statements.</w:t>
      </w:r>
    </w:p>
    <w:p w:rsidR="00000000" w:rsidRDefault="00DB7886">
      <w:pPr>
        <w:pStyle w:val="a3"/>
        <w:spacing w:before="0" w:beforeAutospacing="0" w:after="0" w:afterAutospacing="0"/>
        <w:divId w:val="1548106140"/>
        <w:rPr>
          <w:sz w:val="20"/>
          <w:szCs w:val="20"/>
        </w:rPr>
      </w:pPr>
      <w:r>
        <w:rPr>
          <w:i/>
          <w:iCs/>
          <w:sz w:val="20"/>
          <w:szCs w:val="20"/>
        </w:rPr>
        <w:t>​</w:t>
      </w:r>
    </w:p>
    <w:p w:rsidR="00000000" w:rsidRDefault="00DB7886">
      <w:pPr>
        <w:pStyle w:val="a3"/>
        <w:spacing w:before="480" w:beforeAutospacing="0" w:after="0" w:afterAutospacing="0"/>
        <w:jc w:val="center"/>
        <w:divId w:val="581572944"/>
        <w:rPr>
          <w:sz w:val="20"/>
          <w:szCs w:val="20"/>
        </w:rPr>
      </w:pPr>
      <w:r>
        <w:rPr>
          <w:sz w:val="20"/>
          <w:szCs w:val="20"/>
        </w:rPr>
        <w:t>9</w:t>
      </w:r>
    </w:p>
    <w:p w:rsidR="00000000" w:rsidRDefault="00DB7886">
      <w:pPr>
        <w:pStyle w:val="a3"/>
        <w:spacing w:before="0" w:beforeAutospacing="0" w:after="600" w:afterAutospacing="0"/>
        <w:divId w:val="2063826133"/>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jc w:val="center"/>
        <w:divId w:val="1223562576"/>
        <w:rPr>
          <w:b/>
          <w:bCs/>
          <w:sz w:val="20"/>
          <w:szCs w:val="20"/>
        </w:rPr>
      </w:pPr>
      <w:r>
        <w:rPr>
          <w:b/>
          <w:bCs/>
          <w:sz w:val="20"/>
          <w:szCs w:val="20"/>
        </w:rPr>
        <w:t>ICAHN ENTERPRISES HOLDINGS L.P. AND SUBSIDIARIES</w:t>
      </w:r>
    </w:p>
    <w:p w:rsidR="00000000" w:rsidRDefault="00DB7886">
      <w:pPr>
        <w:pStyle w:val="a3"/>
        <w:spacing w:before="0" w:beforeAutospacing="0" w:after="0" w:afterAutospacing="0"/>
        <w:jc w:val="center"/>
        <w:divId w:val="1223562576"/>
        <w:rPr>
          <w:b/>
          <w:bCs/>
          <w:sz w:val="20"/>
          <w:szCs w:val="20"/>
        </w:rPr>
      </w:pPr>
      <w:r>
        <w:rPr>
          <w:b/>
          <w:bCs/>
          <w:sz w:val="20"/>
          <w:szCs w:val="20"/>
        </w:rPr>
        <w:t>CONDENSED CONSOLIDATED STATEMENTS OF CHANGES IN EQUITY (UNAUDITED)</w:t>
      </w:r>
    </w:p>
    <w:p w:rsidR="00000000" w:rsidRDefault="00DB7886">
      <w:pPr>
        <w:pStyle w:val="a3"/>
        <w:spacing w:before="0" w:beforeAutospacing="0" w:after="0" w:afterAutospacing="0"/>
        <w:divId w:val="122356257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985"/>
        <w:gridCol w:w="150"/>
        <w:gridCol w:w="146"/>
        <w:gridCol w:w="888"/>
        <w:gridCol w:w="177"/>
        <w:gridCol w:w="125"/>
        <w:gridCol w:w="778"/>
        <w:gridCol w:w="181"/>
        <w:gridCol w:w="143"/>
        <w:gridCol w:w="882"/>
        <w:gridCol w:w="150"/>
        <w:gridCol w:w="105"/>
        <w:gridCol w:w="633"/>
        <w:gridCol w:w="150"/>
        <w:gridCol w:w="113"/>
        <w:gridCol w:w="700"/>
      </w:tblGrid>
      <w:tr w:rsidR="00000000">
        <w:trPr>
          <w:divId w:val="1223562576"/>
          <w:trHeight w:val="20"/>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divId w:val="87786131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359901"/>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08854732"/>
              <w:rPr>
                <w:sz w:val="20"/>
                <w:szCs w:val="20"/>
              </w:rPr>
            </w:pPr>
            <w:r>
              <w:rPr>
                <w:sz w:val="2"/>
                <w:szCs w:val="2"/>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72206746"/>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10215815"/>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09168534"/>
              <w:rPr>
                <w:sz w:val="20"/>
                <w:szCs w:val="20"/>
              </w:rPr>
            </w:pPr>
            <w:r>
              <w:rPr>
                <w:sz w:val="2"/>
                <w:szCs w:val="2"/>
              </w:rPr>
              <w:t>​</w:t>
            </w:r>
          </w:p>
        </w:tc>
        <w:tc>
          <w:tcPr>
            <w:tcW w:w="41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40242888"/>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9019193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88636376"/>
              <w:rPr>
                <w:sz w:val="20"/>
                <w:szCs w:val="20"/>
              </w:rPr>
            </w:pPr>
            <w:r>
              <w:rPr>
                <w:sz w:val="2"/>
                <w:szCs w:val="2"/>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23400995"/>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47896477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23738249"/>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8192307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4565861"/>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35570483"/>
              <w:rPr>
                <w:sz w:val="20"/>
                <w:szCs w:val="20"/>
              </w:rPr>
            </w:pPr>
            <w:r>
              <w:rPr>
                <w:sz w:val="2"/>
                <w:szCs w:val="2"/>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17355983"/>
              <w:rPr>
                <w:sz w:val="20"/>
                <w:szCs w:val="20"/>
              </w:rPr>
            </w:pPr>
            <w:r>
              <w:rPr>
                <w:sz w:val="2"/>
                <w:szCs w:val="2"/>
              </w:rPr>
              <w:t>​</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1743" w:type="pct"/>
            <w:gridSpan w:val="8"/>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Equity Attributable to Icahn Enterprises Holdings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5"/>
                <w:szCs w:val="15"/>
              </w:rPr>
              <w:t> </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32"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General </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487"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Limited </w:t>
            </w:r>
            <w:r>
              <w:rPr>
                <w:sz w:val="15"/>
                <w:szCs w:val="15"/>
              </w:rPr>
              <w:t> </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381"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Non-</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32"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Partner’s</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487"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Partner’s</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28"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Total Partners’ </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381"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controlling </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424"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15"/>
                <w:szCs w:val="15"/>
              </w:rPr>
              <w:t>​</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    </w:t>
            </w:r>
          </w:p>
        </w:tc>
        <w:tc>
          <w:tcPr>
            <w:tcW w:w="532"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 (Deficit) Equity</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    </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Equity</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    </w:t>
            </w:r>
          </w:p>
        </w:tc>
        <w:tc>
          <w:tcPr>
            <w:tcW w:w="528"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Equity</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Interests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    </w:t>
            </w:r>
          </w:p>
        </w:tc>
        <w:tc>
          <w:tcPr>
            <w:tcW w:w="424"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Total Equity</w:t>
            </w:r>
          </w:p>
        </w:tc>
      </w:tr>
      <w:tr w:rsidR="00000000">
        <w:trPr>
          <w:divId w:val="1223562576"/>
        </w:trPr>
        <w:tc>
          <w:tcPr>
            <w:tcW w:w="0" w:type="auto"/>
            <w:gridSpan w:val="16"/>
            <w:tcMar>
              <w:top w:w="0" w:type="dxa"/>
              <w:left w:w="0" w:type="dxa"/>
              <w:bottom w:w="0" w:type="dxa"/>
              <w:right w:w="0" w:type="dxa"/>
            </w:tcMar>
            <w:vAlign w:val="center"/>
            <w:hideMark/>
          </w:tcPr>
          <w:p w:rsidR="00000000" w:rsidRDefault="00DB7886">
            <w:pPr>
              <w:rPr>
                <w:sz w:val="14"/>
                <w:szCs w:val="14"/>
              </w:rPr>
            </w:pP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2703" w:type="pct"/>
            <w:gridSpan w:val="14"/>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5"/>
                <w:szCs w:val="15"/>
              </w:rPr>
              <w:t>(in millions)</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Balance, December 31, 2020</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(896)</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6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w:t>
            </w:r>
          </w:p>
        </w:tc>
        <w:tc>
          <w:tcPr>
            <w:tcW w:w="41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4,277</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3,381</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5,875</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w:t>
            </w:r>
          </w:p>
        </w:tc>
        <w:tc>
          <w:tcPr>
            <w:tcW w:w="3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9,256</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Net income</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67"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41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160</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162</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437</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599</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Other comprehensive loss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distributions payable</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(5)</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(494)</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(499)</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(499)</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contributions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184</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186</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186</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Investment segment contributions from non-controlling interests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40</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40</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Changes in subsidiary equity and other</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Balance, March 31, 2021</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(897)</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4,125</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3,228</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6,352</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9,580</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Net (loss) income</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(2)</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(133)</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(135)</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74</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(61)</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Other comprehensive income</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3</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distributions payable reversal</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5</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6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494</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499</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499</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distributions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(56)</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(57)</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(57)</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contributions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6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200</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202</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202</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Investment segment contributions from non-controlling interests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6</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6</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Dividends and distributions to non-controlling interests in subsidiaries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(144)</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(144)</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Changes in subsidiary equity and other</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(5)</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(5)</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Balance, June 30, 2021</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(893)</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4,627</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3,734</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6,290</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10,024</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Net loss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(147)</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(148)</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(63)</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(211)</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Other comprehensive loss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(5)</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distributions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(36)</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(36)</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(36)</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contributions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220</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222</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222</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Investment segment contributions from non-controlling interests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22</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22</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Dividends and distributions to non-controlling interests in subsidiaries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(11)</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(11)</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Changes in subsidiary equity and other</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Balance, September 30, 2021</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w:t>
            </w:r>
          </w:p>
        </w:tc>
        <w:tc>
          <w:tcPr>
            <w:tcW w:w="4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b/>
                <w:bCs/>
                <w:sz w:val="15"/>
                <w:szCs w:val="15"/>
              </w:rPr>
              <w:t>(892)</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w:t>
            </w:r>
          </w:p>
        </w:tc>
        <w:tc>
          <w:tcPr>
            <w:tcW w:w="4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b/>
                <w:bCs/>
                <w:sz w:val="15"/>
                <w:szCs w:val="15"/>
              </w:rPr>
              <w:t>4,661</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b/>
                <w:bCs/>
                <w:sz w:val="15"/>
                <w:szCs w:val="15"/>
              </w:rPr>
              <w:t>3,769</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b/>
                <w:bCs/>
                <w:sz w:val="15"/>
                <w:szCs w:val="15"/>
              </w:rPr>
              <w:t>6,237</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w:t>
            </w:r>
          </w:p>
        </w:tc>
        <w:tc>
          <w:tcPr>
            <w:tcW w:w="3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b/>
                <w:bCs/>
                <w:sz w:val="15"/>
                <w:szCs w:val="15"/>
              </w:rPr>
              <w:t>10,006</w:t>
            </w:r>
          </w:p>
        </w:tc>
      </w:tr>
    </w:tbl>
    <w:p w:rsidR="00000000" w:rsidRDefault="00DB7886">
      <w:pPr>
        <w:pStyle w:val="a3"/>
        <w:spacing w:before="0" w:beforeAutospacing="0" w:after="0" w:afterAutospacing="0"/>
        <w:divId w:val="122356257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985"/>
        <w:gridCol w:w="150"/>
        <w:gridCol w:w="146"/>
        <w:gridCol w:w="888"/>
        <w:gridCol w:w="177"/>
        <w:gridCol w:w="125"/>
        <w:gridCol w:w="778"/>
        <w:gridCol w:w="181"/>
        <w:gridCol w:w="143"/>
        <w:gridCol w:w="882"/>
        <w:gridCol w:w="150"/>
        <w:gridCol w:w="105"/>
        <w:gridCol w:w="633"/>
        <w:gridCol w:w="150"/>
        <w:gridCol w:w="113"/>
        <w:gridCol w:w="700"/>
      </w:tblGrid>
      <w:tr w:rsidR="00000000">
        <w:trPr>
          <w:divId w:val="1223562576"/>
          <w:trHeight w:val="20"/>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divId w:val="27316930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69068203"/>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119058098"/>
              <w:rPr>
                <w:sz w:val="20"/>
                <w:szCs w:val="20"/>
              </w:rPr>
            </w:pPr>
            <w:r>
              <w:rPr>
                <w:sz w:val="2"/>
                <w:szCs w:val="2"/>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43742284"/>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980159679"/>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02001266"/>
              <w:rPr>
                <w:sz w:val="20"/>
                <w:szCs w:val="20"/>
              </w:rPr>
            </w:pPr>
            <w:r>
              <w:rPr>
                <w:sz w:val="2"/>
                <w:szCs w:val="2"/>
              </w:rPr>
              <w:t>​</w:t>
            </w:r>
          </w:p>
        </w:tc>
        <w:tc>
          <w:tcPr>
            <w:tcW w:w="41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922179703"/>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5947668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694084"/>
              <w:rPr>
                <w:sz w:val="20"/>
                <w:szCs w:val="20"/>
              </w:rPr>
            </w:pPr>
            <w:r>
              <w:rPr>
                <w:sz w:val="2"/>
                <w:szCs w:val="2"/>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9207001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61868498"/>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30603540"/>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7887583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35063377"/>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78280208"/>
              <w:rPr>
                <w:sz w:val="20"/>
                <w:szCs w:val="20"/>
              </w:rPr>
            </w:pPr>
            <w:r>
              <w:rPr>
                <w:sz w:val="2"/>
                <w:szCs w:val="2"/>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85107358"/>
              <w:rPr>
                <w:sz w:val="20"/>
                <w:szCs w:val="20"/>
              </w:rPr>
            </w:pPr>
            <w:r>
              <w:rPr>
                <w:sz w:val="2"/>
                <w:szCs w:val="2"/>
              </w:rPr>
              <w:t>​</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1743" w:type="pct"/>
            <w:gridSpan w:val="8"/>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Equity Attributable to Icahn </w:t>
            </w:r>
            <w:r>
              <w:rPr>
                <w:b/>
                <w:bCs/>
                <w:sz w:val="15"/>
                <w:szCs w:val="15"/>
              </w:rPr>
              <w:t>Enterprises Holdings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5"/>
                <w:szCs w:val="15"/>
              </w:rPr>
              <w:t> </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32"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General </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487"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Limited </w:t>
            </w:r>
            <w:r>
              <w:rPr>
                <w:sz w:val="15"/>
                <w:szCs w:val="15"/>
              </w:rPr>
              <w:t> </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381"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Non-</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32"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Partner’s</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487"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Partner’s</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28"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Total Partners’ </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381"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controlling </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424"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15"/>
                <w:szCs w:val="15"/>
              </w:rPr>
              <w:t>​</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    </w:t>
            </w:r>
          </w:p>
        </w:tc>
        <w:tc>
          <w:tcPr>
            <w:tcW w:w="532"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 (Deficit) Equity</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    </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Equity</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    </w:t>
            </w:r>
          </w:p>
        </w:tc>
        <w:tc>
          <w:tcPr>
            <w:tcW w:w="528"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Equity</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Interests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    </w:t>
            </w:r>
          </w:p>
        </w:tc>
        <w:tc>
          <w:tcPr>
            <w:tcW w:w="424"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5"/>
                <w:szCs w:val="15"/>
              </w:rPr>
              <w:t>Total Equity</w:t>
            </w:r>
          </w:p>
        </w:tc>
      </w:tr>
      <w:tr w:rsidR="00000000">
        <w:trPr>
          <w:divId w:val="1223562576"/>
        </w:trPr>
        <w:tc>
          <w:tcPr>
            <w:tcW w:w="0" w:type="auto"/>
            <w:gridSpan w:val="16"/>
            <w:tcMar>
              <w:top w:w="0" w:type="dxa"/>
              <w:left w:w="0" w:type="dxa"/>
              <w:bottom w:w="0" w:type="dxa"/>
              <w:right w:w="0" w:type="dxa"/>
            </w:tcMar>
            <w:vAlign w:val="center"/>
            <w:hideMark/>
          </w:tcPr>
          <w:p w:rsidR="00000000" w:rsidRDefault="00DB7886">
            <w:pPr>
              <w:rPr>
                <w:sz w:val="14"/>
                <w:szCs w:val="14"/>
              </w:rPr>
            </w:pP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2703" w:type="pct"/>
            <w:gridSpan w:val="14"/>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5"/>
                <w:szCs w:val="15"/>
              </w:rPr>
              <w:t>(in millions)</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Balance, December 31, 2019</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(875)</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6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w:t>
            </w:r>
          </w:p>
        </w:tc>
        <w:tc>
          <w:tcPr>
            <w:tcW w:w="41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6,328</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5,453</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5,486</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w:t>
            </w:r>
          </w:p>
        </w:tc>
        <w:tc>
          <w:tcPr>
            <w:tcW w:w="3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10,939</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Net loss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(14)</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67"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41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(1,370)</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(1,384)</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(922)</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5"/>
                <w:szCs w:val="15"/>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(2,306)</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Other comprehensive loss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(3)</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(3)</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(3)</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distributions payable</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(433)</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(437)</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(437)</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contributions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7</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7</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7</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Investment segment contributions from non-controlling interests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1,241</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1,241</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Dividends and distributions to non-controlling interests in subsidiaries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(23)</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(23)</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Changes in subsidiary equity and other</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Balance, March 31, 2020</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(893)</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4,525</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3,632</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5,782</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9,414</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Net income</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3</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296</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299</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565</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864</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Other comprehensive income</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distributions payable reversal</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433</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437</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437</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distributions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(5)</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(456)</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(461)</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(461)</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contributions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19</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19</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5"/>
                <w:szCs w:val="15"/>
              </w:rPr>
              <w:t>​</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19</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Dividends and distributions to non-controlling interests in subsidiaries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(13)</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(13)</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Changes in subsidiary equity and other</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(2)</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Balance, June 30, 2020</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(890)</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4,819</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3,929</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6,333</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10,262</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Net loss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(7)</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(707)</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(714)</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(686)</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(1,400)</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Other comprehensive income</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2</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distributions</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(32)</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(32)</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(32)</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Partnership contributions</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35</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35</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35</w:t>
            </w:r>
          </w:p>
        </w:tc>
      </w:tr>
      <w:tr w:rsidR="00000000">
        <w:trPr>
          <w:divId w:val="1223562576"/>
        </w:trPr>
        <w:tc>
          <w:tcPr>
            <w:tcW w:w="2218"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Changes in subsidiary equity and other</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w:t>
            </w:r>
          </w:p>
        </w:tc>
        <w:tc>
          <w:tcPr>
            <w:tcW w:w="9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6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1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7</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7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7</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5"/>
                <w:szCs w:val="15"/>
              </w:rPr>
              <w:t>(4)</w:t>
            </w:r>
          </w:p>
        </w:tc>
        <w:tc>
          <w:tcPr>
            <w:tcW w:w="7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5"/>
                <w:szCs w:val="15"/>
              </w:rPr>
              <w:t> </w:t>
            </w:r>
          </w:p>
        </w:tc>
        <w:tc>
          <w:tcPr>
            <w:tcW w:w="5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5"/>
                <w:szCs w:val="15"/>
              </w:rPr>
              <w:t>​</w:t>
            </w:r>
          </w:p>
        </w:tc>
        <w:tc>
          <w:tcPr>
            <w:tcW w:w="36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5"/>
                <w:szCs w:val="15"/>
              </w:rPr>
              <w:t>3</w:t>
            </w:r>
          </w:p>
        </w:tc>
      </w:tr>
      <w:tr w:rsidR="00000000">
        <w:trPr>
          <w:divId w:val="1223562576"/>
        </w:trPr>
        <w:tc>
          <w:tcPr>
            <w:tcW w:w="221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Balance, September 30, 2020</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w:t>
            </w:r>
          </w:p>
        </w:tc>
        <w:tc>
          <w:tcPr>
            <w:tcW w:w="4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b/>
                <w:bCs/>
                <w:sz w:val="15"/>
                <w:szCs w:val="15"/>
              </w:rPr>
              <w:t>(897)</w:t>
            </w:r>
          </w:p>
        </w:tc>
        <w:tc>
          <w:tcPr>
            <w:tcW w:w="9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w:t>
            </w:r>
          </w:p>
        </w:tc>
        <w:tc>
          <w:tcPr>
            <w:tcW w:w="4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b/>
                <w:bCs/>
                <w:sz w:val="15"/>
                <w:szCs w:val="15"/>
              </w:rPr>
              <w:t>4,124</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b/>
                <w:bCs/>
                <w:sz w:val="15"/>
                <w:szCs w:val="15"/>
              </w:rPr>
              <w:t>3,227</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b/>
                <w:bCs/>
                <w:sz w:val="15"/>
                <w:szCs w:val="15"/>
              </w:rPr>
              <w:t>5,643</w:t>
            </w:r>
          </w:p>
        </w:tc>
        <w:tc>
          <w:tcPr>
            <w:tcW w:w="7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5"/>
                <w:szCs w:val="15"/>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b/>
                <w:bCs/>
                <w:sz w:val="15"/>
                <w:szCs w:val="15"/>
              </w:rPr>
              <w:t>$</w:t>
            </w:r>
          </w:p>
        </w:tc>
        <w:tc>
          <w:tcPr>
            <w:tcW w:w="3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b/>
                <w:bCs/>
                <w:sz w:val="15"/>
                <w:szCs w:val="15"/>
              </w:rPr>
              <w:t>8,870</w:t>
            </w:r>
          </w:p>
        </w:tc>
      </w:tr>
    </w:tbl>
    <w:p w:rsidR="00000000" w:rsidRDefault="00DB7886">
      <w:pPr>
        <w:pStyle w:val="a3"/>
        <w:spacing w:before="0" w:beforeAutospacing="0" w:after="0" w:afterAutospacing="0"/>
        <w:divId w:val="1223562576"/>
        <w:rPr>
          <w:sz w:val="20"/>
          <w:szCs w:val="20"/>
        </w:rPr>
      </w:pPr>
      <w:r>
        <w:rPr>
          <w:sz w:val="20"/>
          <w:szCs w:val="20"/>
        </w:rPr>
        <w:t>​</w:t>
      </w:r>
    </w:p>
    <w:p w:rsidR="00000000" w:rsidRDefault="00DB7886">
      <w:pPr>
        <w:pStyle w:val="a3"/>
        <w:spacing w:before="0" w:beforeAutospacing="0" w:after="240" w:afterAutospacing="0"/>
        <w:ind w:firstLine="360"/>
        <w:jc w:val="center"/>
        <w:divId w:val="1223562576"/>
        <w:rPr>
          <w:sz w:val="20"/>
          <w:szCs w:val="20"/>
        </w:rPr>
      </w:pPr>
      <w:r>
        <w:rPr>
          <w:i/>
          <w:iCs/>
          <w:sz w:val="20"/>
          <w:szCs w:val="20"/>
        </w:rPr>
        <w:t>See notes to condensed consolidated financial statements.</w:t>
      </w:r>
    </w:p>
    <w:p w:rsidR="00000000" w:rsidRDefault="00DB7886">
      <w:pPr>
        <w:pStyle w:val="a3"/>
        <w:spacing w:before="480" w:beforeAutospacing="0" w:after="0" w:afterAutospacing="0"/>
        <w:jc w:val="center"/>
        <w:divId w:val="441925664"/>
        <w:rPr>
          <w:sz w:val="20"/>
          <w:szCs w:val="20"/>
        </w:rPr>
      </w:pPr>
      <w:r>
        <w:rPr>
          <w:sz w:val="20"/>
          <w:szCs w:val="20"/>
        </w:rPr>
        <w:t>10</w:t>
      </w:r>
    </w:p>
    <w:p w:rsidR="00000000" w:rsidRDefault="00DB7886">
      <w:pPr>
        <w:pStyle w:val="a3"/>
        <w:spacing w:before="0" w:beforeAutospacing="0" w:after="600" w:afterAutospacing="0"/>
        <w:divId w:val="1714038091"/>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jc w:val="center"/>
        <w:divId w:val="1238858057"/>
        <w:rPr>
          <w:b/>
          <w:bCs/>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1238858057"/>
        <w:rPr>
          <w:b/>
          <w:bCs/>
          <w:sz w:val="20"/>
          <w:szCs w:val="20"/>
        </w:rPr>
      </w:pPr>
      <w:r>
        <w:rPr>
          <w:b/>
          <w:bCs/>
          <w:sz w:val="20"/>
          <w:szCs w:val="20"/>
        </w:rPr>
        <w:t>CONDENSED CONSOLIDATED STATEMENTS OF CASH FLOWS (UNAUDITED)</w:t>
      </w:r>
    </w:p>
    <w:tbl>
      <w:tblPr>
        <w:tblW w:w="5000" w:type="pct"/>
        <w:tblCellMar>
          <w:top w:w="15" w:type="dxa"/>
          <w:left w:w="0" w:type="dxa"/>
          <w:bottom w:w="15" w:type="dxa"/>
          <w:right w:w="0" w:type="dxa"/>
        </w:tblCellMar>
        <w:tblLook w:val="04A0" w:firstRow="1" w:lastRow="0" w:firstColumn="1" w:lastColumn="0" w:noHBand="0" w:noVBand="1"/>
      </w:tblPr>
      <w:tblGrid>
        <w:gridCol w:w="5415"/>
        <w:gridCol w:w="160"/>
        <w:gridCol w:w="175"/>
        <w:gridCol w:w="1067"/>
        <w:gridCol w:w="253"/>
        <w:gridCol w:w="170"/>
        <w:gridCol w:w="1066"/>
      </w:tblGrid>
      <w:tr w:rsidR="00000000">
        <w:trPr>
          <w:divId w:val="1238858057"/>
          <w:trHeight w:val="20"/>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divId w:val="106359779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69618867"/>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549339026"/>
              <w:rPr>
                <w:sz w:val="20"/>
                <w:szCs w:val="20"/>
              </w:rPr>
            </w:pPr>
            <w:r>
              <w:rPr>
                <w:sz w:val="2"/>
                <w:szCs w:val="2"/>
              </w:rPr>
              <w:t>​</w:t>
            </w:r>
          </w:p>
        </w:tc>
        <w:tc>
          <w:tcPr>
            <w:tcW w:w="549"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949239187"/>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742992865"/>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725109292"/>
              <w:rPr>
                <w:sz w:val="20"/>
                <w:szCs w:val="20"/>
              </w:rPr>
            </w:pPr>
            <w:r>
              <w:rPr>
                <w:sz w:val="2"/>
                <w:szCs w:val="2"/>
              </w:rPr>
              <w:t>​</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6738874"/>
              <w:rPr>
                <w:sz w:val="20"/>
                <w:szCs w:val="20"/>
              </w:rPr>
            </w:pPr>
            <w:r>
              <w:rPr>
                <w:sz w:val="2"/>
                <w:szCs w:val="2"/>
              </w:rPr>
              <w:t>​</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6"/>
                <w:szCs w:val="16"/>
              </w:rPr>
              <w:t>​</w:t>
            </w:r>
          </w:p>
        </w:tc>
        <w:tc>
          <w:tcPr>
            <w:tcW w:w="1406"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8"/>
                <w:szCs w:val="18"/>
              </w:rPr>
            </w:pPr>
            <w:r>
              <w:rPr>
                <w:b/>
                <w:bCs/>
                <w:sz w:val="18"/>
                <w:szCs w:val="18"/>
              </w:rPr>
              <w:t>Nine Months Ended September 30, </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6"/>
                <w:szCs w:val="16"/>
              </w:rPr>
            </w:pPr>
            <w:r>
              <w:rPr>
                <w:b/>
                <w:bCs/>
                <w:sz w:val="16"/>
                <w:szCs w:val="16"/>
              </w:rPr>
              <w:t>    </w:t>
            </w:r>
          </w:p>
        </w:tc>
        <w:tc>
          <w:tcPr>
            <w:tcW w:w="639"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8"/>
                <w:szCs w:val="18"/>
              </w:rPr>
            </w:pPr>
            <w:r>
              <w:rPr>
                <w:b/>
                <w:bCs/>
                <w:sz w:val="18"/>
                <w:szCs w:val="18"/>
              </w:rPr>
              <w:t>2021</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b/>
                <w:bCs/>
                <w:sz w:val="18"/>
                <w:szCs w:val="18"/>
              </w:rPr>
              <w:t>    </w:t>
            </w:r>
          </w:p>
        </w:tc>
        <w:tc>
          <w:tcPr>
            <w:tcW w:w="63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8"/>
                <w:szCs w:val="18"/>
              </w:rPr>
            </w:pPr>
            <w:r>
              <w:rPr>
                <w:b/>
                <w:bCs/>
                <w:sz w:val="18"/>
                <w:szCs w:val="18"/>
              </w:rPr>
              <w:t>2020</w:t>
            </w:r>
          </w:p>
        </w:tc>
      </w:tr>
      <w:tr w:rsidR="00000000">
        <w:trPr>
          <w:divId w:val="1238858057"/>
        </w:trPr>
        <w:tc>
          <w:tcPr>
            <w:tcW w:w="0" w:type="auto"/>
            <w:gridSpan w:val="7"/>
            <w:tcMar>
              <w:top w:w="0" w:type="dxa"/>
              <w:left w:w="0" w:type="dxa"/>
              <w:bottom w:w="0" w:type="dxa"/>
              <w:right w:w="0" w:type="dxa"/>
            </w:tcMar>
            <w:vAlign w:val="center"/>
            <w:hideMark/>
          </w:tcPr>
          <w:p w:rsidR="00000000" w:rsidRDefault="00DB7886">
            <w:pPr>
              <w:rPr>
                <w:sz w:val="18"/>
                <w:szCs w:val="18"/>
              </w:rPr>
            </w:pP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6"/>
                <w:szCs w:val="16"/>
              </w:rPr>
              <w:t>​</w:t>
            </w:r>
          </w:p>
        </w:tc>
        <w:tc>
          <w:tcPr>
            <w:tcW w:w="1406" w:type="pct"/>
            <w:gridSpan w:val="5"/>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6"/>
                <w:szCs w:val="16"/>
              </w:rPr>
            </w:pPr>
            <w:r>
              <w:rPr>
                <w:sz w:val="16"/>
                <w:szCs w:val="16"/>
              </w:rPr>
              <w:t>(in millions)</w:t>
            </w:r>
          </w:p>
        </w:tc>
      </w:tr>
      <w:tr w:rsidR="00000000">
        <w:trPr>
          <w:divId w:val="1238858057"/>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b/>
                <w:bCs/>
                <w:sz w:val="18"/>
                <w:szCs w:val="18"/>
              </w:rPr>
              <w:t>Cash flows from operating activities: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5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Net income (loss)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w:t>
            </w:r>
          </w:p>
        </w:tc>
        <w:tc>
          <w:tcPr>
            <w:tcW w:w="54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327</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(2,842)</w:t>
            </w:r>
          </w:p>
        </w:tc>
      </w:tr>
      <w:tr w:rsidR="00000000">
        <w:trPr>
          <w:divId w:val="1238858057"/>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Adjustments to reconcile net income (loss) to net cash used in operating activities: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  </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  </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Net (gain) loss from securities transactions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(1,603)</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2,777</w:t>
            </w:r>
          </w:p>
        </w:tc>
      </w:tr>
      <w:tr w:rsidR="00000000">
        <w:trPr>
          <w:divId w:val="1238858057"/>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Purchases of securities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(1,991)</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(1,480)</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Proceeds from sales of securities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3,246</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3,756</w:t>
            </w:r>
          </w:p>
        </w:tc>
      </w:tr>
      <w:tr w:rsidR="00000000">
        <w:trPr>
          <w:divId w:val="1238858057"/>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Payments to cover securities sold, not yet purchased</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(2,325)</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(2,291)</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Proceeds from securities sold, not yet purchased</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3,626</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1,547</w:t>
            </w:r>
          </w:p>
        </w:tc>
      </w:tr>
      <w:tr w:rsidR="00000000">
        <w:trPr>
          <w:divId w:val="1238858057"/>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Changes in receivables and payables relating to securities transactions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(1,672)</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1,080</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Changes in derivative assets and liabilities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549"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(171)</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(2,309)</w:t>
            </w:r>
          </w:p>
        </w:tc>
      </w:tr>
      <w:tr w:rsidR="00000000">
        <w:trPr>
          <w:divId w:val="1238858057"/>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Depreciation and amortization</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385</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379</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Deferred taxes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18</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(59)</w:t>
            </w:r>
          </w:p>
        </w:tc>
      </w:tr>
      <w:tr w:rsidR="00000000">
        <w:trPr>
          <w:divId w:val="1238858057"/>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Other, net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59</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74</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8"/>
                <w:szCs w:val="18"/>
              </w:rPr>
            </w:pPr>
            <w:r>
              <w:rPr>
                <w:sz w:val="18"/>
                <w:szCs w:val="18"/>
              </w:rPr>
              <w:t>Changes in other operating assets and liabilities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167</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92</w:t>
            </w:r>
          </w:p>
        </w:tc>
      </w:tr>
      <w:tr w:rsidR="00000000">
        <w:trPr>
          <w:divId w:val="1238858057"/>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b/>
                <w:bCs/>
                <w:sz w:val="18"/>
                <w:szCs w:val="18"/>
              </w:rPr>
              <w:t>Net cash provided by operating activities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66</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724</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b/>
                <w:bCs/>
                <w:sz w:val="18"/>
                <w:szCs w:val="18"/>
              </w:rPr>
              <w:t>Cash flows from investing activities: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  </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  </w:t>
            </w:r>
          </w:p>
        </w:tc>
      </w:tr>
      <w:tr w:rsidR="00000000">
        <w:trPr>
          <w:divId w:val="1238858057"/>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Capital expenditures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(239)</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(155)</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Turnaround expenditures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549"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(3)</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(158)</w:t>
            </w:r>
          </w:p>
        </w:tc>
      </w:tr>
      <w:tr w:rsidR="00000000">
        <w:trPr>
          <w:divId w:val="1238858057"/>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Acquisition of businesses, net of cash acquired</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(20)</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(2)</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Purchases of investments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(317)</w:t>
            </w:r>
          </w:p>
        </w:tc>
      </w:tr>
      <w:tr w:rsidR="00000000">
        <w:trPr>
          <w:divId w:val="1238858057"/>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Proceeds from sale of investments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422</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55</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Proceeds from disposition of businesses and assets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60</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23</w:t>
            </w:r>
          </w:p>
        </w:tc>
      </w:tr>
      <w:tr w:rsidR="00000000">
        <w:trPr>
          <w:divId w:val="1238858057"/>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Other, net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3</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b/>
                <w:bCs/>
                <w:sz w:val="18"/>
                <w:szCs w:val="18"/>
              </w:rPr>
              <w:t>Net cash provided by (used in) investing activities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220</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(551)</w:t>
            </w:r>
          </w:p>
        </w:tc>
      </w:tr>
      <w:tr w:rsidR="00000000">
        <w:trPr>
          <w:divId w:val="1238858057"/>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b/>
                <w:bCs/>
                <w:sz w:val="18"/>
                <w:szCs w:val="18"/>
              </w:rPr>
              <w:t>Cash flows from financing activities: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  </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  </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Investment segment contributions from non-controlling interests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62</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1</w:t>
            </w:r>
          </w:p>
        </w:tc>
      </w:tr>
      <w:tr w:rsidR="00000000">
        <w:trPr>
          <w:divId w:val="1238858057"/>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586</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61</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Partnership distributions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(92)</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(493)</w:t>
            </w:r>
          </w:p>
        </w:tc>
      </w:tr>
      <w:tr w:rsidR="00000000">
        <w:trPr>
          <w:divId w:val="1238858057"/>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(81)</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(36)</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Proceeds from Holding Company senior unsecured notes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1,214</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866</w:t>
            </w:r>
          </w:p>
        </w:tc>
      </w:tr>
      <w:tr w:rsidR="00000000">
        <w:trPr>
          <w:divId w:val="1238858057"/>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Repayments of Holding Company senior unsecured notes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(1,205)</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(1,350)</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Proceeds from subsidiary borrowings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1,116</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1,644</w:t>
            </w:r>
          </w:p>
        </w:tc>
      </w:tr>
      <w:tr w:rsidR="00000000">
        <w:trPr>
          <w:divId w:val="1238858057"/>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Repayments of subsidiary borrowings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(1,477)</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(1,244)</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Other, net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(13)</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(17)</w:t>
            </w:r>
          </w:p>
        </w:tc>
      </w:tr>
      <w:tr w:rsidR="00000000">
        <w:trPr>
          <w:divId w:val="1238858057"/>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b/>
                <w:bCs/>
                <w:sz w:val="18"/>
                <w:szCs w:val="18"/>
              </w:rPr>
              <w:t>Net cash provided by (used in) financing activities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110</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(568)</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ind w:hanging="144"/>
              <w:rPr>
                <w:sz w:val="18"/>
                <w:szCs w:val="18"/>
              </w:rPr>
            </w:pPr>
            <w:r>
              <w:rPr>
                <w:sz w:val="18"/>
                <w:szCs w:val="18"/>
              </w:rPr>
              <w:t>Effect of exchange rate changes on cash and cash equivalents and restricted cash and restricted cash equivalents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5</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(1)</w:t>
            </w:r>
          </w:p>
        </w:tc>
      </w:tr>
      <w:tr w:rsidR="00000000">
        <w:trPr>
          <w:divId w:val="1238858057"/>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hanging="144"/>
              <w:rPr>
                <w:sz w:val="18"/>
                <w:szCs w:val="18"/>
              </w:rPr>
            </w:pPr>
            <w:r>
              <w:rPr>
                <w:b/>
                <w:bCs/>
                <w:sz w:val="18"/>
                <w:szCs w:val="18"/>
              </w:rPr>
              <w:t>Net increase (decrease) in cash and cash equivalents and restricted cash and restricted cash equivalents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401</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8"/>
                <w:szCs w:val="18"/>
              </w:rPr>
            </w:pPr>
            <w:r>
              <w:rPr>
                <w:sz w:val="18"/>
                <w:szCs w:val="18"/>
              </w:rPr>
              <w:t>(396)</w:t>
            </w:r>
          </w:p>
        </w:tc>
      </w:tr>
      <w:tr w:rsidR="00000000">
        <w:trPr>
          <w:divId w:val="1238858057"/>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ind w:hanging="144"/>
              <w:rPr>
                <w:sz w:val="18"/>
                <w:szCs w:val="18"/>
              </w:rPr>
            </w:pPr>
            <w:r>
              <w:rPr>
                <w:sz w:val="18"/>
                <w:szCs w:val="18"/>
              </w:rPr>
              <w:t>Cash</w:t>
            </w:r>
            <w:r>
              <w:rPr>
                <w:sz w:val="18"/>
                <w:szCs w:val="18"/>
              </w:rPr>
              <w:t xml:space="preserve"> and cash equivalents and restricted cash and restricted cash equivalents, beginning of period</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3,291</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 </w:t>
            </w:r>
          </w:p>
        </w:tc>
        <w:tc>
          <w:tcPr>
            <w:tcW w:w="54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4,945</w:t>
            </w:r>
          </w:p>
        </w:tc>
      </w:tr>
      <w:tr w:rsidR="00000000">
        <w:trPr>
          <w:divId w:val="1238858057"/>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Cash and cash equivalents and restricted cash and restricted cash equivalents, end of period</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w:t>
            </w:r>
          </w:p>
        </w:tc>
        <w:tc>
          <w:tcPr>
            <w:tcW w:w="5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3,692</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8"/>
                <w:szCs w:val="18"/>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8"/>
                <w:szCs w:val="18"/>
              </w:rPr>
            </w:pPr>
            <w:r>
              <w:rPr>
                <w:sz w:val="18"/>
                <w:szCs w:val="18"/>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18"/>
                <w:szCs w:val="18"/>
              </w:rPr>
            </w:pPr>
            <w:r>
              <w:rPr>
                <w:sz w:val="18"/>
                <w:szCs w:val="18"/>
              </w:rPr>
              <w:t>4,549</w:t>
            </w:r>
          </w:p>
        </w:tc>
      </w:tr>
    </w:tbl>
    <w:p w:rsidR="00000000" w:rsidRDefault="00DB7886">
      <w:pPr>
        <w:pStyle w:val="a3"/>
        <w:spacing w:before="0" w:beforeAutospacing="0" w:after="0" w:afterAutospacing="0"/>
        <w:ind w:firstLine="360"/>
        <w:jc w:val="center"/>
        <w:divId w:val="1238858057"/>
        <w:rPr>
          <w:sz w:val="20"/>
          <w:szCs w:val="20"/>
        </w:rPr>
      </w:pPr>
      <w:r>
        <w:rPr>
          <w:i/>
          <w:iCs/>
          <w:sz w:val="20"/>
          <w:szCs w:val="20"/>
        </w:rPr>
        <w:t>​</w:t>
      </w:r>
    </w:p>
    <w:p w:rsidR="00000000" w:rsidRDefault="00DB7886">
      <w:pPr>
        <w:pStyle w:val="a3"/>
        <w:spacing w:before="0" w:beforeAutospacing="0" w:after="240" w:afterAutospacing="0"/>
        <w:ind w:firstLine="360"/>
        <w:jc w:val="center"/>
        <w:divId w:val="1238858057"/>
        <w:rPr>
          <w:sz w:val="20"/>
          <w:szCs w:val="20"/>
        </w:rPr>
      </w:pPr>
      <w:r>
        <w:rPr>
          <w:i/>
          <w:iCs/>
          <w:sz w:val="20"/>
          <w:szCs w:val="20"/>
        </w:rPr>
        <w:t>See notes to condensed consolidated financial statements.</w:t>
      </w:r>
    </w:p>
    <w:p w:rsidR="00000000" w:rsidRDefault="00DB7886">
      <w:pPr>
        <w:pStyle w:val="a3"/>
        <w:spacing w:before="0" w:beforeAutospacing="0" w:after="0" w:afterAutospacing="0" w:line="0" w:lineRule="atLeast"/>
        <w:divId w:val="1238858057"/>
        <w:rPr>
          <w:vanish/>
        </w:rPr>
      </w:pPr>
      <w:r>
        <w:rPr>
          <w:b/>
          <w:bCs/>
          <w:vanish/>
          <w:sz w:val="2"/>
          <w:szCs w:val="2"/>
        </w:rPr>
        <w:t>​</w:t>
      </w:r>
    </w:p>
    <w:p w:rsidR="00000000" w:rsidRDefault="00DB7886">
      <w:pPr>
        <w:pStyle w:val="a3"/>
        <w:spacing w:before="480" w:beforeAutospacing="0" w:after="0" w:afterAutospacing="0"/>
        <w:jc w:val="center"/>
        <w:divId w:val="301034479"/>
        <w:rPr>
          <w:sz w:val="20"/>
          <w:szCs w:val="20"/>
        </w:rPr>
      </w:pPr>
      <w:r>
        <w:rPr>
          <w:sz w:val="20"/>
          <w:szCs w:val="20"/>
        </w:rPr>
        <w:t>11</w:t>
      </w:r>
    </w:p>
    <w:p w:rsidR="00000000" w:rsidRDefault="00DB7886">
      <w:pPr>
        <w:pStyle w:val="a3"/>
        <w:spacing w:before="0" w:beforeAutospacing="0" w:after="600" w:afterAutospacing="0"/>
        <w:divId w:val="1061755399"/>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1061755399"/>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1061755399"/>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1061755399"/>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divId w:val="87652834"/>
        <w:rPr>
          <w:b/>
          <w:bCs/>
          <w:sz w:val="20"/>
          <w:szCs w:val="20"/>
        </w:rPr>
      </w:pPr>
      <w:r>
        <w:rPr>
          <w:b/>
          <w:bCs/>
          <w:sz w:val="20"/>
          <w:szCs w:val="20"/>
        </w:rPr>
        <w:t>1.  Description of Business</w:t>
      </w:r>
    </w:p>
    <w:p w:rsidR="00000000" w:rsidRDefault="00DB7886">
      <w:pPr>
        <w:pStyle w:val="a3"/>
        <w:spacing w:before="0" w:beforeAutospacing="0" w:after="240" w:afterAutospacing="0"/>
        <w:divId w:val="87652834"/>
        <w:rPr>
          <w:b/>
          <w:bCs/>
          <w:i/>
          <w:iCs/>
          <w:sz w:val="20"/>
          <w:szCs w:val="20"/>
        </w:rPr>
      </w:pPr>
      <w:r>
        <w:rPr>
          <w:b/>
          <w:bCs/>
          <w:i/>
          <w:iCs/>
          <w:sz w:val="20"/>
          <w:szCs w:val="20"/>
        </w:rPr>
        <w:t>Overview</w:t>
      </w:r>
    </w:p>
    <w:p w:rsidR="00000000" w:rsidRDefault="00DB7886">
      <w:pPr>
        <w:pStyle w:val="a3"/>
        <w:spacing w:before="0" w:beforeAutospacing="0" w:after="240" w:afterAutospacing="0"/>
        <w:ind w:firstLine="360"/>
        <w:divId w:val="87652834"/>
        <w:rPr>
          <w:sz w:val="20"/>
          <w:szCs w:val="20"/>
        </w:rPr>
      </w:pPr>
      <w:r>
        <w:rPr>
          <w:sz w:val="20"/>
          <w:szCs w:val="20"/>
        </w:rPr>
        <w:t>Icahn Enterprises L.P. (“Icahn Enterprises”</w:t>
      </w:r>
      <w:r>
        <w:rPr>
          <w:sz w:val="20"/>
          <w:szCs w:val="20"/>
        </w:rPr>
        <w:t>) is a master limited partnership formed in Delaware on February 17, 1987. Icahn Enterprises Holdings L.P. (“Icahn Enterprises Holdings”) is a limited partnership formed in Delaware on February 17, 1987. References to “we,” “our” or “us” herein include bot</w:t>
      </w:r>
      <w:r>
        <w:rPr>
          <w:sz w:val="20"/>
          <w:szCs w:val="20"/>
        </w:rPr>
        <w:t>h Icahn Enterprises and Icahn Enterprises Holdings and their subsidiaries, unless the context otherwise requires.</w:t>
      </w:r>
    </w:p>
    <w:p w:rsidR="00000000" w:rsidRDefault="00DB7886">
      <w:pPr>
        <w:pStyle w:val="a3"/>
        <w:spacing w:before="0" w:beforeAutospacing="0" w:after="240" w:afterAutospacing="0"/>
        <w:ind w:firstLine="360"/>
        <w:divId w:val="87652834"/>
        <w:rPr>
          <w:sz w:val="20"/>
          <w:szCs w:val="20"/>
        </w:rPr>
      </w:pPr>
      <w:r>
        <w:rPr>
          <w:sz w:val="20"/>
          <w:szCs w:val="20"/>
        </w:rPr>
        <w:t>Icahn Enterprises owns a 99% limited partner interest in Icahn Enterprises Holdings. Icahn Enterprises G.P. Inc. (“Icahn Enterprises GP”), whi</w:t>
      </w:r>
      <w:r>
        <w:rPr>
          <w:sz w:val="20"/>
          <w:szCs w:val="20"/>
        </w:rPr>
        <w:t>ch is owned and controlled by Mr. Carl C. Icahn, owns a 1% general partner interest in each of Icahn Enterprises and Icahn Enterprises Holdings as of September 30, 2021. Icahn Enterprises Holdings and its subsidiaries own substantially all of our assets an</w:t>
      </w:r>
      <w:r>
        <w:rPr>
          <w:sz w:val="20"/>
          <w:szCs w:val="20"/>
        </w:rPr>
        <w:t>d liabilities and conduct substantially all of our operations. Therefore, the financial results of Icahn Enterprises and Icahn Enterprises Holdings are substantially the same, with differences relating primarily to the allocation of the general partner int</w:t>
      </w:r>
      <w:r>
        <w:rPr>
          <w:sz w:val="20"/>
          <w:szCs w:val="20"/>
        </w:rPr>
        <w:t xml:space="preserve">erest, which is reflected as an aggregate 1.99% general partner interest in the financial statements of Icahn Enterprises. In addition to the above, Mr. Icahn and his affiliates owned approximately 89% of Icahn Enterprises’ outstanding depositary units as </w:t>
      </w:r>
      <w:r>
        <w:rPr>
          <w:sz w:val="20"/>
          <w:szCs w:val="20"/>
        </w:rPr>
        <w:t>of September 30, 2021.</w:t>
      </w:r>
    </w:p>
    <w:p w:rsidR="00000000" w:rsidRDefault="00DB7886">
      <w:pPr>
        <w:pStyle w:val="a3"/>
        <w:spacing w:before="0" w:beforeAutospacing="0" w:after="240" w:afterAutospacing="0"/>
        <w:divId w:val="87652834"/>
        <w:rPr>
          <w:b/>
          <w:bCs/>
          <w:i/>
          <w:iCs/>
          <w:sz w:val="20"/>
          <w:szCs w:val="20"/>
        </w:rPr>
      </w:pPr>
      <w:r>
        <w:rPr>
          <w:b/>
          <w:bCs/>
          <w:i/>
          <w:iCs/>
          <w:sz w:val="20"/>
          <w:szCs w:val="20"/>
        </w:rPr>
        <w:t>Description of Continuing Operating Businesses</w:t>
      </w:r>
    </w:p>
    <w:p w:rsidR="00000000" w:rsidRDefault="00DB7886">
      <w:pPr>
        <w:pStyle w:val="a3"/>
        <w:spacing w:before="0" w:beforeAutospacing="0" w:after="240" w:afterAutospacing="0"/>
        <w:ind w:firstLine="360"/>
        <w:divId w:val="87652834"/>
        <w:rPr>
          <w:sz w:val="20"/>
          <w:szCs w:val="20"/>
        </w:rPr>
      </w:pPr>
      <w:r>
        <w:rPr>
          <w:sz w:val="20"/>
          <w:szCs w:val="20"/>
        </w:rPr>
        <w:t xml:space="preserve">We are a diversified holding company owning subsidiaries currently engaged in the following continuing operating businesses: Investment, Energy, Automotive, Food Packaging, Metals, Real </w:t>
      </w:r>
      <w:r>
        <w:rPr>
          <w:sz w:val="20"/>
          <w:szCs w:val="20"/>
        </w:rPr>
        <w:t>Estate, Home Fashion and Pharma. We also report the results of our Holding Company, which includes the results of certain subsidiaries of Icahn Enterprises and Icahn Enterprises Holdings (unless otherwise noted), and investment activity and expenses associ</w:t>
      </w:r>
      <w:r>
        <w:rPr>
          <w:sz w:val="20"/>
          <w:szCs w:val="20"/>
        </w:rPr>
        <w:t>ated with our Holding Company. See Note 12, “Segment Reporting,” for a reconciliation of each of our reporting segment’s results of operations to our consolidated results. Certain additional information with respect to our segments is discussed below.</w:t>
      </w:r>
    </w:p>
    <w:p w:rsidR="00000000" w:rsidRDefault="00DB7886">
      <w:pPr>
        <w:pStyle w:val="a3"/>
        <w:spacing w:before="0" w:beforeAutospacing="0" w:after="240" w:afterAutospacing="0"/>
        <w:divId w:val="87652834"/>
        <w:rPr>
          <w:i/>
          <w:iCs/>
          <w:sz w:val="20"/>
          <w:szCs w:val="20"/>
        </w:rPr>
      </w:pPr>
      <w:r>
        <w:rPr>
          <w:i/>
          <w:iCs/>
          <w:sz w:val="20"/>
          <w:szCs w:val="20"/>
        </w:rPr>
        <w:t>Inve</w:t>
      </w:r>
      <w:r>
        <w:rPr>
          <w:i/>
          <w:iCs/>
          <w:sz w:val="20"/>
          <w:szCs w:val="20"/>
        </w:rPr>
        <w:t>stment</w:t>
      </w:r>
    </w:p>
    <w:p w:rsidR="00000000" w:rsidRDefault="00DB7886">
      <w:pPr>
        <w:pStyle w:val="a3"/>
        <w:spacing w:before="0" w:beforeAutospacing="0" w:after="240" w:afterAutospacing="0"/>
        <w:ind w:firstLine="360"/>
        <w:divId w:val="87652834"/>
        <w:rPr>
          <w:sz w:val="20"/>
          <w:szCs w:val="20"/>
        </w:rPr>
      </w:pPr>
      <w:r>
        <w:rPr>
          <w:sz w:val="20"/>
          <w:szCs w:val="20"/>
        </w:rPr>
        <w:t>Our Investment segment is comprised of various private investment funds (“Investment Funds”) in which we have general partner interests and through which we invest our proprietary capital. As general partner, we provide investment advisory and certa</w:t>
      </w:r>
      <w:r>
        <w:rPr>
          <w:sz w:val="20"/>
          <w:szCs w:val="20"/>
        </w:rPr>
        <w:t xml:space="preserve">in administrative and back-office services to the Investment Funds but do not provide such services to any other entities, individuals or accounts. We and certain of Mr. Icahn’s family members and affiliates are the only investors in the Investment Funds. </w:t>
      </w:r>
      <w:r>
        <w:rPr>
          <w:sz w:val="20"/>
          <w:szCs w:val="20"/>
        </w:rPr>
        <w:t xml:space="preserve">Interests in the Investment Funds are not offered to outside investors. We had interests in the Investment Funds with a fair value of approximately $4.7 billion and $4.3 billion as of September 30, 2021 and December 31, 2020, respectively. </w:t>
      </w:r>
    </w:p>
    <w:p w:rsidR="00000000" w:rsidRDefault="00DB7886">
      <w:pPr>
        <w:pStyle w:val="a3"/>
        <w:spacing w:before="0" w:beforeAutospacing="0" w:after="240" w:afterAutospacing="0"/>
        <w:divId w:val="87652834"/>
        <w:rPr>
          <w:i/>
          <w:iCs/>
          <w:sz w:val="20"/>
          <w:szCs w:val="20"/>
        </w:rPr>
      </w:pPr>
      <w:r>
        <w:rPr>
          <w:i/>
          <w:iCs/>
          <w:sz w:val="20"/>
          <w:szCs w:val="20"/>
        </w:rPr>
        <w:t>Energy</w:t>
      </w:r>
    </w:p>
    <w:p w:rsidR="00000000" w:rsidRDefault="00DB7886">
      <w:pPr>
        <w:pStyle w:val="a3"/>
        <w:spacing w:before="0" w:beforeAutospacing="0" w:after="240" w:afterAutospacing="0"/>
        <w:ind w:firstLine="360"/>
        <w:divId w:val="87652834"/>
        <w:rPr>
          <w:sz w:val="20"/>
          <w:szCs w:val="20"/>
        </w:rPr>
      </w:pPr>
      <w:r>
        <w:rPr>
          <w:sz w:val="20"/>
          <w:szCs w:val="20"/>
        </w:rPr>
        <w:t>We condu</w:t>
      </w:r>
      <w:r>
        <w:rPr>
          <w:sz w:val="20"/>
          <w:szCs w:val="20"/>
        </w:rPr>
        <w:t>ct our Energy segment through our majority owned subsidiary, CVR Energy, Inc. (“CVR Energy”). CVR Energy is a diversified holding company primarily engaged in the petroleum refining and nitrogen fertilizer manufacturing businesses through its holdings in C</w:t>
      </w:r>
      <w:r>
        <w:rPr>
          <w:sz w:val="20"/>
          <w:szCs w:val="20"/>
        </w:rPr>
        <w:t>VR Refining, LP (“CVR Refining”) and CVR Partners, LP (“CVR Partners”), respectively. CVR Refining is an independent petroleum refiner and marketer of high value transportation fuels. CVR Partners produces and markets nitrogen fertilizers in the form of ur</w:t>
      </w:r>
      <w:r>
        <w:rPr>
          <w:sz w:val="20"/>
          <w:szCs w:val="20"/>
        </w:rPr>
        <w:t>ea ammonium nitrate and ammonia. CVR Energy has a general partner interest in each of CVR Refining and CVR Partners. In addition, CVR Energy is the sole limited partner of CVR Refining and owns approximately 36% of the outstanding common units of CVR Partn</w:t>
      </w:r>
      <w:r>
        <w:rPr>
          <w:sz w:val="20"/>
          <w:szCs w:val="20"/>
        </w:rPr>
        <w:t xml:space="preserve">ers as of September 30, 2021. As of September 30, 2021, we owned approximately 71% of the total outstanding common stock of CVR Energy. </w:t>
      </w:r>
    </w:p>
    <w:p w:rsidR="00000000" w:rsidRDefault="00DB7886">
      <w:pPr>
        <w:pStyle w:val="a3"/>
        <w:spacing w:before="480" w:beforeAutospacing="0" w:after="0" w:afterAutospacing="0"/>
        <w:jc w:val="center"/>
        <w:divId w:val="2113696244"/>
        <w:rPr>
          <w:sz w:val="20"/>
          <w:szCs w:val="20"/>
        </w:rPr>
      </w:pPr>
      <w:r>
        <w:rPr>
          <w:sz w:val="20"/>
          <w:szCs w:val="20"/>
        </w:rPr>
        <w:t>12</w:t>
      </w:r>
    </w:p>
    <w:p w:rsidR="00000000" w:rsidRDefault="00DB7886">
      <w:pPr>
        <w:pStyle w:val="a3"/>
        <w:spacing w:before="0" w:beforeAutospacing="0" w:after="600" w:afterAutospacing="0"/>
        <w:divId w:val="1031106689"/>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1031106689"/>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1031106689"/>
        <w:rPr>
          <w:sz w:val="20"/>
          <w:szCs w:val="20"/>
        </w:rPr>
      </w:pPr>
      <w:r>
        <w:rPr>
          <w:b/>
          <w:bCs/>
          <w:sz w:val="20"/>
          <w:szCs w:val="20"/>
        </w:rPr>
        <w:t xml:space="preserve">ICAHN ENTERPRISES HOLDINGS L.P. </w:t>
      </w:r>
      <w:r>
        <w:rPr>
          <w:b/>
          <w:bCs/>
          <w:sz w:val="20"/>
          <w:szCs w:val="20"/>
        </w:rPr>
        <w:t>AND SUBSIDIARIES</w:t>
      </w:r>
    </w:p>
    <w:p w:rsidR="00000000" w:rsidRDefault="00DB7886">
      <w:pPr>
        <w:pStyle w:val="a3"/>
        <w:spacing w:before="0" w:beforeAutospacing="0" w:after="240" w:afterAutospacing="0"/>
        <w:jc w:val="center"/>
        <w:divId w:val="1031106689"/>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divId w:val="973103360"/>
        <w:rPr>
          <w:i/>
          <w:iCs/>
          <w:sz w:val="20"/>
          <w:szCs w:val="20"/>
        </w:rPr>
      </w:pPr>
      <w:r>
        <w:rPr>
          <w:i/>
          <w:iCs/>
          <w:sz w:val="20"/>
          <w:szCs w:val="20"/>
        </w:rPr>
        <w:t>Automotive</w:t>
      </w:r>
    </w:p>
    <w:p w:rsidR="00000000" w:rsidRDefault="00DB7886">
      <w:pPr>
        <w:pStyle w:val="a3"/>
        <w:spacing w:before="0" w:beforeAutospacing="0" w:after="240" w:afterAutospacing="0"/>
        <w:ind w:firstLine="360"/>
        <w:divId w:val="973103360"/>
        <w:rPr>
          <w:sz w:val="20"/>
          <w:szCs w:val="20"/>
        </w:rPr>
      </w:pPr>
      <w:r>
        <w:rPr>
          <w:sz w:val="20"/>
          <w:szCs w:val="20"/>
        </w:rPr>
        <w:t>We conduct our Automotive segment through our wholly owned subsidiary, Icahn Automotive Group LLC (“Icahn Automotive”). Icahn Automotive is engaged in the retail a</w:t>
      </w:r>
      <w:r>
        <w:rPr>
          <w:sz w:val="20"/>
          <w:szCs w:val="20"/>
        </w:rPr>
        <w:t>nd wholesale distribution of automotive parts in the aftermarket (“aftermarket parts”) as well as providing automotive repair and maintenance services (“automotive services”) to its customers. Icahn Automotive’s aftermarket parts and automotive services bu</w:t>
      </w:r>
      <w:r>
        <w:rPr>
          <w:sz w:val="20"/>
          <w:szCs w:val="20"/>
        </w:rPr>
        <w:t>sinesses serve different customer channels and have distinct strategies, opportunities and requirements and therefore are operated as two independent operating companies, each with its own Chief Executive Officer and management teams, and both of which are</w:t>
      </w:r>
      <w:r>
        <w:rPr>
          <w:sz w:val="20"/>
          <w:szCs w:val="20"/>
        </w:rPr>
        <w:t xml:space="preserve"> supported by a central shared service group. Our Automotive segment also includes our separate investment in 767 Auto Leasing LLC (“767 Leasing”), a joint venture created by us to purchase vehicles for lease, as described further in Note 3, “Related Party</w:t>
      </w:r>
      <w:r>
        <w:rPr>
          <w:sz w:val="20"/>
          <w:szCs w:val="20"/>
        </w:rPr>
        <w:t xml:space="preserve"> Transactions.” Our investment in 767 Leasing is included as a component of our Automotive segment due to the nature of the joint venture activities.</w:t>
      </w:r>
    </w:p>
    <w:p w:rsidR="00000000" w:rsidRDefault="00DB7886">
      <w:pPr>
        <w:pStyle w:val="a3"/>
        <w:spacing w:before="0" w:beforeAutospacing="0" w:after="240" w:afterAutospacing="0"/>
        <w:divId w:val="973103360"/>
        <w:rPr>
          <w:i/>
          <w:iCs/>
          <w:sz w:val="20"/>
          <w:szCs w:val="20"/>
        </w:rPr>
      </w:pPr>
      <w:r>
        <w:rPr>
          <w:i/>
          <w:iCs/>
          <w:sz w:val="20"/>
          <w:szCs w:val="20"/>
        </w:rPr>
        <w:t>Food Packaging</w:t>
      </w:r>
    </w:p>
    <w:p w:rsidR="00000000" w:rsidRDefault="00DB7886">
      <w:pPr>
        <w:pStyle w:val="a3"/>
        <w:spacing w:before="0" w:beforeAutospacing="0" w:after="240" w:afterAutospacing="0"/>
        <w:ind w:firstLine="360"/>
        <w:divId w:val="973103360"/>
        <w:rPr>
          <w:sz w:val="20"/>
          <w:szCs w:val="20"/>
        </w:rPr>
      </w:pPr>
      <w:r>
        <w:rPr>
          <w:sz w:val="20"/>
          <w:szCs w:val="20"/>
        </w:rPr>
        <w:t>We conduct our Food Packaging segment through our majority owned subsidiary, Viskase Compan</w:t>
      </w:r>
      <w:r>
        <w:rPr>
          <w:sz w:val="20"/>
          <w:szCs w:val="20"/>
        </w:rPr>
        <w:t>ies, Inc. (“Viskase”). Viskase is a producer of cellulosic, fibrous and plastic casings used to prepare and package processed meat products. As of September 30, 2021, we owned approximately 89% of the total outstanding common stock of Viskase.</w:t>
      </w:r>
    </w:p>
    <w:p w:rsidR="00000000" w:rsidRDefault="00DB7886">
      <w:pPr>
        <w:pStyle w:val="a3"/>
        <w:spacing w:before="0" w:beforeAutospacing="0" w:after="240" w:afterAutospacing="0"/>
        <w:divId w:val="973103360"/>
        <w:rPr>
          <w:i/>
          <w:iCs/>
          <w:sz w:val="20"/>
          <w:szCs w:val="20"/>
        </w:rPr>
      </w:pPr>
      <w:r>
        <w:rPr>
          <w:i/>
          <w:iCs/>
          <w:sz w:val="20"/>
          <w:szCs w:val="20"/>
        </w:rPr>
        <w:t>Metals</w:t>
      </w:r>
    </w:p>
    <w:p w:rsidR="00000000" w:rsidRDefault="00DB7886">
      <w:pPr>
        <w:pStyle w:val="a3"/>
        <w:spacing w:before="0" w:beforeAutospacing="0" w:after="240" w:afterAutospacing="0"/>
        <w:ind w:firstLine="360"/>
        <w:divId w:val="973103360"/>
        <w:rPr>
          <w:sz w:val="20"/>
          <w:szCs w:val="20"/>
        </w:rPr>
      </w:pPr>
      <w:r>
        <w:rPr>
          <w:sz w:val="20"/>
          <w:szCs w:val="20"/>
        </w:rPr>
        <w:t>We co</w:t>
      </w:r>
      <w:r>
        <w:rPr>
          <w:sz w:val="20"/>
          <w:szCs w:val="20"/>
        </w:rPr>
        <w:t xml:space="preserve">nduct our Metals segment through our wholly owned subsidiary, PSC Metals LLC (“PSC Metals”). PSC Metals is principally engaged in the business of collecting, processing and selling ferrous and non-ferrous metals, as well as the processing and distribution </w:t>
      </w:r>
      <w:r>
        <w:rPr>
          <w:sz w:val="20"/>
          <w:szCs w:val="20"/>
        </w:rPr>
        <w:t>of steel pipe and plate products. PSC Metals collects industrial and obsolete scrap metal, processes it into reusable forms and supplies the recycled metals to its customers. On October 29, 2021, we announced a definitive agreement to sell PSC Metals. Refe</w:t>
      </w:r>
      <w:r>
        <w:rPr>
          <w:sz w:val="20"/>
          <w:szCs w:val="20"/>
        </w:rPr>
        <w:t xml:space="preserve">r to Note 18, “Subsequent Events,” for further discussion. </w:t>
      </w:r>
    </w:p>
    <w:p w:rsidR="00000000" w:rsidRDefault="00DB7886">
      <w:pPr>
        <w:pStyle w:val="a3"/>
        <w:spacing w:before="0" w:beforeAutospacing="0" w:after="240" w:afterAutospacing="0"/>
        <w:divId w:val="973103360"/>
        <w:rPr>
          <w:i/>
          <w:iCs/>
          <w:sz w:val="20"/>
          <w:szCs w:val="20"/>
        </w:rPr>
      </w:pPr>
      <w:r>
        <w:rPr>
          <w:i/>
          <w:iCs/>
          <w:sz w:val="20"/>
          <w:szCs w:val="20"/>
        </w:rPr>
        <w:t>Real Estate</w:t>
      </w:r>
    </w:p>
    <w:p w:rsidR="00000000" w:rsidRDefault="00DB7886">
      <w:pPr>
        <w:pStyle w:val="a3"/>
        <w:spacing w:before="0" w:beforeAutospacing="0" w:after="240" w:afterAutospacing="0"/>
        <w:ind w:firstLine="360"/>
        <w:divId w:val="973103360"/>
        <w:rPr>
          <w:sz w:val="20"/>
          <w:szCs w:val="20"/>
        </w:rPr>
      </w:pPr>
      <w:r>
        <w:rPr>
          <w:sz w:val="20"/>
          <w:szCs w:val="20"/>
        </w:rPr>
        <w:t xml:space="preserve">Our Real Estate segment consists primarily of investment properties, the development and sale of single-family homes and the management of a country club. </w:t>
      </w:r>
    </w:p>
    <w:p w:rsidR="00000000" w:rsidRDefault="00DB7886">
      <w:pPr>
        <w:pStyle w:val="a3"/>
        <w:spacing w:before="0" w:beforeAutospacing="0" w:after="240" w:afterAutospacing="0"/>
        <w:divId w:val="973103360"/>
        <w:rPr>
          <w:i/>
          <w:iCs/>
          <w:sz w:val="20"/>
          <w:szCs w:val="20"/>
        </w:rPr>
      </w:pPr>
      <w:r>
        <w:rPr>
          <w:i/>
          <w:iCs/>
          <w:sz w:val="20"/>
          <w:szCs w:val="20"/>
        </w:rPr>
        <w:t>Home Fashion</w:t>
      </w:r>
    </w:p>
    <w:p w:rsidR="00000000" w:rsidRDefault="00DB7886">
      <w:pPr>
        <w:pStyle w:val="a3"/>
        <w:spacing w:before="0" w:beforeAutospacing="0" w:after="240" w:afterAutospacing="0"/>
        <w:ind w:firstLine="360"/>
        <w:divId w:val="973103360"/>
        <w:rPr>
          <w:sz w:val="20"/>
          <w:szCs w:val="20"/>
        </w:rPr>
      </w:pPr>
      <w:r>
        <w:rPr>
          <w:sz w:val="20"/>
          <w:szCs w:val="20"/>
        </w:rPr>
        <w:t>We conduct our Home Fashion segment through our wholly owned subsidiary, WestPoint Home LLC (“WPH”). WPH’s business consists of manufacturing, sourcing, marketing, distributing and selling home fashion consumer products.</w:t>
      </w:r>
    </w:p>
    <w:p w:rsidR="00000000" w:rsidRDefault="00DB7886">
      <w:pPr>
        <w:pStyle w:val="a3"/>
        <w:spacing w:before="0" w:beforeAutospacing="0" w:after="240" w:afterAutospacing="0"/>
        <w:divId w:val="973103360"/>
        <w:rPr>
          <w:i/>
          <w:iCs/>
          <w:sz w:val="20"/>
          <w:szCs w:val="20"/>
        </w:rPr>
      </w:pPr>
      <w:r>
        <w:rPr>
          <w:i/>
          <w:iCs/>
          <w:sz w:val="20"/>
          <w:szCs w:val="20"/>
        </w:rPr>
        <w:t>Pharma</w:t>
      </w:r>
    </w:p>
    <w:p w:rsidR="00000000" w:rsidRDefault="00DB7886">
      <w:pPr>
        <w:pStyle w:val="a3"/>
        <w:spacing w:before="0" w:beforeAutospacing="0" w:after="240" w:afterAutospacing="0"/>
        <w:ind w:firstLine="360"/>
        <w:divId w:val="973103360"/>
        <w:rPr>
          <w:sz w:val="20"/>
          <w:szCs w:val="20"/>
        </w:rPr>
      </w:pPr>
      <w:r>
        <w:rPr>
          <w:sz w:val="20"/>
          <w:szCs w:val="20"/>
        </w:rPr>
        <w:t>We conduct our Pharma segmen</w:t>
      </w:r>
      <w:r>
        <w:rPr>
          <w:sz w:val="20"/>
          <w:szCs w:val="20"/>
        </w:rPr>
        <w:t>t through our wholly owned subsidiary, Vivus LLC, formerly Vivus, Inc. (“Vivus”). We acquired all of the outstanding common stock of Vivus in December 2020 upon its emergence from bankruptcy. Vivus is a specialty pharmaceutical company with two approved th</w:t>
      </w:r>
      <w:r>
        <w:rPr>
          <w:sz w:val="20"/>
          <w:szCs w:val="20"/>
        </w:rPr>
        <w:t xml:space="preserve">erapies and one product candidate in active clinical development. </w:t>
      </w:r>
    </w:p>
    <w:p w:rsidR="00000000" w:rsidRDefault="00DB7886">
      <w:pPr>
        <w:pStyle w:val="a3"/>
        <w:spacing w:before="0" w:beforeAutospacing="0" w:after="0" w:afterAutospacing="0"/>
        <w:divId w:val="973103360"/>
        <w:rPr>
          <w:sz w:val="20"/>
          <w:szCs w:val="20"/>
        </w:rPr>
      </w:pPr>
      <w:r>
        <w:rPr>
          <w:sz w:val="20"/>
          <w:szCs w:val="20"/>
        </w:rPr>
        <w:t>​</w:t>
      </w:r>
    </w:p>
    <w:p w:rsidR="00000000" w:rsidRDefault="00DB7886">
      <w:pPr>
        <w:pStyle w:val="a3"/>
        <w:spacing w:before="480" w:beforeAutospacing="0" w:after="0" w:afterAutospacing="0"/>
        <w:jc w:val="center"/>
        <w:divId w:val="1447574866"/>
        <w:rPr>
          <w:sz w:val="20"/>
          <w:szCs w:val="20"/>
        </w:rPr>
      </w:pPr>
      <w:r>
        <w:rPr>
          <w:sz w:val="20"/>
          <w:szCs w:val="20"/>
        </w:rPr>
        <w:t>13</w:t>
      </w:r>
    </w:p>
    <w:p w:rsidR="00000000" w:rsidRDefault="00DB7886">
      <w:pPr>
        <w:pStyle w:val="a3"/>
        <w:spacing w:before="0" w:beforeAutospacing="0" w:after="600" w:afterAutospacing="0"/>
        <w:divId w:val="953053966"/>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953053966"/>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953053966"/>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953053966"/>
        <w:rPr>
          <w:sz w:val="20"/>
          <w:szCs w:val="20"/>
        </w:rPr>
      </w:pPr>
      <w:r>
        <w:rPr>
          <w:b/>
          <w:bCs/>
          <w:sz w:val="20"/>
          <w:szCs w:val="20"/>
        </w:rPr>
        <w:t>Notes to Condensed Consolidated Financial Statement</w:t>
      </w:r>
      <w:r>
        <w:rPr>
          <w:b/>
          <w:bCs/>
          <w:sz w:val="20"/>
          <w:szCs w:val="20"/>
        </w:rPr>
        <w:t>s (Unaudited)</w:t>
      </w:r>
    </w:p>
    <w:p w:rsidR="00000000" w:rsidRDefault="00DB7886">
      <w:pPr>
        <w:pStyle w:val="a3"/>
        <w:spacing w:before="0" w:beforeAutospacing="0" w:after="240" w:afterAutospacing="0"/>
        <w:divId w:val="401955016"/>
        <w:rPr>
          <w:b/>
          <w:bCs/>
          <w:sz w:val="20"/>
          <w:szCs w:val="20"/>
        </w:rPr>
      </w:pPr>
      <w:r>
        <w:rPr>
          <w:b/>
          <w:bCs/>
          <w:sz w:val="20"/>
          <w:szCs w:val="20"/>
        </w:rPr>
        <w:t>2.  Basis of Presentation and Summary of Significant Accounting Policies</w:t>
      </w:r>
    </w:p>
    <w:p w:rsidR="00000000" w:rsidRDefault="00DB7886">
      <w:pPr>
        <w:pStyle w:val="a3"/>
        <w:spacing w:before="0" w:beforeAutospacing="0" w:after="240" w:afterAutospacing="0"/>
        <w:ind w:firstLine="360"/>
        <w:divId w:val="401955016"/>
        <w:rPr>
          <w:sz w:val="20"/>
          <w:szCs w:val="20"/>
        </w:rPr>
      </w:pPr>
      <w:r>
        <w:rPr>
          <w:sz w:val="20"/>
          <w:szCs w:val="20"/>
        </w:rPr>
        <w:t>We conduct and plan to continue to conduct our activities in such a manner as not to be deemed an investment company under the Investment Company Act of 1940, as amended</w:t>
      </w:r>
      <w:r>
        <w:rPr>
          <w:sz w:val="20"/>
          <w:szCs w:val="20"/>
        </w:rPr>
        <w:t xml:space="preserve"> (the “Investment Company Act”). Therefore, no more than 40% of our total assets can be invested in investment securities, as such term is defined in the Investment Company Act. In addition, we do not invest or intend to invest in securities as our primary</w:t>
      </w:r>
      <w:r>
        <w:rPr>
          <w:sz w:val="20"/>
          <w:szCs w:val="20"/>
        </w:rPr>
        <w:t xml:space="preserve"> business. We structure and intend to continue structuring our investments to be taxed as a partnership rather than as a corporation under the applicable publicly traded partnership rules of the Internal Revenue Code, as amended.</w:t>
      </w:r>
    </w:p>
    <w:p w:rsidR="00000000" w:rsidRDefault="00DB7886">
      <w:pPr>
        <w:pStyle w:val="a3"/>
        <w:spacing w:before="0" w:beforeAutospacing="0" w:after="240" w:afterAutospacing="0"/>
        <w:ind w:firstLine="360"/>
        <w:divId w:val="401955016"/>
        <w:rPr>
          <w:sz w:val="20"/>
          <w:szCs w:val="20"/>
        </w:rPr>
      </w:pPr>
      <w:r>
        <w:rPr>
          <w:sz w:val="20"/>
          <w:szCs w:val="20"/>
        </w:rPr>
        <w:t>Events beyond our control,</w:t>
      </w:r>
      <w:r>
        <w:rPr>
          <w:sz w:val="20"/>
          <w:szCs w:val="20"/>
        </w:rPr>
        <w:t xml:space="preserve"> including significant appreciation or depreciation in the market value of certain of our publicly traded holdings or adverse developments with respect to our ownership of certain of our subsidiaries, could result in our inadvertently becoming an investmen</w:t>
      </w:r>
      <w:r>
        <w:rPr>
          <w:sz w:val="20"/>
          <w:szCs w:val="20"/>
        </w:rPr>
        <w:t>t company that is required to register under the Investment Company Act. Our sales of Federal-Mogul LLC, Tropicana Entertainment Inc., American Railcar Industries, Inc. and Ferrous Resources Ltd. in recent years did not result in our being considered an in</w:t>
      </w:r>
      <w:r>
        <w:rPr>
          <w:sz w:val="20"/>
          <w:szCs w:val="20"/>
        </w:rPr>
        <w:t xml:space="preserve">vestment company. However, additional transactions involving the sale of certain assets could result in our being considered an investment company. Following such events or transactions, an exemption under the Investment Company Act would provide us up to </w:t>
      </w:r>
      <w:r>
        <w:rPr>
          <w:sz w:val="20"/>
          <w:szCs w:val="20"/>
        </w:rPr>
        <w:t>one year to take steps to avoid becoming classified as an investment company. We expect to take steps to avoid becoming classified as an investment company, but no assurance can be made that we will successfully be able to take the steps necessary to avoid</w:t>
      </w:r>
      <w:r>
        <w:rPr>
          <w:sz w:val="20"/>
          <w:szCs w:val="20"/>
        </w:rPr>
        <w:t xml:space="preserve"> becoming classified as an investment company.</w:t>
      </w:r>
    </w:p>
    <w:p w:rsidR="00000000" w:rsidRDefault="00DB7886">
      <w:pPr>
        <w:pStyle w:val="a3"/>
        <w:spacing w:before="0" w:beforeAutospacing="0" w:after="240" w:afterAutospacing="0"/>
        <w:ind w:firstLine="360"/>
        <w:divId w:val="401955016"/>
        <w:rPr>
          <w:sz w:val="20"/>
          <w:szCs w:val="20"/>
        </w:rPr>
      </w:pPr>
      <w:r>
        <w:rPr>
          <w:sz w:val="20"/>
          <w:szCs w:val="20"/>
        </w:rPr>
        <w:t>The accompanying condensed consolidated financial statements and related notes should be read in conjunction with our consolidated financial statements and related notes contained in our Annual Report on Form </w:t>
      </w:r>
      <w:r>
        <w:rPr>
          <w:sz w:val="20"/>
          <w:szCs w:val="20"/>
        </w:rPr>
        <w:t>10-K for the year ended December 31, 2020. The condensed consolidated financial statements have been prepared in accordance with the rules and regulations of the Securities and Exchange Commission (the “SEC”) related to interim financial statements. Certai</w:t>
      </w:r>
      <w:r>
        <w:rPr>
          <w:sz w:val="20"/>
          <w:szCs w:val="20"/>
        </w:rPr>
        <w:t xml:space="preserve">n information and footnote disclosures normally included in financial statements prepared in accordance with accounting principles generally accepted in the United States (“U.S. GAAP”) have been condensed or omitted pursuant to such rules and regulations. </w:t>
      </w:r>
      <w:r>
        <w:rPr>
          <w:sz w:val="20"/>
          <w:szCs w:val="20"/>
        </w:rPr>
        <w:t>The financial information contained herein is unaudited; however, management believes all adjustments have been made that are necessary to present fairly the results for the interim periods. All such adjustments are of a normal and recurring nature.</w:t>
      </w:r>
    </w:p>
    <w:p w:rsidR="00000000" w:rsidRDefault="00DB7886">
      <w:pPr>
        <w:pStyle w:val="a3"/>
        <w:spacing w:before="0" w:beforeAutospacing="0" w:after="240" w:afterAutospacing="0"/>
        <w:divId w:val="401955016"/>
        <w:rPr>
          <w:b/>
          <w:bCs/>
          <w:i/>
          <w:iCs/>
          <w:sz w:val="20"/>
          <w:szCs w:val="20"/>
        </w:rPr>
      </w:pPr>
      <w:r>
        <w:rPr>
          <w:b/>
          <w:bCs/>
          <w:i/>
          <w:iCs/>
          <w:sz w:val="20"/>
          <w:szCs w:val="20"/>
        </w:rPr>
        <w:t>Princi</w:t>
      </w:r>
      <w:r>
        <w:rPr>
          <w:b/>
          <w:bCs/>
          <w:i/>
          <w:iCs/>
          <w:sz w:val="20"/>
          <w:szCs w:val="20"/>
        </w:rPr>
        <w:t>ples of Consolidation</w:t>
      </w:r>
    </w:p>
    <w:p w:rsidR="00000000" w:rsidRDefault="00DB7886">
      <w:pPr>
        <w:pStyle w:val="a3"/>
        <w:spacing w:before="0" w:beforeAutospacing="0" w:after="240" w:afterAutospacing="0"/>
        <w:ind w:firstLine="360"/>
        <w:divId w:val="401955016"/>
        <w:rPr>
          <w:sz w:val="20"/>
          <w:szCs w:val="20"/>
        </w:rPr>
      </w:pPr>
      <w:r>
        <w:rPr>
          <w:sz w:val="20"/>
          <w:szCs w:val="20"/>
        </w:rPr>
        <w:t>Our condensed consolidated financial statements include the accounts of (i) Icahn Enterprises and Icahn Enterprises Holdings and (ii) the wholly and majority owned subsidiaries of Icahn Enterprises and Icahn Enterprises Holdings, in a</w:t>
      </w:r>
      <w:r>
        <w:rPr>
          <w:sz w:val="20"/>
          <w:szCs w:val="20"/>
        </w:rPr>
        <w:t>ddition to variable interest entities (“VIEs”) in which we are the primary beneficiary. In evaluating whether we have a controlling financial interest in entities that we consolidate, we consider the following: (1) for voting interest entities, including l</w:t>
      </w:r>
      <w:r>
        <w:rPr>
          <w:sz w:val="20"/>
          <w:szCs w:val="20"/>
        </w:rPr>
        <w:t>imited partnerships and similar entities that are not VIEs, we consolidate these entities in which we own a majority of the voting interests; and (2) for VIEs, we consolidate these entities in which we are the primary beneficiary. See below for a discussio</w:t>
      </w:r>
      <w:r>
        <w:rPr>
          <w:sz w:val="20"/>
          <w:szCs w:val="20"/>
        </w:rPr>
        <w:t>n of our VIEs. Kick-out rights, which are the rights underlying the limited partners’ ability to dissolve the limited partnership or otherwise remove the general partners, held through voting interests of partnerships and similar entities that are not VIEs</w:t>
      </w:r>
      <w:r>
        <w:rPr>
          <w:sz w:val="20"/>
          <w:szCs w:val="20"/>
        </w:rPr>
        <w:t xml:space="preserve"> are considered the equivalent of the equity interests of corporations that are not VIEs.</w:t>
      </w:r>
    </w:p>
    <w:p w:rsidR="00000000" w:rsidRDefault="00DB7886">
      <w:pPr>
        <w:pStyle w:val="a3"/>
        <w:spacing w:before="0" w:beforeAutospacing="0" w:after="240" w:afterAutospacing="0"/>
        <w:ind w:firstLine="360"/>
        <w:divId w:val="401955016"/>
        <w:rPr>
          <w:sz w:val="20"/>
          <w:szCs w:val="20"/>
        </w:rPr>
      </w:pPr>
      <w:r>
        <w:rPr>
          <w:sz w:val="20"/>
          <w:szCs w:val="20"/>
        </w:rPr>
        <w:t>Except for our Investment segment and Holding Company, for equity investments in which we own 50% or less but greater than 20%, we generally account for such investme</w:t>
      </w:r>
      <w:r>
        <w:rPr>
          <w:sz w:val="20"/>
          <w:szCs w:val="20"/>
        </w:rPr>
        <w:t>nts using the equity method. All other equity investments are accounted for at fair value.</w:t>
      </w:r>
    </w:p>
    <w:p w:rsidR="00000000" w:rsidRDefault="00DB7886">
      <w:pPr>
        <w:pStyle w:val="a3"/>
        <w:spacing w:before="480" w:beforeAutospacing="0" w:after="0" w:afterAutospacing="0"/>
        <w:jc w:val="center"/>
        <w:divId w:val="278222405"/>
        <w:rPr>
          <w:sz w:val="20"/>
          <w:szCs w:val="20"/>
        </w:rPr>
      </w:pPr>
      <w:r>
        <w:rPr>
          <w:sz w:val="20"/>
          <w:szCs w:val="20"/>
        </w:rPr>
        <w:t>14</w:t>
      </w:r>
    </w:p>
    <w:p w:rsidR="00000000" w:rsidRDefault="00DB7886">
      <w:pPr>
        <w:pStyle w:val="a3"/>
        <w:spacing w:before="0" w:beforeAutospacing="0" w:after="600" w:afterAutospacing="0"/>
        <w:divId w:val="1873763691"/>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1873763691"/>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1873763691"/>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1873763691"/>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divId w:val="1739785684"/>
        <w:rPr>
          <w:b/>
          <w:bCs/>
          <w:i/>
          <w:iCs/>
          <w:sz w:val="20"/>
          <w:szCs w:val="20"/>
        </w:rPr>
      </w:pPr>
      <w:r>
        <w:rPr>
          <w:b/>
          <w:bCs/>
          <w:i/>
          <w:iCs/>
          <w:sz w:val="20"/>
          <w:szCs w:val="20"/>
        </w:rPr>
        <w:t>Reclassifications</w:t>
      </w:r>
    </w:p>
    <w:p w:rsidR="00000000" w:rsidRDefault="00DB7886">
      <w:pPr>
        <w:pStyle w:val="a3"/>
        <w:spacing w:before="0" w:beforeAutospacing="0" w:after="240" w:afterAutospacing="0"/>
        <w:ind w:firstLine="360"/>
        <w:divId w:val="1739785684"/>
        <w:rPr>
          <w:sz w:val="20"/>
          <w:szCs w:val="20"/>
        </w:rPr>
      </w:pPr>
      <w:r>
        <w:rPr>
          <w:sz w:val="20"/>
          <w:szCs w:val="20"/>
        </w:rPr>
        <w:t>Certain reclassifications from the prior year presentation have been made to conform to the current year presentation, which</w:t>
      </w:r>
      <w:r>
        <w:rPr>
          <w:sz w:val="20"/>
          <w:szCs w:val="20"/>
        </w:rPr>
        <w:t xml:space="preserve"> did not have an impact on previously reported net income and equity and are not deemed material.</w:t>
      </w:r>
    </w:p>
    <w:p w:rsidR="00000000" w:rsidRDefault="00DB7886">
      <w:pPr>
        <w:pStyle w:val="a3"/>
        <w:spacing w:before="0" w:beforeAutospacing="0" w:after="240" w:afterAutospacing="0"/>
        <w:divId w:val="1739785684"/>
        <w:rPr>
          <w:b/>
          <w:bCs/>
          <w:i/>
          <w:iCs/>
          <w:sz w:val="20"/>
          <w:szCs w:val="20"/>
        </w:rPr>
      </w:pPr>
      <w:r>
        <w:rPr>
          <w:b/>
          <w:bCs/>
          <w:i/>
          <w:iCs/>
          <w:sz w:val="20"/>
          <w:szCs w:val="20"/>
        </w:rPr>
        <w:t>Consolidated Variable Interest Entities</w:t>
      </w:r>
    </w:p>
    <w:p w:rsidR="00000000" w:rsidRDefault="00DB7886">
      <w:pPr>
        <w:pStyle w:val="a3"/>
        <w:spacing w:before="0" w:beforeAutospacing="0" w:after="240" w:afterAutospacing="0"/>
        <w:ind w:firstLine="360"/>
        <w:divId w:val="1739785684"/>
        <w:rPr>
          <w:sz w:val="20"/>
          <w:szCs w:val="20"/>
        </w:rPr>
      </w:pPr>
      <w:r>
        <w:rPr>
          <w:sz w:val="20"/>
          <w:szCs w:val="20"/>
        </w:rPr>
        <w:t>The following is a discussion of variable interest entities in which we are deemed to be the primary beneficiary and w</w:t>
      </w:r>
      <w:r>
        <w:rPr>
          <w:sz w:val="20"/>
          <w:szCs w:val="20"/>
        </w:rPr>
        <w:t xml:space="preserve">e therefore consolidate. </w:t>
      </w:r>
    </w:p>
    <w:p w:rsidR="00000000" w:rsidRDefault="00DB7886">
      <w:pPr>
        <w:pStyle w:val="a3"/>
        <w:spacing w:before="0" w:beforeAutospacing="0" w:after="240" w:afterAutospacing="0"/>
        <w:divId w:val="1739785684"/>
        <w:rPr>
          <w:i/>
          <w:iCs/>
          <w:sz w:val="20"/>
          <w:szCs w:val="20"/>
        </w:rPr>
      </w:pPr>
      <w:r>
        <w:rPr>
          <w:i/>
          <w:iCs/>
          <w:sz w:val="20"/>
          <w:szCs w:val="20"/>
        </w:rPr>
        <w:t>Icahn Enterprises Holdings</w:t>
      </w:r>
    </w:p>
    <w:p w:rsidR="00000000" w:rsidRDefault="00DB7886">
      <w:pPr>
        <w:pStyle w:val="a3"/>
        <w:spacing w:before="0" w:beforeAutospacing="0" w:after="240" w:afterAutospacing="0"/>
        <w:ind w:firstLine="360"/>
        <w:divId w:val="1739785684"/>
        <w:rPr>
          <w:sz w:val="20"/>
          <w:szCs w:val="20"/>
        </w:rPr>
      </w:pPr>
      <w:r>
        <w:rPr>
          <w:sz w:val="20"/>
          <w:szCs w:val="20"/>
        </w:rPr>
        <w:t>We determined that Icahn Enterprises Holdings is a VIE because it is a limited partnership that lacks both substantive kick-out and participating rights. Although Icahn Enterprises is not the general par</w:t>
      </w:r>
      <w:r>
        <w:rPr>
          <w:sz w:val="20"/>
          <w:szCs w:val="20"/>
        </w:rPr>
        <w:t xml:space="preserve">tner of Icahn Enterprises Holdings, Icahn Enterprises is deemed to be the primary beneficiary of Icahn Enterprises Holdings principally based on its 99% limited partner interest in Icahn Enterprises Holdings, as well as our related party relationship with </w:t>
      </w:r>
      <w:r>
        <w:rPr>
          <w:sz w:val="20"/>
          <w:szCs w:val="20"/>
        </w:rPr>
        <w:t>the general partner, and therefore continues to consolidate Icahn Enterprises Holdings. The condensed consolidated financial statements of Icahn Enterprises Holdings are included in this Report. The balances with respect to Icahn Enterprises Holdings’ cons</w:t>
      </w:r>
      <w:r>
        <w:rPr>
          <w:sz w:val="20"/>
          <w:szCs w:val="20"/>
        </w:rPr>
        <w:t>olidated VIEs are discussed below, comprising the Investment Funds, CVR Partners and Viskase’s joint venture.</w:t>
      </w:r>
    </w:p>
    <w:p w:rsidR="00000000" w:rsidRDefault="00DB7886">
      <w:pPr>
        <w:pStyle w:val="a3"/>
        <w:spacing w:before="0" w:beforeAutospacing="0" w:after="240" w:afterAutospacing="0"/>
        <w:divId w:val="1739785684"/>
        <w:rPr>
          <w:i/>
          <w:iCs/>
          <w:sz w:val="20"/>
          <w:szCs w:val="20"/>
        </w:rPr>
      </w:pPr>
      <w:r>
        <w:rPr>
          <w:i/>
          <w:iCs/>
          <w:sz w:val="20"/>
          <w:szCs w:val="20"/>
        </w:rPr>
        <w:t>Investment</w:t>
      </w:r>
    </w:p>
    <w:p w:rsidR="00000000" w:rsidRDefault="00DB7886">
      <w:pPr>
        <w:pStyle w:val="a3"/>
        <w:spacing w:before="0" w:beforeAutospacing="0" w:after="240" w:afterAutospacing="0"/>
        <w:ind w:firstLine="360"/>
        <w:divId w:val="1739785684"/>
        <w:rPr>
          <w:sz w:val="20"/>
          <w:szCs w:val="20"/>
        </w:rPr>
      </w:pPr>
      <w:r>
        <w:rPr>
          <w:sz w:val="20"/>
          <w:szCs w:val="20"/>
        </w:rPr>
        <w:t>We determined that each of the Investment Funds are considered VIEs because these limited partnerships lack both substantive kick-out a</w:t>
      </w:r>
      <w:r>
        <w:rPr>
          <w:sz w:val="20"/>
          <w:szCs w:val="20"/>
        </w:rPr>
        <w:t xml:space="preserve">nd participating rights. Because we have a general partner interest in each of the Investment Funds and have significant limited partner interests in each of the Investment Funds, coupled with our significant exposure to losses and benefits in each of the </w:t>
      </w:r>
      <w:r>
        <w:rPr>
          <w:sz w:val="20"/>
          <w:szCs w:val="20"/>
        </w:rPr>
        <w:t>Investment Funds, we are the primary beneficiary of each of the Investment Funds and therefore continue to consolidate each of the Investment Funds.</w:t>
      </w:r>
    </w:p>
    <w:p w:rsidR="00000000" w:rsidRDefault="00DB7886">
      <w:pPr>
        <w:pStyle w:val="a3"/>
        <w:spacing w:before="0" w:beforeAutospacing="0" w:after="240" w:afterAutospacing="0"/>
        <w:divId w:val="1739785684"/>
        <w:rPr>
          <w:i/>
          <w:iCs/>
          <w:sz w:val="20"/>
          <w:szCs w:val="20"/>
        </w:rPr>
      </w:pPr>
      <w:r>
        <w:rPr>
          <w:i/>
          <w:iCs/>
          <w:sz w:val="20"/>
          <w:szCs w:val="20"/>
        </w:rPr>
        <w:t>Energy</w:t>
      </w:r>
    </w:p>
    <w:p w:rsidR="00000000" w:rsidRDefault="00DB7886">
      <w:pPr>
        <w:pStyle w:val="a3"/>
        <w:spacing w:before="0" w:beforeAutospacing="0" w:after="240" w:afterAutospacing="0"/>
        <w:ind w:firstLine="360"/>
        <w:divId w:val="1739785684"/>
        <w:rPr>
          <w:sz w:val="20"/>
          <w:szCs w:val="20"/>
        </w:rPr>
      </w:pPr>
      <w:r>
        <w:rPr>
          <w:sz w:val="20"/>
          <w:szCs w:val="20"/>
        </w:rPr>
        <w:t>CVR Partners is considered a VIE because it is a limited partnership that lacks both substantive kic</w:t>
      </w:r>
      <w:r>
        <w:rPr>
          <w:sz w:val="20"/>
          <w:szCs w:val="20"/>
        </w:rPr>
        <w:t>k-out and participating rights. In addition, CVR Energy also concluded that, based upon its general partner’s roles and rights in CVR Partners as afforded by CVR Partners’ partnership agreement, coupled with its exposure to losses and benefits in CVR Partn</w:t>
      </w:r>
      <w:r>
        <w:rPr>
          <w:sz w:val="20"/>
          <w:szCs w:val="20"/>
        </w:rPr>
        <w:t xml:space="preserve">ers through its significant limited partner interest, intercompany credit facilities and services agreements, it is the primary beneficiary of CVR Partners. </w:t>
      </w:r>
    </w:p>
    <w:p w:rsidR="00000000" w:rsidRDefault="00DB7886">
      <w:pPr>
        <w:pStyle w:val="a3"/>
        <w:spacing w:before="0" w:beforeAutospacing="0" w:after="240" w:afterAutospacing="0"/>
        <w:divId w:val="1739785684"/>
        <w:rPr>
          <w:i/>
          <w:iCs/>
          <w:sz w:val="20"/>
          <w:szCs w:val="20"/>
        </w:rPr>
      </w:pPr>
      <w:r>
        <w:rPr>
          <w:i/>
          <w:iCs/>
          <w:sz w:val="20"/>
          <w:szCs w:val="20"/>
        </w:rPr>
        <w:t>Food Packaging</w:t>
      </w:r>
    </w:p>
    <w:p w:rsidR="00000000" w:rsidRDefault="00DB7886">
      <w:pPr>
        <w:pStyle w:val="a3"/>
        <w:spacing w:before="0" w:beforeAutospacing="0" w:after="240" w:afterAutospacing="0"/>
        <w:ind w:firstLine="360"/>
        <w:divId w:val="1739785684"/>
        <w:rPr>
          <w:sz w:val="20"/>
          <w:szCs w:val="20"/>
        </w:rPr>
      </w:pPr>
      <w:r>
        <w:rPr>
          <w:sz w:val="20"/>
          <w:szCs w:val="20"/>
        </w:rPr>
        <w:t>Viskase holds a variable interest in a joint venture for which Viskase is the prima</w:t>
      </w:r>
      <w:r>
        <w:rPr>
          <w:sz w:val="20"/>
          <w:szCs w:val="20"/>
        </w:rPr>
        <w:t>ry beneficiary. Viskase’s interest in the joint venture includes a 50% equity interest and also relates to the sales, operations, administrative and financial support to the joint venture through providing many of the assets used in its business.</w:t>
      </w:r>
    </w:p>
    <w:p w:rsidR="00000000" w:rsidRDefault="00DB7886">
      <w:pPr>
        <w:pStyle w:val="a3"/>
        <w:spacing w:before="0" w:beforeAutospacing="0" w:after="0" w:afterAutospacing="0"/>
        <w:divId w:val="1739785684"/>
        <w:rPr>
          <w:sz w:val="20"/>
          <w:szCs w:val="20"/>
        </w:rPr>
      </w:pPr>
      <w:r>
        <w:rPr>
          <w:sz w:val="20"/>
          <w:szCs w:val="20"/>
        </w:rPr>
        <w:t>​</w:t>
      </w:r>
    </w:p>
    <w:p w:rsidR="00000000" w:rsidRDefault="00DB7886">
      <w:pPr>
        <w:pStyle w:val="a3"/>
        <w:spacing w:before="480" w:beforeAutospacing="0" w:after="0" w:afterAutospacing="0"/>
        <w:jc w:val="center"/>
        <w:divId w:val="665673553"/>
        <w:rPr>
          <w:sz w:val="20"/>
          <w:szCs w:val="20"/>
        </w:rPr>
      </w:pPr>
      <w:r>
        <w:rPr>
          <w:sz w:val="20"/>
          <w:szCs w:val="20"/>
        </w:rPr>
        <w:t>15</w:t>
      </w:r>
    </w:p>
    <w:p w:rsidR="00000000" w:rsidRDefault="00DB7886">
      <w:pPr>
        <w:pStyle w:val="a3"/>
        <w:spacing w:before="0" w:beforeAutospacing="0" w:after="600" w:afterAutospacing="0"/>
        <w:divId w:val="1555660337"/>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1555660337"/>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1555660337"/>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1555660337"/>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ind w:firstLine="360"/>
        <w:divId w:val="1386369456"/>
        <w:rPr>
          <w:sz w:val="20"/>
          <w:szCs w:val="20"/>
        </w:rPr>
      </w:pPr>
      <w:r>
        <w:rPr>
          <w:sz w:val="20"/>
          <w:szCs w:val="20"/>
        </w:rPr>
        <w:t>The following table includes balances of assets and liabilities of VIE’s included in Icahn Enterprises Holdings’ condensed consolidated balance sheets.</w:t>
      </w:r>
    </w:p>
    <w:p w:rsidR="00000000" w:rsidRDefault="00DB7886">
      <w:pPr>
        <w:pStyle w:val="a3"/>
        <w:spacing w:before="0" w:beforeAutospacing="0" w:after="0" w:afterAutospacing="0"/>
        <w:divId w:val="138636945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17"/>
        <w:gridCol w:w="200"/>
        <w:gridCol w:w="179"/>
        <w:gridCol w:w="1093"/>
        <w:gridCol w:w="200"/>
        <w:gridCol w:w="171"/>
        <w:gridCol w:w="1046"/>
      </w:tblGrid>
      <w:tr w:rsidR="00000000">
        <w:trPr>
          <w:divId w:val="1386369456"/>
          <w:trHeight w:val="20"/>
        </w:trPr>
        <w:tc>
          <w:tcPr>
            <w:tcW w:w="3510" w:type="pct"/>
            <w:tcMar>
              <w:top w:w="0" w:type="dxa"/>
              <w:left w:w="0" w:type="dxa"/>
              <w:bottom w:w="0" w:type="dxa"/>
              <w:right w:w="0" w:type="dxa"/>
            </w:tcMar>
            <w:vAlign w:val="bottom"/>
            <w:hideMark/>
          </w:tcPr>
          <w:p w:rsidR="00000000" w:rsidRDefault="00DB7886">
            <w:pPr>
              <w:pStyle w:val="a3"/>
              <w:spacing w:before="0" w:beforeAutospacing="0" w:after="0" w:afterAutospacing="0"/>
              <w:divId w:val="123280720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3472258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7989682"/>
              <w:rPr>
                <w:sz w:val="20"/>
                <w:szCs w:val="20"/>
              </w:rPr>
            </w:pPr>
            <w:r>
              <w:rPr>
                <w:sz w:val="2"/>
                <w:szCs w:val="2"/>
              </w:rPr>
              <w:t>​</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3457315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51880376"/>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41017353"/>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05405856"/>
              <w:rPr>
                <w:sz w:val="20"/>
                <w:szCs w:val="20"/>
              </w:rPr>
            </w:pPr>
            <w:r>
              <w:rPr>
                <w:sz w:val="2"/>
                <w:szCs w:val="2"/>
              </w:rPr>
              <w:t>​</w:t>
            </w:r>
          </w:p>
        </w:tc>
      </w:tr>
      <w:tr w:rsidR="00000000">
        <w:trPr>
          <w:divId w:val="1386369456"/>
        </w:trPr>
        <w:tc>
          <w:tcPr>
            <w:tcW w:w="351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65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December 31, </w:t>
            </w:r>
          </w:p>
        </w:tc>
      </w:tr>
      <w:tr w:rsidR="00000000">
        <w:trPr>
          <w:divId w:val="1386369456"/>
        </w:trPr>
        <w:tc>
          <w:tcPr>
            <w:tcW w:w="351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r>
      <w:tr w:rsidR="00000000">
        <w:trPr>
          <w:divId w:val="1386369456"/>
        </w:trPr>
        <w:tc>
          <w:tcPr>
            <w:tcW w:w="0" w:type="auto"/>
            <w:gridSpan w:val="7"/>
            <w:tcMar>
              <w:top w:w="0" w:type="dxa"/>
              <w:left w:w="0" w:type="dxa"/>
              <w:bottom w:w="0" w:type="dxa"/>
              <w:right w:w="0" w:type="dxa"/>
            </w:tcMar>
            <w:vAlign w:val="center"/>
            <w:hideMark/>
          </w:tcPr>
          <w:p w:rsidR="00000000" w:rsidRDefault="00DB7886">
            <w:pPr>
              <w:rPr>
                <w:sz w:val="20"/>
                <w:szCs w:val="20"/>
              </w:rPr>
            </w:pPr>
          </w:p>
        </w:tc>
      </w:tr>
      <w:tr w:rsidR="00000000">
        <w:trPr>
          <w:divId w:val="1386369456"/>
        </w:trPr>
        <w:tc>
          <w:tcPr>
            <w:tcW w:w="351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386" w:type="pct"/>
            <w:gridSpan w:val="5"/>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1386369456"/>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Cash and cash equivalents</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110</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Calibri" w:hAnsi="Calibri" w:cs="Calibri"/>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31</w:t>
            </w:r>
          </w:p>
        </w:tc>
      </w:tr>
      <w:tr w:rsidR="00000000">
        <w:trPr>
          <w:divId w:val="1386369456"/>
        </w:trPr>
        <w:tc>
          <w:tcPr>
            <w:tcW w:w="351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Cash held at consolidated affiliated partnerships and restricted cash</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1,636</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1,558</w:t>
            </w:r>
          </w:p>
        </w:tc>
      </w:tr>
      <w:tr w:rsidR="00000000">
        <w:trPr>
          <w:divId w:val="1386369456"/>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Investments</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9,653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8,239</w:t>
            </w:r>
          </w:p>
        </w:tc>
      </w:tr>
      <w:tr w:rsidR="00000000">
        <w:trPr>
          <w:divId w:val="1386369456"/>
        </w:trPr>
        <w:tc>
          <w:tcPr>
            <w:tcW w:w="351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Due from brokers</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5,149</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3,437</w:t>
            </w:r>
          </w:p>
        </w:tc>
      </w:tr>
      <w:tr w:rsidR="00000000">
        <w:trPr>
          <w:divId w:val="1386369456"/>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Accounts receivable, net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37</w:t>
            </w:r>
          </w:p>
        </w:tc>
      </w:tr>
      <w:tr w:rsidR="00000000">
        <w:trPr>
          <w:divId w:val="1386369456"/>
        </w:trPr>
        <w:tc>
          <w:tcPr>
            <w:tcW w:w="351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Inventories, net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59</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42</w:t>
            </w:r>
          </w:p>
        </w:tc>
      </w:tr>
      <w:tr w:rsidR="00000000">
        <w:trPr>
          <w:divId w:val="1386369456"/>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Property, plant and equipment, net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993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1,042</w:t>
            </w:r>
          </w:p>
        </w:tc>
      </w:tr>
      <w:tr w:rsidR="00000000">
        <w:trPr>
          <w:divId w:val="1386369456"/>
        </w:trPr>
        <w:tc>
          <w:tcPr>
            <w:tcW w:w="351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Unrealized gain on derivative contracts</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793</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785</w:t>
            </w:r>
          </w:p>
        </w:tc>
      </w:tr>
      <w:tr w:rsidR="00000000">
        <w:trPr>
          <w:divId w:val="1386369456"/>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Intangible assets, net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217</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232</w:t>
            </w:r>
          </w:p>
        </w:tc>
      </w:tr>
      <w:tr w:rsidR="00000000">
        <w:trPr>
          <w:divId w:val="1386369456"/>
        </w:trPr>
        <w:tc>
          <w:tcPr>
            <w:tcW w:w="351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Other assets</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59</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107</w:t>
            </w:r>
          </w:p>
        </w:tc>
      </w:tr>
      <w:tr w:rsidR="00000000">
        <w:trPr>
          <w:divId w:val="1386369456"/>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Accounts payable</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45</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25</w:t>
            </w:r>
          </w:p>
        </w:tc>
      </w:tr>
      <w:tr w:rsidR="00000000">
        <w:trPr>
          <w:divId w:val="1386369456"/>
        </w:trPr>
        <w:tc>
          <w:tcPr>
            <w:tcW w:w="351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Accrued expenses and other liabilities</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70</w:t>
            </w:r>
          </w:p>
        </w:tc>
      </w:tr>
      <w:tr w:rsidR="00000000">
        <w:trPr>
          <w:divId w:val="1386369456"/>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Deferred tax liabilities</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r>
      <w:tr w:rsidR="00000000">
        <w:trPr>
          <w:divId w:val="1386369456"/>
        </w:trPr>
        <w:tc>
          <w:tcPr>
            <w:tcW w:w="351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Unrealized loss on derivative contracts</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476</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622</w:t>
            </w:r>
          </w:p>
        </w:tc>
      </w:tr>
      <w:tr w:rsidR="00000000">
        <w:trPr>
          <w:divId w:val="1386369456"/>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Securities sold, not yet purchased, at fair value</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4,957</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2,521</w:t>
            </w:r>
          </w:p>
        </w:tc>
      </w:tr>
      <w:tr w:rsidR="00000000">
        <w:trPr>
          <w:divId w:val="1386369456"/>
        </w:trPr>
        <w:tc>
          <w:tcPr>
            <w:tcW w:w="351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Due to brokers</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1,622</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1,618</w:t>
            </w:r>
          </w:p>
        </w:tc>
      </w:tr>
      <w:tr w:rsidR="00000000">
        <w:trPr>
          <w:divId w:val="1386369456"/>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Debt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625</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636</w:t>
            </w:r>
          </w:p>
        </w:tc>
      </w:tr>
    </w:tbl>
    <w:p w:rsidR="00000000" w:rsidRDefault="00DB7886">
      <w:pPr>
        <w:pStyle w:val="a3"/>
        <w:spacing w:before="0" w:beforeAutospacing="0" w:after="0" w:afterAutospacing="0"/>
        <w:divId w:val="1386369456"/>
        <w:rPr>
          <w:sz w:val="20"/>
          <w:szCs w:val="20"/>
        </w:rPr>
      </w:pPr>
      <w:r>
        <w:rPr>
          <w:sz w:val="20"/>
          <w:szCs w:val="20"/>
        </w:rPr>
        <w:t>​</w:t>
      </w:r>
    </w:p>
    <w:p w:rsidR="00000000" w:rsidRDefault="00DB7886">
      <w:pPr>
        <w:pStyle w:val="a3"/>
        <w:spacing w:before="0" w:beforeAutospacing="0" w:after="240" w:afterAutospacing="0"/>
        <w:divId w:val="1386369456"/>
        <w:rPr>
          <w:b/>
          <w:bCs/>
          <w:i/>
          <w:iCs/>
          <w:sz w:val="20"/>
          <w:szCs w:val="20"/>
        </w:rPr>
      </w:pPr>
      <w:r>
        <w:rPr>
          <w:b/>
          <w:bCs/>
          <w:i/>
          <w:iCs/>
          <w:sz w:val="20"/>
          <w:szCs w:val="20"/>
        </w:rPr>
        <w:t>Fair Value of Financial Instruments</w:t>
      </w:r>
    </w:p>
    <w:p w:rsidR="00000000" w:rsidRDefault="00DB7886">
      <w:pPr>
        <w:pStyle w:val="a3"/>
        <w:spacing w:before="0" w:beforeAutospacing="0" w:after="240" w:afterAutospacing="0"/>
        <w:ind w:firstLine="360"/>
        <w:divId w:val="1386369456"/>
        <w:rPr>
          <w:sz w:val="20"/>
          <w:szCs w:val="20"/>
        </w:rPr>
      </w:pPr>
      <w:r>
        <w:rPr>
          <w:sz w:val="20"/>
          <w:szCs w:val="20"/>
        </w:rPr>
        <w:t>The carrying values of cash and cash equivalents, cash held at consolidated affiliated partnerships and restricted cash, accounts receivable, due from brokers, accounts payable, accrued expenses and other liabilities and due to brokers are deemed to be rea</w:t>
      </w:r>
      <w:r>
        <w:rPr>
          <w:sz w:val="20"/>
          <w:szCs w:val="20"/>
        </w:rPr>
        <w:t>sonable estimates of their fair values because of their short-term nature. See Note 4, “Investments,” and Note 5, “Fair Value Measurements,” for a detailed discussion of our investments and other non-financial assets and/or liabilities.</w:t>
      </w:r>
    </w:p>
    <w:p w:rsidR="00000000" w:rsidRDefault="00DB7886">
      <w:pPr>
        <w:pStyle w:val="a3"/>
        <w:spacing w:before="0" w:beforeAutospacing="0" w:after="240" w:afterAutospacing="0"/>
        <w:ind w:firstLine="360"/>
        <w:divId w:val="1386369456"/>
        <w:rPr>
          <w:sz w:val="20"/>
          <w:szCs w:val="20"/>
        </w:rPr>
      </w:pPr>
      <w:r>
        <w:rPr>
          <w:sz w:val="20"/>
          <w:szCs w:val="20"/>
        </w:rPr>
        <w:t>The fair value of o</w:t>
      </w:r>
      <w:r>
        <w:rPr>
          <w:sz w:val="20"/>
          <w:szCs w:val="20"/>
        </w:rPr>
        <w:t>ur long-term debt is based on the quoted market prices for the same or similar issues or on the current rates offered to us for debt of the same remaining maturities. The carrying value and estimated fair value of our long-term debt as of September 30, 202</w:t>
      </w:r>
      <w:r>
        <w:rPr>
          <w:sz w:val="20"/>
          <w:szCs w:val="20"/>
        </w:rPr>
        <w:t>1 was approximately $7.7 billion and $7.9 billion, respectively. The carrying value and estimated fair value of our long-term debt as of December 31, 2020 was approximately $8.1 billion and $8.2 billion, respectively.</w:t>
      </w:r>
    </w:p>
    <w:p w:rsidR="00000000" w:rsidRDefault="00DB7886">
      <w:pPr>
        <w:pStyle w:val="a3"/>
        <w:spacing w:before="0" w:beforeAutospacing="0" w:after="240" w:afterAutospacing="0"/>
        <w:divId w:val="1386369456"/>
        <w:rPr>
          <w:b/>
          <w:bCs/>
          <w:i/>
          <w:iCs/>
          <w:sz w:val="20"/>
          <w:szCs w:val="20"/>
        </w:rPr>
      </w:pPr>
      <w:r>
        <w:rPr>
          <w:b/>
          <w:bCs/>
          <w:i/>
          <w:iCs/>
          <w:sz w:val="20"/>
          <w:szCs w:val="20"/>
        </w:rPr>
        <w:t>Cash Flow</w:t>
      </w:r>
    </w:p>
    <w:p w:rsidR="00000000" w:rsidRDefault="00DB7886">
      <w:pPr>
        <w:pStyle w:val="a3"/>
        <w:spacing w:before="0" w:beforeAutospacing="0" w:after="240" w:afterAutospacing="0"/>
        <w:ind w:firstLine="360"/>
        <w:divId w:val="1386369456"/>
        <w:rPr>
          <w:sz w:val="20"/>
          <w:szCs w:val="20"/>
        </w:rPr>
      </w:pPr>
      <w:r>
        <w:rPr>
          <w:sz w:val="20"/>
          <w:szCs w:val="20"/>
        </w:rPr>
        <w:t>Cash and cash equivalents an</w:t>
      </w:r>
      <w:r>
        <w:rPr>
          <w:sz w:val="20"/>
          <w:szCs w:val="20"/>
        </w:rPr>
        <w:t>d restricted cash and restricted cash equivalents on our condensed consolidated statements of cash flows is comprised of (i) cash and cash equivalents and (ii) cash held at consolidated affiliated partnerships and restricted cash.</w:t>
      </w:r>
    </w:p>
    <w:p w:rsidR="00000000" w:rsidRDefault="00DB7886">
      <w:pPr>
        <w:pStyle w:val="a3"/>
        <w:spacing w:before="0" w:beforeAutospacing="0" w:after="240" w:afterAutospacing="0"/>
        <w:divId w:val="1386369456"/>
        <w:rPr>
          <w:b/>
          <w:bCs/>
          <w:i/>
          <w:iCs/>
          <w:sz w:val="20"/>
          <w:szCs w:val="20"/>
        </w:rPr>
      </w:pPr>
      <w:r>
        <w:rPr>
          <w:b/>
          <w:bCs/>
          <w:i/>
          <w:iCs/>
          <w:sz w:val="20"/>
          <w:szCs w:val="20"/>
        </w:rPr>
        <w:t>Cash Held at Consolidated</w:t>
      </w:r>
      <w:r>
        <w:rPr>
          <w:b/>
          <w:bCs/>
          <w:i/>
          <w:iCs/>
          <w:sz w:val="20"/>
          <w:szCs w:val="20"/>
        </w:rPr>
        <w:t xml:space="preserve"> Affiliated Partnerships and Restricted Cash</w:t>
      </w:r>
    </w:p>
    <w:p w:rsidR="00000000" w:rsidRDefault="00DB7886">
      <w:pPr>
        <w:pStyle w:val="a3"/>
        <w:spacing w:before="0" w:beforeAutospacing="0" w:after="240" w:afterAutospacing="0"/>
        <w:ind w:firstLine="360"/>
        <w:divId w:val="1386369456"/>
        <w:rPr>
          <w:sz w:val="20"/>
          <w:szCs w:val="20"/>
        </w:rPr>
      </w:pPr>
      <w:r>
        <w:rPr>
          <w:sz w:val="20"/>
          <w:szCs w:val="20"/>
        </w:rPr>
        <w:t>Our cash held at consolidated affiliated partnerships balance was $95 million and $686 million as of September 30, 2021 and December 31, 2020, respectively. Cash held at consolidated affiliated partnerships rela</w:t>
      </w:r>
      <w:r>
        <w:rPr>
          <w:sz w:val="20"/>
          <w:szCs w:val="20"/>
        </w:rPr>
        <w:t>tes to our Investment segment and consists of cash and cash equivalents held by the Investment Funds that, although not legally restricted, are not available to fund the general liquidity needs of the Investment segment or Icahn Enterprises.</w:t>
      </w:r>
    </w:p>
    <w:p w:rsidR="00000000" w:rsidRDefault="00DB7886">
      <w:pPr>
        <w:pStyle w:val="a3"/>
        <w:spacing w:before="480" w:beforeAutospacing="0" w:after="0" w:afterAutospacing="0"/>
        <w:jc w:val="center"/>
        <w:divId w:val="1904565896"/>
        <w:rPr>
          <w:sz w:val="20"/>
          <w:szCs w:val="20"/>
        </w:rPr>
      </w:pPr>
      <w:r>
        <w:rPr>
          <w:sz w:val="20"/>
          <w:szCs w:val="20"/>
        </w:rPr>
        <w:t>16</w:t>
      </w:r>
    </w:p>
    <w:p w:rsidR="00000000" w:rsidRDefault="00DB7886">
      <w:pPr>
        <w:pStyle w:val="a3"/>
        <w:spacing w:before="0" w:beforeAutospacing="0" w:after="600" w:afterAutospacing="0"/>
        <w:divId w:val="964312714"/>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964312714"/>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964312714"/>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964312714"/>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ind w:firstLine="360"/>
        <w:divId w:val="1031876424"/>
        <w:rPr>
          <w:sz w:val="20"/>
          <w:szCs w:val="20"/>
        </w:rPr>
      </w:pPr>
      <w:r>
        <w:rPr>
          <w:sz w:val="20"/>
          <w:szCs w:val="20"/>
        </w:rPr>
        <w:t xml:space="preserve">Our restricted cash balance was $1,652 million and $926 </w:t>
      </w:r>
      <w:r>
        <w:rPr>
          <w:sz w:val="20"/>
          <w:szCs w:val="20"/>
        </w:rPr>
        <w:t>million as of September 30, 2021 and December 31, 2020, respectively. Restricted cash primarily relates to our Investment segment’s cash pledged and held for margin requirements on derivative transactions.</w:t>
      </w:r>
    </w:p>
    <w:p w:rsidR="00000000" w:rsidRDefault="00DB7886">
      <w:pPr>
        <w:pStyle w:val="a3"/>
        <w:spacing w:before="0" w:beforeAutospacing="0" w:after="240" w:afterAutospacing="0"/>
        <w:divId w:val="1031876424"/>
        <w:rPr>
          <w:b/>
          <w:bCs/>
          <w:i/>
          <w:iCs/>
          <w:sz w:val="20"/>
          <w:szCs w:val="20"/>
        </w:rPr>
      </w:pPr>
      <w:r>
        <w:rPr>
          <w:b/>
          <w:bCs/>
          <w:i/>
          <w:iCs/>
          <w:sz w:val="20"/>
          <w:szCs w:val="20"/>
        </w:rPr>
        <w:t>Revenue From Contracts With Customers and Contract</w:t>
      </w:r>
      <w:r>
        <w:rPr>
          <w:b/>
          <w:bCs/>
          <w:i/>
          <w:iCs/>
          <w:sz w:val="20"/>
          <w:szCs w:val="20"/>
        </w:rPr>
        <w:t xml:space="preserve"> Balances</w:t>
      </w:r>
    </w:p>
    <w:p w:rsidR="00000000" w:rsidRDefault="00DB7886">
      <w:pPr>
        <w:pStyle w:val="a3"/>
        <w:spacing w:before="0" w:beforeAutospacing="0" w:after="240" w:afterAutospacing="0"/>
        <w:ind w:firstLine="360"/>
        <w:divId w:val="1031876424"/>
        <w:rPr>
          <w:sz w:val="20"/>
          <w:szCs w:val="20"/>
        </w:rPr>
      </w:pPr>
      <w:r>
        <w:rPr>
          <w:sz w:val="20"/>
          <w:szCs w:val="20"/>
        </w:rPr>
        <w:t xml:space="preserve">Due to the nature of our business, we derive revenue from various sources in various industries. With the exception of all of our Investment segment’s and our Holding Company’s revenues, and our Real Estate segment’s leasing revenue, our revenue </w:t>
      </w:r>
      <w:r>
        <w:rPr>
          <w:sz w:val="20"/>
          <w:szCs w:val="20"/>
        </w:rPr>
        <w:t>is generally derived from contracts with customers in accordance with U.S. GAAP. Such revenue from contracts with customers is included in net sales and other revenues from operations in the condensed consolidated statements of operations, however, our Rea</w:t>
      </w:r>
      <w:r>
        <w:rPr>
          <w:sz w:val="20"/>
          <w:szCs w:val="20"/>
        </w:rPr>
        <w:t>l Estate segment’s leasing revenue, as disclosed in Note 9, “Leases,” is also included in other revenues from operations. Related contract assets are included in accounts receivable, net or other assets and related contract liabilities are included in accr</w:t>
      </w:r>
      <w:r>
        <w:rPr>
          <w:sz w:val="20"/>
          <w:szCs w:val="20"/>
        </w:rPr>
        <w:t xml:space="preserve">ued expenses and other liabilities in the condensed consolidated balance sheets. Our disaggregation of revenue information includes our net sales and other revenues from operations for each of our reporting segments as well as additional disaggregation of </w:t>
      </w:r>
      <w:r>
        <w:rPr>
          <w:sz w:val="20"/>
          <w:szCs w:val="20"/>
        </w:rPr>
        <w:t xml:space="preserve">revenue information for our Energy and Automotive segments. See Note 12, “Segment Reporting,” for our complete disaggregation of revenue information. In addition, we disclose additional information with respect to revenue from contracts with customers and </w:t>
      </w:r>
      <w:r>
        <w:rPr>
          <w:sz w:val="20"/>
          <w:szCs w:val="20"/>
        </w:rPr>
        <w:t>contract balances for our Energy and Automotive segments below.</w:t>
      </w:r>
    </w:p>
    <w:p w:rsidR="00000000" w:rsidRDefault="00DB7886">
      <w:pPr>
        <w:pStyle w:val="a3"/>
        <w:spacing w:before="0" w:beforeAutospacing="0" w:after="240" w:afterAutospacing="0"/>
        <w:divId w:val="1031876424"/>
        <w:rPr>
          <w:i/>
          <w:iCs/>
          <w:sz w:val="20"/>
          <w:szCs w:val="20"/>
        </w:rPr>
      </w:pPr>
      <w:r>
        <w:rPr>
          <w:i/>
          <w:iCs/>
          <w:sz w:val="20"/>
          <w:szCs w:val="20"/>
        </w:rPr>
        <w:t>Energy</w:t>
      </w:r>
    </w:p>
    <w:p w:rsidR="00000000" w:rsidRDefault="00DB7886">
      <w:pPr>
        <w:pStyle w:val="a3"/>
        <w:spacing w:before="0" w:beforeAutospacing="0" w:after="240" w:afterAutospacing="0"/>
        <w:ind w:firstLine="360"/>
        <w:divId w:val="1031876424"/>
        <w:rPr>
          <w:sz w:val="20"/>
          <w:szCs w:val="20"/>
        </w:rPr>
      </w:pPr>
      <w:r>
        <w:rPr>
          <w:sz w:val="20"/>
          <w:szCs w:val="20"/>
        </w:rPr>
        <w:t>Our Energy segment’s deferred revenue is a contract liability that primarily relates to fertilizer sales contracts requiring customer prepayment prior to product delivery to guarantee a</w:t>
      </w:r>
      <w:r>
        <w:rPr>
          <w:sz w:val="20"/>
          <w:szCs w:val="20"/>
        </w:rPr>
        <w:t xml:space="preserve"> price and supply of nitrogen fertilizer. Deferred revenue is recorded at the point in time in which a prepaid contract is legally enforceable and the associated right to consideration is unconditional prior to transferring product to the customer. An asso</w:t>
      </w:r>
      <w:r>
        <w:rPr>
          <w:sz w:val="20"/>
          <w:szCs w:val="20"/>
        </w:rPr>
        <w:t>ciated receivable is recorded for uncollected prepaid contract amounts. Contracts requiring prepayment are generally short-term in nature and revenue is recognized at the point in time in which the customer obtains control of the product. Our Energy segmen</w:t>
      </w:r>
      <w:r>
        <w:rPr>
          <w:sz w:val="20"/>
          <w:szCs w:val="20"/>
        </w:rPr>
        <w:t>t had deferred revenue of $34 million and $31 million as of September 30, 2021 and December 31, 2020, respectively. For the nine months ended September 30, 2021 and 2020, our Energy segment recorded revenue of $30 million and $27 million, respectively, wit</w:t>
      </w:r>
      <w:r>
        <w:rPr>
          <w:sz w:val="20"/>
          <w:szCs w:val="20"/>
        </w:rPr>
        <w:t>h respect to deferred revenue outstanding as of the beginning of each respective period.</w:t>
      </w:r>
    </w:p>
    <w:p w:rsidR="00000000" w:rsidRDefault="00DB7886">
      <w:pPr>
        <w:pStyle w:val="a3"/>
        <w:spacing w:before="0" w:beforeAutospacing="0" w:after="240" w:afterAutospacing="0"/>
        <w:ind w:firstLine="360"/>
        <w:divId w:val="1031876424"/>
        <w:rPr>
          <w:sz w:val="20"/>
          <w:szCs w:val="20"/>
        </w:rPr>
      </w:pPr>
      <w:r>
        <w:rPr>
          <w:sz w:val="20"/>
          <w:szCs w:val="20"/>
        </w:rPr>
        <w:t>As of September 30, 2021, our Energy segment had $7 million of remaining performance obligations for contracts with an original expected duration of more than one year</w:t>
      </w:r>
      <w:r>
        <w:rPr>
          <w:sz w:val="20"/>
          <w:szCs w:val="20"/>
        </w:rPr>
        <w:t>. Our Energy segment expects to recognize approximately $1 million of these performance obligations as revenue by the end of 2021 and the remaining balance thereafter.</w:t>
      </w:r>
    </w:p>
    <w:p w:rsidR="00000000" w:rsidRDefault="00DB7886">
      <w:pPr>
        <w:pStyle w:val="a3"/>
        <w:spacing w:before="0" w:beforeAutospacing="0" w:after="240" w:afterAutospacing="0"/>
        <w:divId w:val="1031876424"/>
        <w:rPr>
          <w:i/>
          <w:iCs/>
          <w:sz w:val="20"/>
          <w:szCs w:val="20"/>
        </w:rPr>
      </w:pPr>
      <w:r>
        <w:rPr>
          <w:i/>
          <w:iCs/>
          <w:sz w:val="20"/>
          <w:szCs w:val="20"/>
        </w:rPr>
        <w:t>Automotive</w:t>
      </w:r>
    </w:p>
    <w:p w:rsidR="00000000" w:rsidRDefault="00DB7886">
      <w:pPr>
        <w:pStyle w:val="a3"/>
        <w:spacing w:before="0" w:beforeAutospacing="0" w:after="240" w:afterAutospacing="0"/>
        <w:ind w:firstLine="360"/>
        <w:divId w:val="1031876424"/>
        <w:rPr>
          <w:sz w:val="20"/>
          <w:szCs w:val="20"/>
        </w:rPr>
      </w:pPr>
      <w:r>
        <w:rPr>
          <w:sz w:val="20"/>
          <w:szCs w:val="20"/>
        </w:rPr>
        <w:t>Our Automotive segment has deferred revenue with respect to extended warranty</w:t>
      </w:r>
      <w:r>
        <w:rPr>
          <w:sz w:val="20"/>
          <w:szCs w:val="20"/>
        </w:rPr>
        <w:t xml:space="preserve"> plans of $41 million at each of September 30, 2021 and December 31, 2020, which are included in accrued expenses and other liabilities on the condensed consolidated balance sheets. For the nine months ended September 30, 2021 and 2020, our Automotive segm</w:t>
      </w:r>
      <w:r>
        <w:rPr>
          <w:sz w:val="20"/>
          <w:szCs w:val="20"/>
        </w:rPr>
        <w:t>ent recorded revenue of $18 million and $19 million, respectively, with respect to deferred revenue outstanding as of the beginning of each respective period.</w:t>
      </w:r>
    </w:p>
    <w:p w:rsidR="00000000" w:rsidRDefault="00DB7886">
      <w:pPr>
        <w:pStyle w:val="a3"/>
        <w:spacing w:before="0" w:beforeAutospacing="0" w:after="240" w:afterAutospacing="0"/>
        <w:divId w:val="1031876424"/>
        <w:rPr>
          <w:b/>
          <w:bCs/>
          <w:i/>
          <w:iCs/>
          <w:sz w:val="20"/>
          <w:szCs w:val="20"/>
        </w:rPr>
      </w:pPr>
      <w:r>
        <w:rPr>
          <w:b/>
          <w:bCs/>
          <w:i/>
          <w:iCs/>
          <w:sz w:val="20"/>
          <w:szCs w:val="20"/>
        </w:rPr>
        <w:t>Adoption of New Accounting Standards</w:t>
      </w:r>
    </w:p>
    <w:p w:rsidR="00000000" w:rsidRDefault="00DB7886">
      <w:pPr>
        <w:pStyle w:val="a3"/>
        <w:spacing w:before="0" w:beforeAutospacing="0" w:after="0" w:afterAutospacing="0"/>
        <w:ind w:firstLine="360"/>
        <w:divId w:val="1031876424"/>
        <w:rPr>
          <w:sz w:val="20"/>
          <w:szCs w:val="20"/>
        </w:rPr>
      </w:pPr>
      <w:r>
        <w:rPr>
          <w:sz w:val="20"/>
          <w:szCs w:val="20"/>
        </w:rPr>
        <w:t>In December 2019, the Financial Account Standards Board (“FA</w:t>
      </w:r>
      <w:r>
        <w:rPr>
          <w:sz w:val="20"/>
          <w:szCs w:val="20"/>
        </w:rPr>
        <w:t xml:space="preserve">SB”) issued Accounting Standards Update (“ASU”) 2019-12, </w:t>
      </w:r>
      <w:r>
        <w:rPr>
          <w:i/>
          <w:iCs/>
          <w:sz w:val="20"/>
          <w:szCs w:val="20"/>
        </w:rPr>
        <w:t>Simplifying the Accounting for Income Taxes</w:t>
      </w:r>
      <w:r>
        <w:rPr>
          <w:sz w:val="20"/>
          <w:szCs w:val="20"/>
        </w:rPr>
        <w:t xml:space="preserve">, which amends FASB ASC Topic 740, </w:t>
      </w:r>
      <w:r>
        <w:rPr>
          <w:i/>
          <w:iCs/>
          <w:sz w:val="20"/>
          <w:szCs w:val="20"/>
        </w:rPr>
        <w:t>Income Taxes</w:t>
      </w:r>
      <w:r>
        <w:rPr>
          <w:sz w:val="20"/>
          <w:szCs w:val="20"/>
        </w:rPr>
        <w:t>. This ASU simplifies the accounting for income taxes by removing certain exceptions to the general principle</w:t>
      </w:r>
      <w:r>
        <w:rPr>
          <w:sz w:val="20"/>
          <w:szCs w:val="20"/>
        </w:rPr>
        <w:t xml:space="preserve">s in the standard and modifies other areas of the standard to clarify the application of U.S. GAAP. This ASU is effective for fiscal years beginning after December 15, 2020, and interim periods within those fiscal years. We have adopted this </w:t>
      </w:r>
    </w:p>
    <w:p w:rsidR="00000000" w:rsidRDefault="00DB7886">
      <w:pPr>
        <w:pStyle w:val="a3"/>
        <w:spacing w:before="480" w:beforeAutospacing="0" w:after="0" w:afterAutospacing="0"/>
        <w:jc w:val="center"/>
        <w:divId w:val="1670058354"/>
        <w:rPr>
          <w:sz w:val="20"/>
          <w:szCs w:val="20"/>
        </w:rPr>
      </w:pPr>
      <w:r>
        <w:rPr>
          <w:sz w:val="20"/>
          <w:szCs w:val="20"/>
        </w:rPr>
        <w:t>17</w:t>
      </w:r>
    </w:p>
    <w:p w:rsidR="00000000" w:rsidRDefault="00DB7886">
      <w:pPr>
        <w:pStyle w:val="a3"/>
        <w:spacing w:before="0" w:beforeAutospacing="0" w:after="600" w:afterAutospacing="0"/>
        <w:divId w:val="1468552506"/>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1468552506"/>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1468552506"/>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1468552506"/>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divId w:val="764158197"/>
        <w:rPr>
          <w:sz w:val="20"/>
          <w:szCs w:val="20"/>
        </w:rPr>
      </w:pPr>
      <w:r>
        <w:rPr>
          <w:sz w:val="20"/>
          <w:szCs w:val="20"/>
        </w:rPr>
        <w:t>standard on January 1, 2021. Certain amendments in this ASU are applied using a retrospective approach and others using the prospective approach. The adoption of this standard did not have a significant impact on our condensed consolidated financial statem</w:t>
      </w:r>
      <w:r>
        <w:rPr>
          <w:sz w:val="20"/>
          <w:szCs w:val="20"/>
        </w:rPr>
        <w:t xml:space="preserve">ents. </w:t>
      </w:r>
    </w:p>
    <w:p w:rsidR="00000000" w:rsidRDefault="00DB7886">
      <w:pPr>
        <w:pStyle w:val="a3"/>
        <w:spacing w:before="0" w:beforeAutospacing="0" w:after="240" w:afterAutospacing="0"/>
        <w:divId w:val="764158197"/>
        <w:rPr>
          <w:sz w:val="20"/>
          <w:szCs w:val="20"/>
        </w:rPr>
      </w:pPr>
      <w:r>
        <w:rPr>
          <w:b/>
          <w:bCs/>
          <w:i/>
          <w:iCs/>
          <w:sz w:val="20"/>
          <w:szCs w:val="20"/>
        </w:rPr>
        <w:t>Recently Issued Accounting Standards</w:t>
      </w:r>
    </w:p>
    <w:p w:rsidR="00000000" w:rsidRDefault="00DB7886">
      <w:pPr>
        <w:pStyle w:val="a3"/>
        <w:spacing w:before="0" w:beforeAutospacing="0" w:after="240" w:afterAutospacing="0"/>
        <w:ind w:firstLine="360"/>
        <w:divId w:val="764158197"/>
        <w:rPr>
          <w:sz w:val="20"/>
          <w:szCs w:val="20"/>
        </w:rPr>
      </w:pPr>
      <w:r>
        <w:rPr>
          <w:sz w:val="20"/>
          <w:szCs w:val="20"/>
        </w:rPr>
        <w:t xml:space="preserve">In March 2020, the FASB issued ASU 2020-04, </w:t>
      </w:r>
      <w:r>
        <w:rPr>
          <w:i/>
          <w:iCs/>
          <w:sz w:val="20"/>
          <w:szCs w:val="20"/>
        </w:rPr>
        <w:t>Facilitation of the Effects of Reference Rate Reform on Financial Reporting</w:t>
      </w:r>
      <w:r>
        <w:rPr>
          <w:sz w:val="20"/>
          <w:szCs w:val="20"/>
        </w:rPr>
        <w:t xml:space="preserve">, which amends FASB ASC Topic 848, </w:t>
      </w:r>
      <w:r>
        <w:rPr>
          <w:i/>
          <w:iCs/>
          <w:sz w:val="20"/>
          <w:szCs w:val="20"/>
        </w:rPr>
        <w:t>Reference Rate Reform</w:t>
      </w:r>
      <w:r>
        <w:rPr>
          <w:sz w:val="20"/>
          <w:szCs w:val="20"/>
        </w:rPr>
        <w:t>. By the end of 2021, banks will no l</w:t>
      </w:r>
      <w:r>
        <w:rPr>
          <w:sz w:val="20"/>
          <w:szCs w:val="20"/>
        </w:rPr>
        <w:t>onger be required to report information that is used to determine London Interbank Offered Rate (“LIBOR”) which is used globally by all types of entities for various types of transactions. As a result, LIBOR could be discontinued, as well as other interest</w:t>
      </w:r>
      <w:r>
        <w:rPr>
          <w:sz w:val="20"/>
          <w:szCs w:val="20"/>
        </w:rPr>
        <w:t xml:space="preserve"> rates used globally. This ASU provides companies with optional expedients for contract modifications under U.S GAAP, excluded components of certain hedging relationships, fair value hedges, and cash flow hedges, as well as certain exceptions, which are in</w:t>
      </w:r>
      <w:r>
        <w:rPr>
          <w:sz w:val="20"/>
          <w:szCs w:val="20"/>
        </w:rPr>
        <w:t>tended to help ease the potential accounting burden associated with transitioning away from these reference rates. Companies can apply this ASU immediately and will only be available for a limited time (generally through December 31, 2022). We are currentl</w:t>
      </w:r>
      <w:r>
        <w:rPr>
          <w:sz w:val="20"/>
          <w:szCs w:val="20"/>
        </w:rPr>
        <w:t>y assessing the impact of this standard on our condensed consolidated financial statements.</w:t>
      </w:r>
    </w:p>
    <w:p w:rsidR="00000000" w:rsidRDefault="00DB7886">
      <w:pPr>
        <w:pStyle w:val="a3"/>
        <w:spacing w:before="0" w:beforeAutospacing="0" w:after="240" w:afterAutospacing="0"/>
        <w:divId w:val="764158197"/>
        <w:rPr>
          <w:b/>
          <w:bCs/>
          <w:sz w:val="20"/>
          <w:szCs w:val="20"/>
        </w:rPr>
      </w:pPr>
      <w:r>
        <w:rPr>
          <w:b/>
          <w:bCs/>
          <w:sz w:val="20"/>
          <w:szCs w:val="20"/>
        </w:rPr>
        <w:t>3.  Related Party Transactions</w:t>
      </w:r>
    </w:p>
    <w:p w:rsidR="00000000" w:rsidRDefault="00DB7886">
      <w:pPr>
        <w:pStyle w:val="a3"/>
        <w:spacing w:before="0" w:beforeAutospacing="0" w:after="240" w:afterAutospacing="0"/>
        <w:ind w:firstLine="360"/>
        <w:divId w:val="764158197"/>
        <w:rPr>
          <w:sz w:val="20"/>
          <w:szCs w:val="20"/>
        </w:rPr>
      </w:pPr>
      <w:r>
        <w:rPr>
          <w:sz w:val="20"/>
          <w:szCs w:val="20"/>
        </w:rPr>
        <w:t>Our second amended and restated agreement of limited partnership expressly permits us to enter into transactions with our general par</w:t>
      </w:r>
      <w:r>
        <w:rPr>
          <w:sz w:val="20"/>
          <w:szCs w:val="20"/>
        </w:rPr>
        <w:t>tner or any of its affiliates, including buying or selling properties from or to our general partner and any of its affiliates and borrowing and lending money from or to our general partner and any of its affiliates, subject to limitations contained in our</w:t>
      </w:r>
      <w:r>
        <w:rPr>
          <w:sz w:val="20"/>
          <w:szCs w:val="20"/>
        </w:rPr>
        <w:t xml:space="preserve"> partnership agreement and the Delaware Revised Uniform Limited Partnership Act. The indentures governing our indebtedness contain certain covenants applicable to transactions with affiliates.</w:t>
      </w:r>
    </w:p>
    <w:p w:rsidR="00000000" w:rsidRDefault="00DB7886">
      <w:pPr>
        <w:pStyle w:val="a3"/>
        <w:spacing w:before="0" w:beforeAutospacing="0" w:after="240" w:afterAutospacing="0"/>
        <w:divId w:val="764158197"/>
        <w:rPr>
          <w:b/>
          <w:bCs/>
          <w:i/>
          <w:iCs/>
          <w:sz w:val="20"/>
          <w:szCs w:val="20"/>
        </w:rPr>
      </w:pPr>
      <w:r>
        <w:rPr>
          <w:b/>
          <w:bCs/>
          <w:i/>
          <w:iCs/>
          <w:sz w:val="20"/>
          <w:szCs w:val="20"/>
        </w:rPr>
        <w:t>Investment Funds</w:t>
      </w:r>
    </w:p>
    <w:p w:rsidR="00000000" w:rsidRDefault="00DB7886">
      <w:pPr>
        <w:pStyle w:val="a3"/>
        <w:spacing w:before="0" w:beforeAutospacing="0" w:after="240" w:afterAutospacing="0"/>
        <w:ind w:firstLine="360"/>
        <w:divId w:val="764158197"/>
        <w:rPr>
          <w:sz w:val="20"/>
          <w:szCs w:val="20"/>
        </w:rPr>
      </w:pPr>
      <w:r>
        <w:rPr>
          <w:sz w:val="20"/>
          <w:szCs w:val="20"/>
        </w:rPr>
        <w:t xml:space="preserve">During the nine months ended September 30, 2020, Mr. Icahn and his affiliates (excluding us) contributed $1,241 million to the Investment Funds consisting primarily of in-kind investments previously held directly by Mr. Icahn and his affiliates (excluding </w:t>
      </w:r>
      <w:r>
        <w:rPr>
          <w:sz w:val="20"/>
          <w:szCs w:val="20"/>
        </w:rPr>
        <w:t>us). As of September 30, 2021 and December 31, 2020, the total fair market value of investments in the Investment Funds made by Mr. Icahn and his affiliates (excluding us and Brett Icahn) was approximately $5.5 billion and $5.0 billion, respectively, repre</w:t>
      </w:r>
      <w:r>
        <w:rPr>
          <w:sz w:val="20"/>
          <w:szCs w:val="20"/>
        </w:rPr>
        <w:t>senting approximately 54% and 54% of the Investment Funds’ assets under management as of each respective date.</w:t>
      </w:r>
    </w:p>
    <w:p w:rsidR="00000000" w:rsidRDefault="00DB7886">
      <w:pPr>
        <w:pStyle w:val="a3"/>
        <w:spacing w:before="0" w:beforeAutospacing="0" w:after="240" w:afterAutospacing="0"/>
        <w:ind w:firstLine="360"/>
        <w:divId w:val="764158197"/>
        <w:rPr>
          <w:sz w:val="20"/>
          <w:szCs w:val="20"/>
        </w:rPr>
      </w:pPr>
      <w:r>
        <w:rPr>
          <w:sz w:val="20"/>
          <w:szCs w:val="20"/>
        </w:rPr>
        <w:t>We pay for expenses pertaining to the operation, administration and investment activities of our Investment segment for the benefit of the Invest</w:t>
      </w:r>
      <w:r>
        <w:rPr>
          <w:sz w:val="20"/>
          <w:szCs w:val="20"/>
        </w:rPr>
        <w:t>ment Funds (including salaries, benefits and rent). Based on an expense-sharing arrangement, certain expenses borne by us are reimbursed by the Investment Funds. For the three months ended September 30, 2021 and 2020, $2 million and $2 million, respectivel</w:t>
      </w:r>
      <w:r>
        <w:rPr>
          <w:sz w:val="20"/>
          <w:szCs w:val="20"/>
        </w:rPr>
        <w:t xml:space="preserve">y, was allocated to the Investment Funds based on this expense-sharing arrangement and for the nine months ended September 30, 2021 and 2020, such allocation was $10 million and $(1) million, respectively. For the nine months ended September 30, 2020, the </w:t>
      </w:r>
      <w:r>
        <w:rPr>
          <w:sz w:val="20"/>
          <w:szCs w:val="20"/>
        </w:rPr>
        <w:t xml:space="preserve">allocation was reduced by $8 million relating to certain compensation arrangements. </w:t>
      </w:r>
    </w:p>
    <w:p w:rsidR="00000000" w:rsidRDefault="00DB7886">
      <w:pPr>
        <w:pStyle w:val="a3"/>
        <w:spacing w:before="0" w:beforeAutospacing="0" w:after="240" w:afterAutospacing="0"/>
        <w:divId w:val="764158197"/>
        <w:rPr>
          <w:b/>
          <w:bCs/>
          <w:i/>
          <w:iCs/>
          <w:sz w:val="20"/>
          <w:szCs w:val="20"/>
        </w:rPr>
      </w:pPr>
      <w:r>
        <w:rPr>
          <w:b/>
          <w:bCs/>
          <w:i/>
          <w:iCs/>
          <w:sz w:val="20"/>
          <w:szCs w:val="20"/>
        </w:rPr>
        <w:t>Hertz Global Holdings, Inc. and 767 Auto Leasing LLC</w:t>
      </w:r>
    </w:p>
    <w:p w:rsidR="00000000" w:rsidRDefault="00DB7886">
      <w:pPr>
        <w:pStyle w:val="a3"/>
        <w:spacing w:before="0" w:beforeAutospacing="0" w:after="240" w:afterAutospacing="0"/>
        <w:ind w:firstLine="360"/>
        <w:divId w:val="764158197"/>
        <w:rPr>
          <w:sz w:val="20"/>
          <w:szCs w:val="20"/>
        </w:rPr>
      </w:pPr>
      <w:r>
        <w:rPr>
          <w:sz w:val="20"/>
          <w:szCs w:val="20"/>
        </w:rPr>
        <w:t>The Investment Funds had an investment in the common stock of Hertz Global Holdings, Inc. (“Hertz”) measured at fair v</w:t>
      </w:r>
      <w:r>
        <w:rPr>
          <w:sz w:val="20"/>
          <w:szCs w:val="20"/>
        </w:rPr>
        <w:t>alue that would have otherwise been subject to the equity method of accounting (until sold in the second quarter of 2020). Icahn Automotive provides services to Hertz in the ordinary course of business. Revenue from Hertz was $20 million for the nine month</w:t>
      </w:r>
      <w:r>
        <w:rPr>
          <w:sz w:val="20"/>
          <w:szCs w:val="20"/>
        </w:rPr>
        <w:t xml:space="preserve">s ended September 30, 2020. </w:t>
      </w:r>
    </w:p>
    <w:p w:rsidR="00000000" w:rsidRDefault="00DB7886">
      <w:pPr>
        <w:pStyle w:val="a3"/>
        <w:spacing w:before="480" w:beforeAutospacing="0" w:after="0" w:afterAutospacing="0"/>
        <w:jc w:val="center"/>
        <w:divId w:val="2060009857"/>
        <w:rPr>
          <w:sz w:val="20"/>
          <w:szCs w:val="20"/>
        </w:rPr>
      </w:pPr>
      <w:r>
        <w:rPr>
          <w:sz w:val="20"/>
          <w:szCs w:val="20"/>
        </w:rPr>
        <w:t>18</w:t>
      </w:r>
    </w:p>
    <w:p w:rsidR="00000000" w:rsidRDefault="00DB7886">
      <w:pPr>
        <w:pStyle w:val="a3"/>
        <w:spacing w:before="0" w:beforeAutospacing="0" w:after="600" w:afterAutospacing="0"/>
        <w:divId w:val="42143952"/>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42143952"/>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42143952"/>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42143952"/>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ind w:firstLine="360"/>
        <w:divId w:val="163327698"/>
        <w:rPr>
          <w:sz w:val="20"/>
          <w:szCs w:val="20"/>
        </w:rPr>
      </w:pPr>
      <w:r>
        <w:rPr>
          <w:sz w:val="20"/>
          <w:szCs w:val="20"/>
        </w:rPr>
        <w:t>In addition to our transac</w:t>
      </w:r>
      <w:r>
        <w:rPr>
          <w:sz w:val="20"/>
          <w:szCs w:val="20"/>
        </w:rPr>
        <w:t>tions with Hertz disclosed above, in January 2018, we entered into a Master Motor Vehicle Lease and Management Agreement with Hertz, pursuant to which Hertz granted 767 Leasing the option to acquire certain vehicles from Hertz at rates aligned with the rat</w:t>
      </w:r>
      <w:r>
        <w:rPr>
          <w:sz w:val="20"/>
          <w:szCs w:val="20"/>
        </w:rPr>
        <w:t>es at which Hertz sells vehicles to third parties. Under this agreement, as amended, Hertz will lease the vehicles that 767 Leasing purchases from Hertz, or from third parties, under a mutually developed fleet plan and Hertz will manage, service, repair, s</w:t>
      </w:r>
      <w:r>
        <w:rPr>
          <w:sz w:val="20"/>
          <w:szCs w:val="20"/>
        </w:rPr>
        <w:t xml:space="preserve">ell and maintain those leased vehicles on behalf of 767 Leasing. Additionally, Hertz will rent the leased vehicles to transportation network company drivers from rental counters within locations leased or owned by us. This agreement had an initial term of </w:t>
      </w:r>
      <w:r>
        <w:rPr>
          <w:sz w:val="20"/>
          <w:szCs w:val="20"/>
        </w:rPr>
        <w:t xml:space="preserve">18 months and is subject to automatic six-month renewals thereafter, unless terminated by either party (with or without cause) prior to the start of any such six-month renewal. Our agreement with Hertz was unanimously approved by the independent directors </w:t>
      </w:r>
      <w:r>
        <w:rPr>
          <w:sz w:val="20"/>
          <w:szCs w:val="20"/>
        </w:rPr>
        <w:t>of Icahn Enterprises’ audit committee. During 2021, this agreement was amended to commence the early disposition of vehicles owned by 767 Leasing. Due to the nature of our involvement with 767 Leasing, which includes Icahn Enterprises and Icahn Enterprises</w:t>
      </w:r>
      <w:r>
        <w:rPr>
          <w:sz w:val="20"/>
          <w:szCs w:val="20"/>
        </w:rPr>
        <w:t xml:space="preserve"> Holdings guaranteeing the payment obligations of 767 Leasing and sharing in the profits of 767 Leasing with Hertz, we determined that 767 Leasing is a variable interest entity. Furthermore, we determined that we are not the primary beneficiary as we do no</w:t>
      </w:r>
      <w:r>
        <w:rPr>
          <w:sz w:val="20"/>
          <w:szCs w:val="20"/>
        </w:rPr>
        <w:t>t have the power to direct the activities of 767 Leasing that most significantly impact its economic performance. Therefore, we do not consolidate the results of 767 Leasing. Our exposure to loss with respect to 767 Leasing is primarily limited to our dire</w:t>
      </w:r>
      <w:r>
        <w:rPr>
          <w:sz w:val="20"/>
          <w:szCs w:val="20"/>
        </w:rPr>
        <w:t>ct investment in 767 Leasing as well as any payment obligations of 767 Leasing that we guarantee, which are not material as of September 30, 2021 and December 31, 2020. For the three and nine months ended September 30, 2021, 767 Leasing distributed $10 mil</w:t>
      </w:r>
      <w:r>
        <w:rPr>
          <w:sz w:val="20"/>
          <w:szCs w:val="20"/>
        </w:rPr>
        <w:t>lion and $26 million, respectively, to us. As of September 30, 2021 and December 31, 2020, we had an equity method investment in 767 Leasing of $12 million and $40 million, respectively, which we report in our Automotive segment.</w:t>
      </w:r>
    </w:p>
    <w:p w:rsidR="00000000" w:rsidRDefault="00DB7886">
      <w:pPr>
        <w:pStyle w:val="a3"/>
        <w:spacing w:before="0" w:beforeAutospacing="0" w:after="240" w:afterAutospacing="0"/>
        <w:divId w:val="163327698"/>
        <w:rPr>
          <w:sz w:val="20"/>
          <w:szCs w:val="20"/>
        </w:rPr>
      </w:pPr>
      <w:r>
        <w:rPr>
          <w:b/>
          <w:bCs/>
          <w:i/>
          <w:iCs/>
          <w:sz w:val="20"/>
          <w:szCs w:val="20"/>
        </w:rPr>
        <w:t>Other Related Party Agreem</w:t>
      </w:r>
      <w:r>
        <w:rPr>
          <w:b/>
          <w:bCs/>
          <w:i/>
          <w:iCs/>
          <w:sz w:val="20"/>
          <w:szCs w:val="20"/>
        </w:rPr>
        <w:t>ents</w:t>
      </w:r>
    </w:p>
    <w:p w:rsidR="00000000" w:rsidRDefault="00DB7886">
      <w:pPr>
        <w:pStyle w:val="a3"/>
        <w:spacing w:before="0" w:beforeAutospacing="0" w:after="240" w:afterAutospacing="0"/>
        <w:ind w:firstLine="360"/>
        <w:divId w:val="163327698"/>
        <w:rPr>
          <w:sz w:val="20"/>
          <w:szCs w:val="20"/>
        </w:rPr>
      </w:pPr>
      <w:r>
        <w:rPr>
          <w:sz w:val="20"/>
          <w:szCs w:val="20"/>
        </w:rPr>
        <w:t xml:space="preserve">On October 1, 2020, we entered into a manager agreement with Brett Icahn, the son of Carl C. Icahn, and affiliates of Brett Icahn. Under the manager agreement, Brett Icahn serves as the portfolio manager of a designated portfolio of assets within the </w:t>
      </w:r>
      <w:r>
        <w:rPr>
          <w:sz w:val="20"/>
          <w:szCs w:val="20"/>
        </w:rPr>
        <w:t>Investment Funds over a seven-year term, subject to veto rights by our Investment segment and Carl C. Icahn. Additionally, Brett Icahn provides certain other services, at our request, which may entail research, analysis and advice with respect to a separat</w:t>
      </w:r>
      <w:r>
        <w:rPr>
          <w:sz w:val="20"/>
          <w:szCs w:val="20"/>
        </w:rPr>
        <w:t>e designated portfolio of assets within the Investment Funds. Subject to the terms of the manager agreement, at the end of the seven-year term, Brett Icahn will be entitled to receive a one-time lump sum payment as described in and computed pursuant to the</w:t>
      </w:r>
      <w:r>
        <w:rPr>
          <w:sz w:val="20"/>
          <w:szCs w:val="20"/>
        </w:rPr>
        <w:t xml:space="preserve"> manager agreement. Brett Icahn will not be entitled to receive from us any other compensation (including any salary or bonus) in respect of the services he is to provide under the manager agreement other than restricted depositary units granted under a re</w:t>
      </w:r>
      <w:r>
        <w:rPr>
          <w:sz w:val="20"/>
          <w:szCs w:val="20"/>
        </w:rPr>
        <w:t xml:space="preserve">stricted unit agreement. In accordance with the manager agreement, Brett Icahn will co-invest with the Investment Funds in certain positions, will make cash contributions to the Investment Funds in order to fund such co-investments and will have a special </w:t>
      </w:r>
      <w:r>
        <w:rPr>
          <w:sz w:val="20"/>
          <w:szCs w:val="20"/>
        </w:rPr>
        <w:t>limited partnership interest in the Investment Funds through which the profit and loss attributable to such co-investments will be allocated to him. During 2021, Brett Icahn contributed $68 million in accordance with the manager agreement and has investmen</w:t>
      </w:r>
      <w:r>
        <w:rPr>
          <w:sz w:val="20"/>
          <w:szCs w:val="20"/>
        </w:rPr>
        <w:t>ts in the Investment Funds with a total fair market value of $83 million as of September 30, 2021. We also entered into a guaranty agreement with an affiliate of Brett Icahn, pursuant to which we guaranteed the payment of certain amounts required to be dis</w:t>
      </w:r>
      <w:r>
        <w:rPr>
          <w:sz w:val="20"/>
          <w:szCs w:val="20"/>
        </w:rPr>
        <w:t>tributed by the Investment Funds to such affiliate pursuant to the terms and conditions of the manager agreement.</w:t>
      </w:r>
    </w:p>
    <w:p w:rsidR="00000000" w:rsidRDefault="00DB7886">
      <w:pPr>
        <w:pStyle w:val="a3"/>
        <w:spacing w:before="480" w:beforeAutospacing="0" w:after="0" w:afterAutospacing="0"/>
        <w:jc w:val="center"/>
        <w:divId w:val="1074863061"/>
        <w:rPr>
          <w:sz w:val="20"/>
          <w:szCs w:val="20"/>
        </w:rPr>
      </w:pPr>
      <w:r>
        <w:rPr>
          <w:sz w:val="20"/>
          <w:szCs w:val="20"/>
        </w:rPr>
        <w:t>19</w:t>
      </w:r>
    </w:p>
    <w:p w:rsidR="00000000" w:rsidRDefault="00DB7886">
      <w:pPr>
        <w:pStyle w:val="a3"/>
        <w:spacing w:before="0" w:beforeAutospacing="0" w:after="600" w:afterAutospacing="0"/>
        <w:divId w:val="301664741"/>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301664741"/>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301664741"/>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301664741"/>
        <w:rPr>
          <w:sz w:val="20"/>
          <w:szCs w:val="20"/>
        </w:rPr>
      </w:pPr>
      <w:r>
        <w:rPr>
          <w:b/>
          <w:bCs/>
          <w:sz w:val="20"/>
          <w:szCs w:val="20"/>
        </w:rPr>
        <w:t xml:space="preserve">Notes </w:t>
      </w:r>
      <w:r>
        <w:rPr>
          <w:b/>
          <w:bCs/>
          <w:sz w:val="20"/>
          <w:szCs w:val="20"/>
        </w:rPr>
        <w:t>to Condensed Consolidated Financial Statements (Unaudited)</w:t>
      </w:r>
    </w:p>
    <w:p w:rsidR="00000000" w:rsidRDefault="00DB7886">
      <w:pPr>
        <w:pStyle w:val="a3"/>
        <w:spacing w:before="0" w:beforeAutospacing="0" w:after="240" w:afterAutospacing="0"/>
        <w:divId w:val="1640303034"/>
        <w:rPr>
          <w:b/>
          <w:bCs/>
          <w:sz w:val="20"/>
          <w:szCs w:val="20"/>
        </w:rPr>
      </w:pPr>
      <w:r>
        <w:rPr>
          <w:b/>
          <w:bCs/>
          <w:sz w:val="20"/>
          <w:szCs w:val="20"/>
        </w:rPr>
        <w:t>4.  Investments</w:t>
      </w:r>
    </w:p>
    <w:p w:rsidR="00000000" w:rsidRDefault="00DB7886">
      <w:pPr>
        <w:pStyle w:val="a3"/>
        <w:spacing w:before="0" w:beforeAutospacing="0" w:after="240" w:afterAutospacing="0"/>
        <w:divId w:val="1640303034"/>
        <w:rPr>
          <w:b/>
          <w:bCs/>
          <w:i/>
          <w:iCs/>
          <w:sz w:val="20"/>
          <w:szCs w:val="20"/>
        </w:rPr>
      </w:pPr>
      <w:r>
        <w:rPr>
          <w:b/>
          <w:bCs/>
          <w:i/>
          <w:iCs/>
          <w:sz w:val="20"/>
          <w:szCs w:val="20"/>
        </w:rPr>
        <w:t>Investment</w:t>
      </w:r>
    </w:p>
    <w:p w:rsidR="00000000" w:rsidRDefault="00DB7886">
      <w:pPr>
        <w:pStyle w:val="a3"/>
        <w:spacing w:before="0" w:beforeAutospacing="0" w:after="240" w:afterAutospacing="0"/>
        <w:ind w:firstLine="360"/>
        <w:divId w:val="1640303034"/>
        <w:rPr>
          <w:sz w:val="20"/>
          <w:szCs w:val="20"/>
        </w:rPr>
      </w:pPr>
      <w:r>
        <w:rPr>
          <w:sz w:val="20"/>
          <w:szCs w:val="20"/>
        </w:rPr>
        <w:t>Investments and securities sold, not yet purchased consist of equities, bonds, bank debt and other corporate obligations, all of which are reported at fair value in our c</w:t>
      </w:r>
      <w:r>
        <w:rPr>
          <w:sz w:val="20"/>
          <w:szCs w:val="20"/>
        </w:rPr>
        <w:t>ondensed consolidated balance sheets. In addition, our Investment segment has certain derivative transactions which are discussed in Note 6, “Financial Instruments.” The carrying value and detail by security type, including business sector for equity secur</w:t>
      </w:r>
      <w:r>
        <w:rPr>
          <w:sz w:val="20"/>
          <w:szCs w:val="20"/>
        </w:rPr>
        <w:t>ities, with respect to investments and securities sold, not yet purchased held by our Investment segment consist of the following:</w:t>
      </w:r>
    </w:p>
    <w:p w:rsidR="00000000" w:rsidRDefault="00DB7886">
      <w:pPr>
        <w:pStyle w:val="a3"/>
        <w:spacing w:before="0" w:beforeAutospacing="0" w:after="0" w:afterAutospacing="0"/>
        <w:divId w:val="164030303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79"/>
        <w:gridCol w:w="1093"/>
        <w:gridCol w:w="200"/>
        <w:gridCol w:w="171"/>
        <w:gridCol w:w="1046"/>
      </w:tblGrid>
      <w:tr w:rsidR="00000000">
        <w:trPr>
          <w:divId w:val="1640303034"/>
          <w:trHeight w:val="20"/>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divId w:val="27834539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98385290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23084058"/>
              <w:rPr>
                <w:sz w:val="20"/>
                <w:szCs w:val="20"/>
              </w:rPr>
            </w:pPr>
            <w:r>
              <w:rPr>
                <w:sz w:val="2"/>
                <w:szCs w:val="2"/>
              </w:rPr>
              <w:t>​</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6059066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84329046"/>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40333852"/>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74160454"/>
              <w:rPr>
                <w:sz w:val="20"/>
                <w:szCs w:val="20"/>
              </w:rPr>
            </w:pPr>
            <w:r>
              <w:rPr>
                <w:sz w:val="2"/>
                <w:szCs w:val="2"/>
              </w:rPr>
              <w:t>​</w:t>
            </w:r>
          </w:p>
        </w:tc>
      </w:tr>
      <w:tr w:rsidR="00000000">
        <w:trPr>
          <w:divId w:val="1640303034"/>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65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December 31, </w:t>
            </w:r>
          </w:p>
        </w:tc>
      </w:tr>
      <w:tr w:rsidR="00000000">
        <w:trPr>
          <w:divId w:val="1640303034"/>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r>
      <w:tr w:rsidR="00000000">
        <w:trPr>
          <w:divId w:val="1640303034"/>
        </w:trPr>
        <w:tc>
          <w:tcPr>
            <w:tcW w:w="0" w:type="auto"/>
            <w:gridSpan w:val="7"/>
            <w:tcMar>
              <w:top w:w="0" w:type="dxa"/>
              <w:left w:w="0" w:type="dxa"/>
              <w:bottom w:w="0" w:type="dxa"/>
              <w:right w:w="0" w:type="dxa"/>
            </w:tcMar>
            <w:vAlign w:val="center"/>
            <w:hideMark/>
          </w:tcPr>
          <w:p w:rsidR="00000000" w:rsidRDefault="00DB7886">
            <w:pPr>
              <w:rPr>
                <w:sz w:val="20"/>
                <w:szCs w:val="20"/>
              </w:rPr>
            </w:pPr>
          </w:p>
        </w:tc>
      </w:tr>
      <w:tr w:rsidR="00000000">
        <w:trPr>
          <w:divId w:val="1640303034"/>
        </w:trPr>
        <w:tc>
          <w:tcPr>
            <w:tcW w:w="3531"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386" w:type="pct"/>
            <w:gridSpan w:val="5"/>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1640303034"/>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56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5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r>
      <w:tr w:rsidR="00000000">
        <w:trPr>
          <w:divId w:val="1640303034"/>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Investments: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r>
      <w:tr w:rsidR="00000000">
        <w:trPr>
          <w:divId w:val="1640303034"/>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Equity securities: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r>
      <w:tr w:rsidR="00000000">
        <w:trPr>
          <w:divId w:val="1640303034"/>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ind w:left="240"/>
              <w:rPr>
                <w:sz w:val="20"/>
                <w:szCs w:val="20"/>
              </w:rPr>
            </w:pPr>
            <w:r>
              <w:rPr>
                <w:sz w:val="20"/>
                <w:szCs w:val="20"/>
              </w:rPr>
              <w:t>Consumer, non-cyclical</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786</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1,548</w:t>
            </w:r>
          </w:p>
        </w:tc>
      </w:tr>
      <w:tr w:rsidR="00000000">
        <w:trPr>
          <w:divId w:val="1640303034"/>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240"/>
              <w:rPr>
                <w:sz w:val="20"/>
                <w:szCs w:val="20"/>
              </w:rPr>
            </w:pPr>
            <w:r>
              <w:rPr>
                <w:sz w:val="20"/>
                <w:szCs w:val="20"/>
              </w:rPr>
              <w:t>Consumer, cyclical</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1,732</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2,073</w:t>
            </w:r>
          </w:p>
        </w:tc>
      </w:tr>
      <w:tr w:rsidR="00000000">
        <w:trPr>
          <w:divId w:val="1640303034"/>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ind w:left="240"/>
              <w:rPr>
                <w:sz w:val="20"/>
                <w:szCs w:val="20"/>
              </w:rPr>
            </w:pPr>
            <w:r>
              <w:rPr>
                <w:sz w:val="20"/>
                <w:szCs w:val="20"/>
              </w:rPr>
              <w:t>Energy</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3,153</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2,654</w:t>
            </w:r>
          </w:p>
        </w:tc>
      </w:tr>
      <w:tr w:rsidR="00000000">
        <w:trPr>
          <w:divId w:val="1640303034"/>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240"/>
              <w:rPr>
                <w:sz w:val="20"/>
                <w:szCs w:val="20"/>
              </w:rPr>
            </w:pPr>
            <w:r>
              <w:rPr>
                <w:sz w:val="20"/>
                <w:szCs w:val="20"/>
              </w:rPr>
              <w:t>Utilities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761</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107</w:t>
            </w:r>
          </w:p>
        </w:tc>
      </w:tr>
      <w:tr w:rsidR="00000000">
        <w:trPr>
          <w:divId w:val="1640303034"/>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ind w:left="240"/>
              <w:rPr>
                <w:sz w:val="20"/>
                <w:szCs w:val="20"/>
              </w:rPr>
            </w:pPr>
            <w:r>
              <w:rPr>
                <w:sz w:val="20"/>
                <w:szCs w:val="20"/>
              </w:rPr>
              <w:t>Healthcare</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950</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r>
      <w:tr w:rsidR="00000000">
        <w:trPr>
          <w:divId w:val="1640303034"/>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240"/>
              <w:rPr>
                <w:sz w:val="20"/>
                <w:szCs w:val="20"/>
              </w:rPr>
            </w:pPr>
            <w:r>
              <w:rPr>
                <w:sz w:val="20"/>
                <w:szCs w:val="20"/>
              </w:rPr>
              <w:t>Technology</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1,715</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1,578</w:t>
            </w:r>
          </w:p>
        </w:tc>
      </w:tr>
      <w:tr w:rsidR="00000000">
        <w:trPr>
          <w:divId w:val="1640303034"/>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ind w:left="240"/>
              <w:rPr>
                <w:sz w:val="20"/>
                <w:szCs w:val="20"/>
              </w:rPr>
            </w:pPr>
            <w:r>
              <w:rPr>
                <w:sz w:val="20"/>
                <w:szCs w:val="20"/>
              </w:rPr>
              <w:t>Materials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181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r>
      <w:tr w:rsidR="00000000">
        <w:trPr>
          <w:divId w:val="1640303034"/>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240"/>
              <w:rPr>
                <w:sz w:val="20"/>
                <w:szCs w:val="20"/>
              </w:rPr>
            </w:pPr>
            <w:r>
              <w:rPr>
                <w:sz w:val="20"/>
                <w:szCs w:val="20"/>
              </w:rPr>
              <w:t>Industrial</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259</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158</w:t>
            </w:r>
          </w:p>
        </w:tc>
      </w:tr>
      <w:tr w:rsidR="00000000">
        <w:trPr>
          <w:divId w:val="1640303034"/>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9,537</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8,118</w:t>
            </w:r>
          </w:p>
        </w:tc>
      </w:tr>
      <w:tr w:rsidR="00000000">
        <w:trPr>
          <w:divId w:val="1640303034"/>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Corporate debt securities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116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121</w:t>
            </w:r>
          </w:p>
        </w:tc>
      </w:tr>
      <w:tr w:rsidR="00000000">
        <w:trPr>
          <w:divId w:val="1640303034"/>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4"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9,653</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3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8,239</w:t>
            </w:r>
          </w:p>
        </w:tc>
      </w:tr>
      <w:tr w:rsidR="00000000">
        <w:trPr>
          <w:divId w:val="1640303034"/>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Liabilities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r>
      <w:tr w:rsidR="00000000">
        <w:trPr>
          <w:divId w:val="1640303034"/>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Securities sold, not yet purchased, at fair value:</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r>
      <w:tr w:rsidR="00000000">
        <w:trPr>
          <w:divId w:val="1640303034"/>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Equity securities: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r>
      <w:tr w:rsidR="00000000">
        <w:trPr>
          <w:divId w:val="1640303034"/>
        </w:trPr>
        <w:tc>
          <w:tcPr>
            <w:tcW w:w="3531" w:type="pct"/>
            <w:noWrap/>
            <w:tcMar>
              <w:top w:w="0" w:type="dxa"/>
              <w:left w:w="0" w:type="dxa"/>
              <w:bottom w:w="0" w:type="dxa"/>
              <w:right w:w="0" w:type="dxa"/>
            </w:tcMar>
            <w:vAlign w:val="bottom"/>
            <w:hideMark/>
          </w:tcPr>
          <w:p w:rsidR="00000000" w:rsidRDefault="00DB7886">
            <w:pPr>
              <w:pStyle w:val="a3"/>
              <w:spacing w:before="0" w:beforeAutospacing="0" w:after="0" w:afterAutospacing="0"/>
              <w:ind w:left="240"/>
              <w:rPr>
                <w:sz w:val="20"/>
                <w:szCs w:val="20"/>
              </w:rPr>
            </w:pPr>
            <w:r>
              <w:rPr>
                <w:sz w:val="20"/>
                <w:szCs w:val="20"/>
              </w:rPr>
              <w:t>Consumer, non-cyclical</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169</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424</w:t>
            </w:r>
          </w:p>
        </w:tc>
      </w:tr>
      <w:tr w:rsidR="00000000">
        <w:trPr>
          <w:divId w:val="1640303034"/>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240"/>
              <w:rPr>
                <w:sz w:val="20"/>
                <w:szCs w:val="20"/>
              </w:rPr>
            </w:pPr>
            <w:r>
              <w:rPr>
                <w:sz w:val="20"/>
                <w:szCs w:val="20"/>
              </w:rPr>
              <w:t>Consumer, cyclical</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713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572</w:t>
            </w:r>
          </w:p>
        </w:tc>
      </w:tr>
      <w:tr w:rsidR="00000000">
        <w:trPr>
          <w:divId w:val="1640303034"/>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ind w:left="240"/>
              <w:rPr>
                <w:sz w:val="20"/>
                <w:szCs w:val="20"/>
              </w:rPr>
            </w:pPr>
            <w:r>
              <w:rPr>
                <w:sz w:val="20"/>
                <w:szCs w:val="20"/>
              </w:rPr>
              <w:t>Energy</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2,112</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1,476</w:t>
            </w:r>
          </w:p>
        </w:tc>
      </w:tr>
      <w:tr w:rsidR="00000000">
        <w:trPr>
          <w:divId w:val="1640303034"/>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240"/>
              <w:rPr>
                <w:sz w:val="20"/>
                <w:szCs w:val="20"/>
              </w:rPr>
            </w:pPr>
            <w:r>
              <w:rPr>
                <w:sz w:val="20"/>
                <w:szCs w:val="20"/>
              </w:rPr>
              <w:t>Utilities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588</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49</w:t>
            </w:r>
          </w:p>
        </w:tc>
      </w:tr>
      <w:tr w:rsidR="00000000">
        <w:trPr>
          <w:divId w:val="1640303034"/>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ind w:left="240"/>
              <w:rPr>
                <w:sz w:val="20"/>
                <w:szCs w:val="20"/>
              </w:rPr>
            </w:pPr>
            <w:r>
              <w:rPr>
                <w:sz w:val="20"/>
                <w:szCs w:val="20"/>
              </w:rPr>
              <w:t>Healthcare</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969</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r>
      <w:tr w:rsidR="00000000">
        <w:trPr>
          <w:divId w:val="1640303034"/>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240"/>
              <w:rPr>
                <w:sz w:val="20"/>
                <w:szCs w:val="20"/>
              </w:rPr>
            </w:pPr>
            <w:r>
              <w:rPr>
                <w:sz w:val="20"/>
                <w:szCs w:val="20"/>
              </w:rPr>
              <w:t>Materials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321</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r>
      <w:tr w:rsidR="00000000">
        <w:trPr>
          <w:divId w:val="1640303034"/>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ind w:left="240"/>
              <w:rPr>
                <w:sz w:val="20"/>
                <w:szCs w:val="20"/>
              </w:rPr>
            </w:pPr>
            <w:r>
              <w:rPr>
                <w:sz w:val="20"/>
                <w:szCs w:val="20"/>
              </w:rPr>
              <w:t>Industrial</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85</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3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r>
      <w:tr w:rsidR="00000000">
        <w:trPr>
          <w:divId w:val="1640303034"/>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4,957</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2,521</w:t>
            </w:r>
          </w:p>
        </w:tc>
      </w:tr>
    </w:tbl>
    <w:p w:rsidR="00000000" w:rsidRDefault="00DB7886">
      <w:pPr>
        <w:pStyle w:val="a3"/>
        <w:spacing w:before="0" w:beforeAutospacing="0" w:after="0" w:afterAutospacing="0"/>
        <w:divId w:val="1640303034"/>
        <w:rPr>
          <w:sz w:val="20"/>
          <w:szCs w:val="20"/>
        </w:rPr>
      </w:pPr>
      <w:r>
        <w:rPr>
          <w:sz w:val="20"/>
          <w:szCs w:val="20"/>
        </w:rPr>
        <w:t>​</w:t>
      </w:r>
    </w:p>
    <w:p w:rsidR="00000000" w:rsidRDefault="00DB7886">
      <w:pPr>
        <w:pStyle w:val="a3"/>
        <w:spacing w:before="0" w:beforeAutospacing="0" w:after="240" w:afterAutospacing="0"/>
        <w:ind w:firstLine="360"/>
        <w:divId w:val="1640303034"/>
        <w:rPr>
          <w:sz w:val="20"/>
          <w:szCs w:val="20"/>
        </w:rPr>
      </w:pPr>
      <w:r>
        <w:rPr>
          <w:sz w:val="20"/>
          <w:szCs w:val="20"/>
        </w:rPr>
        <w:t>The portion of unrealized (losses) gains that relates to securities still held by our Investment segment, primarily equity securities, was $(204) million and $(535) million for the three months ended September 30, 2021 and 2020, respectively, and $1,384 mi</w:t>
      </w:r>
      <w:r>
        <w:rPr>
          <w:sz w:val="20"/>
          <w:szCs w:val="20"/>
        </w:rPr>
        <w:t>llion and $(1,560) million for the nine months ended September 30, 2021 and 2020, respectively.</w:t>
      </w:r>
    </w:p>
    <w:p w:rsidR="00000000" w:rsidRDefault="00DB7886">
      <w:pPr>
        <w:pStyle w:val="a3"/>
        <w:spacing w:before="0" w:beforeAutospacing="0" w:after="0" w:afterAutospacing="0"/>
        <w:divId w:val="1640303034"/>
        <w:rPr>
          <w:sz w:val="20"/>
          <w:szCs w:val="20"/>
        </w:rPr>
      </w:pPr>
      <w:r>
        <w:rPr>
          <w:b/>
          <w:bCs/>
          <w:i/>
          <w:iCs/>
          <w:sz w:val="20"/>
          <w:szCs w:val="20"/>
        </w:rPr>
        <w:t>​</w:t>
      </w:r>
    </w:p>
    <w:p w:rsidR="00000000" w:rsidRDefault="00DB7886">
      <w:pPr>
        <w:pStyle w:val="a3"/>
        <w:spacing w:before="480" w:beforeAutospacing="0" w:after="0" w:afterAutospacing="0"/>
        <w:jc w:val="center"/>
        <w:divId w:val="502285327"/>
        <w:rPr>
          <w:sz w:val="20"/>
          <w:szCs w:val="20"/>
        </w:rPr>
      </w:pPr>
      <w:r>
        <w:rPr>
          <w:sz w:val="20"/>
          <w:szCs w:val="20"/>
        </w:rPr>
        <w:t>20</w:t>
      </w:r>
    </w:p>
    <w:p w:rsidR="00000000" w:rsidRDefault="00DB7886">
      <w:pPr>
        <w:pStyle w:val="a3"/>
        <w:spacing w:before="0" w:beforeAutospacing="0" w:after="600" w:afterAutospacing="0"/>
        <w:divId w:val="112723000"/>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112723000"/>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112723000"/>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112723000"/>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divId w:val="688995647"/>
        <w:rPr>
          <w:b/>
          <w:bCs/>
          <w:i/>
          <w:iCs/>
          <w:sz w:val="20"/>
          <w:szCs w:val="20"/>
        </w:rPr>
      </w:pPr>
      <w:r>
        <w:rPr>
          <w:b/>
          <w:bCs/>
          <w:i/>
          <w:iCs/>
          <w:sz w:val="20"/>
          <w:szCs w:val="20"/>
        </w:rPr>
        <w:t>Other Segments and Holding Company</w:t>
      </w:r>
    </w:p>
    <w:p w:rsidR="00000000" w:rsidRDefault="00DB7886">
      <w:pPr>
        <w:pStyle w:val="a3"/>
        <w:spacing w:before="0" w:beforeAutospacing="0" w:after="240" w:afterAutospacing="0"/>
        <w:ind w:firstLine="360"/>
        <w:divId w:val="688995647"/>
        <w:rPr>
          <w:sz w:val="20"/>
          <w:szCs w:val="20"/>
        </w:rPr>
      </w:pPr>
      <w:r>
        <w:rPr>
          <w:sz w:val="20"/>
          <w:szCs w:val="20"/>
        </w:rPr>
        <w:t>With the exception of certain equity method investments at our operating subsidiaries and our Holding Compa</w:t>
      </w:r>
      <w:r>
        <w:rPr>
          <w:sz w:val="20"/>
          <w:szCs w:val="20"/>
        </w:rPr>
        <w:t>ny disclosed in the table below, our investments are measured at fair value in our condensed consolidated balance sheets. The carrying value of investments held by our other segments and our Holding Company consist of the following:</w:t>
      </w:r>
    </w:p>
    <w:p w:rsidR="00000000" w:rsidRDefault="00DB7886">
      <w:pPr>
        <w:pStyle w:val="a3"/>
        <w:spacing w:before="0" w:beforeAutospacing="0" w:after="0" w:afterAutospacing="0"/>
        <w:divId w:val="68899564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79"/>
        <w:gridCol w:w="1093"/>
        <w:gridCol w:w="200"/>
        <w:gridCol w:w="171"/>
        <w:gridCol w:w="1046"/>
      </w:tblGrid>
      <w:tr w:rsidR="00000000">
        <w:trPr>
          <w:divId w:val="688995647"/>
          <w:trHeight w:val="20"/>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divId w:val="165190353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2203128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69544704"/>
              <w:rPr>
                <w:sz w:val="20"/>
                <w:szCs w:val="20"/>
              </w:rPr>
            </w:pPr>
            <w:r>
              <w:rPr>
                <w:sz w:val="2"/>
                <w:szCs w:val="2"/>
              </w:rPr>
              <w:t>​</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1586066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266377"/>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29156236"/>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921719097"/>
              <w:rPr>
                <w:sz w:val="20"/>
                <w:szCs w:val="20"/>
              </w:rPr>
            </w:pPr>
            <w:r>
              <w:rPr>
                <w:sz w:val="2"/>
                <w:szCs w:val="2"/>
              </w:rPr>
              <w:t>​</w:t>
            </w:r>
          </w:p>
        </w:tc>
      </w:tr>
      <w:tr w:rsidR="00000000">
        <w:trPr>
          <w:divId w:val="688995647"/>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65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December 31, </w:t>
            </w:r>
          </w:p>
        </w:tc>
      </w:tr>
      <w:tr w:rsidR="00000000">
        <w:trPr>
          <w:divId w:val="688995647"/>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r>
      <w:tr w:rsidR="00000000">
        <w:trPr>
          <w:divId w:val="688995647"/>
        </w:trPr>
        <w:tc>
          <w:tcPr>
            <w:tcW w:w="0" w:type="auto"/>
            <w:gridSpan w:val="7"/>
            <w:tcMar>
              <w:top w:w="0" w:type="dxa"/>
              <w:left w:w="0" w:type="dxa"/>
              <w:bottom w:w="0" w:type="dxa"/>
              <w:right w:w="0" w:type="dxa"/>
            </w:tcMar>
            <w:vAlign w:val="center"/>
            <w:hideMark/>
          </w:tcPr>
          <w:p w:rsidR="00000000" w:rsidRDefault="00DB7886">
            <w:pPr>
              <w:rPr>
                <w:sz w:val="20"/>
                <w:szCs w:val="20"/>
              </w:rPr>
            </w:pPr>
          </w:p>
        </w:tc>
      </w:tr>
      <w:tr w:rsidR="00000000">
        <w:trPr>
          <w:divId w:val="688995647"/>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386" w:type="pct"/>
            <w:gridSpan w:val="5"/>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688995647"/>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Equity method investments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91</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120</w:t>
            </w:r>
          </w:p>
        </w:tc>
      </w:tr>
      <w:tr w:rsidR="00000000">
        <w:trPr>
          <w:divId w:val="688995647"/>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Held to maturity debt investments measured at amortized cost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20</w:t>
            </w:r>
          </w:p>
        </w:tc>
      </w:tr>
      <w:tr w:rsidR="00000000">
        <w:trPr>
          <w:divId w:val="688995647"/>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Other investments measured at fair value</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534</w:t>
            </w:r>
          </w:p>
        </w:tc>
      </w:tr>
      <w:tr w:rsidR="00000000">
        <w:trPr>
          <w:divId w:val="688995647"/>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4"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244</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3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674</w:t>
            </w:r>
          </w:p>
        </w:tc>
      </w:tr>
    </w:tbl>
    <w:p w:rsidR="00000000" w:rsidRDefault="00DB7886">
      <w:pPr>
        <w:pStyle w:val="a3"/>
        <w:spacing w:before="0" w:beforeAutospacing="0" w:after="0" w:afterAutospacing="0"/>
        <w:divId w:val="688995647"/>
        <w:rPr>
          <w:sz w:val="20"/>
          <w:szCs w:val="20"/>
        </w:rPr>
      </w:pPr>
      <w:r>
        <w:rPr>
          <w:sz w:val="20"/>
          <w:szCs w:val="20"/>
        </w:rPr>
        <w:t>​</w:t>
      </w:r>
    </w:p>
    <w:p w:rsidR="00000000" w:rsidRDefault="00DB7886">
      <w:pPr>
        <w:pStyle w:val="a3"/>
        <w:spacing w:before="0" w:beforeAutospacing="0" w:after="240" w:afterAutospacing="0"/>
        <w:ind w:firstLine="360"/>
        <w:divId w:val="688995647"/>
        <w:rPr>
          <w:sz w:val="20"/>
          <w:szCs w:val="20"/>
        </w:rPr>
      </w:pPr>
      <w:r>
        <w:rPr>
          <w:sz w:val="20"/>
          <w:szCs w:val="20"/>
        </w:rPr>
        <w:t xml:space="preserve">The portion of unrealized gains (losses) that relates to equity securities still held by our other segments and Holding Company was $(86) million and $(93) million for the three months ended September 30, 2021 and 2020, respectively, and $(42) million and </w:t>
      </w:r>
      <w:r>
        <w:rPr>
          <w:sz w:val="20"/>
          <w:szCs w:val="20"/>
        </w:rPr>
        <w:t>$(259) million for the nine months ended September 30, 2021 and 2020, respectively.</w:t>
      </w:r>
    </w:p>
    <w:p w:rsidR="00000000" w:rsidRDefault="00DB7886">
      <w:pPr>
        <w:pStyle w:val="a3"/>
        <w:spacing w:before="0" w:beforeAutospacing="0" w:after="240" w:afterAutospacing="0"/>
        <w:divId w:val="688995647"/>
        <w:rPr>
          <w:b/>
          <w:bCs/>
          <w:sz w:val="20"/>
          <w:szCs w:val="20"/>
        </w:rPr>
      </w:pPr>
      <w:r>
        <w:rPr>
          <w:b/>
          <w:bCs/>
          <w:sz w:val="20"/>
          <w:szCs w:val="20"/>
        </w:rPr>
        <w:t>5.  Fair Value Measurements</w:t>
      </w:r>
    </w:p>
    <w:p w:rsidR="00000000" w:rsidRDefault="00DB7886">
      <w:pPr>
        <w:pStyle w:val="a3"/>
        <w:spacing w:before="0" w:beforeAutospacing="0" w:after="240" w:afterAutospacing="0"/>
        <w:ind w:firstLine="360"/>
        <w:divId w:val="688995647"/>
        <w:rPr>
          <w:sz w:val="20"/>
          <w:szCs w:val="20"/>
        </w:rPr>
      </w:pPr>
      <w:r>
        <w:rPr>
          <w:sz w:val="20"/>
          <w:szCs w:val="20"/>
        </w:rPr>
        <w:t>U.S. GAAP requires enhanced disclosures about assets and liabilities that are measured and reported at fair value and has established a hierarchal disclosure framework that prioritizes and ranks the level of market price observability used in measuring ass</w:t>
      </w:r>
      <w:r>
        <w:rPr>
          <w:sz w:val="20"/>
          <w:szCs w:val="20"/>
        </w:rPr>
        <w:t xml:space="preserve">ets and liabilities at fair value. Market price observability is impacted by a number of factors, including the type of, and the characteristics specific to, the assets and liabilities. Assets and liabilities with readily available active quoted prices or </w:t>
      </w:r>
      <w:r>
        <w:rPr>
          <w:sz w:val="20"/>
          <w:szCs w:val="20"/>
        </w:rPr>
        <w:t>for which fair value can be measured from actively quoted prices generally will have a higher degree of market price observability and a lesser degree of judgment used in measuring fair value.</w:t>
      </w:r>
    </w:p>
    <w:p w:rsidR="00000000" w:rsidRDefault="00DB7886">
      <w:pPr>
        <w:pStyle w:val="a3"/>
        <w:spacing w:before="0" w:beforeAutospacing="0" w:after="240" w:afterAutospacing="0"/>
        <w:ind w:firstLine="360"/>
        <w:divId w:val="688995647"/>
        <w:rPr>
          <w:sz w:val="20"/>
          <w:szCs w:val="20"/>
        </w:rPr>
      </w:pPr>
      <w:r>
        <w:rPr>
          <w:sz w:val="20"/>
          <w:szCs w:val="20"/>
        </w:rPr>
        <w:t xml:space="preserve">Assets and liabilities measured and reported at fair value are </w:t>
      </w:r>
      <w:r>
        <w:rPr>
          <w:sz w:val="20"/>
          <w:szCs w:val="20"/>
        </w:rPr>
        <w:t>classified and disclosed in one of the following categories:</w:t>
      </w:r>
    </w:p>
    <w:p w:rsidR="00000000" w:rsidRDefault="00DB7886">
      <w:pPr>
        <w:pStyle w:val="a3"/>
        <w:spacing w:before="0" w:beforeAutospacing="0" w:after="240" w:afterAutospacing="0"/>
        <w:ind w:left="360"/>
        <w:divId w:val="688995647"/>
        <w:rPr>
          <w:sz w:val="20"/>
          <w:szCs w:val="20"/>
        </w:rPr>
      </w:pPr>
      <w:r>
        <w:rPr>
          <w:sz w:val="20"/>
          <w:szCs w:val="20"/>
        </w:rPr>
        <w:t>Level 1 - Quoted prices are available in active markets for identical assets and liabilities as of the reporting date.</w:t>
      </w:r>
    </w:p>
    <w:p w:rsidR="00000000" w:rsidRDefault="00DB7886">
      <w:pPr>
        <w:pStyle w:val="a3"/>
        <w:spacing w:before="0" w:beforeAutospacing="0" w:after="240" w:afterAutospacing="0"/>
        <w:ind w:left="360"/>
        <w:divId w:val="688995647"/>
        <w:rPr>
          <w:sz w:val="20"/>
          <w:szCs w:val="20"/>
        </w:rPr>
      </w:pPr>
      <w:r>
        <w:rPr>
          <w:sz w:val="20"/>
          <w:szCs w:val="20"/>
        </w:rPr>
        <w:t>Level 2 - Pricing inputs are other than quoted prices in active markets, whi</w:t>
      </w:r>
      <w:r>
        <w:rPr>
          <w:sz w:val="20"/>
          <w:szCs w:val="20"/>
        </w:rPr>
        <w:t xml:space="preserve">ch are either directly or indirectly observable as of the reporting date, and fair value is determined through the use of models or other valuation methodologies where all significant inputs are observable. The inputs and assumptions of our Level 2 assets </w:t>
      </w:r>
      <w:r>
        <w:rPr>
          <w:sz w:val="20"/>
          <w:szCs w:val="20"/>
        </w:rPr>
        <w:t>and liabilities are derived from market observable sources including reported trades, broker/dealer quotes and other pertinent data.</w:t>
      </w:r>
    </w:p>
    <w:p w:rsidR="00000000" w:rsidRDefault="00DB7886">
      <w:pPr>
        <w:pStyle w:val="a3"/>
        <w:spacing w:before="0" w:beforeAutospacing="0" w:after="240" w:afterAutospacing="0"/>
        <w:ind w:left="360"/>
        <w:divId w:val="688995647"/>
        <w:rPr>
          <w:sz w:val="20"/>
          <w:szCs w:val="20"/>
        </w:rPr>
      </w:pPr>
      <w:r>
        <w:rPr>
          <w:sz w:val="20"/>
          <w:szCs w:val="20"/>
        </w:rPr>
        <w:t>Level 3 - Pricing inputs are unobservable for the assets and liabilities and include situations where there is little, if a</w:t>
      </w:r>
      <w:r>
        <w:rPr>
          <w:sz w:val="20"/>
          <w:szCs w:val="20"/>
        </w:rPr>
        <w:t>ny, market activity for the assets and liabilities. The inputs into the determination of fair value require significant management judgment or estimation. Fair value is determined using comparable market transactions and other valuation methodologies, adju</w:t>
      </w:r>
      <w:r>
        <w:rPr>
          <w:sz w:val="20"/>
          <w:szCs w:val="20"/>
        </w:rPr>
        <w:t>sted as appropriate for liquidity, credit, market and/or other risk factors.</w:t>
      </w:r>
    </w:p>
    <w:p w:rsidR="00000000" w:rsidRDefault="00DB7886">
      <w:pPr>
        <w:pStyle w:val="a3"/>
        <w:spacing w:before="0" w:beforeAutospacing="0" w:after="240" w:afterAutospacing="0"/>
        <w:ind w:firstLine="360"/>
        <w:divId w:val="688995647"/>
        <w:rPr>
          <w:sz w:val="20"/>
          <w:szCs w:val="20"/>
        </w:rPr>
      </w:pPr>
      <w:r>
        <w:rPr>
          <w:sz w:val="20"/>
          <w:szCs w:val="20"/>
        </w:rPr>
        <w:t>In certain cases, the inputs used to measure fair value may fall into different levels of the fair value hierarchy. In such cases, the level within the fair value hierarchy is bas</w:t>
      </w:r>
      <w:r>
        <w:rPr>
          <w:sz w:val="20"/>
          <w:szCs w:val="20"/>
        </w:rPr>
        <w:t xml:space="preserve">ed on the lowest level of input that is significant to the fair value measurement. Our assessment of the significance of a particular input to the fair value measurement in its entirety requires judgment and consideration of factors specific to the assets </w:t>
      </w:r>
      <w:r>
        <w:rPr>
          <w:sz w:val="20"/>
          <w:szCs w:val="20"/>
        </w:rPr>
        <w:t>and liabilities. Significant transfers, if any, between the levels within the fair value hierarchy are recognized at the beginning of the reporting period when changes in circumstances require such transfers.</w:t>
      </w:r>
    </w:p>
    <w:p w:rsidR="00000000" w:rsidRDefault="00DB7886">
      <w:pPr>
        <w:pStyle w:val="a3"/>
        <w:spacing w:before="480" w:beforeAutospacing="0" w:after="0" w:afterAutospacing="0"/>
        <w:jc w:val="center"/>
        <w:divId w:val="577860758"/>
        <w:rPr>
          <w:sz w:val="20"/>
          <w:szCs w:val="20"/>
        </w:rPr>
      </w:pPr>
      <w:r>
        <w:rPr>
          <w:sz w:val="20"/>
          <w:szCs w:val="20"/>
        </w:rPr>
        <w:t>21</w:t>
      </w:r>
    </w:p>
    <w:p w:rsidR="00000000" w:rsidRDefault="00DB7886">
      <w:pPr>
        <w:pStyle w:val="a3"/>
        <w:spacing w:before="0" w:beforeAutospacing="0" w:after="600" w:afterAutospacing="0"/>
        <w:divId w:val="101806349"/>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101806349"/>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101806349"/>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101806349"/>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divId w:val="113788007"/>
        <w:rPr>
          <w:b/>
          <w:bCs/>
          <w:i/>
          <w:iCs/>
          <w:sz w:val="20"/>
          <w:szCs w:val="20"/>
        </w:rPr>
      </w:pPr>
      <w:r>
        <w:rPr>
          <w:b/>
          <w:bCs/>
          <w:i/>
          <w:iCs/>
          <w:sz w:val="20"/>
          <w:szCs w:val="20"/>
        </w:rPr>
        <w:t>Assets and Liabilities Measured at Fair Value on a Recurring Basis</w:t>
      </w:r>
    </w:p>
    <w:p w:rsidR="00000000" w:rsidRDefault="00DB7886">
      <w:pPr>
        <w:pStyle w:val="a3"/>
        <w:spacing w:before="0" w:beforeAutospacing="0" w:after="240" w:afterAutospacing="0"/>
        <w:ind w:firstLine="360"/>
        <w:divId w:val="113788007"/>
        <w:rPr>
          <w:sz w:val="20"/>
          <w:szCs w:val="20"/>
        </w:rPr>
      </w:pPr>
      <w:r>
        <w:rPr>
          <w:sz w:val="20"/>
          <w:szCs w:val="20"/>
        </w:rPr>
        <w:t>The following table summarizes the</w:t>
      </w:r>
      <w:r>
        <w:rPr>
          <w:sz w:val="20"/>
          <w:szCs w:val="20"/>
        </w:rPr>
        <w:t xml:space="preserve"> valuation of our assets and liabilities by the above fair value hierarchy levels measured on a recurring basis:</w:t>
      </w:r>
    </w:p>
    <w:tbl>
      <w:tblPr>
        <w:tblW w:w="5000" w:type="pct"/>
        <w:tblCellMar>
          <w:top w:w="15" w:type="dxa"/>
          <w:left w:w="0" w:type="dxa"/>
          <w:bottom w:w="15" w:type="dxa"/>
          <w:right w:w="0" w:type="dxa"/>
        </w:tblCellMar>
        <w:tblLook w:val="04A0" w:firstRow="1" w:lastRow="0" w:firstColumn="1" w:lastColumn="0" w:noHBand="0" w:noVBand="1"/>
      </w:tblPr>
      <w:tblGrid>
        <w:gridCol w:w="1712"/>
        <w:gridCol w:w="160"/>
        <w:gridCol w:w="101"/>
        <w:gridCol w:w="522"/>
        <w:gridCol w:w="200"/>
        <w:gridCol w:w="102"/>
        <w:gridCol w:w="515"/>
        <w:gridCol w:w="200"/>
        <w:gridCol w:w="102"/>
        <w:gridCol w:w="515"/>
        <w:gridCol w:w="200"/>
        <w:gridCol w:w="100"/>
        <w:gridCol w:w="610"/>
        <w:gridCol w:w="200"/>
        <w:gridCol w:w="101"/>
        <w:gridCol w:w="522"/>
        <w:gridCol w:w="200"/>
        <w:gridCol w:w="102"/>
        <w:gridCol w:w="515"/>
        <w:gridCol w:w="200"/>
        <w:gridCol w:w="102"/>
        <w:gridCol w:w="515"/>
        <w:gridCol w:w="200"/>
        <w:gridCol w:w="100"/>
        <w:gridCol w:w="510"/>
      </w:tblGrid>
      <w:tr w:rsidR="00000000">
        <w:trPr>
          <w:divId w:val="113788007"/>
          <w:trHeight w:val="20"/>
        </w:trPr>
        <w:tc>
          <w:tcPr>
            <w:tcW w:w="1509" w:type="pct"/>
            <w:tcMar>
              <w:top w:w="0" w:type="dxa"/>
              <w:left w:w="0" w:type="dxa"/>
              <w:bottom w:w="0" w:type="dxa"/>
              <w:right w:w="0" w:type="dxa"/>
            </w:tcMar>
            <w:vAlign w:val="bottom"/>
            <w:hideMark/>
          </w:tcPr>
          <w:p w:rsidR="00000000" w:rsidRDefault="00DB7886">
            <w:pPr>
              <w:pStyle w:val="a3"/>
              <w:spacing w:before="0" w:beforeAutospacing="0" w:after="1" w:afterAutospacing="0"/>
              <w:divId w:val="96615778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07573610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629891946"/>
              <w:rPr>
                <w:sz w:val="20"/>
                <w:szCs w:val="20"/>
              </w:rPr>
            </w:pPr>
            <w:r>
              <w:rPr>
                <w:sz w:val="2"/>
                <w:szCs w:val="2"/>
              </w:rPr>
              <w:t>​</w:t>
            </w:r>
          </w:p>
        </w:tc>
        <w:tc>
          <w:tcPr>
            <w:tcW w:w="289"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77660697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19958795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531185850"/>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1701816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3443436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80457470"/>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06287157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07042583"/>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196237320"/>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01334433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63525931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604071995"/>
              <w:rPr>
                <w:sz w:val="20"/>
                <w:szCs w:val="20"/>
              </w:rPr>
            </w:pPr>
            <w:r>
              <w:rPr>
                <w:sz w:val="2"/>
                <w:szCs w:val="2"/>
              </w:rPr>
              <w:t>​</w:t>
            </w:r>
          </w:p>
        </w:tc>
        <w:tc>
          <w:tcPr>
            <w:tcW w:w="289"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55997079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61863719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754589108"/>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2067331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67557531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973436776"/>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43675474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92434489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848567156"/>
              <w:rPr>
                <w:sz w:val="20"/>
                <w:szCs w:val="20"/>
              </w:rPr>
            </w:pPr>
            <w:r>
              <w:rPr>
                <w:sz w:val="2"/>
                <w:szCs w:val="2"/>
              </w:rPr>
              <w:t>​</w:t>
            </w:r>
          </w:p>
        </w:tc>
        <w:tc>
          <w:tcPr>
            <w:tcW w:w="289"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008090432"/>
              <w:rPr>
                <w:sz w:val="20"/>
                <w:szCs w:val="20"/>
              </w:rPr>
            </w:pPr>
            <w:r>
              <w:rPr>
                <w:sz w:val="2"/>
                <w:szCs w:val="2"/>
              </w:rPr>
              <w:t>​</w:t>
            </w:r>
          </w:p>
        </w:tc>
      </w:tr>
      <w:tr w:rsidR="00000000">
        <w:trPr>
          <w:divId w:val="113788007"/>
        </w:trPr>
        <w:tc>
          <w:tcPr>
            <w:tcW w:w="1509"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6"/>
                <w:szCs w:val="16"/>
              </w:rPr>
              <w:t>​</w:t>
            </w:r>
          </w:p>
        </w:tc>
        <w:tc>
          <w:tcPr>
            <w:tcW w:w="1677" w:type="pct"/>
            <w:gridSpan w:val="11"/>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September 30, 2021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20"/>
                <w:szCs w:val="20"/>
              </w:rPr>
              <w:t>​</w:t>
            </w:r>
          </w:p>
        </w:tc>
        <w:tc>
          <w:tcPr>
            <w:tcW w:w="1626" w:type="pct"/>
            <w:gridSpan w:val="11"/>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December 31, 2020</w:t>
            </w:r>
          </w:p>
        </w:tc>
      </w:tr>
      <w:tr w:rsidR="00000000">
        <w:trPr>
          <w:divId w:val="113788007"/>
        </w:trPr>
        <w:tc>
          <w:tcPr>
            <w:tcW w:w="1509"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6"/>
                <w:szCs w:val="16"/>
              </w:rPr>
            </w:pPr>
            <w:r>
              <w:rPr>
                <w:b/>
                <w:bCs/>
                <w:sz w:val="16"/>
                <w:szCs w:val="16"/>
              </w:rPr>
              <w:t>    </w:t>
            </w:r>
          </w:p>
        </w:tc>
        <w:tc>
          <w:tcPr>
            <w:tcW w:w="34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Level 3</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20"/>
                <w:szCs w:val="20"/>
              </w:rPr>
              <w:t>    </w:t>
            </w:r>
          </w:p>
        </w:tc>
        <w:tc>
          <w:tcPr>
            <w:tcW w:w="392"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Total</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20"/>
                <w:szCs w:val="20"/>
              </w:rPr>
              <w:t>    </w:t>
            </w:r>
          </w:p>
        </w:tc>
        <w:tc>
          <w:tcPr>
            <w:tcW w:w="34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Level 3</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20"/>
                <w:szCs w:val="20"/>
              </w:rPr>
              <w:t>    </w:t>
            </w:r>
          </w:p>
        </w:tc>
        <w:tc>
          <w:tcPr>
            <w:tcW w:w="34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Total</w:t>
            </w:r>
          </w:p>
        </w:tc>
      </w:tr>
      <w:tr w:rsidR="00000000">
        <w:trPr>
          <w:divId w:val="113788007"/>
        </w:trPr>
        <w:tc>
          <w:tcPr>
            <w:tcW w:w="0" w:type="auto"/>
            <w:gridSpan w:val="25"/>
            <w:tcMar>
              <w:top w:w="0" w:type="dxa"/>
              <w:left w:w="0" w:type="dxa"/>
              <w:bottom w:w="0" w:type="dxa"/>
              <w:right w:w="0" w:type="dxa"/>
            </w:tcMar>
            <w:vAlign w:val="center"/>
            <w:hideMark/>
          </w:tcPr>
          <w:p w:rsidR="00000000" w:rsidRDefault="00DB7886">
            <w:pPr>
              <w:rPr>
                <w:sz w:val="20"/>
                <w:szCs w:val="20"/>
              </w:rPr>
            </w:pPr>
          </w:p>
        </w:tc>
      </w:tr>
      <w:tr w:rsidR="00000000">
        <w:trPr>
          <w:divId w:val="113788007"/>
        </w:trPr>
        <w:tc>
          <w:tcPr>
            <w:tcW w:w="1509"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6"/>
                <w:szCs w:val="16"/>
              </w:rPr>
              <w:t>​</w:t>
            </w:r>
          </w:p>
        </w:tc>
        <w:tc>
          <w:tcPr>
            <w:tcW w:w="3407" w:type="pct"/>
            <w:gridSpan w:val="23"/>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6"/>
                <w:szCs w:val="16"/>
              </w:rPr>
            </w:pPr>
            <w:r>
              <w:rPr>
                <w:sz w:val="16"/>
                <w:szCs w:val="16"/>
              </w:rPr>
              <w:t>(in millions)</w:t>
            </w:r>
          </w:p>
        </w:tc>
      </w:tr>
      <w:tr w:rsidR="00000000">
        <w:trPr>
          <w:divId w:val="113788007"/>
        </w:trPr>
        <w:tc>
          <w:tcPr>
            <w:tcW w:w="150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r>
      <w:tr w:rsidR="00000000">
        <w:trPr>
          <w:divId w:val="113788007"/>
        </w:trPr>
        <w:tc>
          <w:tcPr>
            <w:tcW w:w="1509"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Investments (Note 4)</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8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9,637</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115</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42</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9,794</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8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8,546</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174</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41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8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8,761</w:t>
            </w:r>
          </w:p>
        </w:tc>
      </w:tr>
      <w:tr w:rsidR="00000000">
        <w:trPr>
          <w:divId w:val="113788007"/>
        </w:trPr>
        <w:tc>
          <w:tcPr>
            <w:tcW w:w="150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Derivative assets, net (Note 6)</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796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796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785</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785</w:t>
            </w:r>
          </w:p>
        </w:tc>
      </w:tr>
      <w:tr w:rsidR="00000000">
        <w:trPr>
          <w:divId w:val="113788007"/>
        </w:trPr>
        <w:tc>
          <w:tcPr>
            <w:tcW w:w="1509"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89"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9,637</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911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42</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34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10,590</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89"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8,546</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959</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41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89"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9,546</w:t>
            </w:r>
          </w:p>
        </w:tc>
      </w:tr>
      <w:tr w:rsidR="00000000">
        <w:trPr>
          <w:divId w:val="113788007"/>
        </w:trPr>
        <w:tc>
          <w:tcPr>
            <w:tcW w:w="150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Liabilities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r>
      <w:tr w:rsidR="00000000">
        <w:trPr>
          <w:divId w:val="113788007"/>
        </w:trPr>
        <w:tc>
          <w:tcPr>
            <w:tcW w:w="1509" w:type="pct"/>
            <w:tcMar>
              <w:top w:w="0" w:type="dxa"/>
              <w:left w:w="0" w:type="dxa"/>
              <w:bottom w:w="0" w:type="dxa"/>
              <w:right w:w="0" w:type="dxa"/>
            </w:tcMar>
            <w:vAlign w:val="bottom"/>
            <w:hideMark/>
          </w:tcPr>
          <w:p w:rsidR="00000000" w:rsidRDefault="00DB7886">
            <w:pPr>
              <w:pStyle w:val="a3"/>
              <w:spacing w:before="0" w:beforeAutospacing="0" w:after="1" w:afterAutospacing="0"/>
              <w:ind w:hanging="144"/>
              <w:rPr>
                <w:sz w:val="20"/>
                <w:szCs w:val="20"/>
              </w:rPr>
            </w:pPr>
            <w:r>
              <w:rPr>
                <w:sz w:val="20"/>
                <w:szCs w:val="20"/>
              </w:rPr>
              <w:t>Securities sold, not yet purchased (Note 4)</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8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4,957</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4,957</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8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2,521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8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2,521</w:t>
            </w:r>
          </w:p>
        </w:tc>
      </w:tr>
      <w:tr w:rsidR="00000000">
        <w:trPr>
          <w:divId w:val="113788007"/>
        </w:trPr>
        <w:tc>
          <w:tcPr>
            <w:tcW w:w="150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Derivative liabilities, net (Note 6)</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479</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479</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11</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628</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639</w:t>
            </w:r>
          </w:p>
        </w:tc>
      </w:tr>
      <w:tr w:rsidR="00000000">
        <w:trPr>
          <w:divId w:val="113788007"/>
        </w:trPr>
        <w:tc>
          <w:tcPr>
            <w:tcW w:w="1509"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Other liabilities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8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442</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34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442</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8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214</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8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214</w:t>
            </w:r>
          </w:p>
        </w:tc>
      </w:tr>
      <w:tr w:rsidR="00000000">
        <w:trPr>
          <w:divId w:val="113788007"/>
        </w:trPr>
        <w:tc>
          <w:tcPr>
            <w:tcW w:w="150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4,957</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921</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5,878</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2,532</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842</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2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3,374</w:t>
            </w:r>
          </w:p>
        </w:tc>
      </w:tr>
    </w:tbl>
    <w:p w:rsidR="00000000" w:rsidRDefault="00DB7886">
      <w:pPr>
        <w:pStyle w:val="a3"/>
        <w:spacing w:before="0" w:beforeAutospacing="0" w:after="0" w:afterAutospacing="0"/>
        <w:divId w:val="113788007"/>
        <w:rPr>
          <w:sz w:val="20"/>
          <w:szCs w:val="20"/>
        </w:rPr>
      </w:pPr>
      <w:r>
        <w:rPr>
          <w:sz w:val="20"/>
          <w:szCs w:val="20"/>
        </w:rPr>
        <w:t>​</w:t>
      </w:r>
    </w:p>
    <w:p w:rsidR="00000000" w:rsidRDefault="00DB7886">
      <w:pPr>
        <w:pStyle w:val="a3"/>
        <w:spacing w:before="0" w:beforeAutospacing="0" w:after="240" w:afterAutospacing="0"/>
        <w:ind w:firstLine="360"/>
        <w:divId w:val="113788007"/>
        <w:rPr>
          <w:sz w:val="20"/>
          <w:szCs w:val="20"/>
        </w:rPr>
      </w:pPr>
      <w:r>
        <w:rPr>
          <w:sz w:val="20"/>
          <w:szCs w:val="20"/>
        </w:rPr>
        <w:t xml:space="preserve">The changes in investments measured at fair value on a recurring basis for which we use Level 3 inputs to determine fair value are as follows: </w:t>
      </w:r>
    </w:p>
    <w:p w:rsidR="00000000" w:rsidRDefault="00DB7886">
      <w:pPr>
        <w:pStyle w:val="a3"/>
        <w:spacing w:before="0" w:beforeAutospacing="0" w:after="0" w:afterAutospacing="0"/>
        <w:divId w:val="11378800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112"/>
        <w:gridCol w:w="160"/>
        <w:gridCol w:w="181"/>
        <w:gridCol w:w="1195"/>
        <w:gridCol w:w="284"/>
        <w:gridCol w:w="178"/>
        <w:gridCol w:w="1196"/>
      </w:tblGrid>
      <w:tr w:rsidR="00000000">
        <w:trPr>
          <w:divId w:val="113788007"/>
          <w:trHeight w:val="20"/>
        </w:trPr>
        <w:tc>
          <w:tcPr>
            <w:tcW w:w="3354" w:type="pct"/>
            <w:tcMar>
              <w:top w:w="0" w:type="dxa"/>
              <w:left w:w="0" w:type="dxa"/>
              <w:bottom w:w="0" w:type="dxa"/>
              <w:right w:w="0" w:type="dxa"/>
            </w:tcMar>
            <w:vAlign w:val="bottom"/>
            <w:hideMark/>
          </w:tcPr>
          <w:p w:rsidR="00000000" w:rsidRDefault="00DB7886">
            <w:pPr>
              <w:pStyle w:val="a3"/>
              <w:spacing w:before="0" w:beforeAutospacing="0" w:after="1" w:afterAutospacing="0"/>
              <w:divId w:val="111987977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093772546"/>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578058812"/>
              <w:rPr>
                <w:sz w:val="20"/>
                <w:szCs w:val="20"/>
              </w:rPr>
            </w:pPr>
            <w:r>
              <w:rPr>
                <w:sz w:val="2"/>
                <w:szCs w:val="2"/>
              </w:rPr>
              <w:t>​</w:t>
            </w:r>
          </w:p>
        </w:tc>
        <w:tc>
          <w:tcPr>
            <w:tcW w:w="615"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852449240"/>
              <w:rPr>
                <w:sz w:val="20"/>
                <w:szCs w:val="20"/>
              </w:rPr>
            </w:pPr>
            <w:r>
              <w:rPr>
                <w:sz w:val="2"/>
                <w:szCs w:val="2"/>
              </w:rPr>
              <w:t>​</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11728647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958676913"/>
              <w:rPr>
                <w:sz w:val="20"/>
                <w:szCs w:val="20"/>
              </w:rPr>
            </w:pPr>
            <w:r>
              <w:rPr>
                <w:sz w:val="2"/>
                <w:szCs w:val="2"/>
              </w:rPr>
              <w:t>​</w:t>
            </w:r>
          </w:p>
        </w:tc>
        <w:tc>
          <w:tcPr>
            <w:tcW w:w="614"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19754764"/>
              <w:rPr>
                <w:sz w:val="20"/>
                <w:szCs w:val="20"/>
              </w:rPr>
            </w:pPr>
            <w:r>
              <w:rPr>
                <w:sz w:val="2"/>
                <w:szCs w:val="2"/>
              </w:rPr>
              <w:t>​</w:t>
            </w:r>
          </w:p>
        </w:tc>
      </w:tr>
      <w:tr w:rsidR="00000000">
        <w:trPr>
          <w:divId w:val="113788007"/>
        </w:trPr>
        <w:tc>
          <w:tcPr>
            <w:tcW w:w="3354"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6"/>
                <w:szCs w:val="16"/>
              </w:rPr>
              <w:t>​</w:t>
            </w:r>
          </w:p>
        </w:tc>
        <w:tc>
          <w:tcPr>
            <w:tcW w:w="1562"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Nine Months Ended September 30, </w:t>
            </w:r>
          </w:p>
        </w:tc>
      </w:tr>
      <w:tr w:rsidR="00000000">
        <w:trPr>
          <w:divId w:val="113788007"/>
        </w:trPr>
        <w:tc>
          <w:tcPr>
            <w:tcW w:w="3354"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6"/>
                <w:szCs w:val="16"/>
              </w:rPr>
            </w:pPr>
            <w:r>
              <w:rPr>
                <w:b/>
                <w:bCs/>
                <w:sz w:val="16"/>
                <w:szCs w:val="16"/>
              </w:rPr>
              <w:t>    </w:t>
            </w:r>
          </w:p>
        </w:tc>
        <w:tc>
          <w:tcPr>
            <w:tcW w:w="708"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2021</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20"/>
                <w:szCs w:val="20"/>
              </w:rPr>
              <w:t>    </w:t>
            </w:r>
          </w:p>
        </w:tc>
        <w:tc>
          <w:tcPr>
            <w:tcW w:w="70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2020</w:t>
            </w:r>
          </w:p>
        </w:tc>
      </w:tr>
      <w:tr w:rsidR="00000000">
        <w:trPr>
          <w:divId w:val="113788007"/>
        </w:trPr>
        <w:tc>
          <w:tcPr>
            <w:tcW w:w="0" w:type="auto"/>
            <w:gridSpan w:val="7"/>
            <w:tcMar>
              <w:top w:w="0" w:type="dxa"/>
              <w:left w:w="0" w:type="dxa"/>
              <w:bottom w:w="0" w:type="dxa"/>
              <w:right w:w="0" w:type="dxa"/>
            </w:tcMar>
            <w:vAlign w:val="center"/>
            <w:hideMark/>
          </w:tcPr>
          <w:p w:rsidR="00000000" w:rsidRDefault="00DB7886">
            <w:pPr>
              <w:rPr>
                <w:sz w:val="20"/>
                <w:szCs w:val="20"/>
              </w:rPr>
            </w:pPr>
          </w:p>
        </w:tc>
      </w:tr>
      <w:tr w:rsidR="00000000">
        <w:trPr>
          <w:divId w:val="113788007"/>
        </w:trPr>
        <w:tc>
          <w:tcPr>
            <w:tcW w:w="3354"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1562" w:type="pct"/>
            <w:gridSpan w:val="5"/>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6"/>
                <w:szCs w:val="16"/>
              </w:rPr>
            </w:pPr>
            <w:r>
              <w:rPr>
                <w:sz w:val="16"/>
                <w:szCs w:val="16"/>
              </w:rPr>
              <w:t>(in millions)</w:t>
            </w:r>
          </w:p>
        </w:tc>
      </w:tr>
      <w:tr w:rsidR="00000000">
        <w:trPr>
          <w:divId w:val="113788007"/>
        </w:trPr>
        <w:tc>
          <w:tcPr>
            <w:tcW w:w="3354"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Balance at January 1</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41</w:t>
            </w:r>
          </w:p>
        </w:tc>
        <w:tc>
          <w:tcPr>
            <w:tcW w:w="1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3</w:t>
            </w:r>
          </w:p>
        </w:tc>
      </w:tr>
      <w:tr w:rsidR="00000000">
        <w:trPr>
          <w:divId w:val="113788007"/>
        </w:trPr>
        <w:tc>
          <w:tcPr>
            <w:tcW w:w="3354"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Transfer in from Level 2</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4"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136</w:t>
            </w:r>
          </w:p>
        </w:tc>
      </w:tr>
      <w:tr w:rsidR="00000000">
        <w:trPr>
          <w:divId w:val="113788007"/>
        </w:trPr>
        <w:tc>
          <w:tcPr>
            <w:tcW w:w="3354"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Purchases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w:t>
            </w:r>
          </w:p>
        </w:tc>
        <w:tc>
          <w:tcPr>
            <w:tcW w:w="1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63</w:t>
            </w:r>
          </w:p>
        </w:tc>
      </w:tr>
      <w:tr w:rsidR="00000000">
        <w:trPr>
          <w:divId w:val="113788007"/>
        </w:trPr>
        <w:tc>
          <w:tcPr>
            <w:tcW w:w="3354"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Other</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61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61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(1)</w:t>
            </w:r>
          </w:p>
        </w:tc>
      </w:tr>
      <w:tr w:rsidR="00000000">
        <w:trPr>
          <w:divId w:val="113788007"/>
        </w:trPr>
        <w:tc>
          <w:tcPr>
            <w:tcW w:w="3354"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Balance at September 30</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42</w:t>
            </w:r>
          </w:p>
        </w:tc>
        <w:tc>
          <w:tcPr>
            <w:tcW w:w="1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201</w:t>
            </w:r>
          </w:p>
        </w:tc>
      </w:tr>
    </w:tbl>
    <w:p w:rsidR="00000000" w:rsidRDefault="00DB7886">
      <w:pPr>
        <w:pStyle w:val="a3"/>
        <w:spacing w:before="0" w:beforeAutospacing="0" w:after="0" w:afterAutospacing="0"/>
        <w:ind w:firstLine="360"/>
        <w:divId w:val="113788007"/>
        <w:rPr>
          <w:sz w:val="20"/>
          <w:szCs w:val="20"/>
        </w:rPr>
      </w:pPr>
      <w:r>
        <w:rPr>
          <w:sz w:val="2"/>
          <w:szCs w:val="2"/>
        </w:rPr>
        <w:t>​</w:t>
      </w:r>
    </w:p>
    <w:p w:rsidR="00000000" w:rsidRDefault="00DB7886">
      <w:pPr>
        <w:pStyle w:val="a3"/>
        <w:spacing w:before="0" w:beforeAutospacing="0" w:after="0" w:afterAutospacing="0"/>
        <w:ind w:firstLine="360"/>
        <w:divId w:val="113788007"/>
        <w:rPr>
          <w:sz w:val="20"/>
          <w:szCs w:val="20"/>
        </w:rPr>
      </w:pPr>
      <w:r>
        <w:rPr>
          <w:sz w:val="20"/>
          <w:szCs w:val="20"/>
        </w:rPr>
        <w:t>​</w:t>
      </w:r>
    </w:p>
    <w:p w:rsidR="00000000" w:rsidRDefault="00DB7886">
      <w:pPr>
        <w:pStyle w:val="a3"/>
        <w:spacing w:before="0" w:beforeAutospacing="0" w:after="240" w:afterAutospacing="0"/>
        <w:divId w:val="113788007"/>
        <w:rPr>
          <w:b/>
          <w:bCs/>
          <w:sz w:val="20"/>
          <w:szCs w:val="20"/>
        </w:rPr>
      </w:pPr>
      <w:r>
        <w:rPr>
          <w:b/>
          <w:bCs/>
          <w:sz w:val="20"/>
          <w:szCs w:val="20"/>
        </w:rPr>
        <w:t>6.  Financial Instruments</w:t>
      </w:r>
    </w:p>
    <w:p w:rsidR="00000000" w:rsidRDefault="00DB7886">
      <w:pPr>
        <w:pStyle w:val="a3"/>
        <w:spacing w:before="0" w:beforeAutospacing="0" w:after="240" w:afterAutospacing="0"/>
        <w:divId w:val="113788007"/>
        <w:rPr>
          <w:b/>
          <w:bCs/>
          <w:i/>
          <w:iCs/>
          <w:sz w:val="20"/>
          <w:szCs w:val="20"/>
        </w:rPr>
      </w:pPr>
      <w:r>
        <w:rPr>
          <w:b/>
          <w:bCs/>
          <w:i/>
          <w:iCs/>
          <w:sz w:val="20"/>
          <w:szCs w:val="20"/>
        </w:rPr>
        <w:t>Overview</w:t>
      </w:r>
    </w:p>
    <w:p w:rsidR="00000000" w:rsidRDefault="00DB7886">
      <w:pPr>
        <w:pStyle w:val="a3"/>
        <w:spacing w:before="0" w:beforeAutospacing="0" w:after="240" w:afterAutospacing="0"/>
        <w:divId w:val="113788007"/>
        <w:rPr>
          <w:i/>
          <w:iCs/>
          <w:sz w:val="20"/>
          <w:szCs w:val="20"/>
        </w:rPr>
      </w:pPr>
      <w:r>
        <w:rPr>
          <w:i/>
          <w:iCs/>
          <w:sz w:val="20"/>
          <w:szCs w:val="20"/>
        </w:rPr>
        <w:t>Investment</w:t>
      </w:r>
    </w:p>
    <w:p w:rsidR="00000000" w:rsidRDefault="00DB7886">
      <w:pPr>
        <w:pStyle w:val="a3"/>
        <w:spacing w:before="0" w:beforeAutospacing="0" w:after="240" w:afterAutospacing="0"/>
        <w:ind w:firstLine="360"/>
        <w:divId w:val="113788007"/>
        <w:rPr>
          <w:sz w:val="20"/>
          <w:szCs w:val="20"/>
        </w:rPr>
      </w:pPr>
      <w:r>
        <w:rPr>
          <w:sz w:val="20"/>
          <w:szCs w:val="20"/>
        </w:rPr>
        <w:t>In the normal course of business, the Investment Funds may trade various financial instruments and enter into certain investment activities, which may give rise to off-balance-sheet risks, with the objective of capital appreciation or as economic hedges ag</w:t>
      </w:r>
      <w:r>
        <w:rPr>
          <w:sz w:val="20"/>
          <w:szCs w:val="20"/>
        </w:rPr>
        <w:t>ainst other securities or the market as a whole. The Investment Funds’ investments may include futures, options, swaps and securities sold, not yet purchased. These financial instruments represent future commitments to purchase or sell other financial inst</w:t>
      </w:r>
      <w:r>
        <w:rPr>
          <w:sz w:val="20"/>
          <w:szCs w:val="20"/>
        </w:rPr>
        <w:t>ruments or to exchange an amount of cash based on the change in an underlying instrument at specific terms at specified future dates. Risks arise with these financial instruments from potential counterparty non-performance and from changes in the market va</w:t>
      </w:r>
      <w:r>
        <w:rPr>
          <w:sz w:val="20"/>
          <w:szCs w:val="20"/>
        </w:rPr>
        <w:t>lues of underlying instruments.</w:t>
      </w:r>
    </w:p>
    <w:p w:rsidR="00000000" w:rsidRDefault="00DB7886">
      <w:pPr>
        <w:pStyle w:val="a3"/>
        <w:spacing w:before="0" w:beforeAutospacing="0" w:after="0" w:afterAutospacing="0"/>
        <w:ind w:firstLine="360"/>
        <w:divId w:val="113788007"/>
        <w:rPr>
          <w:sz w:val="20"/>
          <w:szCs w:val="20"/>
        </w:rPr>
      </w:pPr>
      <w:r>
        <w:rPr>
          <w:sz w:val="20"/>
          <w:szCs w:val="20"/>
        </w:rPr>
        <w:t>Credit concentrations may arise from investment activities and may be impacted by changes in economic, industry or political factors. The Investment Funds routinely execute transactions with counterparties in the financial s</w:t>
      </w:r>
      <w:r>
        <w:rPr>
          <w:sz w:val="20"/>
          <w:szCs w:val="20"/>
        </w:rPr>
        <w:t xml:space="preserve">ervices industry, resulting in credit concentration with respect to the financial services industry. In the ordinary course of business, the Investment Funds may also be subject to a concentration of credit risk to a particular counterparty. The </w:t>
      </w:r>
    </w:p>
    <w:p w:rsidR="00000000" w:rsidRDefault="00DB7886">
      <w:pPr>
        <w:pStyle w:val="a3"/>
        <w:spacing w:before="480" w:beforeAutospacing="0" w:after="0" w:afterAutospacing="0"/>
        <w:jc w:val="center"/>
        <w:divId w:val="879828515"/>
        <w:rPr>
          <w:sz w:val="20"/>
          <w:szCs w:val="20"/>
        </w:rPr>
      </w:pPr>
      <w:r>
        <w:rPr>
          <w:sz w:val="20"/>
          <w:szCs w:val="20"/>
        </w:rPr>
        <w:t>22</w:t>
      </w:r>
    </w:p>
    <w:p w:rsidR="00000000" w:rsidRDefault="00DB7886">
      <w:pPr>
        <w:pStyle w:val="a3"/>
        <w:spacing w:before="0" w:beforeAutospacing="0" w:after="600" w:afterAutospacing="0"/>
        <w:divId w:val="1354452579"/>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1354452579"/>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1354452579"/>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1354452579"/>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divId w:val="1434201764"/>
        <w:rPr>
          <w:sz w:val="20"/>
          <w:szCs w:val="20"/>
        </w:rPr>
      </w:pPr>
      <w:r>
        <w:rPr>
          <w:sz w:val="20"/>
          <w:szCs w:val="20"/>
        </w:rPr>
        <w:t>Investment Funds seek to mitigate these risks by actively monito</w:t>
      </w:r>
      <w:r>
        <w:rPr>
          <w:sz w:val="20"/>
          <w:szCs w:val="20"/>
        </w:rPr>
        <w:t>ring exposures, collateral requirements and the creditworthiness of its counterparties.</w:t>
      </w:r>
    </w:p>
    <w:p w:rsidR="00000000" w:rsidRDefault="00DB7886">
      <w:pPr>
        <w:pStyle w:val="a3"/>
        <w:spacing w:before="0" w:beforeAutospacing="0" w:after="240" w:afterAutospacing="0"/>
        <w:ind w:firstLine="360"/>
        <w:divId w:val="1434201764"/>
        <w:rPr>
          <w:sz w:val="20"/>
          <w:szCs w:val="20"/>
        </w:rPr>
      </w:pPr>
      <w:r>
        <w:rPr>
          <w:sz w:val="20"/>
          <w:szCs w:val="20"/>
        </w:rPr>
        <w:t>The Investment Funds have entered into various types of swap contracts with other counterparties. These agreements provide that they are entitled to receive or are obli</w:t>
      </w:r>
      <w:r>
        <w:rPr>
          <w:sz w:val="20"/>
          <w:szCs w:val="20"/>
        </w:rPr>
        <w:t>gated to pay in cash an amount equal to the increase or decrease, respectively, in the value of the underlying shares, debt and other instruments that are the subject of the contracts, during the period from inception of the applicable agreement to its exp</w:t>
      </w:r>
      <w:r>
        <w:rPr>
          <w:sz w:val="20"/>
          <w:szCs w:val="20"/>
        </w:rPr>
        <w:t>iration. In addition, pursuant to the terms of such agreements, they are entitled to receive or obligated to pay other amounts, including interest, dividends and other distributions made in respect of the underlying shares, debt and other instruments durin</w:t>
      </w:r>
      <w:r>
        <w:rPr>
          <w:sz w:val="20"/>
          <w:szCs w:val="20"/>
        </w:rPr>
        <w:t>g the specified time frame. They are also required to pay to the counterparty a floating interest rate equal to the product of the notional amount multiplied by an agreed-upon rate, and they receive interest on any cash collateral that they post to the cou</w:t>
      </w:r>
      <w:r>
        <w:rPr>
          <w:sz w:val="20"/>
          <w:szCs w:val="20"/>
        </w:rPr>
        <w:t>nterparty at the federal funds or LIBOR rate in effect for such period.</w:t>
      </w:r>
    </w:p>
    <w:p w:rsidR="00000000" w:rsidRDefault="00DB7886">
      <w:pPr>
        <w:pStyle w:val="a3"/>
        <w:spacing w:before="0" w:beforeAutospacing="0" w:after="240" w:afterAutospacing="0"/>
        <w:ind w:firstLine="360"/>
        <w:divId w:val="1434201764"/>
        <w:rPr>
          <w:sz w:val="20"/>
          <w:szCs w:val="20"/>
        </w:rPr>
      </w:pPr>
      <w:r>
        <w:rPr>
          <w:sz w:val="20"/>
          <w:szCs w:val="20"/>
        </w:rPr>
        <w:t>The Investment Funds may trade futures contracts. A futures contract is a firm commitment to buy or sell a specified quantity of a standardized amount of a deliverable grade commodity,</w:t>
      </w:r>
      <w:r>
        <w:rPr>
          <w:sz w:val="20"/>
          <w:szCs w:val="20"/>
        </w:rPr>
        <w:t xml:space="preserve"> security, currency or cash at a specified price and specified future date unless the contract is closed before the delivery date. Payments (or variation margin) are made or received by the Investment Funds each day, depending on the daily fluctuations in </w:t>
      </w:r>
      <w:r>
        <w:rPr>
          <w:sz w:val="20"/>
          <w:szCs w:val="20"/>
        </w:rPr>
        <w:t>the value of the contract, and the whole value change is recorded as an unrealized gain or loss by the Investment Funds. When the contract is closed, the Investment Funds record a realized gain or loss equal to the difference between the value of the contr</w:t>
      </w:r>
      <w:r>
        <w:rPr>
          <w:sz w:val="20"/>
          <w:szCs w:val="20"/>
        </w:rPr>
        <w:t>act at the time it was opened and the value at the time it was closed.</w:t>
      </w:r>
    </w:p>
    <w:p w:rsidR="00000000" w:rsidRDefault="00DB7886">
      <w:pPr>
        <w:pStyle w:val="a3"/>
        <w:spacing w:before="0" w:beforeAutospacing="0" w:after="240" w:afterAutospacing="0"/>
        <w:ind w:firstLine="360"/>
        <w:divId w:val="1434201764"/>
        <w:rPr>
          <w:sz w:val="20"/>
          <w:szCs w:val="20"/>
        </w:rPr>
      </w:pPr>
      <w:r>
        <w:rPr>
          <w:sz w:val="20"/>
          <w:szCs w:val="20"/>
        </w:rPr>
        <w:t>The Investment Funds may utilize forward contracts to seek to protect their assets denominated in foreign currencies and precious metals holdings from losses due to fluctuations in fore</w:t>
      </w:r>
      <w:r>
        <w:rPr>
          <w:sz w:val="20"/>
          <w:szCs w:val="20"/>
        </w:rPr>
        <w:t>ign exchange rates and spot rates. The Investment Funds’ exposure to credit risk associated with non-performance of such forward contracts is limited to the unrealized gains or losses inherent in such contracts, which are recognized in other assets and acc</w:t>
      </w:r>
      <w:r>
        <w:rPr>
          <w:sz w:val="20"/>
          <w:szCs w:val="20"/>
        </w:rPr>
        <w:t>rued expenses and other liabilities in our condensed consolidated balance sheets.</w:t>
      </w:r>
    </w:p>
    <w:p w:rsidR="00000000" w:rsidRDefault="00DB7886">
      <w:pPr>
        <w:pStyle w:val="a3"/>
        <w:spacing w:before="0" w:beforeAutospacing="0" w:after="240" w:afterAutospacing="0"/>
        <w:ind w:firstLine="360"/>
        <w:divId w:val="1434201764"/>
        <w:rPr>
          <w:sz w:val="20"/>
          <w:szCs w:val="20"/>
        </w:rPr>
      </w:pPr>
      <w:r>
        <w:rPr>
          <w:sz w:val="20"/>
          <w:szCs w:val="20"/>
        </w:rPr>
        <w:t>The Investment Funds may also enter into foreign currency contracts for purposes other than hedging denominated securities. When entering into a foreign currency forward cont</w:t>
      </w:r>
      <w:r>
        <w:rPr>
          <w:sz w:val="20"/>
          <w:szCs w:val="20"/>
        </w:rPr>
        <w:t>ract, the Investment Funds agree to receive or deliver a fixed quantity of foreign currency for an agreed-upon price on an agreed-upon future date unless the contract is closed before such date. The Investment Funds record unrealized gains or losses on the</w:t>
      </w:r>
      <w:r>
        <w:rPr>
          <w:sz w:val="20"/>
          <w:szCs w:val="20"/>
        </w:rPr>
        <w:t xml:space="preserve"> contracts as measured by the difference between the forward foreign exchange rates at the dates of entry into such contracts and the forward rates at the reporting date.</w:t>
      </w:r>
    </w:p>
    <w:p w:rsidR="00000000" w:rsidRDefault="00DB7886">
      <w:pPr>
        <w:pStyle w:val="a3"/>
        <w:spacing w:before="0" w:beforeAutospacing="0" w:after="240" w:afterAutospacing="0"/>
        <w:ind w:firstLine="360"/>
        <w:divId w:val="1434201764"/>
        <w:rPr>
          <w:sz w:val="20"/>
          <w:szCs w:val="20"/>
        </w:rPr>
      </w:pPr>
      <w:r>
        <w:rPr>
          <w:sz w:val="20"/>
          <w:szCs w:val="20"/>
        </w:rPr>
        <w:t>The Investment Funds may also purchase and write option contracts. As a writer of opt</w:t>
      </w:r>
      <w:r>
        <w:rPr>
          <w:sz w:val="20"/>
          <w:szCs w:val="20"/>
        </w:rPr>
        <w:t>ion contracts, the Investment Funds receive a premium at the outset and then bear the market risk of unfavorable changes in the price of the underlying financial instrument. As a result of writing option contracts, the Investment Funds are obligated to pur</w:t>
      </w:r>
      <w:r>
        <w:rPr>
          <w:sz w:val="20"/>
          <w:szCs w:val="20"/>
        </w:rPr>
        <w:t>chase or sell, at the holder’s option, the underlying financial instrument. Accordingly, these transactions result in off-balance-sheet risk, as the Investment Funds’ satisfaction of the obligations may exceed the amount recognized in our condensed consoli</w:t>
      </w:r>
      <w:r>
        <w:rPr>
          <w:sz w:val="20"/>
          <w:szCs w:val="20"/>
        </w:rPr>
        <w:t>dated balance sheets.</w:t>
      </w:r>
    </w:p>
    <w:p w:rsidR="00000000" w:rsidRDefault="00DB7886">
      <w:pPr>
        <w:pStyle w:val="a3"/>
        <w:spacing w:before="0" w:beforeAutospacing="0" w:after="240" w:afterAutospacing="0"/>
        <w:ind w:firstLine="360"/>
        <w:divId w:val="1434201764"/>
        <w:rPr>
          <w:sz w:val="20"/>
          <w:szCs w:val="20"/>
        </w:rPr>
      </w:pPr>
      <w:r>
        <w:rPr>
          <w:sz w:val="20"/>
          <w:szCs w:val="20"/>
        </w:rPr>
        <w:t>Certain terms of the Investment Funds’ contracts with derivative counterparties, which are standard and customary to such contracts, contain certain triggering events that would give the counterparties the right to terminate the deriv</w:t>
      </w:r>
      <w:r>
        <w:rPr>
          <w:sz w:val="20"/>
          <w:szCs w:val="20"/>
        </w:rPr>
        <w:t>ative instruments. In such events, the counterparties to the derivative instruments could request immediate payment on derivative instruments in net liability positions. The aggregate fair value of all of the Investment Funds’ derivative instruments with c</w:t>
      </w:r>
      <w:r>
        <w:rPr>
          <w:sz w:val="20"/>
          <w:szCs w:val="20"/>
        </w:rPr>
        <w:t>redit-risk-related contingent features that are in a liability position as of September 30, 2021 and December 31, 2020 was $0 million and $1 million, respectively.</w:t>
      </w:r>
    </w:p>
    <w:p w:rsidR="00000000" w:rsidRDefault="00DB7886">
      <w:pPr>
        <w:pStyle w:val="a3"/>
        <w:spacing w:before="0" w:beforeAutospacing="0" w:after="0" w:afterAutospacing="0"/>
        <w:divId w:val="1434201764"/>
        <w:rPr>
          <w:sz w:val="20"/>
          <w:szCs w:val="20"/>
        </w:rPr>
      </w:pPr>
      <w:r>
        <w:rPr>
          <w:sz w:val="20"/>
          <w:szCs w:val="20"/>
        </w:rPr>
        <w:t>​</w:t>
      </w:r>
    </w:p>
    <w:p w:rsidR="00000000" w:rsidRDefault="00DB7886">
      <w:pPr>
        <w:pStyle w:val="a3"/>
        <w:spacing w:before="480" w:beforeAutospacing="0" w:after="0" w:afterAutospacing="0"/>
        <w:jc w:val="center"/>
        <w:divId w:val="1493258800"/>
        <w:rPr>
          <w:sz w:val="20"/>
          <w:szCs w:val="20"/>
        </w:rPr>
      </w:pPr>
      <w:r>
        <w:rPr>
          <w:sz w:val="20"/>
          <w:szCs w:val="20"/>
        </w:rPr>
        <w:t>23</w:t>
      </w:r>
    </w:p>
    <w:p w:rsidR="00000000" w:rsidRDefault="00DB7886">
      <w:pPr>
        <w:pStyle w:val="a3"/>
        <w:spacing w:before="0" w:beforeAutospacing="0" w:after="600" w:afterAutospacing="0"/>
        <w:divId w:val="795879677"/>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795879677"/>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795879677"/>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795879677"/>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ind w:firstLine="360"/>
        <w:divId w:val="1978022277"/>
        <w:rPr>
          <w:sz w:val="20"/>
          <w:szCs w:val="20"/>
        </w:rPr>
      </w:pPr>
      <w:r>
        <w:rPr>
          <w:sz w:val="20"/>
          <w:szCs w:val="20"/>
        </w:rPr>
        <w:t>The following table summarizes the volume of our Investment segment’s derivative activities based on t</w:t>
      </w:r>
      <w:r>
        <w:rPr>
          <w:sz w:val="20"/>
          <w:szCs w:val="20"/>
        </w:rPr>
        <w:t>heir notional exposure, categorized by primary underlying risk:</w:t>
      </w:r>
    </w:p>
    <w:p w:rsidR="00000000" w:rsidRDefault="00DB7886">
      <w:pPr>
        <w:pStyle w:val="a3"/>
        <w:spacing w:before="0" w:beforeAutospacing="0" w:after="0" w:afterAutospacing="0"/>
        <w:divId w:val="197802227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98"/>
        <w:gridCol w:w="160"/>
        <w:gridCol w:w="104"/>
        <w:gridCol w:w="708"/>
        <w:gridCol w:w="200"/>
        <w:gridCol w:w="104"/>
        <w:gridCol w:w="708"/>
        <w:gridCol w:w="200"/>
        <w:gridCol w:w="104"/>
        <w:gridCol w:w="708"/>
        <w:gridCol w:w="200"/>
        <w:gridCol w:w="104"/>
        <w:gridCol w:w="708"/>
      </w:tblGrid>
      <w:tr w:rsidR="00000000">
        <w:trPr>
          <w:divId w:val="1978022277"/>
          <w:trHeight w:val="20"/>
        </w:trPr>
        <w:tc>
          <w:tcPr>
            <w:tcW w:w="2838" w:type="pct"/>
            <w:tcMar>
              <w:top w:w="0" w:type="dxa"/>
              <w:left w:w="0" w:type="dxa"/>
              <w:bottom w:w="0" w:type="dxa"/>
              <w:right w:w="0" w:type="dxa"/>
            </w:tcMar>
            <w:vAlign w:val="bottom"/>
            <w:hideMark/>
          </w:tcPr>
          <w:p w:rsidR="00000000" w:rsidRDefault="00DB7886">
            <w:pPr>
              <w:pStyle w:val="a3"/>
              <w:spacing w:before="0" w:beforeAutospacing="0" w:after="1" w:afterAutospacing="0"/>
              <w:divId w:val="402215317"/>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27247662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384261996"/>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65748082"/>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7467379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284077382"/>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96688273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582684038"/>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815610284"/>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2717067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1844193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405953237"/>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342512483"/>
              <w:rPr>
                <w:sz w:val="20"/>
                <w:szCs w:val="20"/>
              </w:rPr>
            </w:pPr>
            <w:r>
              <w:rPr>
                <w:sz w:val="2"/>
                <w:szCs w:val="2"/>
              </w:rPr>
              <w:t>​</w:t>
            </w:r>
          </w:p>
        </w:tc>
      </w:tr>
      <w:tr w:rsidR="00000000">
        <w:trPr>
          <w:divId w:val="1978022277"/>
        </w:trPr>
        <w:tc>
          <w:tcPr>
            <w:tcW w:w="2838"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16"/>
                <w:szCs w:val="16"/>
              </w:rPr>
              <w:t>​</w:t>
            </w:r>
          </w:p>
        </w:tc>
        <w:tc>
          <w:tcPr>
            <w:tcW w:w="983"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September 30, 2021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20"/>
                <w:szCs w:val="20"/>
              </w:rPr>
              <w:t>​</w:t>
            </w:r>
          </w:p>
        </w:tc>
        <w:tc>
          <w:tcPr>
            <w:tcW w:w="983"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December 31, 2020</w:t>
            </w:r>
          </w:p>
        </w:tc>
      </w:tr>
      <w:tr w:rsidR="00000000">
        <w:trPr>
          <w:divId w:val="1978022277"/>
        </w:trPr>
        <w:tc>
          <w:tcPr>
            <w:tcW w:w="2838"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6"/>
                <w:szCs w:val="16"/>
              </w:rPr>
            </w:pPr>
            <w:r>
              <w:rPr>
                <w:b/>
                <w:bCs/>
                <w:sz w:val="16"/>
                <w:szCs w:val="16"/>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Long Notional Exposure</w:t>
            </w:r>
          </w:p>
        </w:tc>
        <w:tc>
          <w:tcPr>
            <w:tcW w:w="104"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Short Notional Exposure</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Long Notional Exposure</w:t>
            </w:r>
          </w:p>
        </w:tc>
        <w:tc>
          <w:tcPr>
            <w:tcW w:w="104"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Short Notional Exposure</w:t>
            </w:r>
          </w:p>
        </w:tc>
      </w:tr>
      <w:tr w:rsidR="00000000">
        <w:trPr>
          <w:divId w:val="1978022277"/>
        </w:trPr>
        <w:tc>
          <w:tcPr>
            <w:tcW w:w="0" w:type="auto"/>
            <w:gridSpan w:val="13"/>
            <w:tcMar>
              <w:top w:w="0" w:type="dxa"/>
              <w:left w:w="0" w:type="dxa"/>
              <w:bottom w:w="0" w:type="dxa"/>
              <w:right w:w="0" w:type="dxa"/>
            </w:tcMar>
            <w:vAlign w:val="center"/>
            <w:hideMark/>
          </w:tcPr>
          <w:p w:rsidR="00000000" w:rsidRDefault="00DB7886">
            <w:pPr>
              <w:rPr>
                <w:sz w:val="20"/>
                <w:szCs w:val="20"/>
              </w:rPr>
            </w:pPr>
          </w:p>
        </w:tc>
      </w:tr>
      <w:tr w:rsidR="00000000">
        <w:trPr>
          <w:divId w:val="1978022277"/>
        </w:trPr>
        <w:tc>
          <w:tcPr>
            <w:tcW w:w="2838"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16"/>
                <w:szCs w:val="16"/>
              </w:rPr>
              <w:t>​</w:t>
            </w:r>
          </w:p>
        </w:tc>
        <w:tc>
          <w:tcPr>
            <w:tcW w:w="56" w:type="pct"/>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w:t>
            </w:r>
          </w:p>
        </w:tc>
        <w:tc>
          <w:tcPr>
            <w:tcW w:w="2014" w:type="pct"/>
            <w:gridSpan w:val="10"/>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6"/>
                <w:szCs w:val="16"/>
              </w:rPr>
            </w:pPr>
            <w:r>
              <w:rPr>
                <w:sz w:val="16"/>
                <w:szCs w:val="16"/>
              </w:rPr>
              <w:t>(in millions)</w:t>
            </w:r>
          </w:p>
        </w:tc>
      </w:tr>
      <w:tr w:rsidR="00000000">
        <w:trPr>
          <w:divId w:val="1978022277"/>
        </w:trPr>
        <w:tc>
          <w:tcPr>
            <w:tcW w:w="2838"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Primary underlying risk:</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104"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104"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rFonts w:ascii="Calibri" w:hAnsi="Calibri" w:cs="Calibri"/>
                <w:sz w:val="20"/>
                <w:szCs w:val="20"/>
              </w:rPr>
              <w:t>​</w:t>
            </w:r>
          </w:p>
        </w:tc>
      </w:tr>
      <w:tr w:rsidR="00000000">
        <w:trPr>
          <w:divId w:val="1978022277"/>
        </w:trPr>
        <w:tc>
          <w:tcPr>
            <w:tcW w:w="2838"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20"/>
                <w:szCs w:val="20"/>
              </w:rPr>
            </w:pPr>
            <w:r>
              <w:rPr>
                <w:sz w:val="20"/>
                <w:szCs w:val="20"/>
              </w:rPr>
              <w:t>Equity contracts</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1,411</w:t>
            </w:r>
          </w:p>
        </w:tc>
        <w:tc>
          <w:tcPr>
            <w:tcW w:w="10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5,086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8,623</w:t>
            </w:r>
          </w:p>
        </w:tc>
      </w:tr>
      <w:tr w:rsidR="00000000">
        <w:trPr>
          <w:divId w:val="1978022277"/>
        </w:trPr>
        <w:tc>
          <w:tcPr>
            <w:tcW w:w="2838"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20"/>
                <w:szCs w:val="20"/>
              </w:rPr>
            </w:pPr>
            <w:r>
              <w:rPr>
                <w:sz w:val="20"/>
                <w:szCs w:val="20"/>
              </w:rPr>
              <w:t>Credit contract</w:t>
            </w:r>
            <w:r>
              <w:rPr>
                <w:sz w:val="20"/>
                <w:szCs w:val="20"/>
              </w:rPr>
              <w:t>s</w:t>
            </w:r>
            <w:r>
              <w:rPr>
                <w:sz w:val="15"/>
                <w:szCs w:val="15"/>
                <w:vertAlign w:val="superscript"/>
              </w:rPr>
              <w:t>(1)</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2,153</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2,099</w:t>
            </w:r>
          </w:p>
        </w:tc>
      </w:tr>
    </w:tbl>
    <w:p w:rsidR="00000000" w:rsidRDefault="00DB7886">
      <w:pPr>
        <w:divId w:val="19780222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978022277"/>
        </w:trPr>
        <w:tc>
          <w:tcPr>
            <w:tcW w:w="360" w:type="dxa"/>
            <w:noWrap/>
            <w:tcMar>
              <w:top w:w="0" w:type="dxa"/>
              <w:left w:w="0" w:type="dxa"/>
              <w:bottom w:w="0" w:type="dxa"/>
              <w:right w:w="0" w:type="dxa"/>
            </w:tcMar>
            <w:hideMark/>
          </w:tcPr>
          <w:p w:rsidR="00000000" w:rsidRDefault="00DB7886">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DB7886">
            <w:pPr>
              <w:rPr>
                <w:rFonts w:eastAsia="Times New Roman"/>
                <w:sz w:val="20"/>
                <w:szCs w:val="20"/>
              </w:rPr>
            </w:pPr>
            <w:r>
              <w:rPr>
                <w:rFonts w:eastAsia="Times New Roman"/>
                <w:sz w:val="16"/>
                <w:szCs w:val="16"/>
              </w:rPr>
              <w:t>The short notional amount on our credit default swap positions was approximately $6.5 billion at September 30, 2021. However, because credit spreads cannot compress below zero, our downside short notional exposure to loss is approximately $2.2 billion as o</w:t>
            </w:r>
            <w:r>
              <w:rPr>
                <w:rFonts w:eastAsia="Times New Roman"/>
                <w:sz w:val="16"/>
                <w:szCs w:val="16"/>
              </w:rPr>
              <w:t>f September 30, 2021. The short notional amount on our credit default swap positions was approximately $6.3 billion as of December 31, 2020. However, because credit spreads cannot compress below zero, our downside short notional exposure to loss is approxi</w:t>
            </w:r>
            <w:r>
              <w:rPr>
                <w:rFonts w:eastAsia="Times New Roman"/>
                <w:sz w:val="16"/>
                <w:szCs w:val="16"/>
              </w:rPr>
              <w:t>mately $2.1 billion as of December 31, 2020.</w:t>
            </w:r>
          </w:p>
        </w:tc>
      </w:tr>
    </w:tbl>
    <w:p w:rsidR="00000000" w:rsidRDefault="00DB7886">
      <w:pPr>
        <w:pStyle w:val="a3"/>
        <w:spacing w:before="0" w:beforeAutospacing="0" w:after="240" w:afterAutospacing="0"/>
        <w:ind w:firstLine="360"/>
        <w:divId w:val="1978022277"/>
        <w:rPr>
          <w:sz w:val="20"/>
          <w:szCs w:val="20"/>
        </w:rPr>
      </w:pPr>
      <w:r>
        <w:rPr>
          <w:sz w:val="20"/>
          <w:szCs w:val="20"/>
        </w:rPr>
        <w:t>Certain derivative contracts executed by each of the Investment Funds with a single counterparty are reported on a net-by-counterparty basis where a legal right of offset exists under an enforceable netting agr</w:t>
      </w:r>
      <w:r>
        <w:rPr>
          <w:sz w:val="20"/>
          <w:szCs w:val="20"/>
        </w:rPr>
        <w:t>eement. Values for the derivative financial instruments, principally swaps, forwards, over-the-counter options and other conditional and exchange contracts, are reported on a net-by-counterparty basis.</w:t>
      </w:r>
    </w:p>
    <w:p w:rsidR="00000000" w:rsidRDefault="00DB7886">
      <w:pPr>
        <w:pStyle w:val="a3"/>
        <w:spacing w:before="0" w:beforeAutospacing="0" w:after="240" w:afterAutospacing="0"/>
        <w:ind w:firstLine="360"/>
        <w:divId w:val="1978022277"/>
        <w:rPr>
          <w:sz w:val="20"/>
          <w:szCs w:val="20"/>
        </w:rPr>
      </w:pPr>
      <w:r>
        <w:rPr>
          <w:sz w:val="20"/>
          <w:szCs w:val="20"/>
        </w:rPr>
        <w:t>The following table presents the fair values of our In</w:t>
      </w:r>
      <w:r>
        <w:rPr>
          <w:sz w:val="20"/>
          <w:szCs w:val="20"/>
        </w:rPr>
        <w:t>vestment segment’s derivatives that are not designated as hedging instruments in accordance with U.S. GAAP:</w:t>
      </w:r>
    </w:p>
    <w:p w:rsidR="00000000" w:rsidRDefault="00DB7886">
      <w:pPr>
        <w:pStyle w:val="a3"/>
        <w:spacing w:before="0" w:beforeAutospacing="0" w:after="0" w:afterAutospacing="0"/>
        <w:divId w:val="197802227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926"/>
        <w:gridCol w:w="200"/>
        <w:gridCol w:w="179"/>
        <w:gridCol w:w="1493"/>
        <w:gridCol w:w="201"/>
        <w:gridCol w:w="173"/>
        <w:gridCol w:w="1444"/>
        <w:gridCol w:w="200"/>
        <w:gridCol w:w="179"/>
        <w:gridCol w:w="1493"/>
        <w:gridCol w:w="201"/>
        <w:gridCol w:w="173"/>
        <w:gridCol w:w="1444"/>
      </w:tblGrid>
      <w:tr w:rsidR="00000000">
        <w:trPr>
          <w:divId w:val="1978022277"/>
          <w:trHeight w:val="20"/>
        </w:trPr>
        <w:tc>
          <w:tcPr>
            <w:tcW w:w="1197" w:type="pct"/>
            <w:tcMar>
              <w:top w:w="0" w:type="dxa"/>
              <w:left w:w="0" w:type="dxa"/>
              <w:bottom w:w="0" w:type="dxa"/>
              <w:right w:w="0" w:type="dxa"/>
            </w:tcMar>
            <w:vAlign w:val="bottom"/>
            <w:hideMark/>
          </w:tcPr>
          <w:p w:rsidR="00000000" w:rsidRDefault="00DB7886">
            <w:pPr>
              <w:pStyle w:val="a3"/>
              <w:spacing w:before="0" w:beforeAutospacing="0" w:after="1" w:afterAutospacing="0"/>
              <w:divId w:val="60404613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01379659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128553164"/>
              <w:rPr>
                <w:sz w:val="20"/>
                <w:szCs w:val="20"/>
              </w:rPr>
            </w:pPr>
            <w:r>
              <w:rPr>
                <w:sz w:val="2"/>
                <w:szCs w:val="2"/>
              </w:rPr>
              <w:t>​</w:t>
            </w:r>
          </w:p>
        </w:tc>
        <w:tc>
          <w:tcPr>
            <w:tcW w:w="769"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16273980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41597618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952467487"/>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04806630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83371842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43280441"/>
              <w:rPr>
                <w:sz w:val="20"/>
                <w:szCs w:val="20"/>
              </w:rPr>
            </w:pPr>
            <w:r>
              <w:rPr>
                <w:sz w:val="2"/>
                <w:szCs w:val="2"/>
              </w:rPr>
              <w:t>​</w:t>
            </w:r>
          </w:p>
        </w:tc>
        <w:tc>
          <w:tcPr>
            <w:tcW w:w="769"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09321089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972906864"/>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943147296"/>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078208018"/>
              <w:rPr>
                <w:sz w:val="20"/>
                <w:szCs w:val="20"/>
              </w:rPr>
            </w:pPr>
            <w:r>
              <w:rPr>
                <w:sz w:val="2"/>
                <w:szCs w:val="2"/>
              </w:rPr>
              <w:t>​</w:t>
            </w:r>
          </w:p>
        </w:tc>
      </w:tr>
      <w:tr w:rsidR="00000000">
        <w:trPr>
          <w:divId w:val="1978022277"/>
        </w:trPr>
        <w:tc>
          <w:tcPr>
            <w:tcW w:w="1197"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6"/>
                <w:szCs w:val="16"/>
              </w:rPr>
              <w:t>​</w:t>
            </w:r>
          </w:p>
        </w:tc>
        <w:tc>
          <w:tcPr>
            <w:tcW w:w="1797"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Derivative Assets</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20"/>
                <w:szCs w:val="20"/>
              </w:rPr>
              <w:t>​</w:t>
            </w:r>
          </w:p>
        </w:tc>
        <w:tc>
          <w:tcPr>
            <w:tcW w:w="1798"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Derivative Liabilities</w:t>
            </w:r>
          </w:p>
        </w:tc>
      </w:tr>
      <w:tr w:rsidR="00000000">
        <w:trPr>
          <w:divId w:val="1978022277"/>
        </w:trPr>
        <w:tc>
          <w:tcPr>
            <w:tcW w:w="1197"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86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September 30, 2021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December 31, 2020</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86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September 30, 2021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December 31, 2020</w:t>
            </w:r>
          </w:p>
        </w:tc>
      </w:tr>
      <w:tr w:rsidR="00000000">
        <w:trPr>
          <w:divId w:val="1978022277"/>
        </w:trPr>
        <w:tc>
          <w:tcPr>
            <w:tcW w:w="0" w:type="auto"/>
            <w:gridSpan w:val="13"/>
            <w:tcMar>
              <w:top w:w="0" w:type="dxa"/>
              <w:left w:w="0" w:type="dxa"/>
              <w:bottom w:w="0" w:type="dxa"/>
              <w:right w:w="0" w:type="dxa"/>
            </w:tcMar>
            <w:vAlign w:val="center"/>
            <w:hideMark/>
          </w:tcPr>
          <w:p w:rsidR="00000000" w:rsidRDefault="00DB7886">
            <w:pPr>
              <w:rPr>
                <w:sz w:val="20"/>
                <w:szCs w:val="20"/>
              </w:rPr>
            </w:pPr>
          </w:p>
        </w:tc>
      </w:tr>
      <w:tr w:rsidR="00000000">
        <w:trPr>
          <w:divId w:val="1978022277"/>
        </w:trPr>
        <w:tc>
          <w:tcPr>
            <w:tcW w:w="1197"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20"/>
                <w:szCs w:val="20"/>
              </w:rPr>
              <w:t>​</w:t>
            </w:r>
          </w:p>
        </w:tc>
        <w:tc>
          <w:tcPr>
            <w:tcW w:w="3606" w:type="pct"/>
            <w:gridSpan w:val="10"/>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6"/>
                <w:szCs w:val="16"/>
              </w:rPr>
            </w:pPr>
            <w:r>
              <w:rPr>
                <w:sz w:val="16"/>
                <w:szCs w:val="16"/>
              </w:rPr>
              <w:t>(in millions)</w:t>
            </w:r>
          </w:p>
        </w:tc>
      </w:tr>
      <w:tr w:rsidR="00000000">
        <w:trPr>
          <w:divId w:val="1978022277"/>
        </w:trPr>
        <w:tc>
          <w:tcPr>
            <w:tcW w:w="1197"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Equity contracts</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rFonts w:ascii="Calibri" w:hAnsi="Calibri" w:cs="Calibri"/>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76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30</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rFonts w:ascii="Calibri" w:hAnsi="Calibri" w:cs="Calibri"/>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rFonts w:ascii="Calibri" w:hAnsi="Calibri" w:cs="Calibri"/>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76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839</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rFonts w:ascii="Calibri" w:hAnsi="Calibri" w:cs="Calibri"/>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852</w:t>
            </w:r>
          </w:p>
        </w:tc>
      </w:tr>
      <w:tr w:rsidR="00000000">
        <w:trPr>
          <w:divId w:val="1978022277"/>
        </w:trPr>
        <w:tc>
          <w:tcPr>
            <w:tcW w:w="1197"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Credit contracts</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76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1,126</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1,012</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76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w:t>
            </w:r>
          </w:p>
        </w:tc>
      </w:tr>
      <w:tr w:rsidR="00000000">
        <w:trPr>
          <w:divId w:val="1978022277"/>
        </w:trPr>
        <w:tc>
          <w:tcPr>
            <w:tcW w:w="1197"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20"/>
                <w:szCs w:val="20"/>
              </w:rPr>
            </w:pPr>
            <w:r>
              <w:rPr>
                <w:sz w:val="20"/>
                <w:szCs w:val="20"/>
              </w:rPr>
              <w:t>Sub-total</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76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1,156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1,016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76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839</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853</w:t>
            </w:r>
          </w:p>
        </w:tc>
      </w:tr>
      <w:tr w:rsidR="00000000">
        <w:trPr>
          <w:divId w:val="1978022277"/>
        </w:trPr>
        <w:tc>
          <w:tcPr>
            <w:tcW w:w="1197" w:type="pct"/>
            <w:tcMar>
              <w:top w:w="0" w:type="dxa"/>
              <w:left w:w="0" w:type="dxa"/>
              <w:bottom w:w="0" w:type="dxa"/>
              <w:right w:w="0" w:type="dxa"/>
            </w:tcMar>
            <w:vAlign w:val="bottom"/>
            <w:hideMark/>
          </w:tcPr>
          <w:p w:rsidR="00000000" w:rsidRDefault="00DB7886">
            <w:pPr>
              <w:pStyle w:val="a3"/>
              <w:spacing w:before="0" w:beforeAutospacing="0" w:after="1" w:afterAutospacing="0"/>
              <w:ind w:left="115" w:hanging="144"/>
              <w:rPr>
                <w:sz w:val="20"/>
                <w:szCs w:val="20"/>
              </w:rPr>
            </w:pPr>
            <w:r>
              <w:rPr>
                <w:sz w:val="20"/>
                <w:szCs w:val="20"/>
              </w:rPr>
              <w:t>Netting across contract type</w:t>
            </w:r>
            <w:r>
              <w:rPr>
                <w:sz w:val="20"/>
                <w:szCs w:val="20"/>
              </w:rPr>
              <w:t>s</w:t>
            </w:r>
            <w:r>
              <w:rPr>
                <w:sz w:val="15"/>
                <w:szCs w:val="15"/>
                <w:vertAlign w:val="superscript"/>
              </w:rPr>
              <w:t>(1)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76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(363)</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(231)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76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(363)</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(231)</w:t>
            </w:r>
          </w:p>
        </w:tc>
      </w:tr>
      <w:tr w:rsidR="00000000">
        <w:trPr>
          <w:divId w:val="1978022277"/>
        </w:trPr>
        <w:tc>
          <w:tcPr>
            <w:tcW w:w="1197"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Tota</w:t>
            </w:r>
            <w:r>
              <w:rPr>
                <w:sz w:val="20"/>
                <w:szCs w:val="20"/>
              </w:rPr>
              <w:t>l</w:t>
            </w:r>
            <w:r>
              <w:rPr>
                <w:sz w:val="15"/>
                <w:szCs w:val="15"/>
                <w:vertAlign w:val="superscript"/>
              </w:rPr>
              <w:t>(1)</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7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793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7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785</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7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476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7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622</w:t>
            </w:r>
          </w:p>
        </w:tc>
      </w:tr>
    </w:tbl>
    <w:p w:rsidR="00000000" w:rsidRDefault="00DB7886">
      <w:pPr>
        <w:divId w:val="19780222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978022277"/>
        </w:trPr>
        <w:tc>
          <w:tcPr>
            <w:tcW w:w="360" w:type="dxa"/>
            <w:noWrap/>
            <w:tcMar>
              <w:top w:w="0" w:type="dxa"/>
              <w:left w:w="0" w:type="dxa"/>
              <w:bottom w:w="0" w:type="dxa"/>
              <w:right w:w="0" w:type="dxa"/>
            </w:tcMar>
            <w:hideMark/>
          </w:tcPr>
          <w:p w:rsidR="00000000" w:rsidRDefault="00DB7886">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DB7886">
            <w:pPr>
              <w:rPr>
                <w:rFonts w:eastAsia="Times New Roman"/>
                <w:sz w:val="20"/>
                <w:szCs w:val="20"/>
              </w:rPr>
            </w:pPr>
            <w:r>
              <w:rPr>
                <w:rFonts w:eastAsia="Times New Roman"/>
                <w:sz w:val="16"/>
                <w:szCs w:val="16"/>
              </w:rPr>
              <w:t>Excludes netting of cash collateral received and posted. </w:t>
            </w:r>
            <w:r>
              <w:rPr>
                <w:rFonts w:eastAsia="Times New Roman"/>
                <w:sz w:val="16"/>
                <w:szCs w:val="16"/>
              </w:rPr>
              <w:t>The total collateral posted at September 30, 2021 and December 31, 2020 was $1,541 million and $872 million, respectively, across all counterparties, which are included in cash held at consolidated affiliated partnerships and restricted cash in the condens</w:t>
            </w:r>
            <w:r>
              <w:rPr>
                <w:rFonts w:eastAsia="Times New Roman"/>
                <w:sz w:val="16"/>
                <w:szCs w:val="16"/>
              </w:rPr>
              <w:t>ed consolidated balance sheets.</w:t>
            </w:r>
          </w:p>
        </w:tc>
      </w:tr>
    </w:tbl>
    <w:p w:rsidR="00000000" w:rsidRDefault="00DB7886">
      <w:pPr>
        <w:pStyle w:val="a3"/>
        <w:spacing w:before="0" w:beforeAutospacing="0" w:after="0" w:afterAutospacing="0"/>
        <w:divId w:val="1978022277"/>
        <w:rPr>
          <w:sz w:val="20"/>
          <w:szCs w:val="20"/>
        </w:rPr>
      </w:pPr>
      <w:r>
        <w:rPr>
          <w:sz w:val="20"/>
          <w:szCs w:val="20"/>
        </w:rPr>
        <w:t>​</w:t>
      </w:r>
    </w:p>
    <w:p w:rsidR="00000000" w:rsidRDefault="00DB7886">
      <w:pPr>
        <w:pStyle w:val="a3"/>
        <w:spacing w:before="480" w:beforeAutospacing="0" w:after="0" w:afterAutospacing="0"/>
        <w:jc w:val="center"/>
        <w:divId w:val="1019505960"/>
        <w:rPr>
          <w:sz w:val="20"/>
          <w:szCs w:val="20"/>
        </w:rPr>
      </w:pPr>
      <w:r>
        <w:rPr>
          <w:sz w:val="20"/>
          <w:szCs w:val="20"/>
        </w:rPr>
        <w:t>24</w:t>
      </w:r>
    </w:p>
    <w:p w:rsidR="00000000" w:rsidRDefault="00DB7886">
      <w:pPr>
        <w:pStyle w:val="a3"/>
        <w:spacing w:before="0" w:beforeAutospacing="0" w:after="600" w:afterAutospacing="0"/>
        <w:divId w:val="832373591"/>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832373591"/>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832373591"/>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832373591"/>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ind w:firstLine="360"/>
        <w:divId w:val="16322282"/>
        <w:rPr>
          <w:sz w:val="20"/>
          <w:szCs w:val="20"/>
        </w:rPr>
      </w:pPr>
      <w:r>
        <w:rPr>
          <w:sz w:val="20"/>
          <w:szCs w:val="20"/>
        </w:rPr>
        <w:t>The following table presents the amount of gain (loss) recognized in the condensed consolidated statements of operations for our Investment segment’s derivatives not designated as hedging instruments:</w:t>
      </w:r>
    </w:p>
    <w:tbl>
      <w:tblPr>
        <w:tblW w:w="5000" w:type="pct"/>
        <w:tblCellMar>
          <w:top w:w="15" w:type="dxa"/>
          <w:left w:w="0" w:type="dxa"/>
          <w:bottom w:w="15" w:type="dxa"/>
          <w:right w:w="0" w:type="dxa"/>
        </w:tblCellMar>
        <w:tblLook w:val="04A0" w:firstRow="1" w:lastRow="0" w:firstColumn="1" w:lastColumn="0" w:noHBand="0" w:noVBand="1"/>
      </w:tblPr>
      <w:tblGrid>
        <w:gridCol w:w="3762"/>
        <w:gridCol w:w="200"/>
        <w:gridCol w:w="101"/>
        <w:gridCol w:w="830"/>
        <w:gridCol w:w="201"/>
        <w:gridCol w:w="101"/>
        <w:gridCol w:w="831"/>
        <w:gridCol w:w="200"/>
        <w:gridCol w:w="100"/>
        <w:gridCol w:w="841"/>
        <w:gridCol w:w="200"/>
        <w:gridCol w:w="100"/>
        <w:gridCol w:w="839"/>
      </w:tblGrid>
      <w:tr w:rsidR="00000000">
        <w:trPr>
          <w:divId w:val="16322282"/>
          <w:trHeight w:val="20"/>
        </w:trPr>
        <w:tc>
          <w:tcPr>
            <w:tcW w:w="2285" w:type="pct"/>
            <w:tcMar>
              <w:top w:w="0" w:type="dxa"/>
              <w:left w:w="0" w:type="dxa"/>
              <w:bottom w:w="0" w:type="dxa"/>
              <w:right w:w="0" w:type="dxa"/>
            </w:tcMar>
            <w:vAlign w:val="bottom"/>
            <w:hideMark/>
          </w:tcPr>
          <w:p w:rsidR="00000000" w:rsidRDefault="00DB7886">
            <w:pPr>
              <w:pStyle w:val="a3"/>
              <w:spacing w:before="0" w:beforeAutospacing="0" w:after="1" w:afterAutospacing="0"/>
              <w:divId w:val="55208030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31572385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884104541"/>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28149918"/>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87408169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99571858"/>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36379613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79923001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760368561"/>
              <w:rPr>
                <w:sz w:val="20"/>
                <w:szCs w:val="20"/>
              </w:rPr>
            </w:pPr>
            <w:r>
              <w:rPr>
                <w:sz w:val="2"/>
                <w:szCs w:val="2"/>
              </w:rPr>
              <w:t>​</w:t>
            </w:r>
          </w:p>
        </w:tc>
        <w:tc>
          <w:tcPr>
            <w:tcW w:w="527"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47553756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56033479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194222490"/>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649824675"/>
              <w:rPr>
                <w:sz w:val="20"/>
                <w:szCs w:val="20"/>
              </w:rPr>
            </w:pPr>
            <w:r>
              <w:rPr>
                <w:sz w:val="2"/>
                <w:szCs w:val="2"/>
              </w:rPr>
              <w:t>​</w:t>
            </w:r>
          </w:p>
        </w:tc>
      </w:tr>
      <w:tr w:rsidR="00000000">
        <w:trPr>
          <w:divId w:val="16322282"/>
        </w:trPr>
        <w:tc>
          <w:tcPr>
            <w:tcW w:w="2285"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6"/>
                <w:szCs w:val="16"/>
              </w:rPr>
              <w:t>​</w:t>
            </w:r>
          </w:p>
        </w:tc>
        <w:tc>
          <w:tcPr>
            <w:tcW w:w="2611" w:type="pct"/>
            <w:gridSpan w:val="11"/>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Gain (Loss) Recognized i</w:t>
            </w:r>
            <w:r>
              <w:rPr>
                <w:b/>
                <w:bCs/>
                <w:sz w:val="20"/>
                <w:szCs w:val="20"/>
              </w:rPr>
              <w:t>n Incom</w:t>
            </w:r>
            <w:r>
              <w:rPr>
                <w:b/>
                <w:bCs/>
                <w:sz w:val="20"/>
                <w:szCs w:val="20"/>
              </w:rPr>
              <w:t>e</w:t>
            </w:r>
            <w:r>
              <w:rPr>
                <w:b/>
                <w:bCs/>
                <w:sz w:val="15"/>
                <w:szCs w:val="15"/>
                <w:vertAlign w:val="superscript"/>
              </w:rPr>
              <w:t>(1)</w:t>
            </w:r>
          </w:p>
        </w:tc>
      </w:tr>
      <w:tr w:rsidR="00000000">
        <w:trPr>
          <w:divId w:val="16322282"/>
        </w:trPr>
        <w:tc>
          <w:tcPr>
            <w:tcW w:w="2285"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6"/>
                <w:szCs w:val="16"/>
              </w:rPr>
              <w:t>​</w:t>
            </w:r>
          </w:p>
        </w:tc>
        <w:tc>
          <w:tcPr>
            <w:tcW w:w="1249" w:type="pct"/>
            <w:gridSpan w:val="5"/>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Three Months Ended September 30,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20"/>
                <w:szCs w:val="20"/>
              </w:rPr>
              <w:t>​</w:t>
            </w:r>
          </w:p>
        </w:tc>
        <w:tc>
          <w:tcPr>
            <w:tcW w:w="1259" w:type="pct"/>
            <w:gridSpan w:val="5"/>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Nine Months Ended September 30, </w:t>
            </w:r>
          </w:p>
        </w:tc>
      </w:tr>
      <w:tr w:rsidR="00000000">
        <w:trPr>
          <w:divId w:val="16322282"/>
        </w:trPr>
        <w:tc>
          <w:tcPr>
            <w:tcW w:w="2285"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2021</w:t>
            </w:r>
          </w:p>
        </w:tc>
        <w:tc>
          <w:tcPr>
            <w:tcW w:w="104"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579"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57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2020</w:t>
            </w:r>
          </w:p>
        </w:tc>
      </w:tr>
      <w:tr w:rsidR="00000000">
        <w:trPr>
          <w:divId w:val="16322282"/>
        </w:trPr>
        <w:tc>
          <w:tcPr>
            <w:tcW w:w="0" w:type="auto"/>
            <w:gridSpan w:val="13"/>
            <w:tcMar>
              <w:top w:w="0" w:type="dxa"/>
              <w:left w:w="0" w:type="dxa"/>
              <w:bottom w:w="0" w:type="dxa"/>
              <w:right w:w="0" w:type="dxa"/>
            </w:tcMar>
            <w:vAlign w:val="center"/>
            <w:hideMark/>
          </w:tcPr>
          <w:p w:rsidR="00000000" w:rsidRDefault="00DB7886">
            <w:pPr>
              <w:rPr>
                <w:sz w:val="20"/>
                <w:szCs w:val="20"/>
              </w:rPr>
            </w:pPr>
          </w:p>
        </w:tc>
      </w:tr>
      <w:tr w:rsidR="00000000">
        <w:trPr>
          <w:divId w:val="16322282"/>
        </w:trPr>
        <w:tc>
          <w:tcPr>
            <w:tcW w:w="2285"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2611" w:type="pct"/>
            <w:gridSpan w:val="11"/>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6"/>
                <w:szCs w:val="16"/>
              </w:rPr>
            </w:pPr>
            <w:r>
              <w:rPr>
                <w:sz w:val="16"/>
                <w:szCs w:val="16"/>
              </w:rPr>
              <w:t>(in millions)</w:t>
            </w:r>
          </w:p>
        </w:tc>
      </w:tr>
      <w:tr w:rsidR="00000000">
        <w:trPr>
          <w:divId w:val="16322282"/>
        </w:trPr>
        <w:tc>
          <w:tcPr>
            <w:tcW w:w="228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Equity contracts</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(54)</w:t>
            </w:r>
          </w:p>
        </w:tc>
        <w:tc>
          <w:tcPr>
            <w:tcW w:w="10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(657)</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(688)</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(886)</w:t>
            </w:r>
          </w:p>
        </w:tc>
      </w:tr>
      <w:tr w:rsidR="00000000">
        <w:trPr>
          <w:divId w:val="16322282"/>
        </w:trPr>
        <w:tc>
          <w:tcPr>
            <w:tcW w:w="2285"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Credit contracts</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122</w:t>
            </w:r>
          </w:p>
        </w:tc>
        <w:tc>
          <w:tcPr>
            <w:tcW w:w="104"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52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120</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52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1,511</w:t>
            </w:r>
          </w:p>
        </w:tc>
      </w:tr>
      <w:tr w:rsidR="00000000">
        <w:trPr>
          <w:divId w:val="16322282"/>
        </w:trPr>
        <w:tc>
          <w:tcPr>
            <w:tcW w:w="228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68</w:t>
            </w:r>
          </w:p>
        </w:tc>
        <w:tc>
          <w:tcPr>
            <w:tcW w:w="10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(536)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(568)</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625</w:t>
            </w:r>
          </w:p>
        </w:tc>
      </w:tr>
    </w:tbl>
    <w:p w:rsidR="00000000" w:rsidRDefault="00DB7886">
      <w:pPr>
        <w:divId w:val="1632228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322282"/>
        </w:trPr>
        <w:tc>
          <w:tcPr>
            <w:tcW w:w="360" w:type="dxa"/>
            <w:noWrap/>
            <w:tcMar>
              <w:top w:w="0" w:type="dxa"/>
              <w:left w:w="0" w:type="dxa"/>
              <w:bottom w:w="0" w:type="dxa"/>
              <w:right w:w="0" w:type="dxa"/>
            </w:tcMar>
            <w:hideMark/>
          </w:tcPr>
          <w:p w:rsidR="00000000" w:rsidRDefault="00DB7886">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DB7886">
            <w:pPr>
              <w:rPr>
                <w:rFonts w:eastAsia="Times New Roman"/>
                <w:sz w:val="20"/>
                <w:szCs w:val="20"/>
              </w:rPr>
            </w:pPr>
            <w:r>
              <w:rPr>
                <w:rFonts w:eastAsia="Times New Roman"/>
                <w:sz w:val="16"/>
                <w:szCs w:val="16"/>
              </w:rPr>
              <w:t>Gains (losses) recognized on derivatives are classified in net gain (loss) from investment activities in our condensed consolidated statements of operations for our Investment segment.</w:t>
            </w:r>
          </w:p>
        </w:tc>
      </w:tr>
    </w:tbl>
    <w:p w:rsidR="00000000" w:rsidRDefault="00DB7886">
      <w:pPr>
        <w:pStyle w:val="a3"/>
        <w:spacing w:before="0" w:beforeAutospacing="0" w:after="240" w:afterAutospacing="0"/>
        <w:divId w:val="16322282"/>
        <w:rPr>
          <w:i/>
          <w:iCs/>
          <w:sz w:val="20"/>
          <w:szCs w:val="20"/>
        </w:rPr>
      </w:pPr>
      <w:r>
        <w:rPr>
          <w:i/>
          <w:iCs/>
          <w:sz w:val="20"/>
          <w:szCs w:val="20"/>
        </w:rPr>
        <w:t>Energy</w:t>
      </w:r>
    </w:p>
    <w:p w:rsidR="00000000" w:rsidRDefault="00DB7886">
      <w:pPr>
        <w:pStyle w:val="a3"/>
        <w:spacing w:before="0" w:beforeAutospacing="0" w:after="240" w:afterAutospacing="0"/>
        <w:ind w:firstLine="360"/>
        <w:divId w:val="16322282"/>
        <w:rPr>
          <w:sz w:val="20"/>
          <w:szCs w:val="20"/>
        </w:rPr>
      </w:pPr>
      <w:r>
        <w:rPr>
          <w:sz w:val="20"/>
          <w:szCs w:val="20"/>
        </w:rPr>
        <w:t>CVR Energy’s businesses are subject to price fluctuations cause</w:t>
      </w:r>
      <w:r>
        <w:rPr>
          <w:sz w:val="20"/>
          <w:szCs w:val="20"/>
        </w:rPr>
        <w:t>d by supply conditions, weather, economic conditions, interest rate fluctuations and other factors. To manage price risk on crude oil and other inventories and to fix margins on certain future production, CVR Refining regularly enters into various commodit</w:t>
      </w:r>
      <w:r>
        <w:rPr>
          <w:sz w:val="20"/>
          <w:szCs w:val="20"/>
        </w:rPr>
        <w:t>y derivative transactions. CVR Refining holds derivative instruments, such as exchange-traded crude oil futures and over-the-counter forward swap agreements, which it believes provide an economic hedge on future transactions, but such instruments are not d</w:t>
      </w:r>
      <w:r>
        <w:rPr>
          <w:sz w:val="20"/>
          <w:szCs w:val="20"/>
        </w:rPr>
        <w:t>esignated as hedge instruments. CVR Refining may enter into forward purchase or sale contracts associated with renewable identification numbers (“RINs”).</w:t>
      </w:r>
    </w:p>
    <w:p w:rsidR="00000000" w:rsidRDefault="00DB7886">
      <w:pPr>
        <w:pStyle w:val="a3"/>
        <w:spacing w:before="0" w:beforeAutospacing="0" w:after="240" w:afterAutospacing="0"/>
        <w:ind w:firstLine="360"/>
        <w:divId w:val="16322282"/>
        <w:rPr>
          <w:sz w:val="20"/>
          <w:szCs w:val="20"/>
        </w:rPr>
      </w:pPr>
      <w:r>
        <w:rPr>
          <w:sz w:val="20"/>
          <w:szCs w:val="20"/>
        </w:rPr>
        <w:t>As of September 30, 2021 and December 31, 2020, CVR Refining had 2 million and 7 million, respectively</w:t>
      </w:r>
      <w:r>
        <w:rPr>
          <w:sz w:val="20"/>
          <w:szCs w:val="20"/>
        </w:rPr>
        <w:t>, outstanding commodity swap positions. As of September 30, 2021 and December 31, 2020, CVR Refining had open forward purchase and sale commitments for 2 million barrels and 6 million barrels, respectively. As of September 30, 2021 and December 31, 2020, C</w:t>
      </w:r>
      <w:r>
        <w:rPr>
          <w:sz w:val="20"/>
          <w:szCs w:val="20"/>
        </w:rPr>
        <w:t>VR Refining had open fixed-price commitments to purchase a net 17 million and 13 million RINs, respectively.</w:t>
      </w:r>
    </w:p>
    <w:p w:rsidR="00000000" w:rsidRDefault="00DB7886">
      <w:pPr>
        <w:pStyle w:val="a3"/>
        <w:spacing w:before="0" w:beforeAutospacing="0" w:after="240" w:afterAutospacing="0"/>
        <w:ind w:firstLine="360"/>
        <w:divId w:val="16322282"/>
        <w:rPr>
          <w:sz w:val="20"/>
          <w:szCs w:val="20"/>
        </w:rPr>
      </w:pPr>
      <w:r>
        <w:rPr>
          <w:sz w:val="20"/>
          <w:szCs w:val="20"/>
        </w:rPr>
        <w:t>Certain derivative contracts executed by our Energy segment with a single counterparty are reported on a net-by-counterparty basis where a legal ri</w:t>
      </w:r>
      <w:r>
        <w:rPr>
          <w:sz w:val="20"/>
          <w:szCs w:val="20"/>
        </w:rPr>
        <w:t xml:space="preserve">ght of offset exists under an enforceable netting agreement. As of September 30, 2021, our Energy segment had net asset derivatives of $3 million and net liability derivatives of $3 million and as of December 31, 2020, our Energy segment had net liability </w:t>
      </w:r>
      <w:r>
        <w:rPr>
          <w:sz w:val="20"/>
          <w:szCs w:val="20"/>
        </w:rPr>
        <w:t xml:space="preserve">derivatives of $17 million. (Losses) gains recognized on derivatives for our Energy segment were $(12) million and $5 million for the three months ended September 30, 2021 and 2020, respectively, and $(46) million and $70 million for the nine months ended </w:t>
      </w:r>
      <w:r>
        <w:rPr>
          <w:sz w:val="20"/>
          <w:szCs w:val="20"/>
        </w:rPr>
        <w:t>September 30, 2021 and 2020, respectively. Gains and losses recognized on derivatives for our Energy segment are included in cost of goods sold on the condensed consolidated statements of operations.</w:t>
      </w:r>
    </w:p>
    <w:p w:rsidR="00000000" w:rsidRDefault="00DB7886">
      <w:pPr>
        <w:pStyle w:val="a3"/>
        <w:spacing w:before="0" w:beforeAutospacing="0" w:after="0" w:afterAutospacing="0"/>
        <w:divId w:val="16322282"/>
        <w:rPr>
          <w:sz w:val="20"/>
          <w:szCs w:val="20"/>
        </w:rPr>
      </w:pPr>
      <w:r>
        <w:rPr>
          <w:sz w:val="20"/>
          <w:szCs w:val="20"/>
        </w:rPr>
        <w:t>​</w:t>
      </w:r>
    </w:p>
    <w:p w:rsidR="00000000" w:rsidRDefault="00DB7886">
      <w:pPr>
        <w:pStyle w:val="a3"/>
        <w:spacing w:before="480" w:beforeAutospacing="0" w:after="0" w:afterAutospacing="0"/>
        <w:jc w:val="center"/>
        <w:divId w:val="861091780"/>
        <w:rPr>
          <w:sz w:val="20"/>
          <w:szCs w:val="20"/>
        </w:rPr>
      </w:pPr>
      <w:r>
        <w:rPr>
          <w:sz w:val="20"/>
          <w:szCs w:val="20"/>
        </w:rPr>
        <w:t>25</w:t>
      </w:r>
    </w:p>
    <w:p w:rsidR="00000000" w:rsidRDefault="00DB7886">
      <w:pPr>
        <w:pStyle w:val="a3"/>
        <w:spacing w:before="0" w:beforeAutospacing="0" w:after="600" w:afterAutospacing="0"/>
        <w:divId w:val="798958999"/>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798958999"/>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798958999"/>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798958999"/>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divId w:val="492600966"/>
        <w:rPr>
          <w:b/>
          <w:bCs/>
          <w:sz w:val="20"/>
          <w:szCs w:val="20"/>
        </w:rPr>
      </w:pPr>
      <w:r>
        <w:rPr>
          <w:b/>
          <w:bCs/>
          <w:sz w:val="20"/>
          <w:szCs w:val="20"/>
        </w:rPr>
        <w:t>7.  Inventories, Net</w:t>
      </w:r>
    </w:p>
    <w:p w:rsidR="00000000" w:rsidRDefault="00DB7886">
      <w:pPr>
        <w:pStyle w:val="a3"/>
        <w:spacing w:before="0" w:beforeAutospacing="0" w:after="240" w:afterAutospacing="0"/>
        <w:ind w:firstLine="360"/>
        <w:divId w:val="492600966"/>
        <w:rPr>
          <w:sz w:val="20"/>
          <w:szCs w:val="20"/>
        </w:rPr>
      </w:pPr>
      <w:r>
        <w:rPr>
          <w:sz w:val="20"/>
          <w:szCs w:val="20"/>
        </w:rPr>
        <w:t>Inventories, net consists of the following:</w:t>
      </w:r>
    </w:p>
    <w:p w:rsidR="00000000" w:rsidRDefault="00DB7886">
      <w:pPr>
        <w:pStyle w:val="a3"/>
        <w:spacing w:before="0" w:beforeAutospacing="0" w:after="0" w:afterAutospacing="0"/>
        <w:divId w:val="49260096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17"/>
        <w:gridCol w:w="200"/>
        <w:gridCol w:w="168"/>
        <w:gridCol w:w="1104"/>
        <w:gridCol w:w="200"/>
        <w:gridCol w:w="159"/>
        <w:gridCol w:w="1058"/>
      </w:tblGrid>
      <w:tr w:rsidR="00000000">
        <w:trPr>
          <w:divId w:val="492600966"/>
          <w:trHeight w:val="20"/>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divId w:val="51152759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30971686"/>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237204083"/>
              <w:rPr>
                <w:sz w:val="20"/>
                <w:szCs w:val="20"/>
              </w:rPr>
            </w:pPr>
            <w:r>
              <w:rPr>
                <w:sz w:val="2"/>
                <w:szCs w:val="2"/>
              </w:rPr>
              <w:t>​</w:t>
            </w:r>
          </w:p>
        </w:tc>
        <w:tc>
          <w:tcPr>
            <w:tcW w:w="569"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39991089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07442492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663238788"/>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7487018"/>
              <w:rPr>
                <w:sz w:val="20"/>
                <w:szCs w:val="20"/>
              </w:rPr>
            </w:pPr>
            <w:r>
              <w:rPr>
                <w:sz w:val="2"/>
                <w:szCs w:val="2"/>
              </w:rPr>
              <w:t>​</w:t>
            </w:r>
          </w:p>
        </w:tc>
      </w:tr>
      <w:tr w:rsidR="00000000">
        <w:trPr>
          <w:divId w:val="492600966"/>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6"/>
                <w:szCs w:val="16"/>
              </w:rPr>
              <w:t>​</w:t>
            </w:r>
          </w:p>
        </w:tc>
        <w:tc>
          <w:tcPr>
            <w:tcW w:w="655" w:type="pct"/>
            <w:gridSpan w:val="2"/>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December 31, </w:t>
            </w:r>
          </w:p>
        </w:tc>
      </w:tr>
      <w:tr w:rsidR="00000000">
        <w:trPr>
          <w:divId w:val="492600966"/>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2020</w:t>
            </w:r>
          </w:p>
        </w:tc>
      </w:tr>
      <w:tr w:rsidR="00000000">
        <w:trPr>
          <w:divId w:val="492600966"/>
        </w:trPr>
        <w:tc>
          <w:tcPr>
            <w:tcW w:w="0" w:type="auto"/>
            <w:gridSpan w:val="7"/>
            <w:tcMar>
              <w:top w:w="0" w:type="dxa"/>
              <w:left w:w="0" w:type="dxa"/>
              <w:bottom w:w="0" w:type="dxa"/>
              <w:right w:w="0" w:type="dxa"/>
            </w:tcMar>
            <w:vAlign w:val="center"/>
            <w:hideMark/>
          </w:tcPr>
          <w:p w:rsidR="00000000" w:rsidRDefault="00DB7886">
            <w:pPr>
              <w:rPr>
                <w:sz w:val="20"/>
                <w:szCs w:val="20"/>
              </w:rPr>
            </w:pPr>
          </w:p>
        </w:tc>
      </w:tr>
      <w:tr w:rsidR="00000000">
        <w:trPr>
          <w:divId w:val="492600966"/>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6"/>
                <w:szCs w:val="16"/>
              </w:rPr>
              <w:t>​</w:t>
            </w:r>
          </w:p>
        </w:tc>
        <w:tc>
          <w:tcPr>
            <w:tcW w:w="1386" w:type="pct"/>
            <w:gridSpan w:val="5"/>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6"/>
                <w:szCs w:val="16"/>
              </w:rPr>
            </w:pPr>
            <w:r>
              <w:rPr>
                <w:sz w:val="16"/>
                <w:szCs w:val="16"/>
              </w:rPr>
              <w:t>(in millions)</w:t>
            </w:r>
          </w:p>
        </w:tc>
      </w:tr>
      <w:tr w:rsidR="00000000">
        <w:trPr>
          <w:divId w:val="492600966"/>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Raw materials</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261</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183</w:t>
            </w:r>
          </w:p>
        </w:tc>
      </w:tr>
      <w:tr w:rsidR="00000000">
        <w:trPr>
          <w:divId w:val="492600966"/>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Work in process</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92</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83</w:t>
            </w:r>
          </w:p>
        </w:tc>
      </w:tr>
      <w:tr w:rsidR="00000000">
        <w:trPr>
          <w:divId w:val="492600966"/>
        </w:trPr>
        <w:tc>
          <w:tcPr>
            <w:tcW w:w="35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Finished goods</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5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1,237</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1,314</w:t>
            </w:r>
          </w:p>
        </w:tc>
      </w:tr>
      <w:tr w:rsidR="00000000">
        <w:trPr>
          <w:divId w:val="492600966"/>
        </w:trPr>
        <w:tc>
          <w:tcPr>
            <w:tcW w:w="3510"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69"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1,590</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1,580</w:t>
            </w:r>
          </w:p>
        </w:tc>
      </w:tr>
    </w:tbl>
    <w:p w:rsidR="00000000" w:rsidRDefault="00DB7886">
      <w:pPr>
        <w:pStyle w:val="a3"/>
        <w:spacing w:before="0" w:beforeAutospacing="0" w:after="0" w:afterAutospacing="0"/>
        <w:ind w:firstLine="360"/>
        <w:divId w:val="492600966"/>
        <w:rPr>
          <w:sz w:val="20"/>
          <w:szCs w:val="20"/>
        </w:rPr>
      </w:pPr>
      <w:r>
        <w:rPr>
          <w:sz w:val="2"/>
          <w:szCs w:val="2"/>
        </w:rPr>
        <w:t>​</w:t>
      </w:r>
    </w:p>
    <w:p w:rsidR="00000000" w:rsidRDefault="00DB7886">
      <w:pPr>
        <w:pStyle w:val="a3"/>
        <w:spacing w:before="0" w:beforeAutospacing="0" w:after="0" w:afterAutospacing="0"/>
        <w:divId w:val="492600966"/>
        <w:rPr>
          <w:sz w:val="20"/>
          <w:szCs w:val="20"/>
        </w:rPr>
      </w:pPr>
      <w:r>
        <w:rPr>
          <w:sz w:val="2"/>
          <w:szCs w:val="2"/>
        </w:rPr>
        <w:t>​</w:t>
      </w:r>
    </w:p>
    <w:p w:rsidR="00000000" w:rsidRDefault="00DB7886">
      <w:pPr>
        <w:pStyle w:val="a3"/>
        <w:spacing w:before="0" w:beforeAutospacing="0" w:after="0" w:afterAutospacing="0"/>
        <w:divId w:val="492600966"/>
        <w:rPr>
          <w:sz w:val="20"/>
          <w:szCs w:val="20"/>
        </w:rPr>
      </w:pPr>
      <w:r>
        <w:rPr>
          <w:sz w:val="2"/>
          <w:szCs w:val="2"/>
        </w:rPr>
        <w:t>​</w:t>
      </w:r>
    </w:p>
    <w:p w:rsidR="00000000" w:rsidRDefault="00DB7886">
      <w:pPr>
        <w:pStyle w:val="a3"/>
        <w:spacing w:before="0" w:beforeAutospacing="0" w:after="0" w:afterAutospacing="0"/>
        <w:divId w:val="492600966"/>
        <w:rPr>
          <w:sz w:val="20"/>
          <w:szCs w:val="20"/>
        </w:rPr>
      </w:pPr>
      <w:r>
        <w:rPr>
          <w:sz w:val="2"/>
          <w:szCs w:val="2"/>
        </w:rPr>
        <w:t>​</w:t>
      </w:r>
    </w:p>
    <w:p w:rsidR="00000000" w:rsidRDefault="00DB7886">
      <w:pPr>
        <w:pStyle w:val="a3"/>
        <w:spacing w:before="0" w:beforeAutospacing="0" w:after="0" w:afterAutospacing="0"/>
        <w:divId w:val="492600966"/>
        <w:rPr>
          <w:sz w:val="20"/>
          <w:szCs w:val="20"/>
        </w:rPr>
      </w:pPr>
      <w:r>
        <w:rPr>
          <w:sz w:val="2"/>
          <w:szCs w:val="2"/>
        </w:rPr>
        <w:t>​</w:t>
      </w:r>
    </w:p>
    <w:p w:rsidR="00000000" w:rsidRDefault="00DB7886">
      <w:pPr>
        <w:pStyle w:val="a3"/>
        <w:spacing w:before="0" w:beforeAutospacing="0" w:after="0" w:afterAutospacing="0"/>
        <w:divId w:val="492600966"/>
        <w:rPr>
          <w:sz w:val="20"/>
          <w:szCs w:val="20"/>
        </w:rPr>
      </w:pPr>
      <w:r>
        <w:rPr>
          <w:sz w:val="2"/>
          <w:szCs w:val="2"/>
        </w:rPr>
        <w:t>​</w:t>
      </w:r>
    </w:p>
    <w:p w:rsidR="00000000" w:rsidRDefault="00DB7886">
      <w:pPr>
        <w:pStyle w:val="a3"/>
        <w:spacing w:before="0" w:beforeAutospacing="0" w:after="240" w:afterAutospacing="0"/>
        <w:divId w:val="492600966"/>
        <w:rPr>
          <w:b/>
          <w:bCs/>
          <w:sz w:val="20"/>
          <w:szCs w:val="20"/>
        </w:rPr>
      </w:pPr>
      <w:r>
        <w:rPr>
          <w:b/>
          <w:bCs/>
          <w:sz w:val="20"/>
          <w:szCs w:val="20"/>
        </w:rPr>
        <w:t>8.  </w:t>
      </w:r>
      <w:r>
        <w:rPr>
          <w:b/>
          <w:bCs/>
          <w:sz w:val="20"/>
          <w:szCs w:val="20"/>
        </w:rPr>
        <w:t>Goodwill and Intangible Assets, Net</w:t>
      </w:r>
    </w:p>
    <w:p w:rsidR="00000000" w:rsidRDefault="00DB7886">
      <w:pPr>
        <w:pStyle w:val="a3"/>
        <w:spacing w:before="0" w:beforeAutospacing="0" w:after="240" w:afterAutospacing="0"/>
        <w:ind w:firstLine="360"/>
        <w:divId w:val="492600966"/>
        <w:rPr>
          <w:sz w:val="20"/>
          <w:szCs w:val="20"/>
        </w:rPr>
      </w:pPr>
      <w:r>
        <w:rPr>
          <w:sz w:val="20"/>
          <w:szCs w:val="20"/>
        </w:rPr>
        <w:t>Goodwill consists of the following:</w:t>
      </w:r>
    </w:p>
    <w:p w:rsidR="00000000" w:rsidRDefault="00DB7886">
      <w:pPr>
        <w:pStyle w:val="a3"/>
        <w:spacing w:before="0" w:beforeAutospacing="0" w:after="0" w:afterAutospacing="0"/>
        <w:divId w:val="49260096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22"/>
        <w:gridCol w:w="160"/>
        <w:gridCol w:w="109"/>
        <w:gridCol w:w="680"/>
        <w:gridCol w:w="200"/>
        <w:gridCol w:w="156"/>
        <w:gridCol w:w="978"/>
        <w:gridCol w:w="200"/>
        <w:gridCol w:w="109"/>
        <w:gridCol w:w="680"/>
        <w:gridCol w:w="200"/>
        <w:gridCol w:w="109"/>
        <w:gridCol w:w="680"/>
        <w:gridCol w:w="200"/>
        <w:gridCol w:w="156"/>
        <w:gridCol w:w="978"/>
        <w:gridCol w:w="200"/>
        <w:gridCol w:w="107"/>
        <w:gridCol w:w="682"/>
      </w:tblGrid>
      <w:tr w:rsidR="00000000">
        <w:trPr>
          <w:divId w:val="492600966"/>
          <w:trHeight w:val="20"/>
        </w:trPr>
        <w:tc>
          <w:tcPr>
            <w:tcW w:w="1604" w:type="pct"/>
            <w:tcMar>
              <w:top w:w="0" w:type="dxa"/>
              <w:left w:w="0" w:type="dxa"/>
              <w:bottom w:w="0" w:type="dxa"/>
              <w:right w:w="0" w:type="dxa"/>
            </w:tcMar>
            <w:vAlign w:val="bottom"/>
            <w:hideMark/>
          </w:tcPr>
          <w:p w:rsidR="00000000" w:rsidRDefault="00DB7886">
            <w:pPr>
              <w:pStyle w:val="a3"/>
              <w:spacing w:before="0" w:beforeAutospacing="0" w:after="0" w:afterAutospacing="0"/>
              <w:divId w:val="163371192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93489657"/>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69452614"/>
              <w:rPr>
                <w:sz w:val="20"/>
                <w:szCs w:val="20"/>
              </w:rPr>
            </w:pPr>
            <w:r>
              <w:rPr>
                <w:sz w:val="2"/>
                <w:szCs w:val="2"/>
              </w:rPr>
              <w:t>​</w:t>
            </w:r>
          </w:p>
        </w:tc>
        <w:tc>
          <w:tcPr>
            <w:tcW w:w="35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5746827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84989186"/>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02873850"/>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4619425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87007285"/>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91535633"/>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13524753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54977888"/>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89674449"/>
              <w:rPr>
                <w:sz w:val="20"/>
                <w:szCs w:val="20"/>
              </w:rPr>
            </w:pPr>
            <w:r>
              <w:rPr>
                <w:sz w:val="2"/>
                <w:szCs w:val="2"/>
              </w:rPr>
              <w:t>​</w:t>
            </w:r>
          </w:p>
        </w:tc>
        <w:tc>
          <w:tcPr>
            <w:tcW w:w="35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9934969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92741507"/>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47642286"/>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6333755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0779519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143964091"/>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2675215"/>
              <w:rPr>
                <w:sz w:val="20"/>
                <w:szCs w:val="20"/>
              </w:rPr>
            </w:pPr>
            <w:r>
              <w:rPr>
                <w:sz w:val="2"/>
                <w:szCs w:val="2"/>
              </w:rPr>
              <w:t>​</w:t>
            </w:r>
          </w:p>
        </w:tc>
      </w:tr>
      <w:tr w:rsidR="00000000">
        <w:trPr>
          <w:divId w:val="492600966"/>
        </w:trPr>
        <w:tc>
          <w:tcPr>
            <w:tcW w:w="1604"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604" w:type="pct"/>
            <w:gridSpan w:val="8"/>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September 30, 2021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605" w:type="pct"/>
            <w:gridSpan w:val="8"/>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December 31, 2020</w:t>
            </w:r>
          </w:p>
        </w:tc>
      </w:tr>
      <w:tr w:rsidR="00000000">
        <w:trPr>
          <w:divId w:val="492600966"/>
        </w:trPr>
        <w:tc>
          <w:tcPr>
            <w:tcW w:w="1604"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0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 xml:space="preserve">Gross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407"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Net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Gross</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409"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Net</w:t>
            </w:r>
          </w:p>
        </w:tc>
      </w:tr>
      <w:tr w:rsidR="00000000">
        <w:trPr>
          <w:divId w:val="492600966"/>
        </w:trPr>
        <w:tc>
          <w:tcPr>
            <w:tcW w:w="1604"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0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 xml:space="preserve">Carrying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84"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407"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84"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409"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Carrying</w:t>
            </w:r>
          </w:p>
        </w:tc>
      </w:tr>
      <w:tr w:rsidR="00000000">
        <w:trPr>
          <w:divId w:val="492600966"/>
        </w:trPr>
        <w:tc>
          <w:tcPr>
            <w:tcW w:w="1604"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Impairment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40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Value</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Impairment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409"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Value</w:t>
            </w:r>
          </w:p>
        </w:tc>
      </w:tr>
      <w:tr w:rsidR="00000000">
        <w:trPr>
          <w:divId w:val="492600966"/>
        </w:trPr>
        <w:tc>
          <w:tcPr>
            <w:tcW w:w="0" w:type="auto"/>
            <w:gridSpan w:val="19"/>
            <w:tcMar>
              <w:top w:w="0" w:type="dxa"/>
              <w:left w:w="0" w:type="dxa"/>
              <w:bottom w:w="0" w:type="dxa"/>
              <w:right w:w="0" w:type="dxa"/>
            </w:tcMar>
            <w:vAlign w:val="center"/>
            <w:hideMark/>
          </w:tcPr>
          <w:p w:rsidR="00000000" w:rsidRDefault="00DB7886">
            <w:pPr>
              <w:rPr>
                <w:sz w:val="20"/>
                <w:szCs w:val="20"/>
              </w:rPr>
            </w:pPr>
          </w:p>
        </w:tc>
      </w:tr>
      <w:tr w:rsidR="00000000">
        <w:trPr>
          <w:divId w:val="492600966"/>
        </w:trPr>
        <w:tc>
          <w:tcPr>
            <w:tcW w:w="1604"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312" w:type="pct"/>
            <w:gridSpan w:val="17"/>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492600966"/>
        </w:trPr>
        <w:tc>
          <w:tcPr>
            <w:tcW w:w="1604"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20"/>
                <w:szCs w:val="20"/>
              </w:rPr>
              <w:t>Automotive</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337</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250</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337</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250</w:t>
            </w:r>
          </w:p>
        </w:tc>
      </w:tr>
      <w:tr w:rsidR="00000000">
        <w:trPr>
          <w:divId w:val="492600966"/>
        </w:trPr>
        <w:tc>
          <w:tcPr>
            <w:tcW w:w="1604"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20"/>
                <w:szCs w:val="20"/>
              </w:rPr>
              <w:t>Food Packaging</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w:t>
            </w:r>
          </w:p>
        </w:tc>
      </w:tr>
      <w:tr w:rsidR="00000000">
        <w:trPr>
          <w:divId w:val="492600966"/>
        </w:trPr>
        <w:tc>
          <w:tcPr>
            <w:tcW w:w="1604"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20"/>
                <w:szCs w:val="20"/>
              </w:rPr>
              <w:t>Metals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w:t>
            </w:r>
          </w:p>
        </w:tc>
      </w:tr>
      <w:tr w:rsidR="00000000">
        <w:trPr>
          <w:divId w:val="492600966"/>
        </w:trPr>
        <w:tc>
          <w:tcPr>
            <w:tcW w:w="1604"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20"/>
                <w:szCs w:val="20"/>
              </w:rPr>
              <w:t>Home Fashion</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5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24</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0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5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5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24</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0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21</w:t>
            </w:r>
          </w:p>
        </w:tc>
      </w:tr>
      <w:tr w:rsidR="00000000">
        <w:trPr>
          <w:divId w:val="492600966"/>
        </w:trPr>
        <w:tc>
          <w:tcPr>
            <w:tcW w:w="1604"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20"/>
                <w:szCs w:val="20"/>
              </w:rPr>
              <w:t>Pharma</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13</w:t>
            </w:r>
          </w:p>
        </w:tc>
      </w:tr>
      <w:tr w:rsidR="00000000">
        <w:trPr>
          <w:divId w:val="492600966"/>
        </w:trPr>
        <w:tc>
          <w:tcPr>
            <w:tcW w:w="1604"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384</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(90)</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1"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294</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384</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r>
              <w:rPr>
                <w:sz w:val="20"/>
                <w:szCs w:val="20"/>
              </w:rPr>
              <w:t>90)</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294</w:t>
            </w:r>
          </w:p>
        </w:tc>
      </w:tr>
    </w:tbl>
    <w:p w:rsidR="00000000" w:rsidRDefault="00DB7886">
      <w:pPr>
        <w:pStyle w:val="a3"/>
        <w:spacing w:before="0" w:beforeAutospacing="0" w:after="0" w:afterAutospacing="0"/>
        <w:divId w:val="492600966"/>
        <w:rPr>
          <w:sz w:val="20"/>
          <w:szCs w:val="20"/>
        </w:rPr>
      </w:pPr>
      <w:r>
        <w:rPr>
          <w:sz w:val="20"/>
          <w:szCs w:val="20"/>
        </w:rPr>
        <w:t>​</w:t>
      </w:r>
    </w:p>
    <w:p w:rsidR="00000000" w:rsidRDefault="00DB7886">
      <w:pPr>
        <w:pStyle w:val="a3"/>
        <w:spacing w:before="0" w:beforeAutospacing="0" w:after="240" w:afterAutospacing="0"/>
        <w:ind w:firstLine="360"/>
        <w:divId w:val="492600966"/>
        <w:rPr>
          <w:sz w:val="20"/>
          <w:szCs w:val="20"/>
        </w:rPr>
      </w:pPr>
      <w:r>
        <w:rPr>
          <w:sz w:val="20"/>
          <w:szCs w:val="20"/>
        </w:rPr>
        <w:t>Intangible assets, net consists of the following:</w:t>
      </w:r>
    </w:p>
    <w:p w:rsidR="00000000" w:rsidRDefault="00DB7886">
      <w:pPr>
        <w:pStyle w:val="a3"/>
        <w:spacing w:before="0" w:beforeAutospacing="0" w:after="0" w:afterAutospacing="0"/>
        <w:divId w:val="49260096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00"/>
        <w:gridCol w:w="160"/>
        <w:gridCol w:w="111"/>
        <w:gridCol w:w="678"/>
        <w:gridCol w:w="200"/>
        <w:gridCol w:w="160"/>
        <w:gridCol w:w="985"/>
        <w:gridCol w:w="200"/>
        <w:gridCol w:w="111"/>
        <w:gridCol w:w="678"/>
        <w:gridCol w:w="200"/>
        <w:gridCol w:w="111"/>
        <w:gridCol w:w="678"/>
        <w:gridCol w:w="200"/>
        <w:gridCol w:w="160"/>
        <w:gridCol w:w="985"/>
        <w:gridCol w:w="200"/>
        <w:gridCol w:w="107"/>
        <w:gridCol w:w="682"/>
      </w:tblGrid>
      <w:tr w:rsidR="00000000">
        <w:trPr>
          <w:divId w:val="492600966"/>
          <w:trHeight w:val="20"/>
        </w:trPr>
        <w:tc>
          <w:tcPr>
            <w:tcW w:w="1589" w:type="pct"/>
            <w:tcMar>
              <w:top w:w="0" w:type="dxa"/>
              <w:left w:w="0" w:type="dxa"/>
              <w:bottom w:w="0" w:type="dxa"/>
              <w:right w:w="0" w:type="dxa"/>
            </w:tcMar>
            <w:vAlign w:val="bottom"/>
            <w:hideMark/>
          </w:tcPr>
          <w:p w:rsidR="00000000" w:rsidRDefault="00DB7886">
            <w:pPr>
              <w:pStyle w:val="a3"/>
              <w:spacing w:before="0" w:beforeAutospacing="0" w:after="0" w:afterAutospacing="0"/>
              <w:divId w:val="179097290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6078076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59648373"/>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8360811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7559280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91120271"/>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2875149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9912078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436290220"/>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9348149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0046424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07492656"/>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0654204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11243263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0300078"/>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2008259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92433184"/>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10138780"/>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92138385"/>
              <w:rPr>
                <w:sz w:val="20"/>
                <w:szCs w:val="20"/>
              </w:rPr>
            </w:pPr>
            <w:r>
              <w:rPr>
                <w:sz w:val="2"/>
                <w:szCs w:val="2"/>
              </w:rPr>
              <w:t>​</w:t>
            </w:r>
          </w:p>
        </w:tc>
      </w:tr>
      <w:tr w:rsidR="00000000">
        <w:trPr>
          <w:divId w:val="492600966"/>
        </w:trPr>
        <w:tc>
          <w:tcPr>
            <w:tcW w:w="158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608" w:type="pct"/>
            <w:gridSpan w:val="8"/>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September 30, 2021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616" w:type="pct"/>
            <w:gridSpan w:val="8"/>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December 31, 2020</w:t>
            </w:r>
          </w:p>
        </w:tc>
      </w:tr>
      <w:tr w:rsidR="00000000">
        <w:trPr>
          <w:divId w:val="492600966"/>
        </w:trPr>
        <w:tc>
          <w:tcPr>
            <w:tcW w:w="158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0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 xml:space="preserve">Gross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Net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Gross</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413"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Net</w:t>
            </w:r>
          </w:p>
        </w:tc>
      </w:tr>
      <w:tr w:rsidR="00000000">
        <w:trPr>
          <w:divId w:val="492600966"/>
        </w:trPr>
        <w:tc>
          <w:tcPr>
            <w:tcW w:w="158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0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 xml:space="preserve">Carrying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89"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89"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413"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Carrying</w:t>
            </w:r>
          </w:p>
        </w:tc>
      </w:tr>
      <w:tr w:rsidR="00000000">
        <w:trPr>
          <w:divId w:val="492600966"/>
        </w:trPr>
        <w:tc>
          <w:tcPr>
            <w:tcW w:w="158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Amortization</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Value</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Amortization</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Value</w:t>
            </w:r>
          </w:p>
        </w:tc>
      </w:tr>
      <w:tr w:rsidR="00000000">
        <w:trPr>
          <w:divId w:val="492600966"/>
        </w:trPr>
        <w:tc>
          <w:tcPr>
            <w:tcW w:w="0" w:type="auto"/>
            <w:gridSpan w:val="19"/>
            <w:tcMar>
              <w:top w:w="0" w:type="dxa"/>
              <w:left w:w="0" w:type="dxa"/>
              <w:bottom w:w="0" w:type="dxa"/>
              <w:right w:w="0" w:type="dxa"/>
            </w:tcMar>
            <w:vAlign w:val="center"/>
            <w:hideMark/>
          </w:tcPr>
          <w:p w:rsidR="00000000" w:rsidRDefault="00DB7886">
            <w:pPr>
              <w:rPr>
                <w:sz w:val="20"/>
                <w:szCs w:val="20"/>
              </w:rPr>
            </w:pPr>
          </w:p>
        </w:tc>
      </w:tr>
      <w:tr w:rsidR="00000000">
        <w:trPr>
          <w:divId w:val="492600966"/>
        </w:trPr>
        <w:tc>
          <w:tcPr>
            <w:tcW w:w="158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327" w:type="pct"/>
            <w:gridSpan w:val="17"/>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492600966"/>
        </w:trPr>
        <w:tc>
          <w:tcPr>
            <w:tcW w:w="158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Definite-lived intangible assets: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r>
      <w:tr w:rsidR="00000000">
        <w:trPr>
          <w:divId w:val="492600966"/>
        </w:trPr>
        <w:tc>
          <w:tcPr>
            <w:tcW w:w="1589"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Customer relationships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398</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(191)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207</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399</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(176)</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223</w:t>
            </w:r>
          </w:p>
        </w:tc>
      </w:tr>
      <w:tr w:rsidR="00000000">
        <w:trPr>
          <w:divId w:val="492600966"/>
        </w:trPr>
        <w:tc>
          <w:tcPr>
            <w:tcW w:w="158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Developed technology</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254</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(27)</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227</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254</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248</w:t>
            </w:r>
          </w:p>
        </w:tc>
      </w:tr>
      <w:tr w:rsidR="00000000">
        <w:trPr>
          <w:divId w:val="492600966"/>
        </w:trPr>
        <w:tc>
          <w:tcPr>
            <w:tcW w:w="1589"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Other</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181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0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(85)</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96</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269</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0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(163)</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5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106</w:t>
            </w:r>
          </w:p>
        </w:tc>
      </w:tr>
      <w:tr w:rsidR="00000000">
        <w:trPr>
          <w:divId w:val="492600966"/>
        </w:trPr>
        <w:tc>
          <w:tcPr>
            <w:tcW w:w="158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833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(303)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530</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922</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(345)</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577</w:t>
            </w:r>
          </w:p>
        </w:tc>
      </w:tr>
      <w:tr w:rsidR="00000000">
        <w:trPr>
          <w:divId w:val="492600966"/>
        </w:trPr>
        <w:tc>
          <w:tcPr>
            <w:tcW w:w="158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492600966"/>
        </w:trPr>
        <w:tc>
          <w:tcPr>
            <w:tcW w:w="158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Indefinite-lived intangible assets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83</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83</w:t>
            </w:r>
          </w:p>
        </w:tc>
      </w:tr>
      <w:tr w:rsidR="00000000">
        <w:trPr>
          <w:divId w:val="492600966"/>
        </w:trPr>
        <w:tc>
          <w:tcPr>
            <w:tcW w:w="158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Intangible assets, net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613</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5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660</w:t>
            </w:r>
          </w:p>
        </w:tc>
      </w:tr>
    </w:tbl>
    <w:p w:rsidR="00000000" w:rsidRDefault="00DB7886">
      <w:pPr>
        <w:pStyle w:val="a3"/>
        <w:spacing w:before="0" w:beforeAutospacing="0" w:after="0" w:afterAutospacing="0"/>
        <w:divId w:val="492600966"/>
        <w:rPr>
          <w:sz w:val="20"/>
          <w:szCs w:val="20"/>
        </w:rPr>
      </w:pPr>
      <w:r>
        <w:rPr>
          <w:sz w:val="20"/>
          <w:szCs w:val="20"/>
        </w:rPr>
        <w:t>​</w:t>
      </w:r>
    </w:p>
    <w:p w:rsidR="00000000" w:rsidRDefault="00DB7886">
      <w:pPr>
        <w:pStyle w:val="a3"/>
        <w:spacing w:before="0" w:beforeAutospacing="0" w:after="240" w:afterAutospacing="0"/>
        <w:ind w:firstLine="360"/>
        <w:divId w:val="492600966"/>
        <w:rPr>
          <w:sz w:val="20"/>
          <w:szCs w:val="20"/>
        </w:rPr>
      </w:pPr>
      <w:r>
        <w:rPr>
          <w:sz w:val="20"/>
          <w:szCs w:val="20"/>
        </w:rPr>
        <w:t xml:space="preserve">Amortization expense associated with definite-lived intangible assets was $17 million and $10 million for the three months ended September 30, 2021 and 2020, respectively, and $49 million and $31 </w:t>
      </w:r>
      <w:r>
        <w:rPr>
          <w:sz w:val="20"/>
          <w:szCs w:val="20"/>
        </w:rPr>
        <w:t xml:space="preserve">million for the nine months ended September 30, 2021 and 2020, respectively. We utilize the straight-line method of amortization, recognized over the estimated useful lives of the assets. </w:t>
      </w:r>
    </w:p>
    <w:p w:rsidR="00000000" w:rsidRDefault="00DB7886">
      <w:pPr>
        <w:pStyle w:val="a3"/>
        <w:spacing w:before="480" w:beforeAutospacing="0" w:after="0" w:afterAutospacing="0"/>
        <w:jc w:val="center"/>
        <w:divId w:val="343673970"/>
        <w:rPr>
          <w:sz w:val="20"/>
          <w:szCs w:val="20"/>
        </w:rPr>
      </w:pPr>
      <w:r>
        <w:rPr>
          <w:sz w:val="20"/>
          <w:szCs w:val="20"/>
        </w:rPr>
        <w:t>26</w:t>
      </w:r>
    </w:p>
    <w:p w:rsidR="00000000" w:rsidRDefault="00DB7886">
      <w:pPr>
        <w:pStyle w:val="a3"/>
        <w:spacing w:before="0" w:beforeAutospacing="0" w:after="600" w:afterAutospacing="0"/>
        <w:divId w:val="1434856526"/>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1434856526"/>
        <w:rPr>
          <w:sz w:val="20"/>
          <w:szCs w:val="20"/>
        </w:rPr>
      </w:pPr>
      <w:r>
        <w:rPr>
          <w:b/>
          <w:bCs/>
          <w:sz w:val="20"/>
          <w:szCs w:val="20"/>
        </w:rPr>
        <w:t>ICAHN ENTERPRISES L.</w:t>
      </w:r>
      <w:r>
        <w:rPr>
          <w:b/>
          <w:bCs/>
          <w:sz w:val="20"/>
          <w:szCs w:val="20"/>
        </w:rPr>
        <w:t>P. AND SUBSIDIARIES</w:t>
      </w:r>
    </w:p>
    <w:p w:rsidR="00000000" w:rsidRDefault="00DB7886">
      <w:pPr>
        <w:pStyle w:val="a3"/>
        <w:spacing w:before="0" w:beforeAutospacing="0" w:after="0" w:afterAutospacing="0"/>
        <w:jc w:val="center"/>
        <w:divId w:val="1434856526"/>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1434856526"/>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divId w:val="235163791"/>
        <w:rPr>
          <w:b/>
          <w:bCs/>
          <w:sz w:val="20"/>
          <w:szCs w:val="20"/>
        </w:rPr>
      </w:pPr>
      <w:r>
        <w:rPr>
          <w:b/>
          <w:bCs/>
          <w:sz w:val="20"/>
          <w:szCs w:val="20"/>
        </w:rPr>
        <w:t>9.  Leases</w:t>
      </w:r>
    </w:p>
    <w:p w:rsidR="00000000" w:rsidRDefault="00DB7886">
      <w:pPr>
        <w:pStyle w:val="a3"/>
        <w:spacing w:before="0" w:beforeAutospacing="0" w:after="240" w:afterAutospacing="0"/>
        <w:divId w:val="235163791"/>
        <w:rPr>
          <w:i/>
          <w:iCs/>
          <w:sz w:val="20"/>
          <w:szCs w:val="20"/>
        </w:rPr>
      </w:pPr>
      <w:r>
        <w:rPr>
          <w:i/>
          <w:iCs/>
          <w:sz w:val="20"/>
          <w:szCs w:val="20"/>
        </w:rPr>
        <w:t>All Segments and Holding Company</w:t>
      </w:r>
    </w:p>
    <w:p w:rsidR="00000000" w:rsidRDefault="00DB7886">
      <w:pPr>
        <w:pStyle w:val="a3"/>
        <w:spacing w:before="0" w:beforeAutospacing="0" w:after="240" w:afterAutospacing="0"/>
        <w:ind w:firstLine="360"/>
        <w:divId w:val="235163791"/>
        <w:rPr>
          <w:sz w:val="20"/>
          <w:szCs w:val="20"/>
        </w:rPr>
      </w:pPr>
      <w:r>
        <w:rPr>
          <w:sz w:val="20"/>
          <w:szCs w:val="20"/>
        </w:rPr>
        <w:t>We have operating and finance leases primarily within our Automotive, Energy a</w:t>
      </w:r>
      <w:r>
        <w:rPr>
          <w:sz w:val="20"/>
          <w:szCs w:val="20"/>
        </w:rPr>
        <w:t xml:space="preserve">nd Food Packaging segments. Our Automotive segment leases assets, primarily real estate (operating) and vehicles (financing). Our Energy segment leases certain pipelines, storage tanks, railcars, office space, land and equipment (operating and financing). </w:t>
      </w:r>
      <w:r>
        <w:rPr>
          <w:sz w:val="20"/>
          <w:szCs w:val="20"/>
        </w:rPr>
        <w:t>Our Food Packaging segment leases assets, primarily real estate, equipment and vehicles (primarily operating). Our lease agreements do not contain any material residual value guarantees or material restrictive covenants. Right-of-use assets and related lia</w:t>
      </w:r>
      <w:r>
        <w:rPr>
          <w:sz w:val="20"/>
          <w:szCs w:val="20"/>
        </w:rPr>
        <w:t>bilities are recorded on the balance sheet for leases with an initial lease term in excess of twelve months and therefore, do not include any lease arrangements with initial lease terms of twelve months or less.</w:t>
      </w:r>
    </w:p>
    <w:p w:rsidR="00000000" w:rsidRDefault="00DB7886">
      <w:pPr>
        <w:pStyle w:val="a3"/>
        <w:spacing w:before="0" w:beforeAutospacing="0" w:after="240" w:afterAutospacing="0"/>
        <w:ind w:firstLine="360"/>
        <w:divId w:val="235163791"/>
        <w:rPr>
          <w:sz w:val="20"/>
          <w:szCs w:val="20"/>
        </w:rPr>
      </w:pPr>
      <w:r>
        <w:rPr>
          <w:sz w:val="20"/>
          <w:szCs w:val="20"/>
        </w:rPr>
        <w:t>Right-of-use assets and lease liabilities ar</w:t>
      </w:r>
      <w:r>
        <w:rPr>
          <w:sz w:val="20"/>
          <w:szCs w:val="20"/>
        </w:rPr>
        <w:t>e as follows:</w:t>
      </w:r>
    </w:p>
    <w:p w:rsidR="00000000" w:rsidRDefault="00DB7886">
      <w:pPr>
        <w:pStyle w:val="a3"/>
        <w:spacing w:before="0" w:beforeAutospacing="0" w:after="0" w:afterAutospacing="0"/>
        <w:divId w:val="23516379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17"/>
        <w:gridCol w:w="200"/>
        <w:gridCol w:w="136"/>
        <w:gridCol w:w="1136"/>
        <w:gridCol w:w="200"/>
        <w:gridCol w:w="121"/>
        <w:gridCol w:w="1096"/>
      </w:tblGrid>
      <w:tr w:rsidR="00000000">
        <w:trPr>
          <w:divId w:val="235163791"/>
          <w:trHeight w:val="20"/>
        </w:trPr>
        <w:tc>
          <w:tcPr>
            <w:tcW w:w="3459" w:type="pct"/>
            <w:tcMar>
              <w:top w:w="0" w:type="dxa"/>
              <w:left w:w="0" w:type="dxa"/>
              <w:bottom w:w="0" w:type="dxa"/>
              <w:right w:w="0" w:type="dxa"/>
            </w:tcMar>
            <w:vAlign w:val="bottom"/>
            <w:hideMark/>
          </w:tcPr>
          <w:p w:rsidR="00000000" w:rsidRDefault="00DB7886">
            <w:pPr>
              <w:pStyle w:val="a3"/>
              <w:spacing w:before="0" w:beforeAutospacing="0" w:after="0" w:afterAutospacing="0"/>
              <w:divId w:val="828206346"/>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1361836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54724608"/>
              <w:rPr>
                <w:sz w:val="20"/>
                <w:szCs w:val="20"/>
              </w:rPr>
            </w:pPr>
            <w:r>
              <w:rPr>
                <w:sz w:val="2"/>
                <w:szCs w:val="2"/>
              </w:rPr>
              <w:t>​</w:t>
            </w:r>
          </w:p>
        </w:tc>
        <w:tc>
          <w:tcPr>
            <w:tcW w:w="58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79984447"/>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08585495"/>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85272173"/>
              <w:rPr>
                <w:sz w:val="20"/>
                <w:szCs w:val="20"/>
              </w:rPr>
            </w:pPr>
            <w:r>
              <w:rPr>
                <w:sz w:val="2"/>
                <w:szCs w:val="2"/>
              </w:rPr>
              <w:t>​</w:t>
            </w:r>
          </w:p>
        </w:tc>
        <w:tc>
          <w:tcPr>
            <w:tcW w:w="601"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479151793"/>
              <w:rPr>
                <w:sz w:val="20"/>
                <w:szCs w:val="20"/>
              </w:rPr>
            </w:pPr>
            <w:r>
              <w:rPr>
                <w:sz w:val="2"/>
                <w:szCs w:val="2"/>
              </w:rPr>
              <w:t>​</w:t>
            </w:r>
          </w:p>
        </w:tc>
      </w:tr>
      <w:tr w:rsidR="00000000">
        <w:trPr>
          <w:divId w:val="235163791"/>
        </w:trPr>
        <w:tc>
          <w:tcPr>
            <w:tcW w:w="345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6"/>
                <w:szCs w:val="16"/>
              </w:rPr>
              <w:t>​</w:t>
            </w:r>
          </w:p>
        </w:tc>
        <w:tc>
          <w:tcPr>
            <w:tcW w:w="10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20"/>
                <w:szCs w:val="20"/>
              </w:rPr>
              <w:t>    </w:t>
            </w:r>
          </w:p>
        </w:tc>
        <w:tc>
          <w:tcPr>
            <w:tcW w:w="655"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rFonts w:ascii="Times" w:hAnsi="Times"/>
                <w:b/>
                <w:bCs/>
                <w:sz w:val="20"/>
                <w:szCs w:val="20"/>
              </w:rPr>
              <w:t>September 30, </w:t>
            </w:r>
          </w:p>
        </w:tc>
        <w:tc>
          <w:tcPr>
            <w:tcW w:w="10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20"/>
                <w:szCs w:val="20"/>
              </w:rPr>
              <w:t>    </w:t>
            </w:r>
          </w:p>
        </w:tc>
        <w:tc>
          <w:tcPr>
            <w:tcW w:w="668"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rFonts w:ascii="Times" w:hAnsi="Times"/>
                <w:b/>
                <w:bCs/>
                <w:sz w:val="20"/>
                <w:szCs w:val="20"/>
              </w:rPr>
              <w:t>December 31, </w:t>
            </w:r>
          </w:p>
        </w:tc>
      </w:tr>
      <w:tr w:rsidR="00000000">
        <w:trPr>
          <w:divId w:val="235163791"/>
        </w:trPr>
        <w:tc>
          <w:tcPr>
            <w:tcW w:w="345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6"/>
                <w:szCs w:val="16"/>
              </w:rPr>
              <w:t>​</w:t>
            </w:r>
          </w:p>
        </w:tc>
        <w:tc>
          <w:tcPr>
            <w:tcW w:w="10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20"/>
                <w:szCs w:val="20"/>
              </w:rPr>
              <w:t>​</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rFonts w:ascii="Times" w:hAnsi="Times"/>
                <w:b/>
                <w:bCs/>
                <w:sz w:val="20"/>
                <w:szCs w:val="20"/>
              </w:rPr>
              <w:t>2021</w:t>
            </w:r>
          </w:p>
        </w:tc>
        <w:tc>
          <w:tcPr>
            <w:tcW w:w="10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20"/>
                <w:szCs w:val="20"/>
              </w:rPr>
              <w:t>​</w:t>
            </w:r>
          </w:p>
        </w:tc>
        <w:tc>
          <w:tcPr>
            <w:tcW w:w="668"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rFonts w:ascii="Times" w:hAnsi="Times"/>
                <w:b/>
                <w:bCs/>
                <w:sz w:val="20"/>
                <w:szCs w:val="20"/>
              </w:rPr>
              <w:t>2020</w:t>
            </w:r>
          </w:p>
        </w:tc>
      </w:tr>
      <w:tr w:rsidR="00000000">
        <w:trPr>
          <w:divId w:val="235163791"/>
        </w:trPr>
        <w:tc>
          <w:tcPr>
            <w:tcW w:w="0" w:type="auto"/>
            <w:gridSpan w:val="7"/>
            <w:tcMar>
              <w:top w:w="0" w:type="dxa"/>
              <w:left w:w="0" w:type="dxa"/>
              <w:bottom w:w="0" w:type="dxa"/>
              <w:right w:w="0" w:type="dxa"/>
            </w:tcMar>
            <w:vAlign w:val="center"/>
            <w:hideMark/>
          </w:tcPr>
          <w:p w:rsidR="00000000" w:rsidRDefault="00DB7886">
            <w:pPr>
              <w:rPr>
                <w:sz w:val="20"/>
                <w:szCs w:val="20"/>
              </w:rPr>
            </w:pPr>
          </w:p>
        </w:tc>
      </w:tr>
      <w:tr w:rsidR="00000000">
        <w:trPr>
          <w:divId w:val="235163791"/>
        </w:trPr>
        <w:tc>
          <w:tcPr>
            <w:tcW w:w="345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6"/>
                <w:szCs w:val="16"/>
              </w:rPr>
              <w:t>​</w:t>
            </w:r>
          </w:p>
        </w:tc>
        <w:tc>
          <w:tcPr>
            <w:tcW w:w="10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6"/>
                <w:szCs w:val="16"/>
              </w:rPr>
              <w:t>​</w:t>
            </w:r>
          </w:p>
        </w:tc>
        <w:tc>
          <w:tcPr>
            <w:tcW w:w="1432" w:type="pct"/>
            <w:gridSpan w:val="5"/>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rFonts w:ascii="Times" w:hAnsi="Times"/>
                <w:sz w:val="16"/>
                <w:szCs w:val="16"/>
              </w:rPr>
              <w:t>(in millions)</w:t>
            </w:r>
          </w:p>
        </w:tc>
      </w:tr>
      <w:tr w:rsidR="00000000">
        <w:trPr>
          <w:divId w:val="235163791"/>
        </w:trPr>
        <w:tc>
          <w:tcPr>
            <w:tcW w:w="345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Operating Leases:</w:t>
            </w:r>
          </w:p>
        </w:tc>
        <w:tc>
          <w:tcPr>
            <w:tcW w:w="10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8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0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w:t>
            </w:r>
          </w:p>
        </w:tc>
      </w:tr>
      <w:tr w:rsidR="00000000">
        <w:trPr>
          <w:divId w:val="235163791"/>
        </w:trPr>
        <w:tc>
          <w:tcPr>
            <w:tcW w:w="3459"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Right-of-use assets (other assets)</w:t>
            </w:r>
          </w:p>
        </w:tc>
        <w:tc>
          <w:tcPr>
            <w:tcW w:w="10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8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502</w:t>
            </w:r>
          </w:p>
        </w:tc>
        <w:tc>
          <w:tcPr>
            <w:tcW w:w="10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556</w:t>
            </w:r>
          </w:p>
        </w:tc>
      </w:tr>
      <w:tr w:rsidR="00000000">
        <w:trPr>
          <w:divId w:val="235163791"/>
        </w:trPr>
        <w:tc>
          <w:tcPr>
            <w:tcW w:w="345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Lease liabilities (accrued expenses and other liabilities</w:t>
            </w: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8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515</w:t>
            </w:r>
          </w:p>
        </w:tc>
        <w:tc>
          <w:tcPr>
            <w:tcW w:w="10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0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573</w:t>
            </w:r>
          </w:p>
        </w:tc>
      </w:tr>
      <w:tr w:rsidR="00000000">
        <w:trPr>
          <w:divId w:val="235163791"/>
        </w:trPr>
        <w:tc>
          <w:tcPr>
            <w:tcW w:w="345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8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1"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235163791"/>
        </w:trPr>
        <w:tc>
          <w:tcPr>
            <w:tcW w:w="345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Financing Leases:</w:t>
            </w:r>
          </w:p>
        </w:tc>
        <w:tc>
          <w:tcPr>
            <w:tcW w:w="10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8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0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235163791"/>
        </w:trPr>
        <w:tc>
          <w:tcPr>
            <w:tcW w:w="3459"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Right-of-use assets (property, plant and equipment, net)</w:t>
            </w:r>
          </w:p>
        </w:tc>
        <w:tc>
          <w:tcPr>
            <w:tcW w:w="10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8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62</w:t>
            </w:r>
          </w:p>
        </w:tc>
        <w:tc>
          <w:tcPr>
            <w:tcW w:w="10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0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65</w:t>
            </w:r>
          </w:p>
        </w:tc>
      </w:tr>
      <w:tr w:rsidR="00000000">
        <w:trPr>
          <w:divId w:val="235163791"/>
        </w:trPr>
        <w:tc>
          <w:tcPr>
            <w:tcW w:w="345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Lease liabilities (debt)</w:t>
            </w:r>
          </w:p>
        </w:tc>
        <w:tc>
          <w:tcPr>
            <w:tcW w:w="10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8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79</w:t>
            </w:r>
          </w:p>
        </w:tc>
        <w:tc>
          <w:tcPr>
            <w:tcW w:w="10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0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81</w:t>
            </w:r>
          </w:p>
        </w:tc>
      </w:tr>
    </w:tbl>
    <w:p w:rsidR="00000000" w:rsidRDefault="00DB7886">
      <w:pPr>
        <w:pStyle w:val="a3"/>
        <w:spacing w:before="0" w:beforeAutospacing="0" w:after="0" w:afterAutospacing="0"/>
        <w:divId w:val="235163791"/>
        <w:rPr>
          <w:sz w:val="20"/>
          <w:szCs w:val="20"/>
        </w:rPr>
      </w:pPr>
      <w:r>
        <w:rPr>
          <w:sz w:val="20"/>
          <w:szCs w:val="20"/>
        </w:rPr>
        <w:t>​</w:t>
      </w:r>
    </w:p>
    <w:p w:rsidR="00000000" w:rsidRDefault="00DB7886">
      <w:pPr>
        <w:pStyle w:val="a3"/>
        <w:spacing w:before="0" w:beforeAutospacing="0" w:after="240" w:afterAutospacing="0"/>
        <w:ind w:firstLine="360"/>
        <w:divId w:val="235163791"/>
        <w:rPr>
          <w:sz w:val="20"/>
          <w:szCs w:val="20"/>
        </w:rPr>
      </w:pPr>
      <w:r>
        <w:rPr>
          <w:sz w:val="20"/>
          <w:szCs w:val="20"/>
        </w:rPr>
        <w:t>Additional information with respect to our operating leases as of September 30, 2021 and December 31, 2020 is presented below. The lease terms and discount rates for our Energy, Automotive and Food Packaging segments represent weighted averages based on th</w:t>
      </w:r>
      <w:r>
        <w:rPr>
          <w:sz w:val="20"/>
          <w:szCs w:val="20"/>
        </w:rPr>
        <w:t>eir respective lease liability balances.</w:t>
      </w:r>
    </w:p>
    <w:p w:rsidR="00000000" w:rsidRDefault="00DB7886">
      <w:pPr>
        <w:pStyle w:val="a3"/>
        <w:spacing w:before="0" w:beforeAutospacing="0" w:after="0" w:afterAutospacing="0"/>
        <w:divId w:val="23516379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67"/>
        <w:gridCol w:w="200"/>
        <w:gridCol w:w="101"/>
        <w:gridCol w:w="469"/>
        <w:gridCol w:w="200"/>
        <w:gridCol w:w="112"/>
        <w:gridCol w:w="744"/>
        <w:gridCol w:w="200"/>
        <w:gridCol w:w="1017"/>
        <w:gridCol w:w="200"/>
        <w:gridCol w:w="756"/>
        <w:gridCol w:w="40"/>
      </w:tblGrid>
      <w:tr w:rsidR="00000000">
        <w:trPr>
          <w:divId w:val="235163791"/>
          <w:trHeight w:val="20"/>
        </w:trPr>
        <w:tc>
          <w:tcPr>
            <w:tcW w:w="2810" w:type="pct"/>
            <w:tcMar>
              <w:top w:w="0" w:type="dxa"/>
              <w:left w:w="0" w:type="dxa"/>
              <w:bottom w:w="0" w:type="dxa"/>
              <w:right w:w="0" w:type="dxa"/>
            </w:tcMar>
            <w:vAlign w:val="bottom"/>
            <w:hideMark/>
          </w:tcPr>
          <w:p w:rsidR="00000000" w:rsidRDefault="00DB7886">
            <w:pPr>
              <w:pStyle w:val="a3"/>
              <w:spacing w:before="0" w:beforeAutospacing="0" w:after="0" w:afterAutospacing="0"/>
              <w:divId w:val="180388303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4525204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42484611"/>
              <w:rPr>
                <w:sz w:val="20"/>
                <w:szCs w:val="20"/>
              </w:rPr>
            </w:pPr>
            <w:r>
              <w:rPr>
                <w:sz w:val="2"/>
                <w:szCs w:val="2"/>
              </w:rPr>
              <w:t>​</w:t>
            </w:r>
          </w:p>
        </w:tc>
        <w:tc>
          <w:tcPr>
            <w:tcW w:w="32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2359699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49316680"/>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56581044"/>
              <w:rPr>
                <w:sz w:val="20"/>
                <w:szCs w:val="20"/>
              </w:rPr>
            </w:pPr>
            <w:r>
              <w:rPr>
                <w:sz w:val="2"/>
                <w:szCs w:val="2"/>
              </w:rPr>
              <w:t>​</w:t>
            </w:r>
          </w:p>
        </w:tc>
        <w:tc>
          <w:tcPr>
            <w:tcW w:w="40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1235098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17820499"/>
              <w:rPr>
                <w:sz w:val="20"/>
                <w:szCs w:val="20"/>
              </w:rPr>
            </w:pPr>
            <w:r>
              <w:rPr>
                <w:sz w:val="2"/>
                <w:szCs w:val="2"/>
              </w:rPr>
              <w:t>​</w:t>
            </w:r>
          </w:p>
        </w:tc>
        <w:tc>
          <w:tcPr>
            <w:tcW w:w="52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0151390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79269936"/>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58601095"/>
              <w:rPr>
                <w:sz w:val="20"/>
                <w:szCs w:val="20"/>
              </w:rPr>
            </w:pPr>
            <w:r>
              <w:rPr>
                <w:sz w:val="2"/>
                <w:szCs w:val="2"/>
              </w:rPr>
              <w:t>​</w:t>
            </w:r>
          </w:p>
        </w:tc>
        <w:tc>
          <w:tcPr>
            <w:tcW w:w="2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43704101"/>
              <w:rPr>
                <w:sz w:val="20"/>
                <w:szCs w:val="20"/>
              </w:rPr>
            </w:pPr>
            <w:r>
              <w:rPr>
                <w:sz w:val="2"/>
                <w:szCs w:val="2"/>
              </w:rPr>
              <w:t>​</w:t>
            </w:r>
          </w:p>
        </w:tc>
      </w:tr>
      <w:tr w:rsidR="00000000">
        <w:trPr>
          <w:divId w:val="235163791"/>
        </w:trPr>
        <w:tc>
          <w:tcPr>
            <w:tcW w:w="2810"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76" w:type="pct"/>
            <w:gridSpan w:val="2"/>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 xml:space="preserve">Right-Of-Use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466" w:type="pct"/>
            <w:gridSpan w:val="2"/>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Lease</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9" w:type="pct"/>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 xml:space="preserve">Discount </w:t>
            </w:r>
          </w:p>
        </w:tc>
        <w:tc>
          <w:tcPr>
            <w:tcW w:w="20"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 </w:t>
            </w:r>
          </w:p>
        </w:tc>
      </w:tr>
      <w:tr w:rsidR="00000000">
        <w:trPr>
          <w:divId w:val="235163791"/>
        </w:trPr>
        <w:tc>
          <w:tcPr>
            <w:tcW w:w="2810" w:type="pct"/>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Operating Leases as of September 30, 2021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7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Assets</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46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Liabilities</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2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Lease Term</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Rate</w:t>
            </w:r>
          </w:p>
        </w:tc>
        <w:tc>
          <w:tcPr>
            <w:tcW w:w="20"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 </w:t>
            </w:r>
          </w:p>
        </w:tc>
      </w:tr>
      <w:tr w:rsidR="00000000">
        <w:trPr>
          <w:divId w:val="235163791"/>
        </w:trPr>
        <w:tc>
          <w:tcPr>
            <w:tcW w:w="0" w:type="auto"/>
            <w:gridSpan w:val="12"/>
            <w:tcMar>
              <w:top w:w="0" w:type="dxa"/>
              <w:left w:w="0" w:type="dxa"/>
              <w:bottom w:w="0" w:type="dxa"/>
              <w:right w:w="0" w:type="dxa"/>
            </w:tcMar>
            <w:vAlign w:val="center"/>
            <w:hideMark/>
          </w:tcPr>
          <w:p w:rsidR="00000000" w:rsidRDefault="00DB7886">
            <w:pPr>
              <w:rPr>
                <w:sz w:val="16"/>
                <w:szCs w:val="16"/>
              </w:rPr>
            </w:pPr>
          </w:p>
        </w:tc>
      </w:tr>
      <w:tr w:rsidR="00000000">
        <w:trPr>
          <w:divId w:val="235163791"/>
        </w:trPr>
        <w:tc>
          <w:tcPr>
            <w:tcW w:w="281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946" w:type="pct"/>
            <w:gridSpan w:val="5"/>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52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20"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r>
      <w:tr w:rsidR="00000000">
        <w:trPr>
          <w:divId w:val="235163791"/>
        </w:trPr>
        <w:tc>
          <w:tcPr>
            <w:tcW w:w="28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Energy</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2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38</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38</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4.3 years</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5.5%</w:t>
            </w:r>
          </w:p>
        </w:tc>
        <w:tc>
          <w:tcPr>
            <w:tcW w:w="2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235163791"/>
        </w:trPr>
        <w:tc>
          <w:tcPr>
            <w:tcW w:w="281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Automotive</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2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387</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403</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4.4 years</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5.8%</w:t>
            </w:r>
          </w:p>
        </w:tc>
        <w:tc>
          <w:tcPr>
            <w:tcW w:w="2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235163791"/>
        </w:trPr>
        <w:tc>
          <w:tcPr>
            <w:tcW w:w="28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Food Packaging</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2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29</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4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32</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2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10.7 years</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20"/>
                <w:szCs w:val="20"/>
              </w:rPr>
              <w:t>7.4%</w:t>
            </w:r>
          </w:p>
        </w:tc>
        <w:tc>
          <w:tcPr>
            <w:tcW w:w="2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235163791"/>
        </w:trPr>
        <w:tc>
          <w:tcPr>
            <w:tcW w:w="281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Other segments and Holding Company</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2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48</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40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42</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2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235163791"/>
        </w:trPr>
        <w:tc>
          <w:tcPr>
            <w:tcW w:w="28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502</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4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515</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2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bl>
    <w:p w:rsidR="00000000" w:rsidRDefault="00DB7886">
      <w:pPr>
        <w:pStyle w:val="a3"/>
        <w:spacing w:before="0" w:beforeAutospacing="0" w:after="0" w:afterAutospacing="0"/>
        <w:divId w:val="235163791"/>
        <w:rPr>
          <w:sz w:val="20"/>
          <w:szCs w:val="20"/>
        </w:rPr>
      </w:pPr>
      <w:r>
        <w:rPr>
          <w:sz w:val="20"/>
          <w:szCs w:val="20"/>
        </w:rPr>
        <w:t>​</w:t>
      </w:r>
    </w:p>
    <w:tbl>
      <w:tblPr>
        <w:tblW w:w="5003" w:type="pct"/>
        <w:tblCellMar>
          <w:top w:w="15" w:type="dxa"/>
          <w:left w:w="0" w:type="dxa"/>
          <w:bottom w:w="15" w:type="dxa"/>
          <w:right w:w="0" w:type="dxa"/>
        </w:tblCellMar>
        <w:tblLook w:val="04A0" w:firstRow="1" w:lastRow="0" w:firstColumn="1" w:lastColumn="0" w:noHBand="0" w:noVBand="1"/>
      </w:tblPr>
      <w:tblGrid>
        <w:gridCol w:w="4304"/>
        <w:gridCol w:w="200"/>
        <w:gridCol w:w="101"/>
        <w:gridCol w:w="471"/>
        <w:gridCol w:w="200"/>
        <w:gridCol w:w="112"/>
        <w:gridCol w:w="744"/>
        <w:gridCol w:w="200"/>
        <w:gridCol w:w="1017"/>
        <w:gridCol w:w="200"/>
        <w:gridCol w:w="756"/>
        <w:gridCol w:w="6"/>
      </w:tblGrid>
      <w:tr w:rsidR="00000000">
        <w:trPr>
          <w:divId w:val="235163791"/>
          <w:trHeight w:val="20"/>
        </w:trPr>
        <w:tc>
          <w:tcPr>
            <w:tcW w:w="2815" w:type="pct"/>
            <w:tcMar>
              <w:top w:w="0" w:type="dxa"/>
              <w:left w:w="0" w:type="dxa"/>
              <w:bottom w:w="0" w:type="dxa"/>
              <w:right w:w="0" w:type="dxa"/>
            </w:tcMar>
            <w:vAlign w:val="bottom"/>
            <w:hideMark/>
          </w:tcPr>
          <w:p w:rsidR="00000000" w:rsidRDefault="00DB7886">
            <w:pPr>
              <w:pStyle w:val="a3"/>
              <w:spacing w:before="0" w:beforeAutospacing="0" w:after="1" w:afterAutospacing="0"/>
              <w:divId w:val="506025155"/>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52170525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474712013"/>
              <w:rPr>
                <w:sz w:val="20"/>
                <w:szCs w:val="20"/>
              </w:rPr>
            </w:pPr>
            <w:r>
              <w:rPr>
                <w:sz w:val="2"/>
                <w:szCs w:val="2"/>
              </w:rPr>
              <w:t>​</w:t>
            </w:r>
          </w:p>
        </w:tc>
        <w:tc>
          <w:tcPr>
            <w:tcW w:w="328"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566234599"/>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738796257"/>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586773257"/>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003051966"/>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072581203"/>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446072568"/>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663121878"/>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33448596"/>
              <w:rPr>
                <w:sz w:val="20"/>
                <w:szCs w:val="20"/>
              </w:rPr>
            </w:pPr>
            <w:r>
              <w:rPr>
                <w:sz w:val="2"/>
                <w:szCs w:val="2"/>
              </w:rPr>
              <w:t>​</w:t>
            </w:r>
          </w:p>
        </w:tc>
        <w:tc>
          <w:tcPr>
            <w:tcW w:w="10"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616785019"/>
              <w:rPr>
                <w:sz w:val="20"/>
                <w:szCs w:val="20"/>
              </w:rPr>
            </w:pPr>
            <w:r>
              <w:rPr>
                <w:sz w:val="2"/>
                <w:szCs w:val="2"/>
              </w:rPr>
              <w:t>​</w:t>
            </w:r>
          </w:p>
        </w:tc>
      </w:tr>
      <w:tr w:rsidR="00000000">
        <w:trPr>
          <w:divId w:val="235163791"/>
        </w:trPr>
        <w:tc>
          <w:tcPr>
            <w:tcW w:w="2815"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380" w:type="pct"/>
            <w:gridSpan w:val="2"/>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 xml:space="preserve">Right-Of-Use </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467" w:type="pct"/>
            <w:gridSpan w:val="2"/>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Lease</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389" w:type="pct"/>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 xml:space="preserve">Discount </w:t>
            </w:r>
          </w:p>
        </w:tc>
        <w:tc>
          <w:tcPr>
            <w:tcW w:w="1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rFonts w:ascii="Calibri" w:hAnsi="Calibri" w:cs="Calibri"/>
                <w:sz w:val="22"/>
                <w:szCs w:val="22"/>
              </w:rPr>
              <w:t>​</w:t>
            </w:r>
          </w:p>
        </w:tc>
      </w:tr>
      <w:tr w:rsidR="00000000">
        <w:trPr>
          <w:divId w:val="235163791"/>
        </w:trPr>
        <w:tc>
          <w:tcPr>
            <w:tcW w:w="2815" w:type="pct"/>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20"/>
                <w:szCs w:val="20"/>
              </w:rPr>
              <w:t>Operating Leases as of December 31, 2020</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380"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Assets</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Liabilities</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Lease Term</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Rate</w:t>
            </w:r>
          </w:p>
        </w:tc>
        <w:tc>
          <w:tcPr>
            <w:tcW w:w="1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rFonts w:ascii="Calibri" w:hAnsi="Calibri" w:cs="Calibri"/>
                <w:sz w:val="22"/>
                <w:szCs w:val="22"/>
              </w:rPr>
              <w:t>​</w:t>
            </w:r>
          </w:p>
        </w:tc>
      </w:tr>
      <w:tr w:rsidR="00000000">
        <w:trPr>
          <w:divId w:val="235163791"/>
        </w:trPr>
        <w:tc>
          <w:tcPr>
            <w:tcW w:w="0" w:type="auto"/>
            <w:gridSpan w:val="12"/>
            <w:tcMar>
              <w:top w:w="0" w:type="dxa"/>
              <w:left w:w="0" w:type="dxa"/>
              <w:bottom w:w="0" w:type="dxa"/>
              <w:right w:w="0" w:type="dxa"/>
            </w:tcMar>
            <w:vAlign w:val="center"/>
            <w:hideMark/>
          </w:tcPr>
          <w:p w:rsidR="00000000" w:rsidRDefault="00DB7886">
            <w:pPr>
              <w:rPr>
                <w:sz w:val="20"/>
                <w:szCs w:val="20"/>
              </w:rPr>
            </w:pPr>
          </w:p>
        </w:tc>
      </w:tr>
      <w:tr w:rsidR="00000000">
        <w:trPr>
          <w:divId w:val="235163791"/>
        </w:trPr>
        <w:tc>
          <w:tcPr>
            <w:tcW w:w="2815"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b/>
                <w:bCs/>
                <w:sz w:val="16"/>
                <w:szCs w:val="16"/>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951" w:type="pct"/>
            <w:gridSpan w:val="5"/>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6"/>
                <w:szCs w:val="16"/>
              </w:rPr>
            </w:pPr>
            <w:r>
              <w:rPr>
                <w:sz w:val="16"/>
                <w:szCs w:val="16"/>
              </w:rPr>
              <w:t>(in millions)</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524"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10"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6"/>
                <w:szCs w:val="16"/>
              </w:rPr>
              <w:t>​</w:t>
            </w:r>
          </w:p>
        </w:tc>
      </w:tr>
      <w:tr w:rsidR="00000000">
        <w:trPr>
          <w:divId w:val="235163791"/>
        </w:trPr>
        <w:tc>
          <w:tcPr>
            <w:tcW w:w="281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Energy</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32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37</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38</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20"/>
                <w:szCs w:val="20"/>
              </w:rPr>
              <w:t>3.1 years</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20"/>
                <w:szCs w:val="20"/>
              </w:rPr>
              <w:t>5.5%</w:t>
            </w:r>
          </w:p>
        </w:tc>
        <w:tc>
          <w:tcPr>
            <w:tcW w:w="1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rFonts w:ascii="Calibri" w:hAnsi="Calibri" w:cs="Calibri"/>
                <w:sz w:val="22"/>
                <w:szCs w:val="22"/>
              </w:rPr>
              <w:t>​</w:t>
            </w:r>
          </w:p>
        </w:tc>
      </w:tr>
      <w:tr w:rsidR="00000000">
        <w:trPr>
          <w:divId w:val="235163791"/>
        </w:trPr>
        <w:tc>
          <w:tcPr>
            <w:tcW w:w="2815"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Automotive</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32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436</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40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456</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20"/>
                <w:szCs w:val="20"/>
              </w:rPr>
              <w:t>4.6 years</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20"/>
                <w:szCs w:val="20"/>
              </w:rPr>
              <w:t>5.7%</w:t>
            </w:r>
          </w:p>
        </w:tc>
        <w:tc>
          <w:tcPr>
            <w:tcW w:w="1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rFonts w:ascii="Calibri" w:hAnsi="Calibri" w:cs="Calibri"/>
                <w:sz w:val="22"/>
                <w:szCs w:val="22"/>
              </w:rPr>
              <w:t>​</w:t>
            </w:r>
          </w:p>
        </w:tc>
      </w:tr>
      <w:tr w:rsidR="00000000">
        <w:trPr>
          <w:divId w:val="235163791"/>
        </w:trPr>
        <w:tc>
          <w:tcPr>
            <w:tcW w:w="281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Food Packaging</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32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32</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40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35</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52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20"/>
                <w:szCs w:val="20"/>
              </w:rPr>
              <w:t>11.1 years</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20"/>
                <w:szCs w:val="20"/>
              </w:rPr>
              <w:t>7.4%</w:t>
            </w:r>
          </w:p>
        </w:tc>
        <w:tc>
          <w:tcPr>
            <w:tcW w:w="1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rFonts w:ascii="Calibri" w:hAnsi="Calibri" w:cs="Calibri"/>
                <w:sz w:val="22"/>
                <w:szCs w:val="22"/>
              </w:rPr>
              <w:t>​</w:t>
            </w:r>
          </w:p>
        </w:tc>
      </w:tr>
      <w:tr w:rsidR="00000000">
        <w:trPr>
          <w:divId w:val="235163791"/>
        </w:trPr>
        <w:tc>
          <w:tcPr>
            <w:tcW w:w="2815"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Other segments and Holding Company</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32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51</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44</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  </w:t>
            </w:r>
          </w:p>
        </w:tc>
        <w:tc>
          <w:tcPr>
            <w:tcW w:w="10"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rFonts w:ascii="Calibri" w:hAnsi="Calibri" w:cs="Calibri"/>
                <w:sz w:val="22"/>
                <w:szCs w:val="22"/>
              </w:rPr>
              <w:t>​</w:t>
            </w:r>
          </w:p>
        </w:tc>
      </w:tr>
      <w:tr w:rsidR="00000000">
        <w:trPr>
          <w:divId w:val="235163791"/>
        </w:trPr>
        <w:tc>
          <w:tcPr>
            <w:tcW w:w="281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3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556</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573</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rFonts w:ascii="Calibri" w:hAnsi="Calibri" w:cs="Calibri"/>
                <w:sz w:val="22"/>
                <w:szCs w:val="22"/>
              </w:rPr>
              <w:t>​</w:t>
            </w:r>
          </w:p>
        </w:tc>
      </w:tr>
    </w:tbl>
    <w:p w:rsidR="00000000" w:rsidRDefault="00DB7886">
      <w:pPr>
        <w:pStyle w:val="a3"/>
        <w:spacing w:before="480" w:beforeAutospacing="0" w:after="0" w:afterAutospacing="0"/>
        <w:jc w:val="center"/>
        <w:divId w:val="800341117"/>
        <w:rPr>
          <w:sz w:val="20"/>
          <w:szCs w:val="20"/>
        </w:rPr>
      </w:pPr>
      <w:r>
        <w:rPr>
          <w:sz w:val="20"/>
          <w:szCs w:val="20"/>
        </w:rPr>
        <w:t>27</w:t>
      </w:r>
    </w:p>
    <w:p w:rsidR="00000000" w:rsidRDefault="00DB7886">
      <w:pPr>
        <w:pStyle w:val="a3"/>
        <w:spacing w:before="0" w:beforeAutospacing="0" w:after="600" w:afterAutospacing="0"/>
        <w:divId w:val="554896272"/>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554896272"/>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554896272"/>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554896272"/>
        <w:rPr>
          <w:sz w:val="20"/>
          <w:szCs w:val="20"/>
        </w:rPr>
      </w:pPr>
      <w:r>
        <w:rPr>
          <w:b/>
          <w:bCs/>
          <w:sz w:val="20"/>
          <w:szCs w:val="20"/>
        </w:rPr>
        <w:t>Notes to Condensed Consolidated Financial Statements (Unaudited)</w:t>
      </w:r>
    </w:p>
    <w:p w:rsidR="00000000" w:rsidRDefault="00DB7886">
      <w:pPr>
        <w:pStyle w:val="a3"/>
        <w:spacing w:before="0" w:beforeAutospacing="0" w:after="0" w:afterAutospacing="0"/>
        <w:ind w:firstLine="360"/>
        <w:divId w:val="1702198131"/>
        <w:rPr>
          <w:sz w:val="20"/>
          <w:szCs w:val="20"/>
        </w:rPr>
      </w:pPr>
      <w:r>
        <w:rPr>
          <w:sz w:val="20"/>
          <w:szCs w:val="20"/>
        </w:rPr>
        <w:t>​</w:t>
      </w:r>
    </w:p>
    <w:p w:rsidR="00000000" w:rsidRDefault="00DB7886">
      <w:pPr>
        <w:pStyle w:val="a3"/>
        <w:spacing w:before="0" w:beforeAutospacing="0" w:after="240" w:afterAutospacing="0"/>
        <w:ind w:firstLine="360"/>
        <w:divId w:val="1702198131"/>
        <w:rPr>
          <w:sz w:val="20"/>
          <w:szCs w:val="20"/>
        </w:rPr>
      </w:pPr>
      <w:r>
        <w:rPr>
          <w:sz w:val="20"/>
          <w:szCs w:val="20"/>
        </w:rPr>
        <w:t xml:space="preserve">For the three months ended September 30, 2021 and 2020, </w:t>
      </w:r>
      <w:r>
        <w:rPr>
          <w:sz w:val="20"/>
          <w:szCs w:val="20"/>
        </w:rPr>
        <w:t>lease cost was comprised of (i) operating lease cost of $49 million and $52 million, respectively, (ii) amortization of financing lease right-of-use assets of $3 million and $3 million, respectively, and (iii) interest expense on financing lease liabilitie</w:t>
      </w:r>
      <w:r>
        <w:rPr>
          <w:sz w:val="20"/>
          <w:szCs w:val="20"/>
        </w:rPr>
        <w:t>s of $2 million and $1 million, respectively. For the nine months ended September 30, 2021 and 2020, lease cost was comprised of (i) operating lease cost of $150 million and $155 million, respectively, (ii) amortization of financing lease right-of-use asse</w:t>
      </w:r>
      <w:r>
        <w:rPr>
          <w:sz w:val="20"/>
          <w:szCs w:val="20"/>
        </w:rPr>
        <w:t xml:space="preserve">ts of $8 million and $9 million, respectively, and (iii) interest expense on financing lease liabilities of $5 million and $5 million, respectively. Our Automotive segment accounted for $127 million and $129 million of total lease cost for the nine months </w:t>
      </w:r>
      <w:r>
        <w:rPr>
          <w:sz w:val="20"/>
          <w:szCs w:val="20"/>
        </w:rPr>
        <w:t>ended September 30, 2021 and 2020, respectively.</w:t>
      </w:r>
    </w:p>
    <w:p w:rsidR="00000000" w:rsidRDefault="00DB7886">
      <w:pPr>
        <w:pStyle w:val="a3"/>
        <w:spacing w:before="0" w:beforeAutospacing="0" w:after="240" w:afterAutospacing="0"/>
        <w:divId w:val="1702198131"/>
        <w:rPr>
          <w:i/>
          <w:iCs/>
          <w:sz w:val="20"/>
          <w:szCs w:val="20"/>
        </w:rPr>
      </w:pPr>
      <w:r>
        <w:rPr>
          <w:i/>
          <w:iCs/>
          <w:sz w:val="20"/>
          <w:szCs w:val="20"/>
        </w:rPr>
        <w:t>Real Estate</w:t>
      </w:r>
    </w:p>
    <w:p w:rsidR="00000000" w:rsidRDefault="00DB7886">
      <w:pPr>
        <w:pStyle w:val="a3"/>
        <w:spacing w:before="0" w:beforeAutospacing="0" w:after="240" w:afterAutospacing="0"/>
        <w:ind w:firstLine="360"/>
        <w:divId w:val="1702198131"/>
        <w:rPr>
          <w:sz w:val="20"/>
          <w:szCs w:val="20"/>
        </w:rPr>
      </w:pPr>
      <w:r>
        <w:rPr>
          <w:sz w:val="20"/>
          <w:szCs w:val="20"/>
        </w:rPr>
        <w:t>Our Real Estate segment leases real estate, primarily commercial properties under long-term operating leases. As of September 30, 2021 and December 31, 2020, our Real Estate segment has assets leased to others included in property, plant and equipment of $</w:t>
      </w:r>
      <w:r>
        <w:rPr>
          <w:sz w:val="20"/>
          <w:szCs w:val="20"/>
        </w:rPr>
        <w:t>221 million and $222 million, respectively, net of accumulated depreciation. Our Real Estate segment’s revenue from operating leases were $1 million and $8 million for the three months ended September 30, 2021 and 2020, respectively, and $7 million and $24</w:t>
      </w:r>
      <w:r>
        <w:rPr>
          <w:sz w:val="20"/>
          <w:szCs w:val="20"/>
        </w:rPr>
        <w:t xml:space="preserve"> million for the nine months ended September 30, 2021 and 2020, respectively. Revenues from operating leases are included in other revenue from operations in the condensed consolidated statements of operations.</w:t>
      </w:r>
    </w:p>
    <w:p w:rsidR="00000000" w:rsidRDefault="00DB7886">
      <w:pPr>
        <w:pStyle w:val="a3"/>
        <w:spacing w:before="0" w:beforeAutospacing="0" w:after="240" w:afterAutospacing="0"/>
        <w:divId w:val="1702198131"/>
        <w:rPr>
          <w:b/>
          <w:bCs/>
          <w:sz w:val="20"/>
          <w:szCs w:val="20"/>
        </w:rPr>
      </w:pPr>
      <w:r>
        <w:rPr>
          <w:b/>
          <w:bCs/>
          <w:sz w:val="20"/>
          <w:szCs w:val="20"/>
        </w:rPr>
        <w:t>10.  Debt</w:t>
      </w:r>
    </w:p>
    <w:p w:rsidR="00000000" w:rsidRDefault="00DB7886">
      <w:pPr>
        <w:pStyle w:val="a3"/>
        <w:spacing w:before="0" w:beforeAutospacing="0" w:after="240" w:afterAutospacing="0"/>
        <w:ind w:firstLine="360"/>
        <w:divId w:val="1702198131"/>
        <w:rPr>
          <w:sz w:val="20"/>
          <w:szCs w:val="20"/>
        </w:rPr>
      </w:pPr>
      <w:r>
        <w:rPr>
          <w:sz w:val="20"/>
          <w:szCs w:val="20"/>
        </w:rPr>
        <w:t>Debt consists of the following:</w:t>
      </w:r>
    </w:p>
    <w:p w:rsidR="00000000" w:rsidRDefault="00DB7886">
      <w:pPr>
        <w:pStyle w:val="a3"/>
        <w:spacing w:before="0" w:beforeAutospacing="0" w:after="0" w:afterAutospacing="0"/>
        <w:divId w:val="170219813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69"/>
        <w:gridCol w:w="1103"/>
        <w:gridCol w:w="200"/>
        <w:gridCol w:w="159"/>
        <w:gridCol w:w="1058"/>
      </w:tblGrid>
      <w:tr w:rsidR="00000000">
        <w:trPr>
          <w:divId w:val="1702198131"/>
          <w:trHeight w:val="20"/>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divId w:val="25579687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89245456"/>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66435202"/>
              <w:rPr>
                <w:sz w:val="20"/>
                <w:szCs w:val="20"/>
              </w:rPr>
            </w:pPr>
            <w:r>
              <w:rPr>
                <w:sz w:val="2"/>
                <w:szCs w:val="2"/>
              </w:rPr>
              <w:t>​</w:t>
            </w:r>
          </w:p>
        </w:tc>
        <w:tc>
          <w:tcPr>
            <w:tcW w:w="56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11400655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6525288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41243274"/>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69670168"/>
              <w:rPr>
                <w:sz w:val="20"/>
                <w:szCs w:val="20"/>
              </w:rPr>
            </w:pPr>
            <w:r>
              <w:rPr>
                <w:sz w:val="2"/>
                <w:szCs w:val="2"/>
              </w:rPr>
              <w:t>​</w:t>
            </w:r>
          </w:p>
        </w:tc>
      </w:tr>
      <w:tr w:rsidR="00000000">
        <w:trPr>
          <w:divId w:val="1702198131"/>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655"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December 31, </w:t>
            </w:r>
          </w:p>
        </w:tc>
      </w:tr>
      <w:tr w:rsidR="00000000">
        <w:trPr>
          <w:divId w:val="1702198131"/>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r>
      <w:tr w:rsidR="00000000">
        <w:trPr>
          <w:divId w:val="1702198131"/>
        </w:trPr>
        <w:tc>
          <w:tcPr>
            <w:tcW w:w="0" w:type="auto"/>
            <w:gridSpan w:val="7"/>
            <w:tcMar>
              <w:top w:w="0" w:type="dxa"/>
              <w:left w:w="0" w:type="dxa"/>
              <w:bottom w:w="0" w:type="dxa"/>
              <w:right w:w="0" w:type="dxa"/>
            </w:tcMar>
            <w:vAlign w:val="center"/>
            <w:hideMark/>
          </w:tcPr>
          <w:p w:rsidR="00000000" w:rsidRDefault="00DB7886">
            <w:pPr>
              <w:rPr>
                <w:sz w:val="20"/>
                <w:szCs w:val="20"/>
              </w:rPr>
            </w:pPr>
          </w:p>
        </w:tc>
      </w:tr>
      <w:tr w:rsidR="00000000">
        <w:trPr>
          <w:divId w:val="1702198131"/>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386" w:type="pct"/>
            <w:gridSpan w:val="5"/>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1702198131"/>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Holding Company:</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  </w:t>
            </w:r>
          </w:p>
        </w:tc>
      </w:tr>
      <w:tr w:rsidR="00000000">
        <w:trPr>
          <w:divId w:val="1702198131"/>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6.250% senior unsecured notes due 2022</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1,209</w:t>
            </w:r>
          </w:p>
        </w:tc>
      </w:tr>
      <w:tr w:rsidR="00000000">
        <w:trPr>
          <w:divId w:val="1702198131"/>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6.750</w:t>
            </w:r>
            <w:r>
              <w:rPr>
                <w:sz w:val="20"/>
                <w:szCs w:val="20"/>
              </w:rPr>
              <w:t>% senior unsecured notes due 2024</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499</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499</w:t>
            </w:r>
          </w:p>
        </w:tc>
      </w:tr>
      <w:tr w:rsidR="00000000">
        <w:trPr>
          <w:divId w:val="1702198131"/>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4.750% senior unsecured notes due 2024</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1,105</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1,106</w:t>
            </w:r>
          </w:p>
        </w:tc>
      </w:tr>
      <w:tr w:rsidR="00000000">
        <w:trPr>
          <w:divId w:val="1702198131"/>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6.375% senior unsecured notes due 2025</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748</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748</w:t>
            </w:r>
          </w:p>
        </w:tc>
      </w:tr>
      <w:tr w:rsidR="00000000">
        <w:trPr>
          <w:divId w:val="1702198131"/>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6.250% senior unsecured notes due 2026</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1,250</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1,250</w:t>
            </w:r>
          </w:p>
        </w:tc>
      </w:tr>
      <w:tr w:rsidR="00000000">
        <w:trPr>
          <w:divId w:val="1702198131"/>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5.250</w:t>
            </w:r>
            <w:r>
              <w:rPr>
                <w:sz w:val="20"/>
                <w:szCs w:val="20"/>
              </w:rPr>
              <w:t>% senior unsecured notes due 2027</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1,461</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999</w:t>
            </w:r>
          </w:p>
        </w:tc>
      </w:tr>
      <w:tr w:rsidR="00000000">
        <w:trPr>
          <w:divId w:val="1702198131"/>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4.375% senior unsecured notes due 2029</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747</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r>
      <w:tr w:rsidR="00000000">
        <w:trPr>
          <w:divId w:val="1702198131"/>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5,810</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5,811</w:t>
            </w:r>
          </w:p>
        </w:tc>
      </w:tr>
      <w:tr w:rsidR="00000000">
        <w:trPr>
          <w:divId w:val="1702198131"/>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Reporting Segments: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1702198131"/>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Energy</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1,676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1,691</w:t>
            </w:r>
          </w:p>
        </w:tc>
      </w:tr>
      <w:tr w:rsidR="00000000">
        <w:trPr>
          <w:divId w:val="1702198131"/>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Automotive</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368</w:t>
            </w:r>
          </w:p>
        </w:tc>
      </w:tr>
      <w:tr w:rsidR="00000000">
        <w:trPr>
          <w:divId w:val="1702198131"/>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Food Packaging</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154</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151</w:t>
            </w:r>
          </w:p>
        </w:tc>
      </w:tr>
      <w:tr w:rsidR="00000000">
        <w:trPr>
          <w:divId w:val="1702198131"/>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Metals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18</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w:t>
            </w:r>
          </w:p>
        </w:tc>
      </w:tr>
      <w:tr w:rsidR="00000000">
        <w:trPr>
          <w:divId w:val="1702198131"/>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Real Estate</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r>
      <w:tr w:rsidR="00000000">
        <w:trPr>
          <w:divId w:val="1702198131"/>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Home Fashion</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36</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21</w:t>
            </w:r>
          </w:p>
        </w:tc>
      </w:tr>
      <w:tr w:rsidR="00000000">
        <w:trPr>
          <w:divId w:val="1702198131"/>
        </w:trPr>
        <w:tc>
          <w:tcPr>
            <w:tcW w:w="35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1,902</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2,248</w:t>
            </w:r>
          </w:p>
        </w:tc>
      </w:tr>
      <w:tr w:rsidR="00000000">
        <w:trPr>
          <w:divId w:val="1702198131"/>
        </w:trPr>
        <w:tc>
          <w:tcPr>
            <w:tcW w:w="35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Total Debt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7,712</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8,059</w:t>
            </w:r>
          </w:p>
        </w:tc>
      </w:tr>
    </w:tbl>
    <w:p w:rsidR="00000000" w:rsidRDefault="00DB7886">
      <w:pPr>
        <w:pStyle w:val="a3"/>
        <w:spacing w:before="0" w:beforeAutospacing="0" w:after="0" w:afterAutospacing="0"/>
        <w:divId w:val="1702198131"/>
        <w:rPr>
          <w:sz w:val="20"/>
          <w:szCs w:val="20"/>
        </w:rPr>
      </w:pPr>
      <w:r>
        <w:rPr>
          <w:sz w:val="20"/>
          <w:szCs w:val="20"/>
        </w:rPr>
        <w:t>​</w:t>
      </w:r>
    </w:p>
    <w:p w:rsidR="00000000" w:rsidRDefault="00DB7886">
      <w:pPr>
        <w:pStyle w:val="a3"/>
        <w:spacing w:before="0" w:beforeAutospacing="0" w:after="240" w:afterAutospacing="0"/>
        <w:divId w:val="1702198131"/>
        <w:rPr>
          <w:b/>
          <w:bCs/>
          <w:sz w:val="20"/>
          <w:szCs w:val="20"/>
        </w:rPr>
      </w:pPr>
      <w:r>
        <w:rPr>
          <w:b/>
          <w:bCs/>
          <w:sz w:val="20"/>
          <w:szCs w:val="20"/>
        </w:rPr>
        <w:t>Holding Company</w:t>
      </w:r>
    </w:p>
    <w:p w:rsidR="00000000" w:rsidRDefault="00DB7886">
      <w:pPr>
        <w:pStyle w:val="a3"/>
        <w:spacing w:before="0" w:beforeAutospacing="0" w:after="0" w:afterAutospacing="0"/>
        <w:ind w:firstLine="360"/>
        <w:divId w:val="1702198131"/>
        <w:rPr>
          <w:sz w:val="20"/>
          <w:szCs w:val="20"/>
        </w:rPr>
      </w:pPr>
      <w:r>
        <w:rPr>
          <w:sz w:val="20"/>
          <w:szCs w:val="20"/>
        </w:rPr>
        <w:t xml:space="preserve">In January 2021, Icahn Enterprises and Icahn Enterprises Finance Corp. (together the “Issuers”) issued $750 million in aggregate principal amount of 4.375% senior unsecured notes due 2029 (the “New 2029 Notes”). The New 2029 </w:t>
      </w:r>
    </w:p>
    <w:p w:rsidR="00000000" w:rsidRDefault="00DB7886">
      <w:pPr>
        <w:pStyle w:val="a3"/>
        <w:spacing w:before="480" w:beforeAutospacing="0" w:after="0" w:afterAutospacing="0"/>
        <w:jc w:val="center"/>
        <w:divId w:val="686253166"/>
        <w:rPr>
          <w:sz w:val="20"/>
          <w:szCs w:val="20"/>
        </w:rPr>
      </w:pPr>
      <w:r>
        <w:rPr>
          <w:sz w:val="20"/>
          <w:szCs w:val="20"/>
        </w:rPr>
        <w:t>28</w:t>
      </w:r>
    </w:p>
    <w:p w:rsidR="00000000" w:rsidRDefault="00DB7886">
      <w:pPr>
        <w:pStyle w:val="a3"/>
        <w:spacing w:before="0" w:beforeAutospacing="0" w:after="600" w:afterAutospacing="0"/>
        <w:divId w:val="1509325920"/>
        <w:rPr>
          <w:sz w:val="20"/>
          <w:szCs w:val="20"/>
        </w:rPr>
      </w:pPr>
      <w:hyperlink w:anchor="TOC" w:history="1">
        <w:r>
          <w:rPr>
            <w:rStyle w:val="a4"/>
            <w:sz w:val="20"/>
            <w:szCs w:val="20"/>
          </w:rPr>
          <w:t>T</w:t>
        </w:r>
        <w:r>
          <w:rPr>
            <w:rStyle w:val="a4"/>
            <w:sz w:val="20"/>
            <w:szCs w:val="20"/>
          </w:rPr>
          <w:t>able of Contents</w:t>
        </w:r>
      </w:hyperlink>
    </w:p>
    <w:p w:rsidR="00000000" w:rsidRDefault="00DB7886">
      <w:pPr>
        <w:pStyle w:val="a3"/>
        <w:spacing w:before="0" w:beforeAutospacing="0" w:after="0" w:afterAutospacing="0"/>
        <w:jc w:val="center"/>
        <w:divId w:val="1509325920"/>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1509325920"/>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1509325920"/>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divId w:val="489176264"/>
        <w:rPr>
          <w:sz w:val="20"/>
          <w:szCs w:val="20"/>
        </w:rPr>
      </w:pPr>
      <w:r>
        <w:rPr>
          <w:sz w:val="20"/>
          <w:szCs w:val="20"/>
        </w:rPr>
        <w:t>Notes are guaranteed by Icahn Enterprises Holdings (the “Guarantor”). The proceeds fr</w:t>
      </w:r>
      <w:r>
        <w:rPr>
          <w:sz w:val="20"/>
          <w:szCs w:val="20"/>
        </w:rPr>
        <w:t>om the New 2029 Notes were used to redeem $750 million principal amount of 6.250% senior unsecured notes due 2022 (the “2022 Notes”), and to pay accrued interest, related fees and expenses. Interest on the New 2029 Notes is payable semi-annually. In connec</w:t>
      </w:r>
      <w:r>
        <w:rPr>
          <w:sz w:val="20"/>
          <w:szCs w:val="20"/>
        </w:rPr>
        <w:t>tion with this transaction, our Holding Company recorded a gain on extinguishment of debt of $2 million.</w:t>
      </w:r>
    </w:p>
    <w:p w:rsidR="00000000" w:rsidRDefault="00DB7886">
      <w:pPr>
        <w:pStyle w:val="a3"/>
        <w:spacing w:before="0" w:beforeAutospacing="0" w:after="240" w:afterAutospacing="0"/>
        <w:ind w:firstLine="360"/>
        <w:divId w:val="489176264"/>
        <w:rPr>
          <w:sz w:val="20"/>
          <w:szCs w:val="20"/>
        </w:rPr>
      </w:pPr>
      <w:r>
        <w:rPr>
          <w:sz w:val="20"/>
          <w:szCs w:val="20"/>
        </w:rPr>
        <w:t>The New 2029 Notes and the related guarantee are the senior unsecured obligations of the Issuers and rank equally with all of the Issuers’ and the Guar</w:t>
      </w:r>
      <w:r>
        <w:rPr>
          <w:sz w:val="20"/>
          <w:szCs w:val="20"/>
        </w:rPr>
        <w:t>antor’s existing and future senior unsecured indebtedness and senior to all of the Issuers’ and the Guarantor’s existing and future subordinated indebtedness. The New 2029 Notes and the related guarantees are effectively subordinated to the Issuers’ and th</w:t>
      </w:r>
      <w:r>
        <w:rPr>
          <w:sz w:val="20"/>
          <w:szCs w:val="20"/>
        </w:rPr>
        <w:t>e Guarantor’s existing and future secured indebtedness to the extent of the collateral securing such indebtedness. The New 2029 Notes and the related guarantees are also effectively subordinated to all indebtedness and other liabilities of the Issuers’ sub</w:t>
      </w:r>
      <w:r>
        <w:rPr>
          <w:sz w:val="20"/>
          <w:szCs w:val="20"/>
        </w:rPr>
        <w:t>sidiaries other than the Guarantor.</w:t>
      </w:r>
    </w:p>
    <w:p w:rsidR="00000000" w:rsidRDefault="00DB7886">
      <w:pPr>
        <w:pStyle w:val="a3"/>
        <w:spacing w:before="0" w:beforeAutospacing="0" w:after="240" w:afterAutospacing="0"/>
        <w:ind w:firstLine="360"/>
        <w:divId w:val="489176264"/>
        <w:rPr>
          <w:sz w:val="20"/>
          <w:szCs w:val="20"/>
        </w:rPr>
      </w:pPr>
      <w:r>
        <w:rPr>
          <w:sz w:val="20"/>
          <w:szCs w:val="20"/>
        </w:rPr>
        <w:t>Consistent with the indenture governing the 2022 Notes and the indentures governing the Issuers’ other outstanding notes, the indenture governing the New 2029 Notes: restricts the payment of cash distributions, the purch</w:t>
      </w:r>
      <w:r>
        <w:rPr>
          <w:sz w:val="20"/>
          <w:szCs w:val="20"/>
        </w:rPr>
        <w:t>ase of equity interests or the purchase, redemption, defeasance or acquisition of debt subordinated to the senior unsecured notes; restricts the incurrence of debt or the issuance of disqualified stock, as defined in the indenture, with certain exceptions;</w:t>
      </w:r>
      <w:r>
        <w:rPr>
          <w:sz w:val="20"/>
          <w:szCs w:val="20"/>
        </w:rPr>
        <w:t xml:space="preserve"> requires that on each quarterly determination date, Icahn Enterprises and the guarantor of the New 2029 Notes (currently only Icahn Enterprises Holdings) maintain certain minimum financial ratios, as defined therein; and restricts the creation of liens, m</w:t>
      </w:r>
      <w:r>
        <w:rPr>
          <w:sz w:val="20"/>
          <w:szCs w:val="20"/>
        </w:rPr>
        <w:t>ergers, consolidations and sales of substantially all of our assets, and transactions with affiliates by the Issuers and the guarantor of the New 2029 Notes.</w:t>
      </w:r>
    </w:p>
    <w:p w:rsidR="00000000" w:rsidRDefault="00DB7886">
      <w:pPr>
        <w:pStyle w:val="a3"/>
        <w:spacing w:before="0" w:beforeAutospacing="0" w:after="240" w:afterAutospacing="0"/>
        <w:ind w:firstLine="360"/>
        <w:divId w:val="489176264"/>
        <w:rPr>
          <w:sz w:val="20"/>
          <w:szCs w:val="20"/>
        </w:rPr>
      </w:pPr>
      <w:r>
        <w:rPr>
          <w:sz w:val="20"/>
          <w:szCs w:val="20"/>
        </w:rPr>
        <w:t xml:space="preserve">In April 2021, the Issuers issued $455 </w:t>
      </w:r>
      <w:r>
        <w:rPr>
          <w:sz w:val="20"/>
          <w:szCs w:val="20"/>
        </w:rPr>
        <w:t>million in aggregate principal amount of additional 5.250% senior unsecured notes due 2027 (the “New 2027 Notes”). The proceeds from this issuance were used to redeem the remaining $455 million principal amount of the 2022 Notes and to pay accrued interest</w:t>
      </w:r>
      <w:r>
        <w:rPr>
          <w:sz w:val="20"/>
          <w:szCs w:val="20"/>
        </w:rPr>
        <w:t>, related fees and expenses. The Issuers issued the New 2027 Notes under the indenture dated as of December 12, 2019 pursuant to which the Issuers had previously issued an aggregate of $1.0 billion aggregate principal amount of 5.250% senior unsecured note</w:t>
      </w:r>
      <w:r>
        <w:rPr>
          <w:sz w:val="20"/>
          <w:szCs w:val="20"/>
        </w:rPr>
        <w:t xml:space="preserve">s due 2027. </w:t>
      </w:r>
    </w:p>
    <w:p w:rsidR="00000000" w:rsidRDefault="00DB7886">
      <w:pPr>
        <w:pStyle w:val="a3"/>
        <w:spacing w:before="0" w:beforeAutospacing="0" w:after="240" w:afterAutospacing="0"/>
        <w:divId w:val="489176264"/>
        <w:rPr>
          <w:sz w:val="20"/>
          <w:szCs w:val="20"/>
        </w:rPr>
      </w:pPr>
      <w:r>
        <w:rPr>
          <w:b/>
          <w:bCs/>
          <w:sz w:val="20"/>
          <w:szCs w:val="20"/>
        </w:rPr>
        <w:t>Reporting Segments</w:t>
      </w:r>
    </w:p>
    <w:p w:rsidR="00000000" w:rsidRDefault="00DB7886">
      <w:pPr>
        <w:pStyle w:val="a3"/>
        <w:spacing w:before="0" w:beforeAutospacing="0" w:after="240" w:afterAutospacing="0"/>
        <w:ind w:firstLine="360"/>
        <w:divId w:val="489176264"/>
        <w:rPr>
          <w:sz w:val="20"/>
          <w:szCs w:val="20"/>
        </w:rPr>
      </w:pPr>
      <w:r>
        <w:rPr>
          <w:sz w:val="20"/>
          <w:szCs w:val="20"/>
        </w:rPr>
        <w:t>In June 2021, CVR Partners issued $550 million in aggregate principal amount of 6.125% senior secured notes due 2028. Proceeds from these notes were used to fund a partial redemption of its existing 9.25% senior secured note</w:t>
      </w:r>
      <w:r>
        <w:rPr>
          <w:sz w:val="20"/>
          <w:szCs w:val="20"/>
        </w:rPr>
        <w:t>s due 2023. These senior secured notes issued by CVR Partners are guaranteed on a senior secured basis by all of CVR Partners’ existing domestic subsidiaries, excluding CVR Nitrogen Finance Corporation. The indenture governing these notes contain certain c</w:t>
      </w:r>
      <w:r>
        <w:rPr>
          <w:sz w:val="20"/>
          <w:szCs w:val="20"/>
        </w:rPr>
        <w:t>ovenants that restrict the ability of the issuers and their restricted subsidiaries from incurring additional debt or issuing certain disqualified equity, create liens on certain assets to secure debt, pay dividends/distributions or make other equity distr</w:t>
      </w:r>
      <w:r>
        <w:rPr>
          <w:sz w:val="20"/>
          <w:szCs w:val="20"/>
        </w:rPr>
        <w:t>ibutions, purchase or redeem capital stock/common units, make certain investments, transfer and sell assets, agree to certain restrictions on the ability of restricted subsidiaries to make distributions, loans, or other asset transfers to the issuers, cons</w:t>
      </w:r>
      <w:r>
        <w:rPr>
          <w:sz w:val="20"/>
          <w:szCs w:val="20"/>
        </w:rPr>
        <w:t>olidate, merge, sell, or otherwise dispose of all or substantially all of their assets, engage in transactions with affiliates and designate restricted subsidiaries as unrestricted subsidiaries.</w:t>
      </w:r>
    </w:p>
    <w:p w:rsidR="00000000" w:rsidRDefault="00DB7886">
      <w:pPr>
        <w:pStyle w:val="a3"/>
        <w:spacing w:before="0" w:beforeAutospacing="0" w:after="240" w:afterAutospacing="0"/>
        <w:ind w:firstLine="360"/>
        <w:divId w:val="489176264"/>
        <w:rPr>
          <w:sz w:val="20"/>
          <w:szCs w:val="20"/>
        </w:rPr>
      </w:pPr>
      <w:r>
        <w:rPr>
          <w:sz w:val="20"/>
          <w:szCs w:val="20"/>
        </w:rPr>
        <w:t>In August 2021, all of our Automotive segment’s outstanding c</w:t>
      </w:r>
      <w:r>
        <w:rPr>
          <w:sz w:val="20"/>
          <w:szCs w:val="20"/>
        </w:rPr>
        <w:t xml:space="preserve">redit facility was repaid in full in the amount of $350 million. </w:t>
      </w:r>
    </w:p>
    <w:p w:rsidR="00000000" w:rsidRDefault="00DB7886">
      <w:pPr>
        <w:pStyle w:val="a3"/>
        <w:spacing w:before="0" w:beforeAutospacing="0" w:after="240" w:afterAutospacing="0"/>
        <w:divId w:val="489176264"/>
        <w:rPr>
          <w:sz w:val="20"/>
          <w:szCs w:val="20"/>
        </w:rPr>
      </w:pPr>
      <w:r>
        <w:rPr>
          <w:b/>
          <w:bCs/>
          <w:sz w:val="20"/>
          <w:szCs w:val="20"/>
        </w:rPr>
        <w:t>Covenants</w:t>
      </w:r>
    </w:p>
    <w:p w:rsidR="00000000" w:rsidRDefault="00DB7886">
      <w:pPr>
        <w:pStyle w:val="a3"/>
        <w:spacing w:before="0" w:beforeAutospacing="0" w:after="240" w:afterAutospacing="0"/>
        <w:ind w:firstLine="360"/>
        <w:divId w:val="489176264"/>
        <w:rPr>
          <w:sz w:val="20"/>
          <w:szCs w:val="20"/>
        </w:rPr>
      </w:pPr>
      <w:r>
        <w:rPr>
          <w:sz w:val="20"/>
          <w:szCs w:val="20"/>
        </w:rPr>
        <w:t>Each of Icahn Enterprises and Icahn Enterprises Holdings and all of our subsidiaries are currently in compliance with all covenants and restrictions as described in the various exe</w:t>
      </w:r>
      <w:r>
        <w:rPr>
          <w:sz w:val="20"/>
          <w:szCs w:val="20"/>
        </w:rPr>
        <w:t>cuted agreements and contracts with respect to each debt instrument. These covenants include limitations on indebtedness, liens, investments, acquisitions, asset sales, dividends and other restricted payments and affiliate and extraordinary transactions.</w:t>
      </w:r>
    </w:p>
    <w:p w:rsidR="00000000" w:rsidRDefault="00DB7886">
      <w:pPr>
        <w:pStyle w:val="a3"/>
        <w:spacing w:before="480" w:beforeAutospacing="0" w:after="0" w:afterAutospacing="0"/>
        <w:jc w:val="center"/>
        <w:divId w:val="1354377416"/>
        <w:rPr>
          <w:sz w:val="20"/>
          <w:szCs w:val="20"/>
        </w:rPr>
      </w:pPr>
      <w:r>
        <w:rPr>
          <w:sz w:val="20"/>
          <w:szCs w:val="20"/>
        </w:rPr>
        <w:t>2</w:t>
      </w:r>
      <w:r>
        <w:rPr>
          <w:sz w:val="20"/>
          <w:szCs w:val="20"/>
        </w:rPr>
        <w:t>9</w:t>
      </w:r>
    </w:p>
    <w:p w:rsidR="00000000" w:rsidRDefault="00DB7886">
      <w:pPr>
        <w:pStyle w:val="a3"/>
        <w:spacing w:before="0" w:beforeAutospacing="0" w:after="600" w:afterAutospacing="0"/>
        <w:divId w:val="1270620831"/>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1270620831"/>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1270620831"/>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1270620831"/>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divId w:val="235480204"/>
        <w:rPr>
          <w:b/>
          <w:bCs/>
          <w:sz w:val="20"/>
          <w:szCs w:val="20"/>
        </w:rPr>
      </w:pPr>
      <w:r>
        <w:rPr>
          <w:b/>
          <w:bCs/>
          <w:sz w:val="20"/>
          <w:szCs w:val="20"/>
        </w:rPr>
        <w:t>Non-Cash Charges to Interest Expense</w:t>
      </w:r>
    </w:p>
    <w:p w:rsidR="00000000" w:rsidRDefault="00DB7886">
      <w:pPr>
        <w:pStyle w:val="a3"/>
        <w:spacing w:before="0" w:beforeAutospacing="0" w:after="240" w:afterAutospacing="0"/>
        <w:ind w:firstLine="360"/>
        <w:divId w:val="235480204"/>
        <w:rPr>
          <w:sz w:val="20"/>
          <w:szCs w:val="20"/>
        </w:rPr>
      </w:pPr>
      <w:r>
        <w:rPr>
          <w:sz w:val="20"/>
          <w:szCs w:val="20"/>
        </w:rPr>
        <w:t>The amortization of</w:t>
      </w:r>
      <w:r>
        <w:rPr>
          <w:sz w:val="20"/>
          <w:szCs w:val="20"/>
        </w:rPr>
        <w:t xml:space="preserve"> deferred financing costs and debt discounts and premiums included in interest expense in the condensed consolidated statements of operations were $3 million and $2 million for the three months ended September 30, 2021 and 2020, respectively, and $4 millio</w:t>
      </w:r>
      <w:r>
        <w:rPr>
          <w:sz w:val="20"/>
          <w:szCs w:val="20"/>
        </w:rPr>
        <w:t>n and $4 million for the nine months ended September 30, 2021 and 2020, respectively.</w:t>
      </w:r>
    </w:p>
    <w:p w:rsidR="00000000" w:rsidRDefault="00DB7886">
      <w:pPr>
        <w:pStyle w:val="a3"/>
        <w:spacing w:before="0" w:beforeAutospacing="0" w:after="240" w:afterAutospacing="0"/>
        <w:divId w:val="235480204"/>
        <w:rPr>
          <w:b/>
          <w:bCs/>
          <w:sz w:val="20"/>
          <w:szCs w:val="20"/>
        </w:rPr>
      </w:pPr>
      <w:r>
        <w:rPr>
          <w:b/>
          <w:bCs/>
          <w:sz w:val="20"/>
          <w:szCs w:val="20"/>
        </w:rPr>
        <w:t>11.  Net Income Per LP Unit</w:t>
      </w:r>
    </w:p>
    <w:p w:rsidR="00000000" w:rsidRDefault="00DB7886">
      <w:pPr>
        <w:pStyle w:val="a3"/>
        <w:spacing w:before="0" w:beforeAutospacing="0" w:after="240" w:afterAutospacing="0"/>
        <w:ind w:firstLine="360"/>
        <w:divId w:val="235480204"/>
        <w:rPr>
          <w:sz w:val="20"/>
          <w:szCs w:val="20"/>
        </w:rPr>
      </w:pPr>
      <w:r>
        <w:rPr>
          <w:sz w:val="20"/>
          <w:szCs w:val="20"/>
        </w:rPr>
        <w:t>The components of the computation of basic and diluted income (loss) per LP unit of Icahn Enterprises are as follows:</w:t>
      </w:r>
    </w:p>
    <w:p w:rsidR="00000000" w:rsidRDefault="00DB7886">
      <w:pPr>
        <w:pStyle w:val="a3"/>
        <w:spacing w:before="0" w:beforeAutospacing="0" w:after="0" w:afterAutospacing="0"/>
        <w:divId w:val="235480204"/>
        <w:rPr>
          <w:sz w:val="20"/>
          <w:szCs w:val="20"/>
        </w:rPr>
      </w:pPr>
      <w:r>
        <w:rPr>
          <w:sz w:val="2"/>
          <w:szCs w:val="2"/>
        </w:rPr>
        <w:t>​</w:t>
      </w:r>
    </w:p>
    <w:tbl>
      <w:tblPr>
        <w:tblW w:w="5008" w:type="pct"/>
        <w:tblCellMar>
          <w:top w:w="15" w:type="dxa"/>
          <w:left w:w="0" w:type="dxa"/>
          <w:bottom w:w="15" w:type="dxa"/>
          <w:right w:w="0" w:type="dxa"/>
        </w:tblCellMar>
        <w:tblLook w:val="04A0" w:firstRow="1" w:lastRow="0" w:firstColumn="1" w:lastColumn="0" w:noHBand="0" w:noVBand="1"/>
      </w:tblPr>
      <w:tblGrid>
        <w:gridCol w:w="1820"/>
        <w:gridCol w:w="160"/>
        <w:gridCol w:w="172"/>
        <w:gridCol w:w="1189"/>
        <w:gridCol w:w="268"/>
        <w:gridCol w:w="169"/>
        <w:gridCol w:w="1347"/>
        <w:gridCol w:w="160"/>
        <w:gridCol w:w="172"/>
        <w:gridCol w:w="1215"/>
        <w:gridCol w:w="268"/>
        <w:gridCol w:w="169"/>
        <w:gridCol w:w="1210"/>
      </w:tblGrid>
      <w:tr w:rsidR="00000000">
        <w:trPr>
          <w:divId w:val="235480204"/>
          <w:trHeight w:val="20"/>
        </w:trPr>
        <w:tc>
          <w:tcPr>
            <w:tcW w:w="1657" w:type="pct"/>
            <w:tcMar>
              <w:top w:w="0" w:type="dxa"/>
              <w:left w:w="0" w:type="dxa"/>
              <w:bottom w:w="0" w:type="dxa"/>
              <w:right w:w="0" w:type="dxa"/>
            </w:tcMar>
            <w:vAlign w:val="bottom"/>
            <w:hideMark/>
          </w:tcPr>
          <w:p w:rsidR="00000000" w:rsidRDefault="00DB7886">
            <w:pPr>
              <w:pStyle w:val="a3"/>
              <w:spacing w:before="0" w:beforeAutospacing="0" w:after="1" w:afterAutospacing="0"/>
              <w:divId w:val="109216701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779711516"/>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859003234"/>
              <w:rPr>
                <w:sz w:val="20"/>
                <w:szCs w:val="20"/>
              </w:rPr>
            </w:pPr>
            <w:r>
              <w:rPr>
                <w:sz w:val="2"/>
                <w:szCs w:val="2"/>
              </w:rPr>
              <w:t>​</w:t>
            </w:r>
          </w:p>
        </w:tc>
        <w:tc>
          <w:tcPr>
            <w:tcW w:w="610"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01402934"/>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380788507"/>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594629694"/>
              <w:rPr>
                <w:sz w:val="20"/>
                <w:szCs w:val="20"/>
              </w:rPr>
            </w:pPr>
            <w:r>
              <w:rPr>
                <w:sz w:val="2"/>
                <w:szCs w:val="2"/>
              </w:rPr>
              <w:t>​</w:t>
            </w:r>
          </w:p>
        </w:tc>
        <w:tc>
          <w:tcPr>
            <w:tcW w:w="690"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86346945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90517935"/>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729350199"/>
              <w:rPr>
                <w:sz w:val="20"/>
                <w:szCs w:val="20"/>
              </w:rPr>
            </w:pPr>
            <w:r>
              <w:rPr>
                <w:sz w:val="2"/>
                <w:szCs w:val="2"/>
              </w:rPr>
              <w:t>​</w:t>
            </w:r>
          </w:p>
        </w:tc>
        <w:tc>
          <w:tcPr>
            <w:tcW w:w="625"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401754439"/>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340161709"/>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859808155"/>
              <w:rPr>
                <w:sz w:val="20"/>
                <w:szCs w:val="20"/>
              </w:rPr>
            </w:pPr>
            <w:r>
              <w:rPr>
                <w:sz w:val="2"/>
                <w:szCs w:val="2"/>
              </w:rPr>
              <w:t>​</w:t>
            </w:r>
          </w:p>
        </w:tc>
        <w:tc>
          <w:tcPr>
            <w:tcW w:w="619"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078749974"/>
              <w:rPr>
                <w:sz w:val="20"/>
                <w:szCs w:val="20"/>
              </w:rPr>
            </w:pPr>
            <w:r>
              <w:rPr>
                <w:sz w:val="2"/>
                <w:szCs w:val="2"/>
              </w:rPr>
              <w:t>​</w:t>
            </w:r>
          </w:p>
        </w:tc>
      </w:tr>
      <w:tr w:rsidR="00000000">
        <w:trPr>
          <w:divId w:val="235480204"/>
        </w:trPr>
        <w:tc>
          <w:tcPr>
            <w:tcW w:w="1657"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1617"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Three Months Ended September 30, </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1560"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Nine Months Ended September 30, </w:t>
            </w:r>
          </w:p>
        </w:tc>
      </w:tr>
      <w:tr w:rsidR="00000000">
        <w:trPr>
          <w:divId w:val="235480204"/>
        </w:trPr>
        <w:tc>
          <w:tcPr>
            <w:tcW w:w="1657"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6"/>
                <w:szCs w:val="16"/>
              </w:rPr>
            </w:pPr>
            <w:r>
              <w:rPr>
                <w:sz w:val="16"/>
                <w:szCs w:val="16"/>
              </w:rPr>
              <w:t>    </w:t>
            </w:r>
          </w:p>
        </w:tc>
        <w:tc>
          <w:tcPr>
            <w:tcW w:w="699"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2021</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778"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2020</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6"/>
                <w:szCs w:val="16"/>
              </w:rPr>
            </w:pPr>
            <w:r>
              <w:rPr>
                <w:sz w:val="16"/>
                <w:szCs w:val="16"/>
              </w:rPr>
              <w:t>    </w:t>
            </w:r>
          </w:p>
        </w:tc>
        <w:tc>
          <w:tcPr>
            <w:tcW w:w="713"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2021</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70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2020</w:t>
            </w:r>
          </w:p>
        </w:tc>
      </w:tr>
      <w:tr w:rsidR="00000000">
        <w:trPr>
          <w:divId w:val="235480204"/>
        </w:trPr>
        <w:tc>
          <w:tcPr>
            <w:tcW w:w="0" w:type="auto"/>
            <w:gridSpan w:val="13"/>
            <w:tcMar>
              <w:top w:w="0" w:type="dxa"/>
              <w:left w:w="0" w:type="dxa"/>
              <w:bottom w:w="0" w:type="dxa"/>
              <w:right w:w="0" w:type="dxa"/>
            </w:tcMar>
            <w:vAlign w:val="center"/>
            <w:hideMark/>
          </w:tcPr>
          <w:p w:rsidR="00000000" w:rsidRDefault="00DB7886">
            <w:pPr>
              <w:rPr>
                <w:sz w:val="20"/>
                <w:szCs w:val="20"/>
              </w:rPr>
            </w:pPr>
          </w:p>
        </w:tc>
      </w:tr>
      <w:tr w:rsidR="00000000">
        <w:trPr>
          <w:divId w:val="235480204"/>
        </w:trPr>
        <w:tc>
          <w:tcPr>
            <w:tcW w:w="1657"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3260" w:type="pct"/>
            <w:gridSpan w:val="11"/>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6"/>
                <w:szCs w:val="16"/>
              </w:rPr>
            </w:pPr>
            <w:r>
              <w:rPr>
                <w:sz w:val="16"/>
                <w:szCs w:val="16"/>
              </w:rPr>
              <w:t>(in millions, except per unit amounts)</w:t>
            </w:r>
          </w:p>
        </w:tc>
      </w:tr>
      <w:tr w:rsidR="00000000">
        <w:trPr>
          <w:divId w:val="235480204"/>
        </w:trPr>
        <w:tc>
          <w:tcPr>
            <w:tcW w:w="1657"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hanging="144"/>
              <w:rPr>
                <w:sz w:val="20"/>
                <w:szCs w:val="20"/>
              </w:rPr>
            </w:pPr>
            <w:r>
              <w:rPr>
                <w:sz w:val="20"/>
                <w:szCs w:val="20"/>
              </w:rPr>
              <w:t>Net loss attributable to Icahn Enterprises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(148)</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(714)</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(122)</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(1,799)</w:t>
            </w:r>
          </w:p>
        </w:tc>
      </w:tr>
      <w:tr w:rsidR="00000000">
        <w:trPr>
          <w:divId w:val="235480204"/>
        </w:trPr>
        <w:tc>
          <w:tcPr>
            <w:tcW w:w="1657" w:type="pct"/>
            <w:tcMar>
              <w:top w:w="0" w:type="dxa"/>
              <w:left w:w="0" w:type="dxa"/>
              <w:bottom w:w="0" w:type="dxa"/>
              <w:right w:w="0" w:type="dxa"/>
            </w:tcMar>
            <w:vAlign w:val="bottom"/>
            <w:hideMark/>
          </w:tcPr>
          <w:p w:rsidR="00000000" w:rsidRDefault="00DB7886">
            <w:pPr>
              <w:pStyle w:val="a3"/>
              <w:spacing w:before="0" w:beforeAutospacing="0" w:after="1" w:afterAutospacing="0"/>
              <w:ind w:hanging="144"/>
              <w:rPr>
                <w:sz w:val="20"/>
                <w:szCs w:val="20"/>
              </w:rPr>
            </w:pPr>
            <w:r>
              <w:rPr>
                <w:sz w:val="20"/>
                <w:szCs w:val="20"/>
              </w:rPr>
              <w:t>Net loss attributable to Icahn Enterprises allocated to limited partners (98.01% allocation)</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(145)</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9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(700)</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2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(120)</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9"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(1,763)</w:t>
            </w:r>
          </w:p>
        </w:tc>
      </w:tr>
      <w:tr w:rsidR="00000000">
        <w:trPr>
          <w:divId w:val="235480204"/>
        </w:trPr>
        <w:tc>
          <w:tcPr>
            <w:tcW w:w="1657"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hanging="144"/>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2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r>
      <w:tr w:rsidR="00000000">
        <w:trPr>
          <w:divId w:val="235480204"/>
        </w:trPr>
        <w:tc>
          <w:tcPr>
            <w:tcW w:w="1657" w:type="pct"/>
            <w:tcMar>
              <w:top w:w="0" w:type="dxa"/>
              <w:left w:w="0" w:type="dxa"/>
              <w:bottom w:w="0" w:type="dxa"/>
              <w:right w:w="0" w:type="dxa"/>
            </w:tcMar>
            <w:vAlign w:val="bottom"/>
            <w:hideMark/>
          </w:tcPr>
          <w:p w:rsidR="00000000" w:rsidRDefault="00DB7886">
            <w:pPr>
              <w:pStyle w:val="a3"/>
              <w:spacing w:before="0" w:beforeAutospacing="0" w:after="1" w:afterAutospacing="0"/>
              <w:ind w:hanging="144"/>
              <w:rPr>
                <w:sz w:val="20"/>
                <w:szCs w:val="20"/>
              </w:rPr>
            </w:pPr>
            <w:r>
              <w:rPr>
                <w:sz w:val="20"/>
                <w:szCs w:val="20"/>
              </w:rPr>
              <w:t>Basic and diluted loss per LP unit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(0.55)</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9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(3.14)</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2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(0.47)</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9"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(8.12)</w:t>
            </w:r>
          </w:p>
        </w:tc>
      </w:tr>
      <w:tr w:rsidR="00000000">
        <w:trPr>
          <w:divId w:val="235480204"/>
        </w:trPr>
        <w:tc>
          <w:tcPr>
            <w:tcW w:w="1657"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hanging="144"/>
              <w:rPr>
                <w:sz w:val="20"/>
                <w:szCs w:val="20"/>
              </w:rPr>
            </w:pPr>
            <w:r>
              <w:rPr>
                <w:sz w:val="20"/>
                <w:szCs w:val="20"/>
              </w:rPr>
              <w:t>Basic and diluted weighted average LP units outstanding</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6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266</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6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223</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6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253</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6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217</w:t>
            </w:r>
          </w:p>
        </w:tc>
      </w:tr>
      <w:tr w:rsidR="00000000">
        <w:trPr>
          <w:divId w:val="235480204"/>
        </w:trPr>
        <w:tc>
          <w:tcPr>
            <w:tcW w:w="1657"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0"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90"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2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9"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w:t>
            </w:r>
          </w:p>
        </w:tc>
      </w:tr>
    </w:tbl>
    <w:p w:rsidR="00000000" w:rsidRDefault="00DB7886">
      <w:pPr>
        <w:pStyle w:val="a3"/>
        <w:spacing w:before="0" w:beforeAutospacing="0" w:after="0" w:afterAutospacing="0"/>
        <w:divId w:val="235480204"/>
        <w:rPr>
          <w:sz w:val="20"/>
          <w:szCs w:val="20"/>
        </w:rPr>
      </w:pPr>
      <w:r>
        <w:rPr>
          <w:sz w:val="2"/>
          <w:szCs w:val="2"/>
        </w:rPr>
        <w:t>​</w:t>
      </w:r>
    </w:p>
    <w:p w:rsidR="00000000" w:rsidRDefault="00DB7886">
      <w:pPr>
        <w:pStyle w:val="a3"/>
        <w:spacing w:before="0" w:beforeAutospacing="0" w:after="240" w:afterAutospacing="0"/>
        <w:divId w:val="235480204"/>
        <w:rPr>
          <w:b/>
          <w:bCs/>
          <w:i/>
          <w:iCs/>
          <w:sz w:val="20"/>
          <w:szCs w:val="20"/>
        </w:rPr>
      </w:pPr>
      <w:r>
        <w:rPr>
          <w:b/>
          <w:bCs/>
          <w:i/>
          <w:iCs/>
          <w:sz w:val="20"/>
          <w:szCs w:val="20"/>
        </w:rPr>
        <w:t>LP Unit Transactions</w:t>
      </w:r>
    </w:p>
    <w:p w:rsidR="00000000" w:rsidRDefault="00DB7886">
      <w:pPr>
        <w:pStyle w:val="a3"/>
        <w:spacing w:before="0" w:beforeAutospacing="0" w:after="240" w:afterAutospacing="0"/>
        <w:divId w:val="235480204"/>
        <w:rPr>
          <w:b/>
          <w:bCs/>
          <w:i/>
          <w:iCs/>
          <w:sz w:val="20"/>
          <w:szCs w:val="20"/>
        </w:rPr>
      </w:pPr>
      <w:r>
        <w:rPr>
          <w:i/>
          <w:iCs/>
          <w:sz w:val="20"/>
          <w:szCs w:val="20"/>
        </w:rPr>
        <w:t>Unit Distributions</w:t>
      </w:r>
    </w:p>
    <w:p w:rsidR="00000000" w:rsidRDefault="00DB7886">
      <w:pPr>
        <w:pStyle w:val="a3"/>
        <w:spacing w:before="0" w:beforeAutospacing="0" w:after="240" w:afterAutospacing="0"/>
        <w:ind w:firstLine="360"/>
        <w:divId w:val="235480204"/>
        <w:rPr>
          <w:sz w:val="20"/>
          <w:szCs w:val="20"/>
        </w:rPr>
      </w:pPr>
      <w:r>
        <w:rPr>
          <w:sz w:val="20"/>
          <w:szCs w:val="20"/>
        </w:rPr>
        <w:t>On February </w:t>
      </w:r>
      <w:r>
        <w:rPr>
          <w:sz w:val="20"/>
          <w:szCs w:val="20"/>
        </w:rPr>
        <w:t xml:space="preserve">24, 2021, Icahn Enterprises declared a quarterly distribution in the amount of $2.00 per depositary unit in which each depositary unitholder had the option to make an election to receive either cash or additional depositary units. </w:t>
      </w:r>
    </w:p>
    <w:p w:rsidR="00000000" w:rsidRDefault="00DB7886">
      <w:pPr>
        <w:pStyle w:val="a3"/>
        <w:spacing w:before="0" w:beforeAutospacing="0" w:after="240" w:afterAutospacing="0"/>
        <w:ind w:firstLine="360"/>
        <w:divId w:val="235480204"/>
        <w:rPr>
          <w:sz w:val="20"/>
          <w:szCs w:val="20"/>
        </w:rPr>
      </w:pPr>
      <w:r>
        <w:rPr>
          <w:sz w:val="20"/>
          <w:szCs w:val="20"/>
        </w:rPr>
        <w:t>On May 5, 2021, Icahn En</w:t>
      </w:r>
      <w:r>
        <w:rPr>
          <w:sz w:val="20"/>
          <w:szCs w:val="20"/>
        </w:rPr>
        <w:t xml:space="preserve">terprises declared a quarterly distribution in the amount of $2.00 per depositary unit in which each depositary unitholder had the option to make an election to receive either cash or additional depositary units. </w:t>
      </w:r>
    </w:p>
    <w:p w:rsidR="00000000" w:rsidRDefault="00DB7886">
      <w:pPr>
        <w:pStyle w:val="a3"/>
        <w:spacing w:before="0" w:beforeAutospacing="0" w:after="240" w:afterAutospacing="0"/>
        <w:ind w:firstLine="360"/>
        <w:divId w:val="235480204"/>
        <w:rPr>
          <w:sz w:val="20"/>
          <w:szCs w:val="20"/>
        </w:rPr>
      </w:pPr>
      <w:r>
        <w:rPr>
          <w:sz w:val="20"/>
          <w:szCs w:val="20"/>
        </w:rPr>
        <w:t>On August 4, 2021, Icahn Enterprises decla</w:t>
      </w:r>
      <w:r>
        <w:rPr>
          <w:sz w:val="20"/>
          <w:szCs w:val="20"/>
        </w:rPr>
        <w:t xml:space="preserve">red a quarterly distribution in the amount of $2.00 per depositary unit in which each depositary unitholder had the option to make an election to receive either cash or additional depositary units. </w:t>
      </w:r>
    </w:p>
    <w:p w:rsidR="00000000" w:rsidRDefault="00DB7886">
      <w:pPr>
        <w:pStyle w:val="a3"/>
        <w:spacing w:before="0" w:beforeAutospacing="0" w:after="240" w:afterAutospacing="0"/>
        <w:ind w:firstLine="360"/>
        <w:divId w:val="235480204"/>
        <w:rPr>
          <w:sz w:val="20"/>
          <w:szCs w:val="20"/>
        </w:rPr>
      </w:pPr>
      <w:r>
        <w:rPr>
          <w:sz w:val="20"/>
          <w:szCs w:val="20"/>
        </w:rPr>
        <w:t>As a result of the above distributions declared, during t</w:t>
      </w:r>
      <w:r>
        <w:rPr>
          <w:sz w:val="20"/>
          <w:szCs w:val="20"/>
        </w:rPr>
        <w:t xml:space="preserve">he nine months ended September 30, 2021, Icahn Enterprises distributed an aggregate 26,465,134 depositary units to unitholders electing to receive depositary units, of which an aggregate of 25,372,644 depositary units were distributed to Mr. Icahn and his </w:t>
      </w:r>
      <w:r>
        <w:rPr>
          <w:sz w:val="20"/>
          <w:szCs w:val="20"/>
        </w:rPr>
        <w:t xml:space="preserve">affiliates. In connection with these distributions, aggregate cash distributions to all depositary unitholders that made a timely election to receive cash was $91 million for the nine months ended September 30, 2021. </w:t>
      </w:r>
    </w:p>
    <w:p w:rsidR="00000000" w:rsidRDefault="00DB7886">
      <w:pPr>
        <w:pStyle w:val="a3"/>
        <w:spacing w:before="0" w:beforeAutospacing="0" w:after="240" w:afterAutospacing="0"/>
        <w:divId w:val="235480204"/>
        <w:rPr>
          <w:b/>
          <w:bCs/>
          <w:i/>
          <w:iCs/>
          <w:sz w:val="20"/>
          <w:szCs w:val="20"/>
        </w:rPr>
      </w:pPr>
      <w:r>
        <w:rPr>
          <w:i/>
          <w:iCs/>
          <w:sz w:val="20"/>
          <w:szCs w:val="20"/>
        </w:rPr>
        <w:t>At-The-Market Offerings</w:t>
      </w:r>
    </w:p>
    <w:p w:rsidR="00000000" w:rsidRDefault="00DB7886">
      <w:pPr>
        <w:pStyle w:val="a3"/>
        <w:spacing w:before="0" w:beforeAutospacing="0" w:after="0" w:afterAutospacing="0"/>
        <w:ind w:firstLine="360"/>
        <w:divId w:val="235480204"/>
        <w:rPr>
          <w:sz w:val="20"/>
          <w:szCs w:val="20"/>
        </w:rPr>
      </w:pPr>
      <w:r>
        <w:rPr>
          <w:sz w:val="20"/>
          <w:szCs w:val="20"/>
        </w:rPr>
        <w:t>On May 2, 2019</w:t>
      </w:r>
      <w:r>
        <w:rPr>
          <w:sz w:val="20"/>
          <w:szCs w:val="20"/>
        </w:rPr>
        <w:t xml:space="preserve">, Icahn Enterprises announced the commencement of its “at-the-market” offering under its Open Market Sale Agreement, pursuant to which Icahn Enterprises was able to sell its depositary units, from time to time, </w:t>
      </w:r>
    </w:p>
    <w:p w:rsidR="00000000" w:rsidRDefault="00DB7886">
      <w:pPr>
        <w:pStyle w:val="a3"/>
        <w:spacing w:before="480" w:beforeAutospacing="0" w:after="0" w:afterAutospacing="0"/>
        <w:jc w:val="center"/>
        <w:divId w:val="362900870"/>
        <w:rPr>
          <w:sz w:val="20"/>
          <w:szCs w:val="20"/>
        </w:rPr>
      </w:pPr>
      <w:r>
        <w:rPr>
          <w:sz w:val="20"/>
          <w:szCs w:val="20"/>
        </w:rPr>
        <w:t>30</w:t>
      </w:r>
    </w:p>
    <w:p w:rsidR="00000000" w:rsidRDefault="00DB7886">
      <w:pPr>
        <w:pStyle w:val="a3"/>
        <w:spacing w:before="0" w:beforeAutospacing="0" w:after="600" w:afterAutospacing="0"/>
        <w:divId w:val="1453406446"/>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1453406446"/>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1453406446"/>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1453406446"/>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divId w:val="347800551"/>
        <w:rPr>
          <w:sz w:val="20"/>
          <w:szCs w:val="20"/>
        </w:rPr>
      </w:pPr>
      <w:r>
        <w:rPr>
          <w:sz w:val="20"/>
          <w:szCs w:val="20"/>
        </w:rPr>
        <w:t>during the term of the agreement ending on March 31, 2021,</w:t>
      </w:r>
      <w:r>
        <w:rPr>
          <w:sz w:val="20"/>
          <w:szCs w:val="20"/>
        </w:rPr>
        <w:t xml:space="preserve"> for up to $400 million in aggregate sale proceeds. During the three months ended September 30, 2020, Icahn Enterprises sold 637,352 depositary units pursuant to this agreement, resulting in gross proceeds of $34 million. During the nine months ended Septe</w:t>
      </w:r>
      <w:r>
        <w:rPr>
          <w:sz w:val="20"/>
          <w:szCs w:val="20"/>
        </w:rPr>
        <w:t>mber 30, 2020, Icahn Enterprises sold 1,118,596 depositary units pursuant to this agreement, resulting in gross proceeds of $60 million. On February 26, 2021, this agreement was terminated and replaced by a new Open Market Sale Agreement for the sale of Ic</w:t>
      </w:r>
      <w:r>
        <w:rPr>
          <w:sz w:val="20"/>
          <w:szCs w:val="20"/>
        </w:rPr>
        <w:t>ahn Enterprises’ depositary units, from time to time, for up to $400 million in aggregate sale proceeds. On August 6, 2021, this agreement was terminated and replaced by a new Open Market Sale Agreement, pursuant to which Icahn Enterprises may sell its dep</w:t>
      </w:r>
      <w:r>
        <w:rPr>
          <w:sz w:val="20"/>
          <w:szCs w:val="20"/>
        </w:rPr>
        <w:t>ositary units, from time to time, for up to $400 million in aggregate sale proceeds. During the three months ended September 30, 2021, Icahn Enterprises sold 4,164,179 depositary units pursuant to these agreements, resulting in gross proceeds of $220 milli</w:t>
      </w:r>
      <w:r>
        <w:rPr>
          <w:sz w:val="20"/>
          <w:szCs w:val="20"/>
        </w:rPr>
        <w:t>on. During the nine months ended September 30, 2021, Icahn Enterprises sold 10,783,098 depositary units pursuant to these agreements, resulting in gross proceeds of $604 million. As of September 30, 2021, Icahn Enterprises may sell its depositary units for</w:t>
      </w:r>
      <w:r>
        <w:rPr>
          <w:sz w:val="20"/>
          <w:szCs w:val="20"/>
        </w:rPr>
        <w:t xml:space="preserve"> up to an additional $180 million in aggregate gross sale proceeds pursuant to its agreement entered into on August 6, 2021. No assurance can be made that any or all amounts will be sold during the term of this agreement.</w:t>
      </w:r>
    </w:p>
    <w:p w:rsidR="00000000" w:rsidRDefault="00DB7886">
      <w:pPr>
        <w:pStyle w:val="a3"/>
        <w:spacing w:before="0" w:beforeAutospacing="0" w:after="240" w:afterAutospacing="0"/>
        <w:divId w:val="347800551"/>
        <w:rPr>
          <w:b/>
          <w:bCs/>
          <w:i/>
          <w:iCs/>
          <w:sz w:val="20"/>
          <w:szCs w:val="20"/>
        </w:rPr>
      </w:pPr>
      <w:r>
        <w:rPr>
          <w:i/>
          <w:iCs/>
          <w:sz w:val="20"/>
          <w:szCs w:val="20"/>
        </w:rPr>
        <w:t>2017 Incentive Plan</w:t>
      </w:r>
    </w:p>
    <w:p w:rsidR="00000000" w:rsidRDefault="00DB7886">
      <w:pPr>
        <w:pStyle w:val="a3"/>
        <w:spacing w:before="0" w:beforeAutospacing="0" w:after="240" w:afterAutospacing="0"/>
        <w:ind w:firstLine="360"/>
        <w:divId w:val="347800551"/>
        <w:rPr>
          <w:sz w:val="20"/>
          <w:szCs w:val="20"/>
        </w:rPr>
      </w:pPr>
      <w:r>
        <w:rPr>
          <w:sz w:val="20"/>
          <w:szCs w:val="20"/>
        </w:rPr>
        <w:t>During the thr</w:t>
      </w:r>
      <w:r>
        <w:rPr>
          <w:sz w:val="20"/>
          <w:szCs w:val="20"/>
        </w:rPr>
        <w:t>ee and nine months ended September 30, 2021, Icahn Enterprises distributed 18,491 depositary units, net of payroll withholdings, to Brett Icahn with respect to certain restricted depositary units that vested during the period in connection with the Icahn E</w:t>
      </w:r>
      <w:r>
        <w:rPr>
          <w:sz w:val="20"/>
          <w:szCs w:val="20"/>
        </w:rPr>
        <w:t>nterprises L.P. 2017 Long Term Incentive Plan (the “2017 Incentive Plan”). The aggregate impact of the 2017 Incentive Plan is not material with respect to our condensed consolidated financial statements, including the calculation of potentially dilutive un</w:t>
      </w:r>
      <w:r>
        <w:rPr>
          <w:sz w:val="20"/>
          <w:szCs w:val="20"/>
        </w:rPr>
        <w:t xml:space="preserve">its and diluted income per LP unit. </w:t>
      </w:r>
    </w:p>
    <w:p w:rsidR="00000000" w:rsidRDefault="00DB7886">
      <w:pPr>
        <w:pStyle w:val="a3"/>
        <w:spacing w:before="0" w:beforeAutospacing="0" w:after="240" w:afterAutospacing="0"/>
        <w:divId w:val="347800551"/>
        <w:rPr>
          <w:b/>
          <w:bCs/>
          <w:sz w:val="20"/>
          <w:szCs w:val="20"/>
        </w:rPr>
      </w:pPr>
      <w:r>
        <w:rPr>
          <w:b/>
          <w:bCs/>
          <w:sz w:val="20"/>
          <w:szCs w:val="20"/>
        </w:rPr>
        <w:t>12.  Segment Reporting</w:t>
      </w:r>
    </w:p>
    <w:p w:rsidR="00000000" w:rsidRDefault="00DB7886">
      <w:pPr>
        <w:pStyle w:val="a3"/>
        <w:spacing w:before="0" w:beforeAutospacing="0" w:after="240" w:afterAutospacing="0"/>
        <w:ind w:firstLine="360"/>
        <w:divId w:val="347800551"/>
        <w:rPr>
          <w:sz w:val="20"/>
          <w:szCs w:val="20"/>
        </w:rPr>
      </w:pPr>
      <w:r>
        <w:rPr>
          <w:sz w:val="20"/>
          <w:szCs w:val="20"/>
        </w:rPr>
        <w:t>We report segment information based on the various industries in which our businesses operate and how we manage those businesses in accordance with our investment strategies, which may include: id</w:t>
      </w:r>
      <w:r>
        <w:rPr>
          <w:sz w:val="20"/>
          <w:szCs w:val="20"/>
        </w:rPr>
        <w:t>entifying and acquiring undervalued assets and businesses, often through the purchase of distressed securities; increasing value through management, financial or other operational changes; and managing complex legal, regulatory or financial issues, which m</w:t>
      </w:r>
      <w:r>
        <w:rPr>
          <w:sz w:val="20"/>
          <w:szCs w:val="20"/>
        </w:rPr>
        <w:t xml:space="preserve">ay include bankruptcy or insolvency, environmental, zoning, permitting and licensing issues. Therefore, although many of our businesses are operated under separate local management, certain of our businesses are grouped together when they operate within a </w:t>
      </w:r>
      <w:r>
        <w:rPr>
          <w:sz w:val="20"/>
          <w:szCs w:val="20"/>
        </w:rPr>
        <w:t>similar industry, comprising similarities in products, customers, production processes and regulatory environments, and when such businesses, when considered together, may be managed in accordance with one or more investment strategies specific to those bu</w:t>
      </w:r>
      <w:r>
        <w:rPr>
          <w:sz w:val="20"/>
          <w:szCs w:val="20"/>
        </w:rPr>
        <w:t>sinesses. Among other measures, we assess and measure segment operating results based on net income from continuing operations attributable to Icahn Enterprises and Icahn Enterprises Holdings. Certain terms of financings for certain of our businesses impos</w:t>
      </w:r>
      <w:r>
        <w:rPr>
          <w:sz w:val="20"/>
          <w:szCs w:val="20"/>
        </w:rPr>
        <w:t>e restrictions on the business’ ability to transfer funds to us, including restrictions on dividends, distributions, loans and other transactions.</w:t>
      </w:r>
    </w:p>
    <w:p w:rsidR="00000000" w:rsidRDefault="00DB7886">
      <w:pPr>
        <w:pStyle w:val="a3"/>
        <w:spacing w:before="0" w:beforeAutospacing="0" w:after="240" w:afterAutospacing="0"/>
        <w:divId w:val="347800551"/>
        <w:rPr>
          <w:sz w:val="20"/>
          <w:szCs w:val="20"/>
        </w:rPr>
      </w:pPr>
      <w:r>
        <w:rPr>
          <w:b/>
          <w:bCs/>
          <w:sz w:val="20"/>
          <w:szCs w:val="20"/>
        </w:rPr>
        <w:t>Condensed Statements of Operations</w:t>
      </w:r>
    </w:p>
    <w:p w:rsidR="00000000" w:rsidRDefault="00DB7886">
      <w:pPr>
        <w:pStyle w:val="a3"/>
        <w:spacing w:before="0" w:beforeAutospacing="0" w:after="240" w:afterAutospacing="0"/>
        <w:ind w:firstLine="360"/>
        <w:divId w:val="347800551"/>
        <w:rPr>
          <w:sz w:val="20"/>
          <w:szCs w:val="20"/>
        </w:rPr>
      </w:pPr>
      <w:r>
        <w:rPr>
          <w:sz w:val="20"/>
          <w:szCs w:val="20"/>
        </w:rPr>
        <w:t>Icahn Enterprises’ condensed statements of operations by reporting segment</w:t>
      </w:r>
      <w:r>
        <w:rPr>
          <w:sz w:val="20"/>
          <w:szCs w:val="20"/>
        </w:rPr>
        <w:t xml:space="preserve"> are presented below. Icahn Enterprises Holdings’ condensed statements of operations are substantially the same, with immaterial differences relating to our Holding Company’s interest expense.</w:t>
      </w:r>
    </w:p>
    <w:p w:rsidR="00000000" w:rsidRDefault="00DB7886">
      <w:pPr>
        <w:pStyle w:val="a3"/>
        <w:spacing w:before="0" w:beforeAutospacing="0" w:after="0" w:afterAutospacing="0"/>
        <w:divId w:val="347800551"/>
        <w:rPr>
          <w:sz w:val="20"/>
          <w:szCs w:val="20"/>
        </w:rPr>
      </w:pPr>
      <w:r>
        <w:rPr>
          <w:sz w:val="20"/>
          <w:szCs w:val="20"/>
        </w:rPr>
        <w:t>​</w:t>
      </w:r>
    </w:p>
    <w:p w:rsidR="00000000" w:rsidRDefault="00DB7886">
      <w:pPr>
        <w:pStyle w:val="a3"/>
        <w:spacing w:before="480" w:beforeAutospacing="0" w:after="0" w:afterAutospacing="0"/>
        <w:jc w:val="center"/>
        <w:divId w:val="784542374"/>
        <w:rPr>
          <w:sz w:val="20"/>
          <w:szCs w:val="20"/>
        </w:rPr>
      </w:pPr>
      <w:r>
        <w:rPr>
          <w:sz w:val="20"/>
          <w:szCs w:val="20"/>
        </w:rPr>
        <w:t>31</w:t>
      </w:r>
    </w:p>
    <w:p w:rsidR="00000000" w:rsidRDefault="00DB7886">
      <w:pPr>
        <w:pStyle w:val="a3"/>
        <w:spacing w:before="0" w:beforeAutospacing="0" w:after="600" w:afterAutospacing="0"/>
        <w:divId w:val="1790010381"/>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1790010381"/>
        <w:rPr>
          <w:sz w:val="20"/>
          <w:szCs w:val="20"/>
        </w:rPr>
      </w:pPr>
      <w:r>
        <w:rPr>
          <w:b/>
          <w:bCs/>
          <w:sz w:val="20"/>
          <w:szCs w:val="20"/>
        </w:rPr>
        <w:t>ICAHN ENTERPRI</w:t>
      </w:r>
      <w:r>
        <w:rPr>
          <w:b/>
          <w:bCs/>
          <w:sz w:val="20"/>
          <w:szCs w:val="20"/>
        </w:rPr>
        <w:t>SES L.P. AND SUBSIDIARIES</w:t>
      </w:r>
    </w:p>
    <w:p w:rsidR="00000000" w:rsidRDefault="00DB7886">
      <w:pPr>
        <w:pStyle w:val="a3"/>
        <w:spacing w:before="0" w:beforeAutospacing="0" w:after="0" w:afterAutospacing="0"/>
        <w:jc w:val="center"/>
        <w:divId w:val="1790010381"/>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1790010381"/>
        <w:rPr>
          <w:sz w:val="20"/>
          <w:szCs w:val="20"/>
        </w:rPr>
      </w:pPr>
      <w:r>
        <w:rPr>
          <w:b/>
          <w:bCs/>
          <w:sz w:val="20"/>
          <w:szCs w:val="20"/>
        </w:rPr>
        <w:t>Notes to Condensed Consolidated Financial Statements (Unaudited)</w:t>
      </w:r>
    </w:p>
    <w:tbl>
      <w:tblPr>
        <w:tblW w:w="5000" w:type="pct"/>
        <w:tblCellMar>
          <w:top w:w="15" w:type="dxa"/>
          <w:left w:w="0" w:type="dxa"/>
          <w:bottom w:w="15" w:type="dxa"/>
          <w:right w:w="0" w:type="dxa"/>
        </w:tblCellMar>
        <w:tblLook w:val="04A0" w:firstRow="1" w:lastRow="0" w:firstColumn="1" w:lastColumn="0" w:noHBand="0" w:noVBand="1"/>
      </w:tblPr>
      <w:tblGrid>
        <w:gridCol w:w="1361"/>
        <w:gridCol w:w="140"/>
        <w:gridCol w:w="102"/>
        <w:gridCol w:w="567"/>
        <w:gridCol w:w="140"/>
        <w:gridCol w:w="71"/>
        <w:gridCol w:w="370"/>
        <w:gridCol w:w="140"/>
        <w:gridCol w:w="107"/>
        <w:gridCol w:w="593"/>
        <w:gridCol w:w="140"/>
        <w:gridCol w:w="94"/>
        <w:gridCol w:w="529"/>
        <w:gridCol w:w="140"/>
        <w:gridCol w:w="71"/>
        <w:gridCol w:w="336"/>
        <w:gridCol w:w="140"/>
        <w:gridCol w:w="71"/>
        <w:gridCol w:w="306"/>
        <w:gridCol w:w="140"/>
        <w:gridCol w:w="72"/>
        <w:gridCol w:w="403"/>
        <w:gridCol w:w="140"/>
        <w:gridCol w:w="74"/>
        <w:gridCol w:w="409"/>
        <w:gridCol w:w="140"/>
        <w:gridCol w:w="88"/>
        <w:gridCol w:w="496"/>
        <w:gridCol w:w="140"/>
        <w:gridCol w:w="117"/>
        <w:gridCol w:w="669"/>
      </w:tblGrid>
      <w:tr w:rsidR="00000000">
        <w:trPr>
          <w:divId w:val="1301418079"/>
          <w:trHeight w:val="20"/>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divId w:val="195586233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63911194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687952734"/>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96261635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559121729"/>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630625784"/>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71824128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641770113"/>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84292781"/>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43540215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002590320"/>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835269810"/>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63244542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33318235"/>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705984874"/>
              <w:rPr>
                <w:sz w:val="20"/>
                <w:szCs w:val="20"/>
              </w:rPr>
            </w:pPr>
            <w:r>
              <w:rPr>
                <w:sz w:val="2"/>
                <w:szCs w:val="2"/>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97120341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201354996"/>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772703319"/>
              <w:rPr>
                <w:sz w:val="20"/>
                <w:szCs w:val="20"/>
              </w:rPr>
            </w:pPr>
            <w:r>
              <w:rPr>
                <w:sz w:val="2"/>
                <w:szCs w:val="2"/>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58264577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613637288"/>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431242714"/>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07139319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679896577"/>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601882682"/>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01800137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647829399"/>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402367517"/>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78850603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367952851"/>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055349446"/>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697317160"/>
              <w:rPr>
                <w:sz w:val="20"/>
                <w:szCs w:val="20"/>
              </w:rPr>
            </w:pPr>
            <w:r>
              <w:rPr>
                <w:sz w:val="2"/>
                <w:szCs w:val="2"/>
              </w:rPr>
              <w:t>​</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528" w:type="pct"/>
            <w:gridSpan w:val="29"/>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Three Months Ended September 30, 2021</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213"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199"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245"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04"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Consolidated</w:t>
            </w:r>
          </w:p>
        </w:tc>
      </w:tr>
      <w:tr w:rsidR="00000000">
        <w:trPr>
          <w:divId w:val="1301418079"/>
        </w:trPr>
        <w:tc>
          <w:tcPr>
            <w:tcW w:w="0" w:type="auto"/>
            <w:gridSpan w:val="31"/>
            <w:tcMar>
              <w:top w:w="0" w:type="dxa"/>
              <w:left w:w="0" w:type="dxa"/>
              <w:bottom w:w="0" w:type="dxa"/>
              <w:right w:w="0" w:type="dxa"/>
            </w:tcMar>
            <w:vAlign w:val="center"/>
            <w:hideMark/>
          </w:tcPr>
          <w:p w:rsidR="00000000" w:rsidRDefault="00DB7886">
            <w:pPr>
              <w:rPr>
                <w:sz w:val="14"/>
                <w:szCs w:val="14"/>
              </w:rPr>
            </w:pP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528" w:type="pct"/>
            <w:gridSpan w:val="29"/>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sz w:val="14"/>
                <w:szCs w:val="14"/>
              </w:rPr>
              <w:t>(in millions)</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4"/>
                <w:szCs w:val="14"/>
              </w:rPr>
              <w:t>​</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1,883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440</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104</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144</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51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18</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2,657</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151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165</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Net loss from investment activities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(148)</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(28)</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(177)</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34</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(16)</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(17)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(33)</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(131)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1,883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574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103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144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30</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51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19</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(27)</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2,646</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1,686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301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85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132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42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2,270</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117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130</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37</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226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317</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Restructuring, net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Impairment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Interest expense</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53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79</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158</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56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1,746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646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100</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137</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30</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54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83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2,876</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(Loss) income before income tax (expense) benefit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(187)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137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(72)</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(110)</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(230)</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Income tax (expense) benefit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(43)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47</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19</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Net (loss) income</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(187)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94</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(55)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(63)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(211)</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hanging="144"/>
              <w:rPr>
                <w:sz w:val="14"/>
                <w:szCs w:val="14"/>
              </w:rPr>
            </w:pPr>
            <w:r>
              <w:rPr>
                <w:sz w:val="14"/>
                <w:szCs w:val="14"/>
              </w:rPr>
              <w:t>Less: net (loss) income attributable to non-controlling interests</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(103)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40</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(63)</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ind w:hanging="144"/>
              <w:rPr>
                <w:sz w:val="14"/>
                <w:szCs w:val="14"/>
              </w:rPr>
            </w:pPr>
            <w:r>
              <w:rPr>
                <w:sz w:val="14"/>
                <w:szCs w:val="14"/>
              </w:rPr>
              <w:t>Net (loss) income attributable to Icahn Enterprises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9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(84)</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54</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(55)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7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17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16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0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11"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5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(63)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rFonts w:ascii="Times" w:hAnsi="Times"/>
                <w:sz w:val="14"/>
                <w:szCs w:val="14"/>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34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(148)</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Supplemental information:</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Capital expenditures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62</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81</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Depreciation and amortization</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83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126</w:t>
            </w:r>
          </w:p>
        </w:tc>
      </w:tr>
    </w:tbl>
    <w:p w:rsidR="00000000" w:rsidRDefault="00DB7886">
      <w:pPr>
        <w:pStyle w:val="a3"/>
        <w:spacing w:before="0" w:beforeAutospacing="0" w:after="0" w:afterAutospacing="0"/>
        <w:divId w:val="130141807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361"/>
        <w:gridCol w:w="140"/>
        <w:gridCol w:w="102"/>
        <w:gridCol w:w="567"/>
        <w:gridCol w:w="140"/>
        <w:gridCol w:w="71"/>
        <w:gridCol w:w="370"/>
        <w:gridCol w:w="140"/>
        <w:gridCol w:w="107"/>
        <w:gridCol w:w="593"/>
        <w:gridCol w:w="140"/>
        <w:gridCol w:w="94"/>
        <w:gridCol w:w="529"/>
        <w:gridCol w:w="140"/>
        <w:gridCol w:w="71"/>
        <w:gridCol w:w="336"/>
        <w:gridCol w:w="140"/>
        <w:gridCol w:w="71"/>
        <w:gridCol w:w="306"/>
        <w:gridCol w:w="140"/>
        <w:gridCol w:w="72"/>
        <w:gridCol w:w="403"/>
        <w:gridCol w:w="140"/>
        <w:gridCol w:w="74"/>
        <w:gridCol w:w="409"/>
        <w:gridCol w:w="140"/>
        <w:gridCol w:w="88"/>
        <w:gridCol w:w="496"/>
        <w:gridCol w:w="140"/>
        <w:gridCol w:w="117"/>
        <w:gridCol w:w="669"/>
      </w:tblGrid>
      <w:tr w:rsidR="00000000">
        <w:trPr>
          <w:divId w:val="1301418079"/>
          <w:trHeight w:val="20"/>
        </w:trPr>
        <w:tc>
          <w:tcPr>
            <w:tcW w:w="1399" w:type="pct"/>
            <w:tcMar>
              <w:top w:w="0" w:type="dxa"/>
              <w:left w:w="0" w:type="dxa"/>
              <w:bottom w:w="0" w:type="dxa"/>
              <w:right w:w="0" w:type="dxa"/>
            </w:tcMar>
            <w:vAlign w:val="bottom"/>
            <w:hideMark/>
          </w:tcPr>
          <w:p w:rsidR="00000000" w:rsidRDefault="00DB7886">
            <w:pPr>
              <w:pStyle w:val="a3"/>
              <w:spacing w:before="0" w:beforeAutospacing="0" w:after="0" w:afterAutospacing="0"/>
              <w:divId w:val="21463062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0882795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60025260"/>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9019431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2284721"/>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24469987"/>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6028170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9722570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86067491"/>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3075744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125612196"/>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30578095"/>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9469620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63038146"/>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04079836"/>
              <w:rPr>
                <w:sz w:val="20"/>
                <w:szCs w:val="20"/>
              </w:rPr>
            </w:pPr>
            <w:r>
              <w:rPr>
                <w:sz w:val="2"/>
                <w:szCs w:val="2"/>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4650654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27856424"/>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17451584"/>
              <w:rPr>
                <w:sz w:val="20"/>
                <w:szCs w:val="20"/>
              </w:rPr>
            </w:pPr>
            <w:r>
              <w:rPr>
                <w:sz w:val="2"/>
                <w:szCs w:val="2"/>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5126670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56756069"/>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62238062"/>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1339137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33375328"/>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50515488"/>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0466957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23442240"/>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56272923"/>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9361385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92322662"/>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62287020"/>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121026641"/>
              <w:rPr>
                <w:sz w:val="20"/>
                <w:szCs w:val="20"/>
              </w:rPr>
            </w:pPr>
            <w:r>
              <w:rPr>
                <w:sz w:val="2"/>
                <w:szCs w:val="2"/>
              </w:rPr>
              <w:t>​</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28" w:type="pct"/>
            <w:gridSpan w:val="29"/>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Three Months Ended September 30, 2020</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13"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199"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5"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04"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Consolidated</w:t>
            </w:r>
          </w:p>
        </w:tc>
      </w:tr>
      <w:tr w:rsidR="00000000">
        <w:trPr>
          <w:divId w:val="1301418079"/>
        </w:trPr>
        <w:tc>
          <w:tcPr>
            <w:tcW w:w="0" w:type="auto"/>
            <w:gridSpan w:val="31"/>
            <w:tcMar>
              <w:top w:w="0" w:type="dxa"/>
              <w:left w:w="0" w:type="dxa"/>
              <w:bottom w:w="0" w:type="dxa"/>
              <w:right w:w="0" w:type="dxa"/>
            </w:tcMar>
            <w:vAlign w:val="center"/>
            <w:hideMark/>
          </w:tcPr>
          <w:p w:rsidR="00000000" w:rsidRDefault="00DB7886">
            <w:pPr>
              <w:rPr>
                <w:sz w:val="14"/>
                <w:szCs w:val="14"/>
              </w:rPr>
            </w:pP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28" w:type="pct"/>
            <w:gridSpan w:val="29"/>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4"/>
                <w:szCs w:val="14"/>
              </w:rPr>
              <w:t>(in millions)</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1,005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513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1,764</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147</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163</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Net loss from investment activities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(1,166)</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(68)</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(25)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w:t>
            </w:r>
            <w:r>
              <w:rPr>
                <w:sz w:val="14"/>
                <w:szCs w:val="14"/>
              </w:rPr>
              <w:t>1,259)</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38</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46</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9</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(1,130)</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943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658</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29</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(21)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723</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1,040</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351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78</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1,599</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115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127</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27</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223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290</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Restructuring, net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Impairment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Interest expense</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84</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171</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1,098</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692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90</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2,189</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14"/>
                <w:szCs w:val="14"/>
              </w:rPr>
            </w:pPr>
            <w:r>
              <w:rPr>
                <w:sz w:val="14"/>
                <w:szCs w:val="14"/>
              </w:rPr>
              <w:t>(Loss) income before income tax benefit (expense)</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(1,183)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(155)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(34)</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(111)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(1,466)</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14"/>
                <w:szCs w:val="14"/>
              </w:rPr>
            </w:pPr>
            <w:r>
              <w:rPr>
                <w:sz w:val="14"/>
                <w:szCs w:val="14"/>
              </w:rPr>
              <w:t>Income tax benefit (expense)</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66</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14"/>
                <w:szCs w:val="14"/>
              </w:rPr>
            </w:pPr>
            <w:r>
              <w:rPr>
                <w:sz w:val="14"/>
                <w:szCs w:val="14"/>
              </w:rPr>
              <w:t>Net (loss) income</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(1,183)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(120)</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(26)</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(87)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(1,400)</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14"/>
                <w:szCs w:val="14"/>
              </w:rPr>
            </w:pPr>
            <w:r>
              <w:rPr>
                <w:sz w:val="14"/>
                <w:szCs w:val="14"/>
              </w:rPr>
              <w:t>Less: net (loss) income attributable to non-controlling interests</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(640)</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(47)</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(686)</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14"/>
                <w:szCs w:val="14"/>
              </w:rPr>
            </w:pPr>
            <w:r>
              <w:rPr>
                <w:sz w:val="14"/>
                <w:szCs w:val="14"/>
              </w:rPr>
              <w:t>Net (loss) income attributable to Icahn Enterprises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9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(543)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(73)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(26)</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7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17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16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0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11"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(87)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4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(714)</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Supplemental information:</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r>
      <w:tr w:rsidR="00000000">
        <w:trPr>
          <w:divId w:val="1301418079"/>
        </w:trPr>
        <w:tc>
          <w:tcPr>
            <w:tcW w:w="1399"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Capital expenditures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24</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9</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40</w:t>
            </w:r>
          </w:p>
        </w:tc>
      </w:tr>
      <w:tr w:rsidR="00DB7886">
        <w:trPr>
          <w:divId w:val="1301418079"/>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Depreciation and amortization</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126</w:t>
            </w:r>
          </w:p>
        </w:tc>
      </w:tr>
    </w:tbl>
    <w:p w:rsidR="00000000" w:rsidRDefault="00DB7886">
      <w:pPr>
        <w:pStyle w:val="a3"/>
        <w:spacing w:before="0" w:beforeAutospacing="0" w:after="0" w:afterAutospacing="0"/>
        <w:divId w:val="1301418079"/>
        <w:rPr>
          <w:sz w:val="20"/>
          <w:szCs w:val="20"/>
        </w:rPr>
      </w:pPr>
      <w:r>
        <w:rPr>
          <w:sz w:val="20"/>
          <w:szCs w:val="20"/>
        </w:rPr>
        <w:t>​</w:t>
      </w:r>
    </w:p>
    <w:p w:rsidR="00000000" w:rsidRDefault="00DB7886">
      <w:pPr>
        <w:pStyle w:val="a3"/>
        <w:spacing w:before="0" w:beforeAutospacing="0" w:after="0" w:afterAutospacing="0"/>
        <w:divId w:val="1301418079"/>
        <w:rPr>
          <w:sz w:val="20"/>
          <w:szCs w:val="20"/>
        </w:rPr>
      </w:pPr>
      <w:r>
        <w:rPr>
          <w:sz w:val="20"/>
          <w:szCs w:val="20"/>
        </w:rPr>
        <w:t>​</w:t>
      </w:r>
    </w:p>
    <w:p w:rsidR="00000000" w:rsidRDefault="00DB7886">
      <w:pPr>
        <w:pStyle w:val="a3"/>
        <w:spacing w:before="480" w:beforeAutospacing="0" w:after="0" w:afterAutospacing="0"/>
        <w:jc w:val="center"/>
        <w:divId w:val="553278067"/>
        <w:rPr>
          <w:sz w:val="20"/>
          <w:szCs w:val="20"/>
        </w:rPr>
      </w:pPr>
      <w:r>
        <w:rPr>
          <w:sz w:val="20"/>
          <w:szCs w:val="20"/>
        </w:rPr>
        <w:t>32</w:t>
      </w:r>
    </w:p>
    <w:p w:rsidR="00000000" w:rsidRDefault="00DB7886">
      <w:pPr>
        <w:pStyle w:val="a3"/>
        <w:spacing w:before="0" w:beforeAutospacing="0" w:after="600" w:afterAutospacing="0"/>
        <w:divId w:val="1602569260"/>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1602569260"/>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1602569260"/>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1602569260"/>
        <w:rPr>
          <w:sz w:val="20"/>
          <w:szCs w:val="20"/>
        </w:rPr>
      </w:pPr>
      <w:r>
        <w:rPr>
          <w:b/>
          <w:bCs/>
          <w:sz w:val="20"/>
          <w:szCs w:val="20"/>
        </w:rPr>
        <w:t>Notes to Condensed Consolidated Financial Statements (Unaudited)</w:t>
      </w:r>
    </w:p>
    <w:tbl>
      <w:tblPr>
        <w:tblW w:w="5000" w:type="pct"/>
        <w:tblCellMar>
          <w:top w:w="15" w:type="dxa"/>
          <w:left w:w="0" w:type="dxa"/>
          <w:bottom w:w="15" w:type="dxa"/>
          <w:right w:w="0" w:type="dxa"/>
        </w:tblCellMar>
        <w:tblLook w:val="04A0" w:firstRow="1" w:lastRow="0" w:firstColumn="1" w:lastColumn="0" w:noHBand="0" w:noVBand="1"/>
      </w:tblPr>
      <w:tblGrid>
        <w:gridCol w:w="1361"/>
        <w:gridCol w:w="140"/>
        <w:gridCol w:w="102"/>
        <w:gridCol w:w="567"/>
        <w:gridCol w:w="140"/>
        <w:gridCol w:w="71"/>
        <w:gridCol w:w="370"/>
        <w:gridCol w:w="140"/>
        <w:gridCol w:w="107"/>
        <w:gridCol w:w="593"/>
        <w:gridCol w:w="140"/>
        <w:gridCol w:w="94"/>
        <w:gridCol w:w="529"/>
        <w:gridCol w:w="140"/>
        <w:gridCol w:w="71"/>
        <w:gridCol w:w="336"/>
        <w:gridCol w:w="140"/>
        <w:gridCol w:w="71"/>
        <w:gridCol w:w="306"/>
        <w:gridCol w:w="140"/>
        <w:gridCol w:w="72"/>
        <w:gridCol w:w="403"/>
        <w:gridCol w:w="140"/>
        <w:gridCol w:w="74"/>
        <w:gridCol w:w="409"/>
        <w:gridCol w:w="140"/>
        <w:gridCol w:w="88"/>
        <w:gridCol w:w="496"/>
        <w:gridCol w:w="140"/>
        <w:gridCol w:w="117"/>
        <w:gridCol w:w="669"/>
      </w:tblGrid>
      <w:tr w:rsidR="00000000">
        <w:trPr>
          <w:divId w:val="1906867232"/>
          <w:trHeight w:val="20"/>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divId w:val="157261794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51034238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034794300"/>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24206514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019890806"/>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131580814"/>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68370275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767234234"/>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758067255"/>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99120839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348945530"/>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660930810"/>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11506015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032731205"/>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80170260"/>
              <w:rPr>
                <w:sz w:val="20"/>
                <w:szCs w:val="20"/>
              </w:rPr>
            </w:pPr>
            <w:r>
              <w:rPr>
                <w:sz w:val="2"/>
                <w:szCs w:val="2"/>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92468508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2088265706"/>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536498947"/>
              <w:rPr>
                <w:sz w:val="20"/>
                <w:szCs w:val="20"/>
              </w:rPr>
            </w:pPr>
            <w:r>
              <w:rPr>
                <w:sz w:val="2"/>
                <w:szCs w:val="2"/>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36761146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361174946"/>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707754940"/>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05323978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975138295"/>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411466800"/>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6281628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243029243"/>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45760163"/>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91249988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495725438"/>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328553953"/>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516382904"/>
              <w:rPr>
                <w:sz w:val="20"/>
                <w:szCs w:val="20"/>
              </w:rPr>
            </w:pPr>
            <w:r>
              <w:rPr>
                <w:sz w:val="2"/>
                <w:szCs w:val="2"/>
              </w:rPr>
              <w:t>​</w:t>
            </w:r>
          </w:p>
        </w:tc>
      </w:tr>
      <w:tr w:rsidR="00000000">
        <w:trPr>
          <w:divId w:val="1906867232"/>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528" w:type="pct"/>
            <w:gridSpan w:val="29"/>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Nine Months Ended September 30, 2021</w:t>
            </w:r>
          </w:p>
        </w:tc>
      </w:tr>
      <w:tr w:rsidR="00000000">
        <w:trPr>
          <w:divId w:val="1906867232"/>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213"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199"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245"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04"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b/>
                <w:bCs/>
                <w:sz w:val="14"/>
                <w:szCs w:val="14"/>
              </w:rPr>
              <w:t>Consolidated</w:t>
            </w:r>
          </w:p>
        </w:tc>
      </w:tr>
      <w:tr w:rsidR="00000000">
        <w:trPr>
          <w:divId w:val="1906867232"/>
        </w:trPr>
        <w:tc>
          <w:tcPr>
            <w:tcW w:w="0" w:type="auto"/>
            <w:gridSpan w:val="31"/>
            <w:tcMar>
              <w:top w:w="0" w:type="dxa"/>
              <w:left w:w="0" w:type="dxa"/>
              <w:bottom w:w="0" w:type="dxa"/>
              <w:right w:w="0" w:type="dxa"/>
            </w:tcMar>
            <w:vAlign w:val="center"/>
            <w:hideMark/>
          </w:tcPr>
          <w:p w:rsidR="00000000" w:rsidRDefault="00DB7886">
            <w:pPr>
              <w:rPr>
                <w:sz w:val="14"/>
                <w:szCs w:val="14"/>
              </w:rPr>
            </w:pPr>
          </w:p>
        </w:tc>
      </w:tr>
      <w:tr w:rsidR="00000000">
        <w:trPr>
          <w:divId w:val="1906867232"/>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528" w:type="pct"/>
            <w:gridSpan w:val="29"/>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4"/>
                <w:szCs w:val="14"/>
              </w:rPr>
            </w:pPr>
            <w:r>
              <w:rPr>
                <w:sz w:val="14"/>
                <w:szCs w:val="14"/>
              </w:rPr>
              <w:t>(in millions)</w:t>
            </w:r>
          </w:p>
        </w:tc>
      </w:tr>
      <w:tr w:rsidR="00DB7886">
        <w:trPr>
          <w:divId w:val="1906867232"/>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sz w:val="14"/>
                <w:szCs w:val="14"/>
              </w:rPr>
              <w:t>​</w:t>
            </w:r>
          </w:p>
        </w:tc>
      </w:tr>
      <w:tr w:rsidR="00000000">
        <w:trPr>
          <w:divId w:val="1906867232"/>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5,129</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1,377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311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417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45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143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65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7,487</w:t>
            </w:r>
          </w:p>
        </w:tc>
      </w:tr>
      <w:tr w:rsidR="00DB7886">
        <w:trPr>
          <w:divId w:val="1906867232"/>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449</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29</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481</w:t>
            </w:r>
          </w:p>
        </w:tc>
      </w:tr>
      <w:tr w:rsidR="00000000">
        <w:trPr>
          <w:divId w:val="1906867232"/>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Net gain (loss) from investment activities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966</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82</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1,035</w:t>
            </w:r>
          </w:p>
        </w:tc>
      </w:tr>
      <w:tr w:rsidR="00DB7886">
        <w:trPr>
          <w:divId w:val="1906867232"/>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90</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94</w:t>
            </w:r>
          </w:p>
        </w:tc>
      </w:tr>
      <w:tr w:rsidR="00000000">
        <w:trPr>
          <w:divId w:val="1906867232"/>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(55)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(20)</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(9)</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(79)</w:t>
            </w:r>
          </w:p>
        </w:tc>
      </w:tr>
      <w:tr w:rsidR="00DB7886">
        <w:trPr>
          <w:divId w:val="1906867232"/>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1,001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5,212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1,806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302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418</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74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143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68</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9,018</w:t>
            </w:r>
          </w:p>
        </w:tc>
      </w:tr>
      <w:tr w:rsidR="00000000">
        <w:trPr>
          <w:divId w:val="1906867232"/>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r>
      <w:tr w:rsidR="00DB7886">
        <w:trPr>
          <w:divId w:val="1906867232"/>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5,022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959</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253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384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117</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38</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6,807</w:t>
            </w:r>
          </w:p>
        </w:tc>
      </w:tr>
      <w:tr w:rsidR="00000000">
        <w:trPr>
          <w:divId w:val="1906867232"/>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345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29</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374</w:t>
            </w:r>
          </w:p>
        </w:tc>
      </w:tr>
      <w:tr w:rsidR="00DB7886">
        <w:trPr>
          <w:divId w:val="1906867232"/>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106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668</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37</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29</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937</w:t>
            </w:r>
          </w:p>
        </w:tc>
      </w:tr>
      <w:tr w:rsidR="00000000">
        <w:trPr>
          <w:divId w:val="1906867232"/>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Restructuring, net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6</w:t>
            </w:r>
          </w:p>
        </w:tc>
      </w:tr>
      <w:tr w:rsidR="00DB7886">
        <w:trPr>
          <w:divId w:val="1906867232"/>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Impairment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r>
      <w:tr w:rsidR="00000000">
        <w:trPr>
          <w:divId w:val="1906867232"/>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Interest expense</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170</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84</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243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511</w:t>
            </w:r>
          </w:p>
        </w:tc>
      </w:tr>
      <w:tr w:rsidR="00DB7886">
        <w:trPr>
          <w:divId w:val="1906867232"/>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181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5,212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1,985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295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399</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79</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152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67</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265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8,635</w:t>
            </w:r>
          </w:p>
        </w:tc>
      </w:tr>
      <w:tr w:rsidR="00000000">
        <w:trPr>
          <w:divId w:val="1906867232"/>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ind w:hanging="144"/>
              <w:rPr>
                <w:sz w:val="14"/>
                <w:szCs w:val="14"/>
              </w:rPr>
            </w:pPr>
            <w:r>
              <w:rPr>
                <w:sz w:val="14"/>
                <w:szCs w:val="14"/>
              </w:rPr>
              <w:t>Income (loss) before income tax benefit (expense)</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820</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(179)</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19</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(9)</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(271)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383</w:t>
            </w:r>
          </w:p>
        </w:tc>
      </w:tr>
      <w:tr w:rsidR="00DB7886">
        <w:trPr>
          <w:divId w:val="1906867232"/>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hanging="144"/>
              <w:rPr>
                <w:sz w:val="14"/>
                <w:szCs w:val="14"/>
              </w:rPr>
            </w:pPr>
            <w:r>
              <w:rPr>
                <w:sz w:val="14"/>
                <w:szCs w:val="14"/>
              </w:rPr>
              <w:t>Income tax benefit (expense)</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40</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(105)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(57)</w:t>
            </w:r>
          </w:p>
        </w:tc>
      </w:tr>
      <w:tr w:rsidR="00000000">
        <w:trPr>
          <w:divId w:val="1906867232"/>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ind w:hanging="144"/>
              <w:rPr>
                <w:sz w:val="14"/>
                <w:szCs w:val="14"/>
              </w:rPr>
            </w:pPr>
            <w:r>
              <w:rPr>
                <w:sz w:val="14"/>
                <w:szCs w:val="14"/>
              </w:rPr>
              <w:t>Net income (loss)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820</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(139)</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19</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(9)</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(376)</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326</w:t>
            </w:r>
          </w:p>
        </w:tc>
      </w:tr>
      <w:tr w:rsidR="00DB7886">
        <w:trPr>
          <w:divId w:val="1906867232"/>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hanging="144"/>
              <w:rPr>
                <w:sz w:val="14"/>
                <w:szCs w:val="14"/>
              </w:rPr>
            </w:pPr>
            <w:r>
              <w:rPr>
                <w:sz w:val="14"/>
                <w:szCs w:val="14"/>
              </w:rPr>
              <w:t>Less: net income (loss) attributable to non-controlling interests</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445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448</w:t>
            </w:r>
          </w:p>
        </w:tc>
      </w:tr>
      <w:tr w:rsidR="00000000">
        <w:trPr>
          <w:divId w:val="1906867232"/>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ind w:hanging="144"/>
              <w:rPr>
                <w:sz w:val="14"/>
                <w:szCs w:val="14"/>
              </w:rPr>
            </w:pPr>
            <w:r>
              <w:rPr>
                <w:sz w:val="14"/>
                <w:szCs w:val="14"/>
              </w:rPr>
              <w:t>Net income (loss) attributable to Icahn Enterprises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9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375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(139)</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7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17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19</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16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0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(9)</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11"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5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(376)</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rFonts w:ascii="Times" w:hAnsi="Times"/>
                <w:sz w:val="14"/>
                <w:szCs w:val="14"/>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34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14"/>
                <w:szCs w:val="14"/>
              </w:rPr>
            </w:pPr>
            <w:r>
              <w:rPr>
                <w:sz w:val="14"/>
                <w:szCs w:val="14"/>
              </w:rPr>
              <w:t>(122)</w:t>
            </w:r>
          </w:p>
        </w:tc>
      </w:tr>
      <w:tr w:rsidR="00DB7886">
        <w:trPr>
          <w:divId w:val="1906867232"/>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Supplemental information:</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14"/>
                <w:szCs w:val="14"/>
              </w:rPr>
              <w:t>​</w:t>
            </w:r>
          </w:p>
        </w:tc>
      </w:tr>
      <w:tr w:rsidR="00000000">
        <w:trPr>
          <w:divId w:val="1906867232"/>
        </w:trPr>
        <w:tc>
          <w:tcPr>
            <w:tcW w:w="1399" w:type="pct"/>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Capital expenditures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188</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9</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162"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239</w:t>
            </w:r>
          </w:p>
        </w:tc>
      </w:tr>
      <w:tr w:rsidR="00DB7886">
        <w:trPr>
          <w:divId w:val="1906867232"/>
        </w:trPr>
        <w:tc>
          <w:tcPr>
            <w:tcW w:w="139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ind w:left="120"/>
              <w:rPr>
                <w:sz w:val="14"/>
                <w:szCs w:val="14"/>
              </w:rPr>
            </w:pPr>
            <w:r>
              <w:rPr>
                <w:sz w:val="14"/>
                <w:szCs w:val="14"/>
              </w:rPr>
              <w:t>Depreciation and amortization</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253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66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21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14"/>
                <w:szCs w:val="14"/>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45"/>
              <w:jc w:val="right"/>
              <w:rPr>
                <w:sz w:val="14"/>
                <w:szCs w:val="14"/>
              </w:rPr>
            </w:pPr>
            <w:r>
              <w:rPr>
                <w:sz w:val="14"/>
                <w:szCs w:val="14"/>
              </w:rPr>
              <w:t>385</w:t>
            </w:r>
          </w:p>
        </w:tc>
      </w:tr>
    </w:tbl>
    <w:p w:rsidR="00000000" w:rsidRDefault="00DB7886">
      <w:pPr>
        <w:pStyle w:val="a3"/>
        <w:spacing w:before="0" w:beforeAutospacing="0" w:after="0" w:afterAutospacing="0"/>
        <w:divId w:val="190686723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58"/>
        <w:gridCol w:w="140"/>
        <w:gridCol w:w="102"/>
        <w:gridCol w:w="567"/>
        <w:gridCol w:w="140"/>
        <w:gridCol w:w="71"/>
        <w:gridCol w:w="370"/>
        <w:gridCol w:w="140"/>
        <w:gridCol w:w="107"/>
        <w:gridCol w:w="593"/>
        <w:gridCol w:w="140"/>
        <w:gridCol w:w="94"/>
        <w:gridCol w:w="529"/>
        <w:gridCol w:w="140"/>
        <w:gridCol w:w="71"/>
        <w:gridCol w:w="337"/>
        <w:gridCol w:w="140"/>
        <w:gridCol w:w="71"/>
        <w:gridCol w:w="313"/>
        <w:gridCol w:w="140"/>
        <w:gridCol w:w="72"/>
        <w:gridCol w:w="403"/>
        <w:gridCol w:w="140"/>
        <w:gridCol w:w="74"/>
        <w:gridCol w:w="409"/>
        <w:gridCol w:w="140"/>
        <w:gridCol w:w="86"/>
        <w:gridCol w:w="498"/>
        <w:gridCol w:w="35"/>
        <w:gridCol w:w="116"/>
        <w:gridCol w:w="670"/>
      </w:tblGrid>
      <w:tr w:rsidR="00000000">
        <w:trPr>
          <w:divId w:val="1906867232"/>
          <w:trHeight w:val="20"/>
        </w:trPr>
        <w:tc>
          <w:tcPr>
            <w:tcW w:w="1419" w:type="pct"/>
            <w:tcMar>
              <w:top w:w="0" w:type="dxa"/>
              <w:left w:w="0" w:type="dxa"/>
              <w:bottom w:w="0" w:type="dxa"/>
              <w:right w:w="0" w:type="dxa"/>
            </w:tcMar>
            <w:vAlign w:val="bottom"/>
            <w:hideMark/>
          </w:tcPr>
          <w:p w:rsidR="00000000" w:rsidRDefault="00DB7886">
            <w:pPr>
              <w:pStyle w:val="a3"/>
              <w:spacing w:before="0" w:beforeAutospacing="0" w:after="0" w:afterAutospacing="0"/>
              <w:divId w:val="38633795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6900282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32504235"/>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417759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74991446"/>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89036277"/>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1243997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61447652"/>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915550629"/>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3215624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21314731"/>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83033318"/>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9437059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22804882"/>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12797410"/>
              <w:rPr>
                <w:sz w:val="20"/>
                <w:szCs w:val="20"/>
              </w:rPr>
            </w:pPr>
            <w:r>
              <w:rPr>
                <w:sz w:val="2"/>
                <w:szCs w:val="2"/>
              </w:rPr>
              <w:t>​</w:t>
            </w:r>
          </w:p>
        </w:tc>
        <w:tc>
          <w:tcPr>
            <w:tcW w:w="17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0034627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34578389"/>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498934866"/>
              <w:rPr>
                <w:sz w:val="20"/>
                <w:szCs w:val="20"/>
              </w:rPr>
            </w:pPr>
            <w:r>
              <w:rPr>
                <w:sz w:val="2"/>
                <w:szCs w:val="2"/>
              </w:rPr>
              <w:t>​</w:t>
            </w:r>
          </w:p>
        </w:tc>
        <w:tc>
          <w:tcPr>
            <w:tcW w:w="191"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9150204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95704067"/>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94581738"/>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7043439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83410757"/>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4935043"/>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0947895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7508538"/>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6529197"/>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3232027"/>
              <w:rPr>
                <w:sz w:val="20"/>
                <w:szCs w:val="20"/>
              </w:rPr>
            </w:pPr>
            <w:r>
              <w:rPr>
                <w:sz w:val="2"/>
                <w:szCs w:val="2"/>
              </w:rPr>
              <w:t>​</w:t>
            </w:r>
          </w:p>
        </w:tc>
        <w:tc>
          <w:tcPr>
            <w:tcW w:w="1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140107298"/>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62191792"/>
              <w:rPr>
                <w:sz w:val="20"/>
                <w:szCs w:val="20"/>
              </w:rPr>
            </w:pPr>
            <w:r>
              <w:rPr>
                <w:sz w:val="2"/>
                <w:szCs w:val="2"/>
              </w:rPr>
              <w:t>​</w:t>
            </w:r>
          </w:p>
        </w:tc>
        <w:tc>
          <w:tcPr>
            <w:tcW w:w="34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47644406"/>
              <w:rPr>
                <w:sz w:val="20"/>
                <w:szCs w:val="20"/>
              </w:rPr>
            </w:pPr>
            <w:r>
              <w:rPr>
                <w:sz w:val="2"/>
                <w:szCs w:val="2"/>
              </w:rPr>
              <w:t>​</w:t>
            </w:r>
          </w:p>
        </w:tc>
      </w:tr>
      <w:tr w:rsidR="00000000">
        <w:trPr>
          <w:divId w:val="1906867232"/>
        </w:trPr>
        <w:tc>
          <w:tcPr>
            <w:tcW w:w="141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3508" w:type="pct"/>
            <w:gridSpan w:val="29"/>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Nine Months Ended September 30, 2020</w:t>
            </w:r>
          </w:p>
        </w:tc>
      </w:tr>
      <w:tr w:rsidR="00000000">
        <w:trPr>
          <w:divId w:val="1906867232"/>
        </w:trPr>
        <w:tc>
          <w:tcPr>
            <w:tcW w:w="141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16"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28"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5"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Holding Company</w:t>
            </w:r>
          </w:p>
        </w:tc>
        <w:tc>
          <w:tcPr>
            <w:tcW w:w="18" w:type="pct"/>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rFonts w:ascii="Times" w:hAnsi="Times"/>
                <w:sz w:val="14"/>
                <w:szCs w:val="14"/>
              </w:rPr>
              <w:t> </w:t>
            </w:r>
          </w:p>
        </w:tc>
        <w:tc>
          <w:tcPr>
            <w:tcW w:w="406"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Consolidated</w:t>
            </w:r>
          </w:p>
        </w:tc>
      </w:tr>
      <w:tr w:rsidR="00000000">
        <w:trPr>
          <w:divId w:val="1906867232"/>
        </w:trPr>
        <w:tc>
          <w:tcPr>
            <w:tcW w:w="0" w:type="auto"/>
            <w:gridSpan w:val="31"/>
            <w:tcMar>
              <w:top w:w="0" w:type="dxa"/>
              <w:left w:w="0" w:type="dxa"/>
              <w:bottom w:w="0" w:type="dxa"/>
              <w:right w:w="0" w:type="dxa"/>
            </w:tcMar>
            <w:vAlign w:val="center"/>
            <w:hideMark/>
          </w:tcPr>
          <w:p w:rsidR="00000000" w:rsidRDefault="00DB7886">
            <w:pPr>
              <w:rPr>
                <w:sz w:val="14"/>
                <w:szCs w:val="14"/>
              </w:rPr>
            </w:pPr>
          </w:p>
        </w:tc>
      </w:tr>
      <w:tr w:rsidR="00000000">
        <w:trPr>
          <w:divId w:val="1906867232"/>
        </w:trPr>
        <w:tc>
          <w:tcPr>
            <w:tcW w:w="141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3083" w:type="pct"/>
            <w:gridSpan w:val="26"/>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4"/>
                <w:szCs w:val="14"/>
              </w:rPr>
              <w:t>(in millions)</w:t>
            </w:r>
          </w:p>
        </w:tc>
        <w:tc>
          <w:tcPr>
            <w:tcW w:w="18"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rFonts w:ascii="Times" w:hAnsi="Times"/>
                <w:sz w:val="14"/>
                <w:szCs w:val="14"/>
              </w:rPr>
              <w:t> </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rFonts w:ascii="Times" w:hAnsi="Times"/>
                <w:sz w:val="14"/>
                <w:szCs w:val="14"/>
              </w:rPr>
              <w:t>​</w:t>
            </w:r>
          </w:p>
        </w:tc>
        <w:tc>
          <w:tcPr>
            <w:tcW w:w="346"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rFonts w:ascii="Times" w:hAnsi="Times"/>
                <w:sz w:val="14"/>
                <w:szCs w:val="14"/>
              </w:rPr>
              <w:t>​</w:t>
            </w:r>
          </w:p>
        </w:tc>
      </w:tr>
      <w:tr w:rsidR="00DB7886">
        <w:trPr>
          <w:divId w:val="1906867232"/>
        </w:trPr>
        <w:tc>
          <w:tcPr>
            <w:tcW w:w="141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rFonts w:ascii="Times" w:hAnsi="Times"/>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rFonts w:ascii="Times" w:hAnsi="Times"/>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rFonts w:ascii="Times" w:hAnsi="Times"/>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rFonts w:ascii="Times" w:hAnsi="Times"/>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4"/>
                <w:szCs w:val="14"/>
              </w:rPr>
              <w:t>  </w:t>
            </w:r>
          </w:p>
        </w:tc>
        <w:tc>
          <w:tcPr>
            <w:tcW w:w="1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4"/>
                <w:szCs w:val="14"/>
              </w:rPr>
              <w:t>  </w:t>
            </w:r>
          </w:p>
        </w:tc>
        <w:tc>
          <w:tcPr>
            <w:tcW w:w="19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rFonts w:ascii="Times" w:hAnsi="Times"/>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4"/>
                <w:szCs w:val="14"/>
              </w:rPr>
              <w:t>  </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rFonts w:ascii="Times" w:hAnsi="Times"/>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rFonts w:ascii="Times" w:hAnsi="Times"/>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4"/>
                <w:szCs w:val="14"/>
              </w:rPr>
              <w:t>  </w:t>
            </w:r>
          </w:p>
        </w:tc>
        <w:tc>
          <w:tcPr>
            <w:tcW w:w="3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r>
      <w:tr w:rsidR="00000000">
        <w:trPr>
          <w:divId w:val="1906867232"/>
        </w:trPr>
        <w:tc>
          <w:tcPr>
            <w:tcW w:w="1419"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2,811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1,468</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307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17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203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19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22</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140</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4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4,951</w:t>
            </w:r>
          </w:p>
        </w:tc>
      </w:tr>
      <w:tr w:rsidR="00DB7886">
        <w:trPr>
          <w:divId w:val="1906867232"/>
        </w:trPr>
        <w:tc>
          <w:tcPr>
            <w:tcW w:w="141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414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9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460</w:t>
            </w:r>
          </w:p>
        </w:tc>
      </w:tr>
      <w:tr w:rsidR="00000000">
        <w:trPr>
          <w:divId w:val="1906867232"/>
        </w:trPr>
        <w:tc>
          <w:tcPr>
            <w:tcW w:w="1419"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Net loss from investment activities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(1,893)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(20)</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9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(239)</w:t>
            </w:r>
          </w:p>
        </w:tc>
        <w:tc>
          <w:tcPr>
            <w:tcW w:w="1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(2,152)</w:t>
            </w:r>
          </w:p>
        </w:tc>
      </w:tr>
      <w:tr w:rsidR="00DB7886">
        <w:trPr>
          <w:divId w:val="1906867232"/>
        </w:trPr>
        <w:tc>
          <w:tcPr>
            <w:tcW w:w="141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107</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9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17</w:t>
            </w:r>
          </w:p>
        </w:tc>
        <w:tc>
          <w:tcPr>
            <w:tcW w:w="1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135</w:t>
            </w:r>
          </w:p>
        </w:tc>
      </w:tr>
      <w:tr w:rsidR="00000000">
        <w:trPr>
          <w:divId w:val="1906867232"/>
        </w:trPr>
        <w:tc>
          <w:tcPr>
            <w:tcW w:w="1419"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(9)</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9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(4)</w:t>
            </w:r>
          </w:p>
        </w:tc>
        <w:tc>
          <w:tcPr>
            <w:tcW w:w="1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(22)</w:t>
            </w:r>
          </w:p>
        </w:tc>
      </w:tr>
      <w:tr w:rsidR="00DB7886">
        <w:trPr>
          <w:divId w:val="1906867232"/>
        </w:trPr>
        <w:tc>
          <w:tcPr>
            <w:tcW w:w="141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(1,793)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2,794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1,875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298</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1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205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1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76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143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(226)</w:t>
            </w:r>
          </w:p>
        </w:tc>
        <w:tc>
          <w:tcPr>
            <w:tcW w:w="1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3,372</w:t>
            </w:r>
          </w:p>
        </w:tc>
      </w:tr>
      <w:tr w:rsidR="00000000">
        <w:trPr>
          <w:divId w:val="1906867232"/>
        </w:trPr>
        <w:tc>
          <w:tcPr>
            <w:tcW w:w="1419"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17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191"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1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r>
      <w:tr w:rsidR="00DB7886">
        <w:trPr>
          <w:divId w:val="1906867232"/>
        </w:trPr>
        <w:tc>
          <w:tcPr>
            <w:tcW w:w="141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2,934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1,036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244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202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9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111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4,544</w:t>
            </w:r>
          </w:p>
        </w:tc>
      </w:tr>
      <w:tr w:rsidR="00000000">
        <w:trPr>
          <w:divId w:val="1906867232"/>
        </w:trPr>
        <w:tc>
          <w:tcPr>
            <w:tcW w:w="1419"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339</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9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30</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369</w:t>
            </w:r>
          </w:p>
        </w:tc>
      </w:tr>
      <w:tr w:rsidR="00DB7886">
        <w:trPr>
          <w:divId w:val="1906867232"/>
        </w:trPr>
        <w:tc>
          <w:tcPr>
            <w:tcW w:w="141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88</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671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38</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9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30</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20</w:t>
            </w:r>
          </w:p>
        </w:tc>
        <w:tc>
          <w:tcPr>
            <w:tcW w:w="1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888</w:t>
            </w:r>
          </w:p>
        </w:tc>
      </w:tr>
      <w:tr w:rsidR="00000000">
        <w:trPr>
          <w:divId w:val="1906867232"/>
        </w:trPr>
        <w:tc>
          <w:tcPr>
            <w:tcW w:w="1419"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Restructuring, net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9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w:t>
            </w:r>
          </w:p>
        </w:tc>
      </w:tr>
      <w:tr w:rsidR="00DB7886">
        <w:trPr>
          <w:divId w:val="1906867232"/>
        </w:trPr>
        <w:tc>
          <w:tcPr>
            <w:tcW w:w="141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Impairment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9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w:t>
            </w:r>
          </w:p>
        </w:tc>
      </w:tr>
      <w:tr w:rsidR="00000000">
        <w:trPr>
          <w:divId w:val="1906867232"/>
        </w:trPr>
        <w:tc>
          <w:tcPr>
            <w:tcW w:w="1419"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Interest expense</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145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93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9</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9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258</w:t>
            </w:r>
          </w:p>
        </w:tc>
        <w:tc>
          <w:tcPr>
            <w:tcW w:w="1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517</w:t>
            </w:r>
          </w:p>
        </w:tc>
      </w:tr>
      <w:tr w:rsidR="00DB7886">
        <w:trPr>
          <w:divId w:val="1906867232"/>
        </w:trPr>
        <w:tc>
          <w:tcPr>
            <w:tcW w:w="141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144</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3,115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2,063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292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1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215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1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80</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145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278</w:t>
            </w:r>
          </w:p>
        </w:tc>
        <w:tc>
          <w:tcPr>
            <w:tcW w:w="1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6,332</w:t>
            </w:r>
          </w:p>
        </w:tc>
      </w:tr>
      <w:tr w:rsidR="00000000">
        <w:trPr>
          <w:divId w:val="1906867232"/>
        </w:trPr>
        <w:tc>
          <w:tcPr>
            <w:tcW w:w="1419"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14"/>
                <w:szCs w:val="14"/>
              </w:rPr>
            </w:pPr>
            <w:r>
              <w:rPr>
                <w:sz w:val="14"/>
                <w:szCs w:val="14"/>
              </w:rPr>
              <w:t>(Loss) income before income tax benefit (expense)</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(1,937)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(321)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(188)</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91"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(504)</w:t>
            </w:r>
          </w:p>
        </w:tc>
        <w:tc>
          <w:tcPr>
            <w:tcW w:w="1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rFonts w:ascii="Times" w:hAnsi="Times"/>
                <w:sz w:val="14"/>
                <w:szCs w:val="14"/>
              </w:rPr>
              <w:t> </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(2,960)</w:t>
            </w:r>
          </w:p>
        </w:tc>
      </w:tr>
      <w:tr w:rsidR="00DB7886">
        <w:trPr>
          <w:divId w:val="1906867232"/>
        </w:trPr>
        <w:tc>
          <w:tcPr>
            <w:tcW w:w="141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14"/>
                <w:szCs w:val="14"/>
              </w:rPr>
            </w:pPr>
            <w:r>
              <w:rPr>
                <w:sz w:val="14"/>
                <w:szCs w:val="14"/>
              </w:rPr>
              <w:t>Income tax benefit (expense)</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39</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(3)</w:t>
            </w:r>
          </w:p>
        </w:tc>
        <w:tc>
          <w:tcPr>
            <w:tcW w:w="1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118</w:t>
            </w:r>
          </w:p>
        </w:tc>
      </w:tr>
      <w:tr w:rsidR="00000000">
        <w:trPr>
          <w:divId w:val="1906867232"/>
        </w:trPr>
        <w:tc>
          <w:tcPr>
            <w:tcW w:w="1419"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14"/>
                <w:szCs w:val="14"/>
              </w:rPr>
            </w:pPr>
            <w:r>
              <w:rPr>
                <w:sz w:val="14"/>
                <w:szCs w:val="14"/>
              </w:rPr>
              <w:t>Net (loss) income</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(1,937)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(236)</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(149)</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c>
          <w:tcPr>
            <w:tcW w:w="191"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(507)</w:t>
            </w:r>
          </w:p>
        </w:tc>
        <w:tc>
          <w:tcPr>
            <w:tcW w:w="1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rFonts w:ascii="Times" w:hAnsi="Times"/>
                <w:sz w:val="14"/>
                <w:szCs w:val="14"/>
              </w:rPr>
              <w:t> </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(2,842)</w:t>
            </w:r>
          </w:p>
        </w:tc>
      </w:tr>
      <w:tr w:rsidR="00DB7886">
        <w:trPr>
          <w:divId w:val="1906867232"/>
        </w:trPr>
        <w:tc>
          <w:tcPr>
            <w:tcW w:w="141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14"/>
                <w:szCs w:val="14"/>
              </w:rPr>
            </w:pPr>
            <w:r>
              <w:rPr>
                <w:sz w:val="14"/>
                <w:szCs w:val="14"/>
              </w:rPr>
              <w:t>Less: net loss attributable to non-controlling interests</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(947)</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(96)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1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(1,043)</w:t>
            </w:r>
          </w:p>
        </w:tc>
      </w:tr>
      <w:tr w:rsidR="00000000">
        <w:trPr>
          <w:divId w:val="1906867232"/>
        </w:trPr>
        <w:tc>
          <w:tcPr>
            <w:tcW w:w="1419"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14"/>
                <w:szCs w:val="14"/>
              </w:rPr>
            </w:pPr>
            <w:r>
              <w:rPr>
                <w:sz w:val="14"/>
                <w:szCs w:val="14"/>
              </w:rPr>
              <w:t>Net (loss) income attributable to Icahn Enterprises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9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(990)</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(140)</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(149)</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7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179"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191"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0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11"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(507)</w:t>
            </w:r>
          </w:p>
        </w:tc>
        <w:tc>
          <w:tcPr>
            <w:tcW w:w="1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4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(1,799)</w:t>
            </w:r>
          </w:p>
        </w:tc>
      </w:tr>
      <w:tr w:rsidR="00DB7886">
        <w:trPr>
          <w:divId w:val="1906867232"/>
        </w:trPr>
        <w:tc>
          <w:tcPr>
            <w:tcW w:w="141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Supplemental information:</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1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19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1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r>
      <w:tr w:rsidR="00000000">
        <w:trPr>
          <w:divId w:val="1906867232"/>
        </w:trPr>
        <w:tc>
          <w:tcPr>
            <w:tcW w:w="1419"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Capital expenditures</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17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19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w:t>
            </w:r>
          </w:p>
        </w:tc>
        <w:tc>
          <w:tcPr>
            <w:tcW w:w="1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4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155</w:t>
            </w:r>
          </w:p>
        </w:tc>
      </w:tr>
      <w:tr w:rsidR="00DB7886">
        <w:trPr>
          <w:divId w:val="1906867232"/>
        </w:trPr>
        <w:tc>
          <w:tcPr>
            <w:tcW w:w="141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14"/>
                <w:szCs w:val="14"/>
              </w:rPr>
            </w:pPr>
            <w:r>
              <w:rPr>
                <w:sz w:val="14"/>
                <w:szCs w:val="14"/>
              </w:rPr>
              <w:t>Depreciation and amortization</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256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72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19</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1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19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Times" w:hAnsi="Times"/>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379</w:t>
            </w:r>
          </w:p>
        </w:tc>
      </w:tr>
    </w:tbl>
    <w:p w:rsidR="00000000" w:rsidRDefault="00DB7886">
      <w:pPr>
        <w:pStyle w:val="a3"/>
        <w:spacing w:before="0" w:beforeAutospacing="0" w:after="0" w:afterAutospacing="0"/>
        <w:divId w:val="1906867232"/>
        <w:rPr>
          <w:sz w:val="20"/>
          <w:szCs w:val="20"/>
        </w:rPr>
      </w:pPr>
      <w:r>
        <w:rPr>
          <w:sz w:val="20"/>
          <w:szCs w:val="20"/>
        </w:rPr>
        <w:t>​</w:t>
      </w:r>
    </w:p>
    <w:p w:rsidR="00000000" w:rsidRDefault="00DB7886">
      <w:pPr>
        <w:pStyle w:val="a3"/>
        <w:spacing w:before="0" w:beforeAutospacing="0" w:after="0" w:afterAutospacing="0"/>
        <w:divId w:val="1906867232"/>
        <w:rPr>
          <w:sz w:val="20"/>
          <w:szCs w:val="20"/>
        </w:rPr>
      </w:pPr>
      <w:r>
        <w:rPr>
          <w:b/>
          <w:bCs/>
          <w:sz w:val="20"/>
          <w:szCs w:val="20"/>
        </w:rPr>
        <w:t>​</w:t>
      </w:r>
    </w:p>
    <w:p w:rsidR="00000000" w:rsidRDefault="00DB7886">
      <w:pPr>
        <w:pStyle w:val="a3"/>
        <w:spacing w:before="480" w:beforeAutospacing="0" w:after="0" w:afterAutospacing="0"/>
        <w:jc w:val="center"/>
        <w:divId w:val="394357961"/>
        <w:rPr>
          <w:sz w:val="20"/>
          <w:szCs w:val="20"/>
        </w:rPr>
      </w:pPr>
      <w:r>
        <w:rPr>
          <w:sz w:val="20"/>
          <w:szCs w:val="20"/>
        </w:rPr>
        <w:t>33</w:t>
      </w:r>
    </w:p>
    <w:p w:rsidR="00000000" w:rsidRDefault="00DB7886">
      <w:pPr>
        <w:pStyle w:val="a3"/>
        <w:spacing w:before="0" w:beforeAutospacing="0" w:after="600" w:afterAutospacing="0"/>
        <w:divId w:val="771316562"/>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771316562"/>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771316562"/>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771316562"/>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divId w:val="2095398404"/>
        <w:rPr>
          <w:b/>
          <w:bCs/>
          <w:sz w:val="20"/>
          <w:szCs w:val="20"/>
        </w:rPr>
      </w:pPr>
      <w:r>
        <w:rPr>
          <w:b/>
          <w:bCs/>
          <w:sz w:val="20"/>
          <w:szCs w:val="20"/>
        </w:rPr>
        <w:t>Disaggregation of Revenue</w:t>
      </w:r>
    </w:p>
    <w:p w:rsidR="00000000" w:rsidRDefault="00DB7886">
      <w:pPr>
        <w:pStyle w:val="a3"/>
        <w:spacing w:before="0" w:beforeAutospacing="0" w:after="240" w:afterAutospacing="0"/>
        <w:ind w:firstLine="360"/>
        <w:divId w:val="2095398404"/>
        <w:rPr>
          <w:sz w:val="20"/>
          <w:szCs w:val="20"/>
        </w:rPr>
      </w:pPr>
      <w:r>
        <w:rPr>
          <w:sz w:val="20"/>
          <w:szCs w:val="20"/>
        </w:rPr>
        <w:t>In addition to the condensed statements of operations by reporting segment above, we provide additional disaggregated revenue information for our Energy and Automotive segments below.</w:t>
      </w:r>
    </w:p>
    <w:p w:rsidR="00000000" w:rsidRDefault="00DB7886">
      <w:pPr>
        <w:pStyle w:val="a3"/>
        <w:spacing w:before="0" w:beforeAutospacing="0" w:after="240" w:afterAutospacing="0"/>
        <w:divId w:val="2095398404"/>
        <w:rPr>
          <w:b/>
          <w:bCs/>
          <w:i/>
          <w:iCs/>
          <w:sz w:val="20"/>
          <w:szCs w:val="20"/>
        </w:rPr>
      </w:pPr>
      <w:r>
        <w:rPr>
          <w:b/>
          <w:bCs/>
          <w:i/>
          <w:iCs/>
          <w:sz w:val="20"/>
          <w:szCs w:val="20"/>
        </w:rPr>
        <w:t>Energy</w:t>
      </w:r>
    </w:p>
    <w:p w:rsidR="00000000" w:rsidRDefault="00DB7886">
      <w:pPr>
        <w:pStyle w:val="a3"/>
        <w:spacing w:before="0" w:beforeAutospacing="0" w:after="240" w:afterAutospacing="0"/>
        <w:ind w:firstLine="360"/>
        <w:divId w:val="2095398404"/>
        <w:rPr>
          <w:sz w:val="20"/>
          <w:szCs w:val="20"/>
        </w:rPr>
      </w:pPr>
      <w:r>
        <w:rPr>
          <w:sz w:val="20"/>
          <w:szCs w:val="20"/>
        </w:rPr>
        <w:t>Disaggregated revenue for our Energy segment net sales is present</w:t>
      </w:r>
      <w:r>
        <w:rPr>
          <w:sz w:val="20"/>
          <w:szCs w:val="20"/>
        </w:rPr>
        <w:t>ed below:</w:t>
      </w:r>
    </w:p>
    <w:p w:rsidR="00000000" w:rsidRDefault="00DB7886">
      <w:pPr>
        <w:pStyle w:val="a3"/>
        <w:spacing w:before="0" w:beforeAutospacing="0" w:after="0" w:afterAutospacing="0"/>
        <w:divId w:val="2095398404"/>
        <w:rPr>
          <w:sz w:val="20"/>
          <w:szCs w:val="20"/>
        </w:rPr>
      </w:pPr>
      <w:r>
        <w:rPr>
          <w:sz w:val="2"/>
          <w:szCs w:val="2"/>
        </w:rPr>
        <w:t>​</w:t>
      </w:r>
    </w:p>
    <w:tbl>
      <w:tblPr>
        <w:tblW w:w="5007" w:type="pct"/>
        <w:tblCellMar>
          <w:top w:w="15" w:type="dxa"/>
          <w:left w:w="0" w:type="dxa"/>
          <w:bottom w:w="15" w:type="dxa"/>
          <w:right w:w="0" w:type="dxa"/>
        </w:tblCellMar>
        <w:tblLook w:val="04A0" w:firstRow="1" w:lastRow="0" w:firstColumn="1" w:lastColumn="0" w:noHBand="0" w:noVBand="1"/>
      </w:tblPr>
      <w:tblGrid>
        <w:gridCol w:w="1739"/>
        <w:gridCol w:w="200"/>
        <w:gridCol w:w="170"/>
        <w:gridCol w:w="1270"/>
        <w:gridCol w:w="266"/>
        <w:gridCol w:w="167"/>
        <w:gridCol w:w="1272"/>
        <w:gridCol w:w="200"/>
        <w:gridCol w:w="164"/>
        <w:gridCol w:w="1234"/>
        <w:gridCol w:w="258"/>
        <w:gridCol w:w="161"/>
        <w:gridCol w:w="1217"/>
      </w:tblGrid>
      <w:tr w:rsidR="00000000">
        <w:trPr>
          <w:divId w:val="2095398404"/>
          <w:trHeight w:val="20"/>
        </w:trPr>
        <w:tc>
          <w:tcPr>
            <w:tcW w:w="1615" w:type="pct"/>
            <w:tcMar>
              <w:top w:w="0" w:type="dxa"/>
              <w:left w:w="0" w:type="dxa"/>
              <w:bottom w:w="0" w:type="dxa"/>
              <w:right w:w="0" w:type="dxa"/>
            </w:tcMar>
            <w:vAlign w:val="bottom"/>
            <w:hideMark/>
          </w:tcPr>
          <w:p w:rsidR="00000000" w:rsidRDefault="00DB7886">
            <w:pPr>
              <w:pStyle w:val="a3"/>
              <w:spacing w:before="0" w:beforeAutospacing="0" w:after="0" w:afterAutospacing="0"/>
              <w:divId w:val="79445219"/>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94197833"/>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58357316"/>
              <w:rPr>
                <w:sz w:val="20"/>
                <w:szCs w:val="20"/>
              </w:rPr>
            </w:pPr>
            <w:r>
              <w:rPr>
                <w:sz w:val="2"/>
                <w:szCs w:val="2"/>
              </w:rPr>
              <w:t>​</w:t>
            </w:r>
          </w:p>
        </w:tc>
        <w:tc>
          <w:tcPr>
            <w:tcW w:w="65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95372820"/>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76889105"/>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59964164"/>
              <w:rPr>
                <w:sz w:val="20"/>
                <w:szCs w:val="20"/>
              </w:rPr>
            </w:pPr>
            <w:r>
              <w:rPr>
                <w:sz w:val="2"/>
                <w:szCs w:val="2"/>
              </w:rPr>
              <w:t>​</w:t>
            </w:r>
          </w:p>
        </w:tc>
        <w:tc>
          <w:tcPr>
            <w:tcW w:w="65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08554471"/>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35153583"/>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18715974"/>
              <w:rPr>
                <w:sz w:val="20"/>
                <w:szCs w:val="20"/>
              </w:rPr>
            </w:pPr>
            <w:r>
              <w:rPr>
                <w:sz w:val="2"/>
                <w:szCs w:val="2"/>
              </w:rPr>
              <w:t>​</w:t>
            </w:r>
          </w:p>
        </w:tc>
        <w:tc>
          <w:tcPr>
            <w:tcW w:w="63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1970416"/>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34687152"/>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83690767"/>
              <w:rPr>
                <w:sz w:val="20"/>
                <w:szCs w:val="20"/>
              </w:rPr>
            </w:pPr>
            <w:r>
              <w:rPr>
                <w:sz w:val="2"/>
                <w:szCs w:val="2"/>
              </w:rPr>
              <w:t>​</w:t>
            </w:r>
          </w:p>
        </w:tc>
        <w:tc>
          <w:tcPr>
            <w:tcW w:w="62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51121323"/>
              <w:rPr>
                <w:sz w:val="20"/>
                <w:szCs w:val="20"/>
              </w:rPr>
            </w:pPr>
            <w:r>
              <w:rPr>
                <w:sz w:val="2"/>
                <w:szCs w:val="2"/>
              </w:rPr>
              <w:t>​</w:t>
            </w:r>
          </w:p>
        </w:tc>
      </w:tr>
      <w:tr w:rsidR="00000000">
        <w:trPr>
          <w:divId w:val="2095398404"/>
        </w:trPr>
        <w:tc>
          <w:tcPr>
            <w:tcW w:w="161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617"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Three Months Ended September 30, </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560"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Nine Months Ended September 30, </w:t>
            </w:r>
          </w:p>
        </w:tc>
      </w:tr>
      <w:tr w:rsidR="00000000">
        <w:trPr>
          <w:divId w:val="2095398404"/>
        </w:trPr>
        <w:tc>
          <w:tcPr>
            <w:tcW w:w="161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40"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39"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19"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3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0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r>
      <w:tr w:rsidR="00000000">
        <w:trPr>
          <w:divId w:val="2095398404"/>
        </w:trPr>
        <w:tc>
          <w:tcPr>
            <w:tcW w:w="0" w:type="auto"/>
            <w:gridSpan w:val="13"/>
            <w:tcMar>
              <w:top w:w="0" w:type="dxa"/>
              <w:left w:w="0" w:type="dxa"/>
              <w:bottom w:w="0" w:type="dxa"/>
              <w:right w:w="0" w:type="dxa"/>
            </w:tcMar>
            <w:vAlign w:val="center"/>
            <w:hideMark/>
          </w:tcPr>
          <w:p w:rsidR="00000000" w:rsidRDefault="00DB7886">
            <w:pPr>
              <w:rPr>
                <w:sz w:val="20"/>
                <w:szCs w:val="20"/>
              </w:rPr>
            </w:pPr>
          </w:p>
        </w:tc>
      </w:tr>
      <w:tr w:rsidR="00000000">
        <w:trPr>
          <w:divId w:val="2095398404"/>
        </w:trPr>
        <w:tc>
          <w:tcPr>
            <w:tcW w:w="161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3281" w:type="pct"/>
            <w:gridSpan w:val="11"/>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2095398404"/>
        </w:trPr>
        <w:tc>
          <w:tcPr>
            <w:tcW w:w="161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Petroleum products</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1,738</w:t>
            </w:r>
          </w:p>
        </w:tc>
        <w:tc>
          <w:tcPr>
            <w:tcW w:w="1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926</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4,785</w:t>
            </w:r>
          </w:p>
        </w:tc>
        <w:tc>
          <w:tcPr>
            <w:tcW w:w="13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2,551</w:t>
            </w:r>
          </w:p>
        </w:tc>
      </w:tr>
      <w:tr w:rsidR="00000000">
        <w:trPr>
          <w:divId w:val="2095398404"/>
        </w:trPr>
        <w:tc>
          <w:tcPr>
            <w:tcW w:w="161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Nitrogen fertilizer products</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145</w:t>
            </w:r>
          </w:p>
        </w:tc>
        <w:tc>
          <w:tcPr>
            <w:tcW w:w="1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79</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344</w:t>
            </w:r>
          </w:p>
        </w:tc>
        <w:tc>
          <w:tcPr>
            <w:tcW w:w="13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260</w:t>
            </w:r>
          </w:p>
        </w:tc>
      </w:tr>
      <w:tr w:rsidR="00000000">
        <w:trPr>
          <w:divId w:val="2095398404"/>
        </w:trPr>
        <w:tc>
          <w:tcPr>
            <w:tcW w:w="161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1,883</w:t>
            </w:r>
          </w:p>
        </w:tc>
        <w:tc>
          <w:tcPr>
            <w:tcW w:w="1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1,005</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5,129</w:t>
            </w:r>
          </w:p>
        </w:tc>
        <w:tc>
          <w:tcPr>
            <w:tcW w:w="13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2,811</w:t>
            </w:r>
          </w:p>
        </w:tc>
      </w:tr>
    </w:tbl>
    <w:p w:rsidR="00000000" w:rsidRDefault="00DB7886">
      <w:pPr>
        <w:pStyle w:val="a3"/>
        <w:spacing w:before="0" w:beforeAutospacing="0" w:after="0" w:afterAutospacing="0"/>
        <w:divId w:val="2095398404"/>
        <w:rPr>
          <w:sz w:val="20"/>
          <w:szCs w:val="20"/>
        </w:rPr>
      </w:pPr>
      <w:r>
        <w:rPr>
          <w:sz w:val="20"/>
          <w:szCs w:val="20"/>
        </w:rPr>
        <w:t>​</w:t>
      </w:r>
    </w:p>
    <w:p w:rsidR="00000000" w:rsidRDefault="00DB7886">
      <w:pPr>
        <w:pStyle w:val="a3"/>
        <w:spacing w:before="0" w:beforeAutospacing="0" w:after="240" w:afterAutospacing="0"/>
        <w:divId w:val="2095398404"/>
        <w:rPr>
          <w:b/>
          <w:bCs/>
          <w:i/>
          <w:iCs/>
          <w:sz w:val="20"/>
          <w:szCs w:val="20"/>
        </w:rPr>
      </w:pPr>
      <w:r>
        <w:rPr>
          <w:b/>
          <w:bCs/>
          <w:i/>
          <w:iCs/>
          <w:sz w:val="20"/>
          <w:szCs w:val="20"/>
        </w:rPr>
        <w:t>Automotive</w:t>
      </w:r>
    </w:p>
    <w:p w:rsidR="00000000" w:rsidRDefault="00DB7886">
      <w:pPr>
        <w:pStyle w:val="a3"/>
        <w:spacing w:before="0" w:beforeAutospacing="0" w:after="240" w:afterAutospacing="0"/>
        <w:ind w:firstLine="360"/>
        <w:divId w:val="2095398404"/>
        <w:rPr>
          <w:sz w:val="20"/>
          <w:szCs w:val="20"/>
        </w:rPr>
      </w:pPr>
      <w:r>
        <w:rPr>
          <w:sz w:val="20"/>
          <w:szCs w:val="20"/>
        </w:rPr>
        <w:t>Disaggregated revenue for our Automotive segment net sales and other revenues from operations is presented below:</w:t>
      </w:r>
    </w:p>
    <w:p w:rsidR="00000000" w:rsidRDefault="00DB7886">
      <w:pPr>
        <w:pStyle w:val="a3"/>
        <w:spacing w:before="0" w:beforeAutospacing="0" w:after="0" w:afterAutospacing="0"/>
        <w:divId w:val="2095398404"/>
        <w:rPr>
          <w:sz w:val="20"/>
          <w:szCs w:val="20"/>
        </w:rPr>
      </w:pPr>
      <w:r>
        <w:rPr>
          <w:sz w:val="2"/>
          <w:szCs w:val="2"/>
        </w:rPr>
        <w:t>​</w:t>
      </w:r>
    </w:p>
    <w:tbl>
      <w:tblPr>
        <w:tblW w:w="5022" w:type="pct"/>
        <w:tblCellMar>
          <w:top w:w="15" w:type="dxa"/>
          <w:left w:w="0" w:type="dxa"/>
          <w:bottom w:w="15" w:type="dxa"/>
          <w:right w:w="0" w:type="dxa"/>
        </w:tblCellMar>
        <w:tblLook w:val="04A0" w:firstRow="1" w:lastRow="0" w:firstColumn="1" w:lastColumn="0" w:noHBand="0" w:noVBand="1"/>
      </w:tblPr>
      <w:tblGrid>
        <w:gridCol w:w="1764"/>
        <w:gridCol w:w="200"/>
        <w:gridCol w:w="170"/>
        <w:gridCol w:w="1271"/>
        <w:gridCol w:w="267"/>
        <w:gridCol w:w="169"/>
        <w:gridCol w:w="1268"/>
        <w:gridCol w:w="200"/>
        <w:gridCol w:w="164"/>
        <w:gridCol w:w="1222"/>
        <w:gridCol w:w="260"/>
        <w:gridCol w:w="163"/>
        <w:gridCol w:w="1225"/>
      </w:tblGrid>
      <w:tr w:rsidR="00000000">
        <w:trPr>
          <w:divId w:val="2095398404"/>
          <w:trHeight w:val="20"/>
        </w:trPr>
        <w:tc>
          <w:tcPr>
            <w:tcW w:w="1622" w:type="pct"/>
            <w:tcMar>
              <w:top w:w="0" w:type="dxa"/>
              <w:left w:w="0" w:type="dxa"/>
              <w:bottom w:w="0" w:type="dxa"/>
              <w:right w:w="0" w:type="dxa"/>
            </w:tcMar>
            <w:vAlign w:val="bottom"/>
            <w:hideMark/>
          </w:tcPr>
          <w:p w:rsidR="00000000" w:rsidRDefault="00DB7886">
            <w:pPr>
              <w:pStyle w:val="a3"/>
              <w:spacing w:before="0" w:beforeAutospacing="0" w:after="0" w:afterAutospacing="0"/>
              <w:divId w:val="7644596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41478467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125802530"/>
              <w:rPr>
                <w:sz w:val="20"/>
                <w:szCs w:val="20"/>
              </w:rPr>
            </w:pPr>
            <w:r>
              <w:rPr>
                <w:sz w:val="2"/>
                <w:szCs w:val="2"/>
              </w:rPr>
              <w:t>​</w:t>
            </w:r>
          </w:p>
        </w:tc>
        <w:tc>
          <w:tcPr>
            <w:tcW w:w="651"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89878358"/>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0962712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5589288"/>
              <w:rPr>
                <w:sz w:val="20"/>
                <w:szCs w:val="20"/>
              </w:rPr>
            </w:pPr>
            <w:r>
              <w:rPr>
                <w:sz w:val="2"/>
                <w:szCs w:val="2"/>
              </w:rPr>
              <w:t>​</w:t>
            </w:r>
          </w:p>
        </w:tc>
        <w:tc>
          <w:tcPr>
            <w:tcW w:w="64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0733625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0755025"/>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17025453"/>
              <w:rPr>
                <w:sz w:val="20"/>
                <w:szCs w:val="20"/>
              </w:rPr>
            </w:pPr>
            <w:r>
              <w:rPr>
                <w:sz w:val="2"/>
                <w:szCs w:val="2"/>
              </w:rPr>
              <w:t>​</w:t>
            </w:r>
          </w:p>
        </w:tc>
        <w:tc>
          <w:tcPr>
            <w:tcW w:w="62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32031229"/>
              <w:rPr>
                <w:sz w:val="20"/>
                <w:szCs w:val="20"/>
              </w:rPr>
            </w:pPr>
            <w:r>
              <w:rPr>
                <w:sz w:val="2"/>
                <w:szCs w:val="2"/>
              </w:rPr>
              <w:t>​</w:t>
            </w:r>
          </w:p>
        </w:tc>
        <w:tc>
          <w:tcPr>
            <w:tcW w:w="13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14854538"/>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74307570"/>
              <w:rPr>
                <w:sz w:val="20"/>
                <w:szCs w:val="20"/>
              </w:rPr>
            </w:pPr>
            <w:r>
              <w:rPr>
                <w:sz w:val="2"/>
                <w:szCs w:val="2"/>
              </w:rPr>
              <w:t>​</w:t>
            </w:r>
          </w:p>
        </w:tc>
        <w:tc>
          <w:tcPr>
            <w:tcW w:w="62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99129927"/>
              <w:rPr>
                <w:sz w:val="20"/>
                <w:szCs w:val="20"/>
              </w:rPr>
            </w:pPr>
            <w:r>
              <w:rPr>
                <w:sz w:val="2"/>
                <w:szCs w:val="2"/>
              </w:rPr>
              <w:t>​</w:t>
            </w:r>
          </w:p>
        </w:tc>
      </w:tr>
      <w:tr w:rsidR="00000000">
        <w:trPr>
          <w:divId w:val="2095398404"/>
        </w:trPr>
        <w:tc>
          <w:tcPr>
            <w:tcW w:w="162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614"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Three Months Ended September 30,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557"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Nine Months Ended September 30, </w:t>
            </w:r>
          </w:p>
        </w:tc>
      </w:tr>
      <w:tr w:rsidR="00000000">
        <w:trPr>
          <w:divId w:val="2095398404"/>
        </w:trPr>
        <w:tc>
          <w:tcPr>
            <w:tcW w:w="162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39"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3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1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3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1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r>
      <w:tr w:rsidR="00000000">
        <w:trPr>
          <w:divId w:val="2095398404"/>
        </w:trPr>
        <w:tc>
          <w:tcPr>
            <w:tcW w:w="0" w:type="auto"/>
            <w:gridSpan w:val="13"/>
            <w:tcMar>
              <w:top w:w="0" w:type="dxa"/>
              <w:left w:w="0" w:type="dxa"/>
              <w:bottom w:w="0" w:type="dxa"/>
              <w:right w:w="0" w:type="dxa"/>
            </w:tcMar>
            <w:vAlign w:val="center"/>
            <w:hideMark/>
          </w:tcPr>
          <w:p w:rsidR="00000000" w:rsidRDefault="00DB7886">
            <w:pPr>
              <w:rPr>
                <w:sz w:val="20"/>
                <w:szCs w:val="20"/>
              </w:rPr>
            </w:pPr>
          </w:p>
        </w:tc>
      </w:tr>
      <w:tr w:rsidR="00000000">
        <w:trPr>
          <w:divId w:val="2095398404"/>
        </w:trPr>
        <w:tc>
          <w:tcPr>
            <w:tcW w:w="162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3274" w:type="pct"/>
            <w:gridSpan w:val="11"/>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2095398404"/>
        </w:trPr>
        <w:tc>
          <w:tcPr>
            <w:tcW w:w="162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Automotive services</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355</w:t>
            </w:r>
          </w:p>
        </w:tc>
        <w:tc>
          <w:tcPr>
            <w:tcW w:w="1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327</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1,024</w:t>
            </w:r>
          </w:p>
        </w:tc>
        <w:tc>
          <w:tcPr>
            <w:tcW w:w="13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913</w:t>
            </w:r>
          </w:p>
        </w:tc>
      </w:tr>
      <w:tr w:rsidR="00000000">
        <w:trPr>
          <w:divId w:val="2095398404"/>
        </w:trPr>
        <w:tc>
          <w:tcPr>
            <w:tcW w:w="162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Aftermarket parts sales</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236</w:t>
            </w:r>
          </w:p>
        </w:tc>
        <w:tc>
          <w:tcPr>
            <w:tcW w:w="1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4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333</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802</w:t>
            </w:r>
          </w:p>
        </w:tc>
        <w:tc>
          <w:tcPr>
            <w:tcW w:w="13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969</w:t>
            </w:r>
          </w:p>
        </w:tc>
      </w:tr>
      <w:tr w:rsidR="00000000">
        <w:trPr>
          <w:divId w:val="2095398404"/>
        </w:trPr>
        <w:tc>
          <w:tcPr>
            <w:tcW w:w="162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591</w:t>
            </w:r>
          </w:p>
        </w:tc>
        <w:tc>
          <w:tcPr>
            <w:tcW w:w="1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660</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1,826</w:t>
            </w:r>
          </w:p>
        </w:tc>
        <w:tc>
          <w:tcPr>
            <w:tcW w:w="13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1,882</w:t>
            </w:r>
          </w:p>
        </w:tc>
      </w:tr>
    </w:tbl>
    <w:p w:rsidR="00000000" w:rsidRDefault="00DB7886">
      <w:pPr>
        <w:pStyle w:val="a3"/>
        <w:spacing w:before="0" w:beforeAutospacing="0" w:after="0" w:afterAutospacing="0"/>
        <w:divId w:val="2095398404"/>
        <w:rPr>
          <w:sz w:val="20"/>
          <w:szCs w:val="20"/>
        </w:rPr>
      </w:pPr>
      <w:r>
        <w:rPr>
          <w:b/>
          <w:bCs/>
          <w:sz w:val="20"/>
          <w:szCs w:val="20"/>
        </w:rPr>
        <w:t>​</w:t>
      </w:r>
    </w:p>
    <w:p w:rsidR="00000000" w:rsidRDefault="00DB7886">
      <w:pPr>
        <w:pStyle w:val="a3"/>
        <w:spacing w:before="0" w:beforeAutospacing="0" w:after="0" w:afterAutospacing="0"/>
        <w:divId w:val="2095398404"/>
        <w:rPr>
          <w:sz w:val="20"/>
          <w:szCs w:val="20"/>
        </w:rPr>
      </w:pPr>
      <w:r>
        <w:rPr>
          <w:b/>
          <w:bCs/>
          <w:sz w:val="20"/>
          <w:szCs w:val="20"/>
        </w:rPr>
        <w:t>​</w:t>
      </w:r>
    </w:p>
    <w:p w:rsidR="00000000" w:rsidRDefault="00DB7886">
      <w:pPr>
        <w:pStyle w:val="a3"/>
        <w:spacing w:before="480" w:beforeAutospacing="0" w:after="0" w:afterAutospacing="0"/>
        <w:jc w:val="center"/>
        <w:divId w:val="1018048622"/>
        <w:rPr>
          <w:sz w:val="20"/>
          <w:szCs w:val="20"/>
        </w:rPr>
      </w:pPr>
      <w:r>
        <w:rPr>
          <w:sz w:val="20"/>
          <w:szCs w:val="20"/>
        </w:rPr>
        <w:t>34</w:t>
      </w:r>
    </w:p>
    <w:p w:rsidR="00000000" w:rsidRDefault="00DB7886">
      <w:pPr>
        <w:pStyle w:val="a3"/>
        <w:spacing w:before="0" w:beforeAutospacing="0" w:after="600" w:afterAutospacing="0"/>
        <w:divId w:val="1384021042"/>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1384021042"/>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1384021042"/>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1384021042"/>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divId w:val="1113598999"/>
        <w:rPr>
          <w:b/>
          <w:bCs/>
          <w:sz w:val="20"/>
          <w:szCs w:val="20"/>
        </w:rPr>
      </w:pPr>
      <w:r>
        <w:rPr>
          <w:b/>
          <w:bCs/>
          <w:sz w:val="20"/>
          <w:szCs w:val="20"/>
        </w:rPr>
        <w:t>Condensed Balance Sheets</w:t>
      </w:r>
    </w:p>
    <w:p w:rsidR="00000000" w:rsidRDefault="00DB7886">
      <w:pPr>
        <w:pStyle w:val="a3"/>
        <w:spacing w:before="0" w:beforeAutospacing="0" w:after="240" w:afterAutospacing="0"/>
        <w:ind w:firstLine="360"/>
        <w:divId w:val="1113598999"/>
        <w:rPr>
          <w:sz w:val="20"/>
          <w:szCs w:val="20"/>
        </w:rPr>
      </w:pPr>
      <w:r>
        <w:rPr>
          <w:sz w:val="20"/>
          <w:szCs w:val="20"/>
        </w:rPr>
        <w:t>Icahn Enterprises’ condensed balance sheets by reporting segment are presented below. Icahn Enterprises Holdings’ condensed balance sheets are substantially the same, with immaterial differences relating to our Holding Company’s debt and equity attributabl</w:t>
      </w:r>
      <w:r>
        <w:rPr>
          <w:sz w:val="20"/>
          <w:szCs w:val="20"/>
        </w:rPr>
        <w:t>e to Icahn Enterprises Holdings.</w:t>
      </w:r>
    </w:p>
    <w:p w:rsidR="00000000" w:rsidRDefault="00DB7886">
      <w:pPr>
        <w:pStyle w:val="a3"/>
        <w:spacing w:before="0" w:beforeAutospacing="0" w:after="0" w:afterAutospacing="0"/>
        <w:divId w:val="1113598999"/>
        <w:rPr>
          <w:sz w:val="20"/>
          <w:szCs w:val="20"/>
        </w:rPr>
      </w:pPr>
      <w:r>
        <w:rPr>
          <w:sz w:val="2"/>
          <w:szCs w:val="2"/>
        </w:rPr>
        <w:t>​</w:t>
      </w:r>
    </w:p>
    <w:tbl>
      <w:tblPr>
        <w:tblW w:w="5042" w:type="pct"/>
        <w:tblCellMar>
          <w:top w:w="15" w:type="dxa"/>
          <w:left w:w="0" w:type="dxa"/>
          <w:bottom w:w="15" w:type="dxa"/>
          <w:right w:w="0" w:type="dxa"/>
        </w:tblCellMar>
        <w:tblLook w:val="04A0" w:firstRow="1" w:lastRow="0" w:firstColumn="1" w:lastColumn="0" w:noHBand="0" w:noVBand="1"/>
      </w:tblPr>
      <w:tblGrid>
        <w:gridCol w:w="2069"/>
        <w:gridCol w:w="57"/>
        <w:gridCol w:w="95"/>
        <w:gridCol w:w="574"/>
        <w:gridCol w:w="57"/>
        <w:gridCol w:w="71"/>
        <w:gridCol w:w="382"/>
        <w:gridCol w:w="53"/>
        <w:gridCol w:w="98"/>
        <w:gridCol w:w="602"/>
        <w:gridCol w:w="59"/>
        <w:gridCol w:w="87"/>
        <w:gridCol w:w="536"/>
        <w:gridCol w:w="59"/>
        <w:gridCol w:w="71"/>
        <w:gridCol w:w="390"/>
        <w:gridCol w:w="59"/>
        <w:gridCol w:w="71"/>
        <w:gridCol w:w="390"/>
        <w:gridCol w:w="59"/>
        <w:gridCol w:w="71"/>
        <w:gridCol w:w="416"/>
        <w:gridCol w:w="140"/>
        <w:gridCol w:w="71"/>
        <w:gridCol w:w="423"/>
        <w:gridCol w:w="6"/>
        <w:gridCol w:w="81"/>
        <w:gridCol w:w="503"/>
        <w:gridCol w:w="40"/>
        <w:gridCol w:w="125"/>
        <w:gridCol w:w="661"/>
      </w:tblGrid>
      <w:tr w:rsidR="00000000">
        <w:trPr>
          <w:divId w:val="1113598999"/>
          <w:trHeight w:val="20"/>
        </w:trPr>
        <w:tc>
          <w:tcPr>
            <w:tcW w:w="1256" w:type="pct"/>
            <w:tcMar>
              <w:top w:w="0" w:type="dxa"/>
              <w:left w:w="0" w:type="dxa"/>
              <w:bottom w:w="0" w:type="dxa"/>
              <w:right w:w="0" w:type="dxa"/>
            </w:tcMar>
            <w:vAlign w:val="bottom"/>
            <w:hideMark/>
          </w:tcPr>
          <w:p w:rsidR="00000000" w:rsidRDefault="00DB7886">
            <w:pPr>
              <w:pStyle w:val="a3"/>
              <w:spacing w:before="0" w:beforeAutospacing="0" w:after="0" w:afterAutospacing="0"/>
              <w:divId w:val="1203597009"/>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57547529"/>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99648649"/>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37332785"/>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43635519"/>
              <w:rPr>
                <w:sz w:val="20"/>
                <w:szCs w:val="20"/>
              </w:rPr>
            </w:pPr>
            <w:r>
              <w:rPr>
                <w:sz w:val="2"/>
                <w:szCs w:val="2"/>
              </w:rPr>
              <w:t>​</w:t>
            </w:r>
          </w:p>
        </w:tc>
        <w:tc>
          <w:tcPr>
            <w:tcW w:w="3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73392545"/>
              <w:rPr>
                <w:sz w:val="20"/>
                <w:szCs w:val="20"/>
              </w:rPr>
            </w:pPr>
            <w:r>
              <w:rPr>
                <w:sz w:val="2"/>
                <w:szCs w:val="2"/>
              </w:rPr>
              <w:t>​</w:t>
            </w:r>
          </w:p>
        </w:tc>
        <w:tc>
          <w:tcPr>
            <w:tcW w:w="24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43206823"/>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84423054"/>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52046682"/>
              <w:rPr>
                <w:sz w:val="20"/>
                <w:szCs w:val="20"/>
              </w:rPr>
            </w:pPr>
            <w:r>
              <w:rPr>
                <w:sz w:val="2"/>
                <w:szCs w:val="2"/>
              </w:rPr>
              <w:t>​</w:t>
            </w:r>
          </w:p>
        </w:tc>
        <w:tc>
          <w:tcPr>
            <w:tcW w:w="30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0013475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02078563"/>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57462851"/>
              <w:rPr>
                <w:sz w:val="20"/>
                <w:szCs w:val="20"/>
              </w:rPr>
            </w:pPr>
            <w:r>
              <w:rPr>
                <w:sz w:val="2"/>
                <w:szCs w:val="2"/>
              </w:rPr>
              <w:t>​</w:t>
            </w:r>
          </w:p>
        </w:tc>
        <w:tc>
          <w:tcPr>
            <w:tcW w:w="27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8129400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63062244"/>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61625911"/>
              <w:rPr>
                <w:sz w:val="20"/>
                <w:szCs w:val="20"/>
              </w:rPr>
            </w:pPr>
            <w:r>
              <w:rPr>
                <w:sz w:val="2"/>
                <w:szCs w:val="2"/>
              </w:rPr>
              <w:t>​</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367257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98388748"/>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98674381"/>
              <w:rPr>
                <w:sz w:val="20"/>
                <w:szCs w:val="20"/>
              </w:rPr>
            </w:pPr>
            <w:r>
              <w:rPr>
                <w:sz w:val="2"/>
                <w:szCs w:val="2"/>
              </w:rPr>
              <w:t>​</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6229649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99519992"/>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126341307"/>
              <w:rPr>
                <w:sz w:val="20"/>
                <w:szCs w:val="20"/>
              </w:rPr>
            </w:pPr>
            <w:r>
              <w:rPr>
                <w:sz w:val="2"/>
                <w:szCs w:val="2"/>
              </w:rPr>
              <w:t>​</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6465930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20649262"/>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39013562"/>
              <w:rPr>
                <w:sz w:val="20"/>
                <w:szCs w:val="20"/>
              </w:rPr>
            </w:pPr>
            <w:r>
              <w:rPr>
                <w:sz w:val="2"/>
                <w:szCs w:val="2"/>
              </w:rPr>
              <w:t>​</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94052740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68772259"/>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94766992"/>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5544631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016556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58350587"/>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938755892"/>
              <w:rPr>
                <w:sz w:val="20"/>
                <w:szCs w:val="20"/>
              </w:rPr>
            </w:pPr>
            <w:r>
              <w:rPr>
                <w:sz w:val="2"/>
                <w:szCs w:val="2"/>
              </w:rPr>
              <w:t>​</w:t>
            </w:r>
          </w:p>
        </w:tc>
      </w:tr>
      <w:tr w:rsidR="00000000">
        <w:trPr>
          <w:divId w:val="1113598999"/>
        </w:trPr>
        <w:tc>
          <w:tcPr>
            <w:tcW w:w="1256"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86" w:type="pct"/>
            <w:gridSpan w:val="29"/>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September 30, 2021</w:t>
            </w:r>
          </w:p>
        </w:tc>
      </w:tr>
      <w:tr w:rsidR="00000000">
        <w:trPr>
          <w:divId w:val="1113598999"/>
        </w:trPr>
        <w:tc>
          <w:tcPr>
            <w:tcW w:w="1256"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34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Investment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283"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Energy</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358"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Automotive</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318"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 xml:space="preserve">Food </w:t>
            </w:r>
            <w:r>
              <w:rPr>
                <w:b/>
                <w:bCs/>
                <w:sz w:val="14"/>
                <w:szCs w:val="14"/>
              </w:rPr>
              <w:br/>
              <w:t>Packaging</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290"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Metals</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290"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 xml:space="preserve">Real </w:t>
            </w:r>
            <w:r>
              <w:rPr>
                <w:b/>
                <w:bCs/>
                <w:sz w:val="14"/>
                <w:szCs w:val="14"/>
              </w:rPr>
              <w:br/>
              <w:t>Estate</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290"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 xml:space="preserve">Home </w:t>
            </w:r>
            <w:r>
              <w:rPr>
                <w:b/>
                <w:bCs/>
                <w:sz w:val="14"/>
                <w:szCs w:val="14"/>
              </w:rPr>
              <w:br/>
            </w:r>
            <w:r>
              <w:rPr>
                <w:b/>
                <w:bCs/>
                <w:sz w:val="14"/>
                <w:szCs w:val="14"/>
              </w:rPr>
              <w:t>Fashion</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0"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Pharma</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298"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 xml:space="preserve">Holding </w:t>
            </w:r>
            <w:r>
              <w:rPr>
                <w:b/>
                <w:bCs/>
                <w:sz w:val="14"/>
                <w:szCs w:val="14"/>
              </w:rPr>
              <w:br/>
              <w:t>Company</w:t>
            </w:r>
          </w:p>
        </w:tc>
        <w:tc>
          <w:tcPr>
            <w:tcW w:w="49"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Consolidated</w:t>
            </w:r>
          </w:p>
        </w:tc>
      </w:tr>
      <w:tr w:rsidR="00000000">
        <w:trPr>
          <w:divId w:val="1113598999"/>
        </w:trPr>
        <w:tc>
          <w:tcPr>
            <w:tcW w:w="0" w:type="auto"/>
            <w:gridSpan w:val="31"/>
            <w:tcMar>
              <w:top w:w="0" w:type="dxa"/>
              <w:left w:w="0" w:type="dxa"/>
              <w:bottom w:w="0" w:type="dxa"/>
              <w:right w:w="0" w:type="dxa"/>
            </w:tcMar>
            <w:vAlign w:val="center"/>
            <w:hideMark/>
          </w:tcPr>
          <w:p w:rsidR="00000000" w:rsidRDefault="00DB7886">
            <w:pPr>
              <w:rPr>
                <w:sz w:val="14"/>
                <w:szCs w:val="14"/>
              </w:rPr>
            </w:pPr>
          </w:p>
        </w:tc>
      </w:tr>
      <w:tr w:rsidR="00000000">
        <w:trPr>
          <w:divId w:val="1113598999"/>
        </w:trPr>
        <w:tc>
          <w:tcPr>
            <w:tcW w:w="1256"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86" w:type="pct"/>
            <w:gridSpan w:val="29"/>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4"/>
                <w:szCs w:val="14"/>
              </w:rPr>
              <w:t>(in millions)</w:t>
            </w:r>
          </w:p>
        </w:tc>
      </w:tr>
      <w:tr w:rsidR="00DB7886">
        <w:trPr>
          <w:divId w:val="1113598999"/>
        </w:trPr>
        <w:tc>
          <w:tcPr>
            <w:tcW w:w="1256"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ASSETS</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4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r>
      <w:tr w:rsidR="00000000">
        <w:trPr>
          <w:divId w:val="1113598999"/>
        </w:trPr>
        <w:tc>
          <w:tcPr>
            <w:tcW w:w="1256"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Cash and cash equivalents</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9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19</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4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566</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0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48</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7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30</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11</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1,257</w:t>
            </w:r>
          </w:p>
        </w:tc>
        <w:tc>
          <w:tcPr>
            <w:tcW w:w="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4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1,945</w:t>
            </w:r>
          </w:p>
        </w:tc>
      </w:tr>
      <w:tr w:rsidR="00DB7886">
        <w:trPr>
          <w:divId w:val="1113598999"/>
        </w:trPr>
        <w:tc>
          <w:tcPr>
            <w:tcW w:w="1256"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14"/>
                <w:szCs w:val="14"/>
              </w:rPr>
            </w:pPr>
            <w:r>
              <w:rPr>
                <w:sz w:val="14"/>
                <w:szCs w:val="14"/>
              </w:rPr>
              <w:t>Cash held at consolidated affiliated partnerships and restricted cash</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1,636</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7</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19</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9</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75</w:t>
            </w:r>
          </w:p>
        </w:tc>
        <w:tc>
          <w:tcPr>
            <w:tcW w:w="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1,747</w:t>
            </w:r>
          </w:p>
        </w:tc>
      </w:tr>
      <w:tr w:rsidR="00000000">
        <w:trPr>
          <w:divId w:val="1113598999"/>
        </w:trPr>
        <w:tc>
          <w:tcPr>
            <w:tcW w:w="1256"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Investments</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9,653</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83</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12</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15</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134</w:t>
            </w:r>
          </w:p>
        </w:tc>
        <w:tc>
          <w:tcPr>
            <w:tcW w:w="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9,897</w:t>
            </w:r>
          </w:p>
        </w:tc>
      </w:tr>
      <w:tr w:rsidR="00DB7886">
        <w:trPr>
          <w:divId w:val="1113598999"/>
        </w:trPr>
        <w:tc>
          <w:tcPr>
            <w:tcW w:w="1256"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Accounts receivable, net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240</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112</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88</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90</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12</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21</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598</w:t>
            </w:r>
          </w:p>
        </w:tc>
      </w:tr>
      <w:tr w:rsidR="00000000">
        <w:trPr>
          <w:divId w:val="1113598999"/>
        </w:trPr>
        <w:tc>
          <w:tcPr>
            <w:tcW w:w="1256"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Inventories, net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422</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928</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95</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37</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95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13</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1,590</w:t>
            </w:r>
          </w:p>
        </w:tc>
      </w:tr>
      <w:tr w:rsidR="00DB7886">
        <w:trPr>
          <w:divId w:val="1113598999"/>
        </w:trPr>
        <w:tc>
          <w:tcPr>
            <w:tcW w:w="1256"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Property, plant and equipment, net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2,765</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830</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145</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77</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309</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w:t>
            </w:r>
          </w:p>
        </w:tc>
        <w:tc>
          <w:tcPr>
            <w:tcW w:w="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4,194</w:t>
            </w:r>
          </w:p>
        </w:tc>
      </w:tr>
      <w:tr w:rsidR="00000000">
        <w:trPr>
          <w:divId w:val="1113598999"/>
        </w:trPr>
        <w:tc>
          <w:tcPr>
            <w:tcW w:w="1256"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Goodwill and intangible assets, net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225</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364</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28</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261</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907</w:t>
            </w:r>
          </w:p>
        </w:tc>
      </w:tr>
      <w:tr w:rsidR="00DB7886">
        <w:trPr>
          <w:divId w:val="1113598999"/>
        </w:trPr>
        <w:tc>
          <w:tcPr>
            <w:tcW w:w="1256"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Other assets</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5,988</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261</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554</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100</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25</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108</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7</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36</w:t>
            </w:r>
          </w:p>
        </w:tc>
        <w:tc>
          <w:tcPr>
            <w:tcW w:w="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7,095</w:t>
            </w:r>
          </w:p>
        </w:tc>
      </w:tr>
      <w:tr w:rsidR="00000000">
        <w:trPr>
          <w:divId w:val="1113598999"/>
        </w:trPr>
        <w:tc>
          <w:tcPr>
            <w:tcW w:w="1256"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Total asset</w:t>
            </w:r>
            <w:r>
              <w:rPr>
                <w:sz w:val="14"/>
                <w:szCs w:val="14"/>
              </w:rPr>
              <w:t>s</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9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17,296</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4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4,569</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0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2,867</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7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466</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238</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483</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233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313</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1,508</w:t>
            </w:r>
          </w:p>
        </w:tc>
        <w:tc>
          <w:tcPr>
            <w:tcW w:w="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4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27,973</w:t>
            </w:r>
          </w:p>
        </w:tc>
      </w:tr>
      <w:tr w:rsidR="00DB7886">
        <w:trPr>
          <w:divId w:val="1113598999"/>
        </w:trPr>
        <w:tc>
          <w:tcPr>
            <w:tcW w:w="1256"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LIABILITIES AND EQUITY</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r>
      <w:tr w:rsidR="00000000">
        <w:trPr>
          <w:divId w:val="1113598999"/>
        </w:trPr>
        <w:tc>
          <w:tcPr>
            <w:tcW w:w="1256"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14"/>
                <w:szCs w:val="14"/>
              </w:rPr>
            </w:pPr>
            <w:r>
              <w:rPr>
                <w:sz w:val="14"/>
                <w:szCs w:val="14"/>
              </w:rPr>
              <w:t>Accounts payable, accrued expenses and other liabilities</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9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2,107</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4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1,540</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0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1,036</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7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159</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73</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45</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50</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222</w:t>
            </w:r>
          </w:p>
        </w:tc>
        <w:tc>
          <w:tcPr>
            <w:tcW w:w="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4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5,297</w:t>
            </w:r>
          </w:p>
        </w:tc>
      </w:tr>
      <w:tr w:rsidR="00DB7886">
        <w:trPr>
          <w:divId w:val="1113598999"/>
        </w:trPr>
        <w:tc>
          <w:tcPr>
            <w:tcW w:w="1256"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14"/>
                <w:szCs w:val="14"/>
              </w:rPr>
            </w:pPr>
            <w:r>
              <w:rPr>
                <w:sz w:val="14"/>
                <w:szCs w:val="14"/>
              </w:rPr>
              <w:t>Securities sold, not yet purchased, at fair value</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4,957</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4,957</w:t>
            </w:r>
          </w:p>
        </w:tc>
      </w:tr>
      <w:tr w:rsidR="00000000">
        <w:trPr>
          <w:divId w:val="1113598999"/>
        </w:trPr>
        <w:tc>
          <w:tcPr>
            <w:tcW w:w="1256"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Debt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1,676</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16</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154</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18</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36</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5,810</w:t>
            </w:r>
          </w:p>
        </w:tc>
        <w:tc>
          <w:tcPr>
            <w:tcW w:w="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7,712</w:t>
            </w:r>
          </w:p>
        </w:tc>
      </w:tr>
      <w:tr w:rsidR="00DB7886">
        <w:trPr>
          <w:divId w:val="1113598999"/>
        </w:trPr>
        <w:tc>
          <w:tcPr>
            <w:tcW w:w="1256"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Total liabilitie</w:t>
            </w:r>
            <w:r>
              <w:rPr>
                <w:sz w:val="14"/>
                <w:szCs w:val="14"/>
              </w:rPr>
              <w:t>s</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7,064</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3,216</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1,052</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313</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91</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47</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50</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6,032</w:t>
            </w:r>
          </w:p>
        </w:tc>
        <w:tc>
          <w:tcPr>
            <w:tcW w:w="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17,966</w:t>
            </w:r>
          </w:p>
        </w:tc>
      </w:tr>
      <w:tr w:rsidR="00000000">
        <w:trPr>
          <w:divId w:val="1113598999"/>
        </w:trPr>
        <w:tc>
          <w:tcPr>
            <w:tcW w:w="1256"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4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0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r>
      <w:tr w:rsidR="00DB7886">
        <w:trPr>
          <w:divId w:val="1113598999"/>
        </w:trPr>
        <w:tc>
          <w:tcPr>
            <w:tcW w:w="1256"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Equity attributable to Icahn Enterprises</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4,660</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701</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1,815</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140</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147</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436</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132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263</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(4,524)</w:t>
            </w:r>
          </w:p>
        </w:tc>
        <w:tc>
          <w:tcPr>
            <w:tcW w:w="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3,770</w:t>
            </w:r>
          </w:p>
        </w:tc>
      </w:tr>
      <w:tr w:rsidR="00000000">
        <w:trPr>
          <w:divId w:val="1113598999"/>
        </w:trPr>
        <w:tc>
          <w:tcPr>
            <w:tcW w:w="1256"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14"/>
                <w:szCs w:val="14"/>
              </w:rPr>
            </w:pPr>
            <w:r>
              <w:rPr>
                <w:sz w:val="14"/>
                <w:szCs w:val="14"/>
              </w:rPr>
              <w:t>Equity attributable to non-controlling interests</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5,572</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652</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13</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6,237</w:t>
            </w:r>
          </w:p>
        </w:tc>
      </w:tr>
      <w:tr w:rsidR="00DB7886">
        <w:trPr>
          <w:divId w:val="1113598999"/>
        </w:trPr>
        <w:tc>
          <w:tcPr>
            <w:tcW w:w="1256"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Total equit</w:t>
            </w:r>
            <w:r>
              <w:rPr>
                <w:sz w:val="14"/>
                <w:szCs w:val="14"/>
              </w:rPr>
              <w:t>y</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10,232</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1,353</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1,815</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153</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147</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436</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132</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263</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(4,524)</w:t>
            </w:r>
          </w:p>
        </w:tc>
        <w:tc>
          <w:tcPr>
            <w:tcW w:w="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10,007</w:t>
            </w:r>
          </w:p>
        </w:tc>
      </w:tr>
      <w:tr w:rsidR="00000000">
        <w:trPr>
          <w:divId w:val="1113598999"/>
        </w:trPr>
        <w:tc>
          <w:tcPr>
            <w:tcW w:w="1256"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Total liabilities and equit</w:t>
            </w:r>
            <w:r>
              <w:rPr>
                <w:sz w:val="14"/>
                <w:szCs w:val="14"/>
              </w:rPr>
              <w:t>y</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9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17,296</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4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4,569</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0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2,867</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7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466</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238</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483</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233</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313</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1,508</w:t>
            </w:r>
          </w:p>
        </w:tc>
        <w:tc>
          <w:tcPr>
            <w:tcW w:w="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4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27,973</w:t>
            </w:r>
          </w:p>
        </w:tc>
      </w:tr>
    </w:tbl>
    <w:p w:rsidR="00000000" w:rsidRDefault="00DB7886">
      <w:pPr>
        <w:pStyle w:val="a3"/>
        <w:spacing w:before="0" w:beforeAutospacing="0" w:after="0" w:afterAutospacing="0"/>
        <w:divId w:val="111359899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037"/>
        <w:gridCol w:w="55"/>
        <w:gridCol w:w="94"/>
        <w:gridCol w:w="575"/>
        <w:gridCol w:w="55"/>
        <w:gridCol w:w="71"/>
        <w:gridCol w:w="380"/>
        <w:gridCol w:w="44"/>
        <w:gridCol w:w="96"/>
        <w:gridCol w:w="604"/>
        <w:gridCol w:w="57"/>
        <w:gridCol w:w="88"/>
        <w:gridCol w:w="535"/>
        <w:gridCol w:w="57"/>
        <w:gridCol w:w="71"/>
        <w:gridCol w:w="378"/>
        <w:gridCol w:w="58"/>
        <w:gridCol w:w="71"/>
        <w:gridCol w:w="378"/>
        <w:gridCol w:w="58"/>
        <w:gridCol w:w="71"/>
        <w:gridCol w:w="413"/>
        <w:gridCol w:w="140"/>
        <w:gridCol w:w="71"/>
        <w:gridCol w:w="420"/>
        <w:gridCol w:w="23"/>
        <w:gridCol w:w="82"/>
        <w:gridCol w:w="502"/>
        <w:gridCol w:w="36"/>
        <w:gridCol w:w="123"/>
        <w:gridCol w:w="663"/>
      </w:tblGrid>
      <w:tr w:rsidR="00000000">
        <w:trPr>
          <w:divId w:val="1113598999"/>
          <w:trHeight w:val="20"/>
        </w:trPr>
        <w:tc>
          <w:tcPr>
            <w:tcW w:w="1249" w:type="pct"/>
            <w:tcMar>
              <w:top w:w="0" w:type="dxa"/>
              <w:left w:w="0" w:type="dxa"/>
              <w:bottom w:w="0" w:type="dxa"/>
              <w:right w:w="0" w:type="dxa"/>
            </w:tcMar>
            <w:vAlign w:val="bottom"/>
            <w:hideMark/>
          </w:tcPr>
          <w:p w:rsidR="00000000" w:rsidRDefault="00DB7886">
            <w:pPr>
              <w:pStyle w:val="a3"/>
              <w:spacing w:before="0" w:beforeAutospacing="0" w:after="0" w:afterAutospacing="0"/>
              <w:divId w:val="1436942905"/>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464355075"/>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78270529"/>
              <w:rPr>
                <w:sz w:val="20"/>
                <w:szCs w:val="20"/>
              </w:rPr>
            </w:pPr>
            <w:r>
              <w:rPr>
                <w:sz w:val="2"/>
                <w:szCs w:val="2"/>
              </w:rPr>
              <w:t>​</w:t>
            </w:r>
          </w:p>
        </w:tc>
        <w:tc>
          <w:tcPr>
            <w:tcW w:w="29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97107198"/>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29721161"/>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75052848"/>
              <w:rPr>
                <w:sz w:val="20"/>
                <w:szCs w:val="20"/>
              </w:rPr>
            </w:pPr>
            <w:r>
              <w:rPr>
                <w:sz w:val="2"/>
                <w:szCs w:val="2"/>
              </w:rPr>
              <w:t>​</w:t>
            </w:r>
          </w:p>
        </w:tc>
        <w:tc>
          <w:tcPr>
            <w:tcW w:w="24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60293393"/>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9235119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64644097"/>
              <w:rPr>
                <w:sz w:val="20"/>
                <w:szCs w:val="20"/>
              </w:rPr>
            </w:pPr>
            <w:r>
              <w:rPr>
                <w:sz w:val="2"/>
                <w:szCs w:val="2"/>
              </w:rPr>
              <w:t>​</w:t>
            </w:r>
          </w:p>
        </w:tc>
        <w:tc>
          <w:tcPr>
            <w:tcW w:w="31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473527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58733324"/>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7116082"/>
              <w:rPr>
                <w:sz w:val="20"/>
                <w:szCs w:val="20"/>
              </w:rPr>
            </w:pPr>
            <w:r>
              <w:rPr>
                <w:sz w:val="2"/>
                <w:szCs w:val="2"/>
              </w:rPr>
              <w:t>​</w:t>
            </w:r>
          </w:p>
        </w:tc>
        <w:tc>
          <w:tcPr>
            <w:tcW w:w="27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95683292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98661846"/>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3163589"/>
              <w:rPr>
                <w:sz w:val="20"/>
                <w:szCs w:val="20"/>
              </w:rPr>
            </w:pPr>
            <w:r>
              <w:rPr>
                <w:sz w:val="2"/>
                <w:szCs w:val="2"/>
              </w:rPr>
              <w:t>​</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2967399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75618764"/>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473957872"/>
              <w:rPr>
                <w:sz w:val="20"/>
                <w:szCs w:val="20"/>
              </w:rPr>
            </w:pPr>
            <w:r>
              <w:rPr>
                <w:sz w:val="2"/>
                <w:szCs w:val="2"/>
              </w:rPr>
              <w:t>​</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3347211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07342256"/>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19981932"/>
              <w:rPr>
                <w:sz w:val="20"/>
                <w:szCs w:val="20"/>
              </w:rPr>
            </w:pPr>
            <w:r>
              <w:rPr>
                <w:sz w:val="2"/>
                <w:szCs w:val="2"/>
              </w:rPr>
              <w:t>​</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1887934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45919568"/>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47288260"/>
              <w:rPr>
                <w:sz w:val="20"/>
                <w:szCs w:val="20"/>
              </w:rPr>
            </w:pPr>
            <w:r>
              <w:rPr>
                <w:sz w:val="2"/>
                <w:szCs w:val="2"/>
              </w:rPr>
              <w:t>​</w:t>
            </w:r>
          </w:p>
        </w:tc>
        <w:tc>
          <w:tcPr>
            <w:tcW w:w="251"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0344426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29717285"/>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28580304"/>
              <w:rPr>
                <w:sz w:val="20"/>
                <w:szCs w:val="20"/>
              </w:rPr>
            </w:pPr>
            <w:r>
              <w:rPr>
                <w:sz w:val="2"/>
                <w:szCs w:val="2"/>
              </w:rPr>
              <w:t>​</w:t>
            </w:r>
          </w:p>
        </w:tc>
        <w:tc>
          <w:tcPr>
            <w:tcW w:w="25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22873085"/>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3448856"/>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3142778"/>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32965763"/>
              <w:rPr>
                <w:sz w:val="20"/>
                <w:szCs w:val="20"/>
              </w:rPr>
            </w:pPr>
            <w:r>
              <w:rPr>
                <w:sz w:val="2"/>
                <w:szCs w:val="2"/>
              </w:rPr>
              <w:t>​</w:t>
            </w:r>
          </w:p>
        </w:tc>
      </w:tr>
      <w:tr w:rsidR="00000000">
        <w:trPr>
          <w:divId w:val="1113598999"/>
        </w:trPr>
        <w:tc>
          <w:tcPr>
            <w:tcW w:w="124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93" w:type="pct"/>
            <w:gridSpan w:val="29"/>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December 31, 2020</w:t>
            </w:r>
          </w:p>
        </w:tc>
      </w:tr>
      <w:tr w:rsidR="00000000">
        <w:trPr>
          <w:divId w:val="1113598999"/>
        </w:trPr>
        <w:tc>
          <w:tcPr>
            <w:tcW w:w="124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Investment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28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Energy</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Automotive</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 xml:space="preserve">Food </w:t>
            </w:r>
            <w:r>
              <w:rPr>
                <w:b/>
                <w:bCs/>
                <w:sz w:val="14"/>
                <w:szCs w:val="14"/>
              </w:rPr>
              <w:br/>
              <w:t>Packaging</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28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Metals</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287"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 xml:space="preserve">Real </w:t>
            </w:r>
            <w:r>
              <w:rPr>
                <w:b/>
                <w:bCs/>
                <w:sz w:val="14"/>
                <w:szCs w:val="14"/>
              </w:rPr>
              <w:br/>
              <w:t>Estate</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287"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 xml:space="preserve">Home </w:t>
            </w:r>
            <w:r>
              <w:rPr>
                <w:b/>
                <w:bCs/>
                <w:sz w:val="14"/>
                <w:szCs w:val="14"/>
              </w:rPr>
              <w:br/>
              <w:t>Fashion</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88"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Pharma</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 xml:space="preserve">Holding </w:t>
            </w:r>
            <w:r>
              <w:rPr>
                <w:b/>
                <w:bCs/>
                <w:sz w:val="14"/>
                <w:szCs w:val="14"/>
              </w:rPr>
              <w:br/>
              <w:t>Company</w:t>
            </w:r>
          </w:p>
        </w:tc>
        <w:tc>
          <w:tcPr>
            <w:tcW w:w="44"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414"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Consolidated</w:t>
            </w:r>
          </w:p>
        </w:tc>
      </w:tr>
      <w:tr w:rsidR="00000000">
        <w:trPr>
          <w:divId w:val="1113598999"/>
        </w:trPr>
        <w:tc>
          <w:tcPr>
            <w:tcW w:w="0" w:type="auto"/>
            <w:gridSpan w:val="31"/>
            <w:tcMar>
              <w:top w:w="0" w:type="dxa"/>
              <w:left w:w="0" w:type="dxa"/>
              <w:bottom w:w="0" w:type="dxa"/>
              <w:right w:w="0" w:type="dxa"/>
            </w:tcMar>
            <w:vAlign w:val="center"/>
            <w:hideMark/>
          </w:tcPr>
          <w:p w:rsidR="00000000" w:rsidRDefault="00DB7886">
            <w:pPr>
              <w:rPr>
                <w:sz w:val="14"/>
                <w:szCs w:val="14"/>
              </w:rPr>
            </w:pPr>
          </w:p>
        </w:tc>
      </w:tr>
      <w:tr w:rsidR="00000000">
        <w:trPr>
          <w:divId w:val="1113598999"/>
        </w:trPr>
        <w:tc>
          <w:tcPr>
            <w:tcW w:w="124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93" w:type="pct"/>
            <w:gridSpan w:val="29"/>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sz w:val="14"/>
                <w:szCs w:val="14"/>
              </w:rPr>
              <w:t>(in millions)</w:t>
            </w:r>
          </w:p>
        </w:tc>
      </w:tr>
      <w:tr w:rsidR="00DB7886">
        <w:trPr>
          <w:divId w:val="1113598999"/>
        </w:trPr>
        <w:tc>
          <w:tcPr>
            <w:tcW w:w="124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ASSETS</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4"/>
                <w:szCs w:val="14"/>
              </w:rPr>
              <w:t>​</w:t>
            </w:r>
          </w:p>
        </w:tc>
      </w:tr>
      <w:tr w:rsidR="00000000">
        <w:trPr>
          <w:divId w:val="1113598999"/>
        </w:trPr>
        <w:tc>
          <w:tcPr>
            <w:tcW w:w="1249"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Cash and cash equivalents</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9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14</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4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667</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1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25</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7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16</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21</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925</w:t>
            </w:r>
          </w:p>
        </w:tc>
        <w:tc>
          <w:tcPr>
            <w:tcW w:w="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4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1,679</w:t>
            </w:r>
          </w:p>
        </w:tc>
      </w:tr>
      <w:tr w:rsidR="00DB7886">
        <w:trPr>
          <w:divId w:val="1113598999"/>
        </w:trPr>
        <w:tc>
          <w:tcPr>
            <w:tcW w:w="124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14"/>
                <w:szCs w:val="14"/>
              </w:rPr>
            </w:pPr>
            <w:r>
              <w:rPr>
                <w:sz w:val="14"/>
                <w:szCs w:val="14"/>
              </w:rPr>
              <w:t>Cash held at consolidated affiliated partnerships and restricted cash</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1,558</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7</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20</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11</w:t>
            </w:r>
          </w:p>
        </w:tc>
        <w:tc>
          <w:tcPr>
            <w:tcW w:w="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1,612</w:t>
            </w:r>
          </w:p>
        </w:tc>
      </w:tr>
      <w:tr w:rsidR="00000000">
        <w:trPr>
          <w:divId w:val="1113598999"/>
        </w:trPr>
        <w:tc>
          <w:tcPr>
            <w:tcW w:w="1249"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Investments</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8,239</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253</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1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40</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15</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366</w:t>
            </w:r>
          </w:p>
        </w:tc>
        <w:tc>
          <w:tcPr>
            <w:tcW w:w="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8,913</w:t>
            </w:r>
          </w:p>
        </w:tc>
      </w:tr>
      <w:tr w:rsidR="00DB7886">
        <w:trPr>
          <w:divId w:val="1113598999"/>
        </w:trPr>
        <w:tc>
          <w:tcPr>
            <w:tcW w:w="124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Accounts receivable, net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178</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109</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88</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63</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33</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20</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501</w:t>
            </w:r>
          </w:p>
        </w:tc>
      </w:tr>
      <w:tr w:rsidR="00000000">
        <w:trPr>
          <w:divId w:val="1113598999"/>
        </w:trPr>
        <w:tc>
          <w:tcPr>
            <w:tcW w:w="1249"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Inventories, net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298</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1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1,080</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89</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22</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1,580</w:t>
            </w:r>
          </w:p>
        </w:tc>
      </w:tr>
      <w:tr w:rsidR="00DB7886">
        <w:trPr>
          <w:divId w:val="1113598999"/>
        </w:trPr>
        <w:tc>
          <w:tcPr>
            <w:tcW w:w="124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Property, plant and equipment, net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2,747</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857</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160</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82</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310</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65</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7</w:t>
            </w:r>
          </w:p>
        </w:tc>
        <w:tc>
          <w:tcPr>
            <w:tcW w:w="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4,228</w:t>
            </w:r>
          </w:p>
        </w:tc>
      </w:tr>
      <w:tr w:rsidR="00000000">
        <w:trPr>
          <w:divId w:val="1113598999"/>
        </w:trPr>
        <w:tc>
          <w:tcPr>
            <w:tcW w:w="1249"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Goodwill and intangible assets, net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238</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1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372</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31</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9</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282</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954</w:t>
            </w:r>
          </w:p>
        </w:tc>
      </w:tr>
      <w:tr w:rsidR="00DB7886">
        <w:trPr>
          <w:divId w:val="1113598999"/>
        </w:trPr>
        <w:tc>
          <w:tcPr>
            <w:tcW w:w="124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Other assets</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4,308</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335</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582</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103</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38</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121</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19</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w:t>
            </w:r>
          </w:p>
        </w:tc>
        <w:tc>
          <w:tcPr>
            <w:tcW w:w="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5,522</w:t>
            </w:r>
          </w:p>
        </w:tc>
      </w:tr>
      <w:tr w:rsidR="00000000">
        <w:trPr>
          <w:divId w:val="1113598999"/>
        </w:trPr>
        <w:tc>
          <w:tcPr>
            <w:tcW w:w="1249"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Total asset</w:t>
            </w:r>
            <w:r>
              <w:rPr>
                <w:sz w:val="14"/>
                <w:szCs w:val="14"/>
              </w:rPr>
              <w:t>s</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9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14,119</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4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4,723</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1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3,085</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7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487</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217</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486</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227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1"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326</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9"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1,319</w:t>
            </w:r>
          </w:p>
        </w:tc>
        <w:tc>
          <w:tcPr>
            <w:tcW w:w="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4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24,989</w:t>
            </w:r>
          </w:p>
        </w:tc>
      </w:tr>
      <w:tr w:rsidR="00DB7886">
        <w:trPr>
          <w:divId w:val="1113598999"/>
        </w:trPr>
        <w:tc>
          <w:tcPr>
            <w:tcW w:w="124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4"/>
                <w:szCs w:val="14"/>
              </w:rPr>
            </w:pPr>
            <w:r>
              <w:rPr>
                <w:b/>
                <w:bCs/>
                <w:sz w:val="14"/>
                <w:szCs w:val="14"/>
              </w:rPr>
              <w:t>LIABILITIES AND EQUITY</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  </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4"/>
                <w:szCs w:val="14"/>
              </w:rPr>
              <w:t>​</w:t>
            </w:r>
          </w:p>
        </w:tc>
      </w:tr>
      <w:tr w:rsidR="00000000">
        <w:trPr>
          <w:divId w:val="1113598999"/>
        </w:trPr>
        <w:tc>
          <w:tcPr>
            <w:tcW w:w="1249"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14"/>
                <w:szCs w:val="14"/>
              </w:rPr>
            </w:pPr>
            <w:r>
              <w:rPr>
                <w:sz w:val="14"/>
                <w:szCs w:val="14"/>
              </w:rPr>
              <w:t>Accounts payable, accrued expenses and other liabilities</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9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2,256</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4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1,189</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1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1,163</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7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182</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73</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45</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65</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1"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64</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114</w:t>
            </w:r>
          </w:p>
        </w:tc>
        <w:tc>
          <w:tcPr>
            <w:tcW w:w="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47"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5,151</w:t>
            </w:r>
          </w:p>
        </w:tc>
      </w:tr>
      <w:tr w:rsidR="00DB7886">
        <w:trPr>
          <w:divId w:val="1113598999"/>
        </w:trPr>
        <w:tc>
          <w:tcPr>
            <w:tcW w:w="124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14"/>
                <w:szCs w:val="14"/>
              </w:rPr>
            </w:pPr>
            <w:r>
              <w:rPr>
                <w:sz w:val="14"/>
                <w:szCs w:val="14"/>
              </w:rPr>
              <w:t>Securities sold, not yet purchased, at fair value</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2,521</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2,521</w:t>
            </w:r>
          </w:p>
        </w:tc>
      </w:tr>
      <w:tr w:rsidR="00000000">
        <w:trPr>
          <w:divId w:val="1113598999"/>
        </w:trPr>
        <w:tc>
          <w:tcPr>
            <w:tcW w:w="1249"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14"/>
                <w:szCs w:val="14"/>
              </w:rPr>
            </w:pPr>
            <w:r>
              <w:rPr>
                <w:sz w:val="14"/>
                <w:szCs w:val="14"/>
              </w:rPr>
              <w:t>Debt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1,691</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1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368</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151</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16</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5,811</w:t>
            </w:r>
          </w:p>
        </w:tc>
        <w:tc>
          <w:tcPr>
            <w:tcW w:w="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8,059</w:t>
            </w:r>
          </w:p>
        </w:tc>
      </w:tr>
      <w:tr w:rsidR="00DB7886">
        <w:trPr>
          <w:divId w:val="1113598999"/>
        </w:trPr>
        <w:tc>
          <w:tcPr>
            <w:tcW w:w="124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Total liabilitie</w:t>
            </w:r>
            <w:r>
              <w:rPr>
                <w:sz w:val="14"/>
                <w:szCs w:val="14"/>
              </w:rPr>
              <w:t>s</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4,777</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2,880</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1,531</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333</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89</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46</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86</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64</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5,925</w:t>
            </w:r>
          </w:p>
        </w:tc>
        <w:tc>
          <w:tcPr>
            <w:tcW w:w="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15,731</w:t>
            </w:r>
          </w:p>
        </w:tc>
      </w:tr>
      <w:tr w:rsidR="00000000">
        <w:trPr>
          <w:divId w:val="1113598999"/>
        </w:trPr>
        <w:tc>
          <w:tcPr>
            <w:tcW w:w="1249"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1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7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25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4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r>
      <w:tr w:rsidR="00DB7886">
        <w:trPr>
          <w:divId w:val="1113598999"/>
        </w:trPr>
        <w:tc>
          <w:tcPr>
            <w:tcW w:w="124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Equity attributable to Icahn Enterprises</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4,283</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1,039</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1,554</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142</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128</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440</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141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262</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(4,606)</w:t>
            </w:r>
          </w:p>
        </w:tc>
        <w:tc>
          <w:tcPr>
            <w:tcW w:w="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3,383</w:t>
            </w:r>
          </w:p>
        </w:tc>
      </w:tr>
      <w:tr w:rsidR="00000000">
        <w:trPr>
          <w:divId w:val="1113598999"/>
        </w:trPr>
        <w:tc>
          <w:tcPr>
            <w:tcW w:w="1249"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14"/>
                <w:szCs w:val="14"/>
              </w:rPr>
            </w:pPr>
            <w:r>
              <w:rPr>
                <w:sz w:val="14"/>
                <w:szCs w:val="14"/>
              </w:rPr>
              <w:t>Equity attributable to non-controlling interests</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5,059</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804</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1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12</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5,875</w:t>
            </w:r>
          </w:p>
        </w:tc>
      </w:tr>
      <w:tr w:rsidR="00DB7886">
        <w:trPr>
          <w:divId w:val="1113598999"/>
        </w:trPr>
        <w:tc>
          <w:tcPr>
            <w:tcW w:w="1249"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Total equit</w:t>
            </w:r>
            <w:r>
              <w:rPr>
                <w:sz w:val="14"/>
                <w:szCs w:val="14"/>
              </w:rPr>
              <w:t>y</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9,342</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1,843</w:t>
            </w:r>
          </w:p>
        </w:tc>
        <w:tc>
          <w:tcPr>
            <w:tcW w:w="5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1,554</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154</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128</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440</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141</w:t>
            </w:r>
          </w:p>
        </w:tc>
        <w:tc>
          <w:tcPr>
            <w:tcW w:w="7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262</w:t>
            </w:r>
          </w:p>
        </w:tc>
        <w:tc>
          <w:tcPr>
            <w:tcW w:w="5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4"/>
                <w:szCs w:val="14"/>
              </w:rPr>
            </w:pPr>
            <w:r>
              <w:rPr>
                <w:sz w:val="14"/>
                <w:szCs w:val="14"/>
              </w:rPr>
              <w:t>(4,606)</w:t>
            </w:r>
          </w:p>
        </w:tc>
        <w:tc>
          <w:tcPr>
            <w:tcW w:w="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 </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9,258</w:t>
            </w:r>
          </w:p>
        </w:tc>
      </w:tr>
      <w:tr w:rsidR="00000000">
        <w:trPr>
          <w:divId w:val="1113598999"/>
        </w:trPr>
        <w:tc>
          <w:tcPr>
            <w:tcW w:w="1249" w:type="pct"/>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Total liabilities and equit</w:t>
            </w:r>
            <w:r>
              <w:rPr>
                <w:sz w:val="14"/>
                <w:szCs w:val="14"/>
              </w:rPr>
              <w:t>y</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9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14,119</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4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4,723</w:t>
            </w:r>
          </w:p>
        </w:tc>
        <w:tc>
          <w:tcPr>
            <w:tcW w:w="5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1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3,085</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7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487</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217</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486</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227</w:t>
            </w:r>
          </w:p>
        </w:tc>
        <w:tc>
          <w:tcPr>
            <w:tcW w:w="7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1"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326</w:t>
            </w:r>
          </w:p>
        </w:tc>
        <w:tc>
          <w:tcPr>
            <w:tcW w:w="5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4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259"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1,319</w:t>
            </w:r>
          </w:p>
        </w:tc>
        <w:tc>
          <w:tcPr>
            <w:tcW w:w="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4"/>
                <w:szCs w:val="14"/>
              </w:rPr>
            </w:pPr>
            <w:r>
              <w:rPr>
                <w:sz w:val="14"/>
                <w:szCs w:val="14"/>
              </w:rPr>
              <w:t>$</w:t>
            </w:r>
          </w:p>
        </w:tc>
        <w:tc>
          <w:tcPr>
            <w:tcW w:w="34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45"/>
              <w:jc w:val="right"/>
              <w:rPr>
                <w:sz w:val="14"/>
                <w:szCs w:val="14"/>
              </w:rPr>
            </w:pPr>
            <w:r>
              <w:rPr>
                <w:sz w:val="14"/>
                <w:szCs w:val="14"/>
              </w:rPr>
              <w:t>24,989</w:t>
            </w:r>
          </w:p>
        </w:tc>
      </w:tr>
    </w:tbl>
    <w:p w:rsidR="00000000" w:rsidRDefault="00DB7886">
      <w:pPr>
        <w:pStyle w:val="a3"/>
        <w:spacing w:before="0" w:beforeAutospacing="0" w:after="0" w:afterAutospacing="0"/>
        <w:divId w:val="1113598999"/>
        <w:rPr>
          <w:sz w:val="20"/>
          <w:szCs w:val="20"/>
        </w:rPr>
      </w:pPr>
      <w:r>
        <w:rPr>
          <w:sz w:val="2"/>
          <w:szCs w:val="2"/>
        </w:rPr>
        <w:t>​</w:t>
      </w:r>
    </w:p>
    <w:p w:rsidR="00000000" w:rsidRDefault="00DB7886">
      <w:pPr>
        <w:pStyle w:val="a3"/>
        <w:spacing w:before="0" w:beforeAutospacing="0" w:after="0" w:afterAutospacing="0"/>
        <w:divId w:val="1113598999"/>
        <w:rPr>
          <w:sz w:val="20"/>
          <w:szCs w:val="20"/>
        </w:rPr>
      </w:pPr>
      <w:r>
        <w:rPr>
          <w:sz w:val="2"/>
          <w:szCs w:val="2"/>
        </w:rPr>
        <w:t>​</w:t>
      </w:r>
    </w:p>
    <w:p w:rsidR="00000000" w:rsidRDefault="00DB7886">
      <w:pPr>
        <w:pStyle w:val="a3"/>
        <w:spacing w:before="0" w:beforeAutospacing="0" w:after="0" w:afterAutospacing="0"/>
        <w:divId w:val="1113598999"/>
        <w:rPr>
          <w:sz w:val="20"/>
          <w:szCs w:val="20"/>
        </w:rPr>
      </w:pPr>
      <w:r>
        <w:rPr>
          <w:sz w:val="2"/>
          <w:szCs w:val="2"/>
        </w:rPr>
        <w:t>​</w:t>
      </w:r>
    </w:p>
    <w:p w:rsidR="00000000" w:rsidRDefault="00DB7886">
      <w:pPr>
        <w:pStyle w:val="a3"/>
        <w:spacing w:before="0" w:beforeAutospacing="0" w:after="0" w:afterAutospacing="0"/>
        <w:divId w:val="1113598999"/>
        <w:rPr>
          <w:sz w:val="20"/>
          <w:szCs w:val="20"/>
        </w:rPr>
      </w:pPr>
      <w:r>
        <w:rPr>
          <w:sz w:val="2"/>
          <w:szCs w:val="2"/>
        </w:rPr>
        <w:t>​</w:t>
      </w:r>
    </w:p>
    <w:p w:rsidR="00000000" w:rsidRDefault="00DB7886">
      <w:pPr>
        <w:pStyle w:val="a3"/>
        <w:spacing w:before="480" w:beforeAutospacing="0" w:after="0" w:afterAutospacing="0"/>
        <w:jc w:val="center"/>
        <w:divId w:val="2093232391"/>
        <w:rPr>
          <w:sz w:val="20"/>
          <w:szCs w:val="20"/>
        </w:rPr>
      </w:pPr>
      <w:r>
        <w:rPr>
          <w:sz w:val="20"/>
          <w:szCs w:val="20"/>
        </w:rPr>
        <w:t>35</w:t>
      </w:r>
    </w:p>
    <w:p w:rsidR="00000000" w:rsidRDefault="00DB7886">
      <w:pPr>
        <w:pStyle w:val="a3"/>
        <w:spacing w:before="0" w:beforeAutospacing="0" w:after="600" w:afterAutospacing="0"/>
        <w:divId w:val="1669019075"/>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1669019075"/>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1669019075"/>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1669019075"/>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divId w:val="1730879080"/>
        <w:rPr>
          <w:b/>
          <w:bCs/>
          <w:sz w:val="20"/>
          <w:szCs w:val="20"/>
        </w:rPr>
      </w:pPr>
      <w:r>
        <w:rPr>
          <w:b/>
          <w:bCs/>
          <w:sz w:val="20"/>
          <w:szCs w:val="20"/>
        </w:rPr>
        <w:t>13.  Income Taxes</w:t>
      </w:r>
    </w:p>
    <w:p w:rsidR="00000000" w:rsidRDefault="00DB7886">
      <w:pPr>
        <w:pStyle w:val="a3"/>
        <w:spacing w:before="0" w:beforeAutospacing="0" w:after="240" w:afterAutospacing="0"/>
        <w:ind w:firstLine="360"/>
        <w:divId w:val="1730879080"/>
        <w:rPr>
          <w:sz w:val="20"/>
          <w:szCs w:val="20"/>
        </w:rPr>
      </w:pPr>
      <w:r>
        <w:rPr>
          <w:sz w:val="20"/>
          <w:szCs w:val="20"/>
        </w:rPr>
        <w:t>For the three months ended September 30, 2021, we recorded an income tax benefit of $19 million on pre-tax loss of $230 million compared to an income tax benefit of $66 mill</w:t>
      </w:r>
      <w:r>
        <w:rPr>
          <w:sz w:val="20"/>
          <w:szCs w:val="20"/>
        </w:rPr>
        <w:t>ion on pre-tax loss of $1,466 million for the three months ended September 30, 2020. Our effective income tax rate was 8.3% and 4.5% for the three months ended September 30, 2021 and 2020, respectively.</w:t>
      </w:r>
    </w:p>
    <w:p w:rsidR="00000000" w:rsidRDefault="00DB7886">
      <w:pPr>
        <w:pStyle w:val="a3"/>
        <w:spacing w:before="0" w:beforeAutospacing="0" w:after="240" w:afterAutospacing="0"/>
        <w:ind w:firstLine="360"/>
        <w:divId w:val="1730879080"/>
        <w:rPr>
          <w:sz w:val="20"/>
          <w:szCs w:val="20"/>
        </w:rPr>
      </w:pPr>
      <w:r>
        <w:rPr>
          <w:sz w:val="20"/>
          <w:szCs w:val="20"/>
        </w:rPr>
        <w:t>For the three months ended September 30, 2021, the ef</w:t>
      </w:r>
      <w:r>
        <w:rPr>
          <w:sz w:val="20"/>
          <w:szCs w:val="20"/>
        </w:rPr>
        <w:t xml:space="preserve">fective tax rate was lower than the statutory federal rate of 21%, primarily due to partnership loss for which there was no tax benefit, as such loss is allocated to the partners. </w:t>
      </w:r>
    </w:p>
    <w:p w:rsidR="00000000" w:rsidRDefault="00DB7886">
      <w:pPr>
        <w:pStyle w:val="a3"/>
        <w:spacing w:before="0" w:beforeAutospacing="0" w:after="240" w:afterAutospacing="0"/>
        <w:ind w:firstLine="360"/>
        <w:divId w:val="1730879080"/>
        <w:rPr>
          <w:sz w:val="20"/>
          <w:szCs w:val="20"/>
        </w:rPr>
      </w:pPr>
      <w:r>
        <w:rPr>
          <w:sz w:val="20"/>
          <w:szCs w:val="20"/>
        </w:rPr>
        <w:t>For the three months ended September 30, 2020, the effective tax rate was l</w:t>
      </w:r>
      <w:r>
        <w:rPr>
          <w:sz w:val="20"/>
          <w:szCs w:val="20"/>
        </w:rPr>
        <w:t xml:space="preserve">ower than the statutory federal rate of 21%, primarily due to changes in the valuation allowance and partnership loss for which there was no tax benefit, as such loss is allocated to the partners. </w:t>
      </w:r>
    </w:p>
    <w:p w:rsidR="00000000" w:rsidRDefault="00DB7886">
      <w:pPr>
        <w:pStyle w:val="a3"/>
        <w:spacing w:before="0" w:beforeAutospacing="0" w:after="240" w:afterAutospacing="0"/>
        <w:ind w:firstLine="360"/>
        <w:divId w:val="1730879080"/>
        <w:rPr>
          <w:sz w:val="20"/>
          <w:szCs w:val="20"/>
        </w:rPr>
      </w:pPr>
      <w:r>
        <w:rPr>
          <w:sz w:val="20"/>
          <w:szCs w:val="20"/>
        </w:rPr>
        <w:t xml:space="preserve">For the nine months ended September 30, 2021, we recorded </w:t>
      </w:r>
      <w:r>
        <w:rPr>
          <w:sz w:val="20"/>
          <w:szCs w:val="20"/>
        </w:rPr>
        <w:t>an income tax expense of $57 million on pre-tax income of $383 million compared to an income tax benefit of $118 million on pre-tax loss of $2,960 million for the nine months ended September 30, 2020. Our effective income tax rate was 14.9% and 4.0% for th</w:t>
      </w:r>
      <w:r>
        <w:rPr>
          <w:sz w:val="20"/>
          <w:szCs w:val="20"/>
        </w:rPr>
        <w:t>e nine months ended September 30, 2021 and 2020, respectively.</w:t>
      </w:r>
    </w:p>
    <w:p w:rsidR="00000000" w:rsidRDefault="00DB7886">
      <w:pPr>
        <w:pStyle w:val="a3"/>
        <w:spacing w:before="0" w:beforeAutospacing="0" w:after="240" w:afterAutospacing="0"/>
        <w:ind w:firstLine="360"/>
        <w:divId w:val="1730879080"/>
        <w:rPr>
          <w:sz w:val="20"/>
          <w:szCs w:val="20"/>
        </w:rPr>
      </w:pPr>
      <w:r>
        <w:rPr>
          <w:sz w:val="20"/>
          <w:szCs w:val="20"/>
        </w:rPr>
        <w:t>For the nine months ended September 30, 2021, the effective tax rate was lower than the statutory federal rate of 21%, primarily due to partnership income for which there was no tax expense, as</w:t>
      </w:r>
      <w:r>
        <w:rPr>
          <w:sz w:val="20"/>
          <w:szCs w:val="20"/>
        </w:rPr>
        <w:t xml:space="preserve"> such income is allocated to the partners. </w:t>
      </w:r>
    </w:p>
    <w:p w:rsidR="00000000" w:rsidRDefault="00DB7886">
      <w:pPr>
        <w:pStyle w:val="a3"/>
        <w:spacing w:before="0" w:beforeAutospacing="0" w:after="240" w:afterAutospacing="0"/>
        <w:ind w:firstLine="360"/>
        <w:divId w:val="1730879080"/>
        <w:rPr>
          <w:sz w:val="20"/>
          <w:szCs w:val="20"/>
        </w:rPr>
      </w:pPr>
      <w:r>
        <w:rPr>
          <w:sz w:val="20"/>
          <w:szCs w:val="20"/>
        </w:rPr>
        <w:t xml:space="preserve">For the nine months ended September 30, 2020, the effective tax rate was lower than the statutory federal rate of 21%, primarily due to changes in the valuation allowance and partnership loss for which there was </w:t>
      </w:r>
      <w:r>
        <w:rPr>
          <w:sz w:val="20"/>
          <w:szCs w:val="20"/>
        </w:rPr>
        <w:t>no tax benefit, as such loss is allocated to the partners.</w:t>
      </w:r>
    </w:p>
    <w:p w:rsidR="00000000" w:rsidRDefault="00DB7886">
      <w:pPr>
        <w:pStyle w:val="a3"/>
        <w:spacing w:before="0" w:beforeAutospacing="0" w:after="240" w:afterAutospacing="0"/>
        <w:divId w:val="1730879080"/>
        <w:rPr>
          <w:b/>
          <w:bCs/>
          <w:sz w:val="20"/>
          <w:szCs w:val="20"/>
        </w:rPr>
      </w:pPr>
      <w:r>
        <w:rPr>
          <w:b/>
          <w:bCs/>
          <w:sz w:val="20"/>
          <w:szCs w:val="20"/>
        </w:rPr>
        <w:t>14.  Changes in Accumulated Other Comprehensive Loss</w:t>
      </w:r>
    </w:p>
    <w:p w:rsidR="00000000" w:rsidRDefault="00DB7886">
      <w:pPr>
        <w:pStyle w:val="a3"/>
        <w:spacing w:before="0" w:beforeAutospacing="0" w:after="240" w:afterAutospacing="0"/>
        <w:ind w:firstLine="360"/>
        <w:divId w:val="1730879080"/>
        <w:rPr>
          <w:sz w:val="20"/>
          <w:szCs w:val="20"/>
        </w:rPr>
      </w:pPr>
      <w:r>
        <w:rPr>
          <w:sz w:val="20"/>
          <w:szCs w:val="20"/>
        </w:rPr>
        <w:t>Changes in accumulated other comprehensive loss consists of the following:</w:t>
      </w:r>
    </w:p>
    <w:p w:rsidR="00000000" w:rsidRDefault="00DB7886">
      <w:pPr>
        <w:pStyle w:val="a3"/>
        <w:spacing w:before="0" w:beforeAutospacing="0" w:after="0" w:afterAutospacing="0"/>
        <w:divId w:val="173087908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874"/>
        <w:gridCol w:w="160"/>
        <w:gridCol w:w="134"/>
        <w:gridCol w:w="1355"/>
        <w:gridCol w:w="200"/>
        <w:gridCol w:w="136"/>
        <w:gridCol w:w="1375"/>
        <w:gridCol w:w="200"/>
        <w:gridCol w:w="101"/>
        <w:gridCol w:w="771"/>
      </w:tblGrid>
      <w:tr w:rsidR="00000000">
        <w:trPr>
          <w:divId w:val="1730879080"/>
          <w:trHeight w:val="20"/>
        </w:trPr>
        <w:tc>
          <w:tcPr>
            <w:tcW w:w="2491" w:type="pct"/>
            <w:tcMar>
              <w:top w:w="0" w:type="dxa"/>
              <w:left w:w="0" w:type="dxa"/>
              <w:bottom w:w="0" w:type="dxa"/>
              <w:right w:w="0" w:type="dxa"/>
            </w:tcMar>
            <w:vAlign w:val="bottom"/>
            <w:hideMark/>
          </w:tcPr>
          <w:p w:rsidR="00000000" w:rsidRDefault="00DB7886">
            <w:pPr>
              <w:pStyle w:val="a3"/>
              <w:spacing w:before="0" w:beforeAutospacing="0" w:after="0" w:afterAutospacing="0"/>
              <w:divId w:val="13796094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73032902"/>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984163355"/>
              <w:rPr>
                <w:sz w:val="20"/>
                <w:szCs w:val="20"/>
              </w:rPr>
            </w:pPr>
            <w:r>
              <w:rPr>
                <w:sz w:val="2"/>
                <w:szCs w:val="2"/>
              </w:rPr>
              <w:t>​</w:t>
            </w:r>
          </w:p>
        </w:tc>
        <w:tc>
          <w:tcPr>
            <w:tcW w:w="69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5022515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75199516"/>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01830155"/>
              <w:rPr>
                <w:sz w:val="20"/>
                <w:szCs w:val="20"/>
              </w:rPr>
            </w:pPr>
            <w:r>
              <w:rPr>
                <w:sz w:val="2"/>
                <w:szCs w:val="2"/>
              </w:rPr>
              <w:t>​</w:t>
            </w:r>
          </w:p>
        </w:tc>
        <w:tc>
          <w:tcPr>
            <w:tcW w:w="70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45687556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1360884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58058638"/>
              <w:rPr>
                <w:sz w:val="20"/>
                <w:szCs w:val="20"/>
              </w:rPr>
            </w:pPr>
            <w:r>
              <w:rPr>
                <w:sz w:val="2"/>
                <w:szCs w:val="2"/>
              </w:rPr>
              <w:t>​</w:t>
            </w:r>
          </w:p>
        </w:tc>
        <w:tc>
          <w:tcPr>
            <w:tcW w:w="62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49661085"/>
              <w:rPr>
                <w:sz w:val="20"/>
                <w:szCs w:val="20"/>
              </w:rPr>
            </w:pPr>
            <w:r>
              <w:rPr>
                <w:sz w:val="2"/>
                <w:szCs w:val="2"/>
              </w:rPr>
              <w:t>​</w:t>
            </w:r>
          </w:p>
        </w:tc>
      </w:tr>
      <w:tr w:rsidR="00000000">
        <w:trPr>
          <w:divId w:val="1730879080"/>
        </w:trPr>
        <w:tc>
          <w:tcPr>
            <w:tcW w:w="249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767"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Translation</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778"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Post-Retirement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w:t>
            </w:r>
          </w:p>
        </w:tc>
        <w:tc>
          <w:tcPr>
            <w:tcW w:w="622"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w:t>
            </w:r>
          </w:p>
        </w:tc>
      </w:tr>
      <w:tr w:rsidR="00000000">
        <w:trPr>
          <w:divId w:val="1730879080"/>
        </w:trPr>
        <w:tc>
          <w:tcPr>
            <w:tcW w:w="249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767"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Adjustments, Net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778"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Benefits and</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w:t>
            </w:r>
          </w:p>
        </w:tc>
        <w:tc>
          <w:tcPr>
            <w:tcW w:w="622"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w:t>
            </w:r>
          </w:p>
        </w:tc>
      </w:tr>
      <w:tr w:rsidR="00000000">
        <w:trPr>
          <w:divId w:val="1730879080"/>
        </w:trPr>
        <w:tc>
          <w:tcPr>
            <w:tcW w:w="249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76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of Tax</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78"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Other, Net of Tax</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74"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Total</w:t>
            </w:r>
          </w:p>
        </w:tc>
      </w:tr>
      <w:tr w:rsidR="00000000">
        <w:trPr>
          <w:divId w:val="1730879080"/>
        </w:trPr>
        <w:tc>
          <w:tcPr>
            <w:tcW w:w="0" w:type="auto"/>
            <w:gridSpan w:val="10"/>
            <w:tcMar>
              <w:top w:w="0" w:type="dxa"/>
              <w:left w:w="0" w:type="dxa"/>
              <w:bottom w:w="0" w:type="dxa"/>
              <w:right w:w="0" w:type="dxa"/>
            </w:tcMar>
            <w:vAlign w:val="center"/>
            <w:hideMark/>
          </w:tcPr>
          <w:p w:rsidR="00000000" w:rsidRDefault="00DB7886">
            <w:pPr>
              <w:rPr>
                <w:sz w:val="20"/>
                <w:szCs w:val="20"/>
              </w:rPr>
            </w:pPr>
          </w:p>
        </w:tc>
      </w:tr>
      <w:tr w:rsidR="00000000">
        <w:trPr>
          <w:divId w:val="1730879080"/>
        </w:trPr>
        <w:tc>
          <w:tcPr>
            <w:tcW w:w="249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2426" w:type="pct"/>
            <w:gridSpan w:val="8"/>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1730879080"/>
        </w:trPr>
        <w:tc>
          <w:tcPr>
            <w:tcW w:w="249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Balance, December 31, 2020</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(31)</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7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(49)</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(80)</w:t>
            </w:r>
          </w:p>
        </w:tc>
      </w:tr>
      <w:tr w:rsidR="00000000">
        <w:trPr>
          <w:divId w:val="1730879080"/>
        </w:trPr>
        <w:tc>
          <w:tcPr>
            <w:tcW w:w="2491"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20"/>
                <w:szCs w:val="20"/>
              </w:rPr>
            </w:pPr>
            <w:r>
              <w:rPr>
                <w:sz w:val="20"/>
                <w:szCs w:val="20"/>
              </w:rPr>
              <w:t>Other comprehensive (loss) income before reclassifications, net of tax</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9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0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w:t>
            </w:r>
          </w:p>
        </w:tc>
      </w:tr>
      <w:tr w:rsidR="00000000">
        <w:trPr>
          <w:divId w:val="1730879080"/>
        </w:trPr>
        <w:tc>
          <w:tcPr>
            <w:tcW w:w="249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20"/>
                <w:szCs w:val="20"/>
              </w:rPr>
            </w:pPr>
            <w:r>
              <w:rPr>
                <w:sz w:val="20"/>
                <w:szCs w:val="20"/>
              </w:rPr>
              <w:t>Reclassifications from accumulated other comprehensive loss to earnings, net of tax</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r>
      <w:tr w:rsidR="00000000">
        <w:trPr>
          <w:divId w:val="1730879080"/>
        </w:trPr>
        <w:tc>
          <w:tcPr>
            <w:tcW w:w="249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Other comprehensive (loss) income, net of tax</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9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0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w:t>
            </w:r>
          </w:p>
        </w:tc>
      </w:tr>
      <w:tr w:rsidR="00000000">
        <w:trPr>
          <w:divId w:val="1730879080"/>
        </w:trPr>
        <w:tc>
          <w:tcPr>
            <w:tcW w:w="249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Balance, September 30, 2021</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(35)</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7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(48)</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(83)</w:t>
            </w:r>
          </w:p>
        </w:tc>
      </w:tr>
    </w:tbl>
    <w:p w:rsidR="00000000" w:rsidRDefault="00DB7886">
      <w:pPr>
        <w:pStyle w:val="a3"/>
        <w:spacing w:before="0" w:beforeAutospacing="0" w:after="0" w:afterAutospacing="0"/>
        <w:divId w:val="1730879080"/>
        <w:rPr>
          <w:sz w:val="20"/>
          <w:szCs w:val="20"/>
        </w:rPr>
      </w:pPr>
      <w:r>
        <w:rPr>
          <w:sz w:val="2"/>
          <w:szCs w:val="2"/>
        </w:rPr>
        <w:t>​</w:t>
      </w:r>
    </w:p>
    <w:p w:rsidR="00000000" w:rsidRDefault="00DB7886">
      <w:pPr>
        <w:pStyle w:val="a3"/>
        <w:spacing w:before="0" w:beforeAutospacing="0" w:after="0" w:afterAutospacing="0"/>
        <w:divId w:val="1730879080"/>
        <w:rPr>
          <w:sz w:val="20"/>
          <w:szCs w:val="20"/>
        </w:rPr>
      </w:pPr>
      <w:r>
        <w:rPr>
          <w:sz w:val="20"/>
          <w:szCs w:val="20"/>
        </w:rPr>
        <w:t>​</w:t>
      </w:r>
    </w:p>
    <w:p w:rsidR="00000000" w:rsidRDefault="00DB7886">
      <w:pPr>
        <w:pStyle w:val="a3"/>
        <w:spacing w:before="0" w:beforeAutospacing="0" w:after="0" w:afterAutospacing="0"/>
        <w:divId w:val="1730879080"/>
        <w:rPr>
          <w:sz w:val="20"/>
          <w:szCs w:val="20"/>
        </w:rPr>
      </w:pPr>
      <w:r>
        <w:rPr>
          <w:sz w:val="2"/>
          <w:szCs w:val="2"/>
        </w:rPr>
        <w:t>​</w:t>
      </w:r>
    </w:p>
    <w:p w:rsidR="00000000" w:rsidRDefault="00DB7886">
      <w:pPr>
        <w:pStyle w:val="a3"/>
        <w:spacing w:before="0" w:beforeAutospacing="0" w:after="0" w:afterAutospacing="0"/>
        <w:divId w:val="1730879080"/>
        <w:rPr>
          <w:sz w:val="20"/>
          <w:szCs w:val="20"/>
        </w:rPr>
      </w:pPr>
      <w:r>
        <w:rPr>
          <w:sz w:val="2"/>
          <w:szCs w:val="2"/>
        </w:rPr>
        <w:t>​</w:t>
      </w:r>
    </w:p>
    <w:p w:rsidR="00000000" w:rsidRDefault="00DB7886">
      <w:pPr>
        <w:pStyle w:val="a3"/>
        <w:spacing w:before="480" w:beforeAutospacing="0" w:after="0" w:afterAutospacing="0"/>
        <w:jc w:val="center"/>
        <w:divId w:val="15204628"/>
        <w:rPr>
          <w:sz w:val="20"/>
          <w:szCs w:val="20"/>
        </w:rPr>
      </w:pPr>
      <w:r>
        <w:rPr>
          <w:sz w:val="20"/>
          <w:szCs w:val="20"/>
        </w:rPr>
        <w:t>36</w:t>
      </w:r>
    </w:p>
    <w:p w:rsidR="00000000" w:rsidRDefault="00DB7886">
      <w:pPr>
        <w:pStyle w:val="a3"/>
        <w:spacing w:before="0" w:beforeAutospacing="0" w:after="600" w:afterAutospacing="0"/>
        <w:divId w:val="2063139443"/>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2063139443"/>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2063139443"/>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2063139443"/>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divId w:val="113446551"/>
        <w:rPr>
          <w:b/>
          <w:bCs/>
          <w:sz w:val="20"/>
          <w:szCs w:val="20"/>
        </w:rPr>
      </w:pPr>
      <w:r>
        <w:rPr>
          <w:b/>
          <w:bCs/>
          <w:sz w:val="20"/>
          <w:szCs w:val="20"/>
        </w:rPr>
        <w:t>15.  Other (Loss) Income, Net</w:t>
      </w:r>
    </w:p>
    <w:p w:rsidR="00000000" w:rsidRDefault="00DB7886">
      <w:pPr>
        <w:pStyle w:val="a3"/>
        <w:spacing w:before="0" w:beforeAutospacing="0" w:after="240" w:afterAutospacing="0"/>
        <w:ind w:firstLine="360"/>
        <w:divId w:val="113446551"/>
        <w:rPr>
          <w:sz w:val="20"/>
          <w:szCs w:val="20"/>
        </w:rPr>
      </w:pPr>
      <w:r>
        <w:rPr>
          <w:sz w:val="20"/>
          <w:szCs w:val="20"/>
        </w:rPr>
        <w:t>Other (loss) income, net consists of the following</w:t>
      </w:r>
      <w:r>
        <w:rPr>
          <w:sz w:val="20"/>
          <w:szCs w:val="20"/>
        </w:rPr>
        <w:t>:</w:t>
      </w:r>
    </w:p>
    <w:p w:rsidR="00000000" w:rsidRDefault="00DB7886">
      <w:pPr>
        <w:pStyle w:val="a3"/>
        <w:spacing w:before="0" w:beforeAutospacing="0" w:after="0" w:afterAutospacing="0"/>
        <w:divId w:val="113446551"/>
        <w:rPr>
          <w:sz w:val="20"/>
          <w:szCs w:val="20"/>
        </w:rPr>
      </w:pPr>
      <w:r>
        <w:rPr>
          <w:sz w:val="2"/>
          <w:szCs w:val="2"/>
        </w:rPr>
        <w:t>​</w:t>
      </w:r>
    </w:p>
    <w:tbl>
      <w:tblPr>
        <w:tblW w:w="5008" w:type="pct"/>
        <w:tblCellMar>
          <w:top w:w="15" w:type="dxa"/>
          <w:left w:w="0" w:type="dxa"/>
          <w:bottom w:w="15" w:type="dxa"/>
          <w:right w:w="0" w:type="dxa"/>
        </w:tblCellMar>
        <w:tblLook w:val="04A0" w:firstRow="1" w:lastRow="0" w:firstColumn="1" w:lastColumn="0" w:noHBand="0" w:noVBand="1"/>
      </w:tblPr>
      <w:tblGrid>
        <w:gridCol w:w="1740"/>
        <w:gridCol w:w="200"/>
        <w:gridCol w:w="179"/>
        <w:gridCol w:w="1222"/>
        <w:gridCol w:w="284"/>
        <w:gridCol w:w="179"/>
        <w:gridCol w:w="1281"/>
        <w:gridCol w:w="200"/>
        <w:gridCol w:w="179"/>
        <w:gridCol w:w="1195"/>
        <w:gridCol w:w="284"/>
        <w:gridCol w:w="178"/>
        <w:gridCol w:w="1198"/>
      </w:tblGrid>
      <w:tr w:rsidR="00000000">
        <w:trPr>
          <w:divId w:val="113446551"/>
          <w:trHeight w:val="20"/>
        </w:trPr>
        <w:tc>
          <w:tcPr>
            <w:tcW w:w="1615" w:type="pct"/>
            <w:tcMar>
              <w:top w:w="0" w:type="dxa"/>
              <w:left w:w="0" w:type="dxa"/>
              <w:bottom w:w="0" w:type="dxa"/>
              <w:right w:w="0" w:type="dxa"/>
            </w:tcMar>
            <w:vAlign w:val="bottom"/>
            <w:hideMark/>
          </w:tcPr>
          <w:p w:rsidR="00000000" w:rsidRDefault="00DB7886">
            <w:pPr>
              <w:pStyle w:val="a3"/>
              <w:spacing w:before="0" w:beforeAutospacing="0" w:after="0" w:afterAutospacing="0"/>
              <w:divId w:val="228077584"/>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9356066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488526114"/>
              <w:rPr>
                <w:sz w:val="20"/>
                <w:szCs w:val="20"/>
              </w:rPr>
            </w:pPr>
            <w:r>
              <w:rPr>
                <w:sz w:val="2"/>
                <w:szCs w:val="2"/>
              </w:rPr>
              <w:t>​</w:t>
            </w:r>
          </w:p>
        </w:tc>
        <w:tc>
          <w:tcPr>
            <w:tcW w:w="62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00394732"/>
              <w:rPr>
                <w:sz w:val="20"/>
                <w:szCs w:val="20"/>
              </w:rPr>
            </w:pPr>
            <w:r>
              <w:rPr>
                <w:sz w:val="2"/>
                <w:szCs w:val="2"/>
              </w:rPr>
              <w:t>​</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9990723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28801543"/>
              <w:rPr>
                <w:sz w:val="20"/>
                <w:szCs w:val="20"/>
              </w:rPr>
            </w:pPr>
            <w:r>
              <w:rPr>
                <w:sz w:val="2"/>
                <w:szCs w:val="2"/>
              </w:rPr>
              <w:t>​</w:t>
            </w:r>
          </w:p>
        </w:tc>
        <w:tc>
          <w:tcPr>
            <w:tcW w:w="65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79958204"/>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8909116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73368124"/>
              <w:rPr>
                <w:sz w:val="20"/>
                <w:szCs w:val="20"/>
              </w:rPr>
            </w:pPr>
            <w:r>
              <w:rPr>
                <w:sz w:val="2"/>
                <w:szCs w:val="2"/>
              </w:rPr>
              <w:t>​</w:t>
            </w:r>
          </w:p>
        </w:tc>
        <w:tc>
          <w:tcPr>
            <w:tcW w:w="61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63816959"/>
              <w:rPr>
                <w:sz w:val="20"/>
                <w:szCs w:val="20"/>
              </w:rPr>
            </w:pPr>
            <w:r>
              <w:rPr>
                <w:sz w:val="2"/>
                <w:szCs w:val="2"/>
              </w:rPr>
              <w:t>​</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1600570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103453349"/>
              <w:rPr>
                <w:sz w:val="20"/>
                <w:szCs w:val="20"/>
              </w:rPr>
            </w:pPr>
            <w:r>
              <w:rPr>
                <w:sz w:val="2"/>
                <w:szCs w:val="2"/>
              </w:rPr>
              <w:t>​</w:t>
            </w:r>
          </w:p>
        </w:tc>
        <w:tc>
          <w:tcPr>
            <w:tcW w:w="61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31284098"/>
              <w:rPr>
                <w:sz w:val="20"/>
                <w:szCs w:val="20"/>
              </w:rPr>
            </w:pPr>
            <w:r>
              <w:rPr>
                <w:sz w:val="2"/>
                <w:szCs w:val="2"/>
              </w:rPr>
              <w:t>​</w:t>
            </w:r>
          </w:p>
        </w:tc>
      </w:tr>
      <w:tr w:rsidR="00000000">
        <w:trPr>
          <w:divId w:val="113446551"/>
        </w:trPr>
        <w:tc>
          <w:tcPr>
            <w:tcW w:w="161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617"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Three Months Ended September 30, </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561"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Nine Months Ended September 30, </w:t>
            </w:r>
          </w:p>
        </w:tc>
      </w:tr>
      <w:tr w:rsidR="00000000">
        <w:trPr>
          <w:divId w:val="113446551"/>
        </w:trPr>
        <w:tc>
          <w:tcPr>
            <w:tcW w:w="161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20"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50"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0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08"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r>
      <w:tr w:rsidR="00000000">
        <w:trPr>
          <w:divId w:val="113446551"/>
        </w:trPr>
        <w:tc>
          <w:tcPr>
            <w:tcW w:w="0" w:type="auto"/>
            <w:gridSpan w:val="13"/>
            <w:tcMar>
              <w:top w:w="0" w:type="dxa"/>
              <w:left w:w="0" w:type="dxa"/>
              <w:bottom w:w="0" w:type="dxa"/>
              <w:right w:w="0" w:type="dxa"/>
            </w:tcMar>
            <w:vAlign w:val="center"/>
            <w:hideMark/>
          </w:tcPr>
          <w:p w:rsidR="00000000" w:rsidRDefault="00DB7886">
            <w:pPr>
              <w:rPr>
                <w:sz w:val="20"/>
                <w:szCs w:val="20"/>
              </w:rPr>
            </w:pPr>
          </w:p>
        </w:tc>
      </w:tr>
      <w:tr w:rsidR="00000000">
        <w:trPr>
          <w:divId w:val="113446551"/>
        </w:trPr>
        <w:tc>
          <w:tcPr>
            <w:tcW w:w="161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3281" w:type="pct"/>
            <w:gridSpan w:val="11"/>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113446551"/>
        </w:trPr>
        <w:tc>
          <w:tcPr>
            <w:tcW w:w="161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Dividend expense</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(16)</w:t>
            </w:r>
          </w:p>
        </w:tc>
        <w:tc>
          <w:tcPr>
            <w:tcW w:w="1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(55)</w:t>
            </w:r>
          </w:p>
        </w:tc>
        <w:tc>
          <w:tcPr>
            <w:tcW w:w="1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(7)</w:t>
            </w:r>
          </w:p>
        </w:tc>
      </w:tr>
      <w:tr w:rsidR="00000000">
        <w:trPr>
          <w:divId w:val="113446551"/>
        </w:trPr>
        <w:tc>
          <w:tcPr>
            <w:tcW w:w="1615"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20"/>
                <w:szCs w:val="20"/>
              </w:rPr>
            </w:pPr>
            <w:r>
              <w:rPr>
                <w:sz w:val="20"/>
                <w:szCs w:val="20"/>
              </w:rPr>
              <w:t>Equity earnings (losses) from non-consolidated affiliates</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15"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r>
      <w:tr w:rsidR="00000000">
        <w:trPr>
          <w:divId w:val="113446551"/>
        </w:trPr>
        <w:tc>
          <w:tcPr>
            <w:tcW w:w="161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20"/>
                <w:szCs w:val="20"/>
              </w:rPr>
            </w:pPr>
            <w:r>
              <w:rPr>
                <w:sz w:val="20"/>
                <w:szCs w:val="20"/>
              </w:rPr>
              <w:t>(Loss) gain on disposition of assets, net</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(21)</w:t>
            </w:r>
          </w:p>
        </w:tc>
        <w:tc>
          <w:tcPr>
            <w:tcW w:w="1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(24)</w:t>
            </w:r>
          </w:p>
        </w:tc>
        <w:tc>
          <w:tcPr>
            <w:tcW w:w="1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w:t>
            </w:r>
          </w:p>
        </w:tc>
      </w:tr>
      <w:tr w:rsidR="00000000">
        <w:trPr>
          <w:divId w:val="113446551"/>
        </w:trPr>
        <w:tc>
          <w:tcPr>
            <w:tcW w:w="161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Foreign currency transaction loss</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1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(9)</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1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(9)</w:t>
            </w:r>
          </w:p>
        </w:tc>
      </w:tr>
      <w:tr w:rsidR="00000000">
        <w:trPr>
          <w:divId w:val="113446551"/>
        </w:trPr>
        <w:tc>
          <w:tcPr>
            <w:tcW w:w="161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Loss on extinguishment of debt, net</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1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(5)</w:t>
            </w:r>
          </w:p>
        </w:tc>
        <w:tc>
          <w:tcPr>
            <w:tcW w:w="1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1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(12)</w:t>
            </w:r>
          </w:p>
        </w:tc>
      </w:tr>
      <w:tr w:rsidR="00000000">
        <w:trPr>
          <w:divId w:val="113446551"/>
        </w:trPr>
        <w:tc>
          <w:tcPr>
            <w:tcW w:w="161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Other</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w:t>
            </w:r>
          </w:p>
        </w:tc>
        <w:tc>
          <w:tcPr>
            <w:tcW w:w="10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1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1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r>
      <w:tr w:rsidR="00000000">
        <w:trPr>
          <w:divId w:val="113446551"/>
        </w:trPr>
        <w:tc>
          <w:tcPr>
            <w:tcW w:w="161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(33)</w:t>
            </w:r>
          </w:p>
        </w:tc>
        <w:tc>
          <w:tcPr>
            <w:tcW w:w="1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w:t>
            </w:r>
          </w:p>
        </w:tc>
        <w:tc>
          <w:tcPr>
            <w:tcW w:w="10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(79)</w:t>
            </w:r>
          </w:p>
        </w:tc>
        <w:tc>
          <w:tcPr>
            <w:tcW w:w="1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(22)</w:t>
            </w:r>
          </w:p>
        </w:tc>
      </w:tr>
    </w:tbl>
    <w:p w:rsidR="00000000" w:rsidRDefault="00DB7886">
      <w:pPr>
        <w:pStyle w:val="a3"/>
        <w:spacing w:before="0" w:beforeAutospacing="0" w:after="0" w:afterAutospacing="0"/>
        <w:divId w:val="113446551"/>
        <w:rPr>
          <w:sz w:val="20"/>
          <w:szCs w:val="20"/>
        </w:rPr>
      </w:pPr>
      <w:r>
        <w:rPr>
          <w:sz w:val="2"/>
          <w:szCs w:val="2"/>
        </w:rPr>
        <w:t>​</w:t>
      </w:r>
    </w:p>
    <w:p w:rsidR="00000000" w:rsidRDefault="00DB7886">
      <w:pPr>
        <w:pStyle w:val="a3"/>
        <w:spacing w:before="0" w:beforeAutospacing="0" w:after="0" w:afterAutospacing="0"/>
        <w:divId w:val="113446551"/>
        <w:rPr>
          <w:sz w:val="20"/>
          <w:szCs w:val="20"/>
        </w:rPr>
      </w:pPr>
      <w:r>
        <w:rPr>
          <w:sz w:val="20"/>
          <w:szCs w:val="20"/>
        </w:rPr>
        <w:t>​</w:t>
      </w:r>
    </w:p>
    <w:p w:rsidR="00000000" w:rsidRDefault="00DB7886">
      <w:pPr>
        <w:pStyle w:val="a3"/>
        <w:spacing w:before="0" w:beforeAutospacing="0" w:after="0" w:afterAutospacing="0"/>
        <w:divId w:val="113446551"/>
        <w:rPr>
          <w:sz w:val="20"/>
          <w:szCs w:val="20"/>
        </w:rPr>
      </w:pPr>
      <w:r>
        <w:rPr>
          <w:sz w:val="2"/>
          <w:szCs w:val="2"/>
        </w:rPr>
        <w:t>​</w:t>
      </w:r>
    </w:p>
    <w:p w:rsidR="00000000" w:rsidRDefault="00DB7886">
      <w:pPr>
        <w:pStyle w:val="a3"/>
        <w:spacing w:before="0" w:beforeAutospacing="0" w:after="240" w:afterAutospacing="0"/>
        <w:divId w:val="113446551"/>
        <w:rPr>
          <w:b/>
          <w:bCs/>
          <w:sz w:val="20"/>
          <w:szCs w:val="20"/>
        </w:rPr>
      </w:pPr>
      <w:r>
        <w:rPr>
          <w:b/>
          <w:bCs/>
          <w:sz w:val="20"/>
          <w:szCs w:val="20"/>
        </w:rPr>
        <w:t>16.  </w:t>
      </w:r>
      <w:r>
        <w:rPr>
          <w:b/>
          <w:bCs/>
          <w:sz w:val="20"/>
          <w:szCs w:val="20"/>
        </w:rPr>
        <w:t>Commitments and Contingencies</w:t>
      </w:r>
    </w:p>
    <w:p w:rsidR="00000000" w:rsidRDefault="00DB7886">
      <w:pPr>
        <w:pStyle w:val="a3"/>
        <w:spacing w:before="0" w:beforeAutospacing="0" w:after="240" w:afterAutospacing="0"/>
        <w:divId w:val="113446551"/>
        <w:rPr>
          <w:b/>
          <w:bCs/>
          <w:i/>
          <w:iCs/>
          <w:sz w:val="20"/>
          <w:szCs w:val="20"/>
        </w:rPr>
      </w:pPr>
      <w:r>
        <w:rPr>
          <w:b/>
          <w:bCs/>
          <w:i/>
          <w:iCs/>
          <w:sz w:val="20"/>
          <w:szCs w:val="20"/>
        </w:rPr>
        <w:t>Environmental Matters</w:t>
      </w:r>
    </w:p>
    <w:p w:rsidR="00000000" w:rsidRDefault="00DB7886">
      <w:pPr>
        <w:pStyle w:val="a3"/>
        <w:spacing w:before="0" w:beforeAutospacing="0" w:after="240" w:afterAutospacing="0"/>
        <w:ind w:firstLine="360"/>
        <w:divId w:val="113446551"/>
        <w:rPr>
          <w:sz w:val="20"/>
          <w:szCs w:val="20"/>
        </w:rPr>
      </w:pPr>
      <w:r>
        <w:rPr>
          <w:sz w:val="20"/>
          <w:szCs w:val="20"/>
        </w:rPr>
        <w:t>Due to the nature of our business, certain of our subsidiaries’ operations are subject to numerous existing and proposed laws and governmental regulations designed to protect the environment, particularly</w:t>
      </w:r>
      <w:r>
        <w:rPr>
          <w:sz w:val="20"/>
          <w:szCs w:val="20"/>
        </w:rPr>
        <w:t xml:space="preserve"> regarding plant wastes and emissions and solid waste disposal. Our consolidated environmental liabilities were $39 million and $37 million as of September 30, 2021 and December 31, 2020, respectively, primarily within our Metals and Energy segments and wh</w:t>
      </w:r>
      <w:r>
        <w:rPr>
          <w:sz w:val="20"/>
          <w:szCs w:val="20"/>
        </w:rPr>
        <w:t>ich are included in accrued expenses and other liabilities in our condensed consolidated balance sheets. We do not believe that environmental matters will have a material adverse impact on our consolidated results of operations and financial condition.</w:t>
      </w:r>
    </w:p>
    <w:p w:rsidR="00000000" w:rsidRDefault="00DB7886">
      <w:pPr>
        <w:pStyle w:val="a3"/>
        <w:spacing w:before="0" w:beforeAutospacing="0" w:after="240" w:afterAutospacing="0"/>
        <w:ind w:firstLine="360"/>
        <w:divId w:val="113446551"/>
        <w:rPr>
          <w:sz w:val="20"/>
          <w:szCs w:val="20"/>
        </w:rPr>
      </w:pPr>
      <w:r>
        <w:rPr>
          <w:sz w:val="20"/>
          <w:szCs w:val="20"/>
        </w:rPr>
        <w:t xml:space="preserve">On </w:t>
      </w:r>
      <w:r>
        <w:rPr>
          <w:sz w:val="20"/>
          <w:szCs w:val="20"/>
        </w:rPr>
        <w:t>August 21, 2018, CVR Refining received a letter from the United States Department of Justice (the “DOJ”) on behalf of the Environmental Protection Agency (the “EPA”) and the Kansas Department of Health and Environment (“KDHE”) alleging violations of the Cl</w:t>
      </w:r>
      <w:r>
        <w:rPr>
          <w:sz w:val="20"/>
          <w:szCs w:val="20"/>
        </w:rPr>
        <w:t>ean Air Act and a 2012 Consent Decree (“CD”) between CVR Refining, the United States (on behalf of the EPA) and KDHE at its Coffeyville refinery. In June 2020, a tolling agreement between the parties relating to such allegations expired, and the United Sta</w:t>
      </w:r>
      <w:r>
        <w:rPr>
          <w:sz w:val="20"/>
          <w:szCs w:val="20"/>
        </w:rPr>
        <w:t>tes and KDHE sent demand letters relating to the allegations (the “Stipulated Claims”) and seeking stipulated penalties. In February 2021, the DOJ and KDHE sent CVR Refining a statement of position under the CD regarding its demand for Stipulated Claims. A</w:t>
      </w:r>
      <w:r>
        <w:rPr>
          <w:sz w:val="20"/>
          <w:szCs w:val="20"/>
        </w:rPr>
        <w:t>s CVR Refining disputes most claims asserted by the government, in accordance with the CD, CVR Refining deposited funds into a commercial escrow account pending resolution of disputed claims. The escrowed funds are legally restricted for use and are includ</w:t>
      </w:r>
      <w:r>
        <w:rPr>
          <w:sz w:val="20"/>
          <w:szCs w:val="20"/>
        </w:rPr>
        <w:t>ed within other assets on the consolidated balance sheets. CVR Refining filed a petition for judicial review of the Stipulated Claims with the United States District Court for the District of Kansas (“Kansas Federal District Court”), in accordance with the</w:t>
      </w:r>
      <w:r>
        <w:rPr>
          <w:sz w:val="20"/>
          <w:szCs w:val="20"/>
        </w:rPr>
        <w:t xml:space="preserve"> dispute resolution provisions of the CD. On September 23, 2021, the court ordered briefing on CVR Refining’s petition, which is expected to be completed by December 2021. In December 2020, the DOJ and KDHE filed a supplemental complaint in the Kansas Fede</w:t>
      </w:r>
      <w:r>
        <w:rPr>
          <w:sz w:val="20"/>
          <w:szCs w:val="20"/>
        </w:rPr>
        <w:t xml:space="preserve">ral District Court asserting nine counts for alleged violations of the Clean Air Act, the Kansas State Implementation Plan and Kansas law (the “Statutory Claims”) and seeking civil penalties, injunctive and related relief. Our Energy segment has responded </w:t>
      </w:r>
      <w:r>
        <w:rPr>
          <w:sz w:val="20"/>
          <w:szCs w:val="20"/>
        </w:rPr>
        <w:t>to numerous information request and negotiations relating to the Stipulated Claims and the Statutory Claims are ongoing and CVR Energy cannot at this time determine the outcome of this matter, including whether such outcome, or any subsequent enforcement o</w:t>
      </w:r>
      <w:r>
        <w:rPr>
          <w:sz w:val="20"/>
          <w:szCs w:val="20"/>
        </w:rPr>
        <w:t>r litigation relating thereto would have a material impact on our Energy segment’s financial position, results of operations, or cash flows.</w:t>
      </w:r>
    </w:p>
    <w:p w:rsidR="00000000" w:rsidRDefault="00DB7886">
      <w:pPr>
        <w:pStyle w:val="a3"/>
        <w:spacing w:before="480" w:beforeAutospacing="0" w:after="0" w:afterAutospacing="0"/>
        <w:jc w:val="center"/>
        <w:divId w:val="969281202"/>
        <w:rPr>
          <w:sz w:val="20"/>
          <w:szCs w:val="20"/>
        </w:rPr>
      </w:pPr>
      <w:r>
        <w:rPr>
          <w:sz w:val="20"/>
          <w:szCs w:val="20"/>
        </w:rPr>
        <w:t>37</w:t>
      </w:r>
    </w:p>
    <w:p w:rsidR="00000000" w:rsidRDefault="00DB7886">
      <w:pPr>
        <w:pStyle w:val="a3"/>
        <w:spacing w:before="0" w:beforeAutospacing="0" w:after="600" w:afterAutospacing="0"/>
        <w:divId w:val="1289626178"/>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1289626178"/>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1289626178"/>
        <w:rPr>
          <w:sz w:val="20"/>
          <w:szCs w:val="20"/>
        </w:rPr>
      </w:pPr>
      <w:r>
        <w:rPr>
          <w:b/>
          <w:bCs/>
          <w:sz w:val="20"/>
          <w:szCs w:val="20"/>
        </w:rPr>
        <w:t>ICAHN ENTERPRISES HOLDINGS L</w:t>
      </w:r>
      <w:r>
        <w:rPr>
          <w:b/>
          <w:bCs/>
          <w:sz w:val="20"/>
          <w:szCs w:val="20"/>
        </w:rPr>
        <w:t>.P. AND SUBSIDIARIES</w:t>
      </w:r>
    </w:p>
    <w:p w:rsidR="00000000" w:rsidRDefault="00DB7886">
      <w:pPr>
        <w:pStyle w:val="a3"/>
        <w:spacing w:before="0" w:beforeAutospacing="0" w:after="240" w:afterAutospacing="0"/>
        <w:jc w:val="center"/>
        <w:divId w:val="1289626178"/>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divId w:val="1243877739"/>
        <w:rPr>
          <w:b/>
          <w:bCs/>
          <w:i/>
          <w:iCs/>
          <w:sz w:val="20"/>
          <w:szCs w:val="20"/>
        </w:rPr>
      </w:pPr>
      <w:r>
        <w:rPr>
          <w:b/>
          <w:bCs/>
          <w:i/>
          <w:iCs/>
          <w:sz w:val="20"/>
          <w:szCs w:val="20"/>
        </w:rPr>
        <w:t>Renewable Fuel Standards</w:t>
      </w:r>
    </w:p>
    <w:p w:rsidR="00000000" w:rsidRDefault="00DB7886">
      <w:pPr>
        <w:pStyle w:val="a3"/>
        <w:spacing w:before="0" w:beforeAutospacing="0" w:after="240" w:afterAutospacing="0"/>
        <w:ind w:firstLine="360"/>
        <w:divId w:val="1243877739"/>
        <w:rPr>
          <w:sz w:val="20"/>
          <w:szCs w:val="20"/>
        </w:rPr>
      </w:pPr>
      <w:r>
        <w:rPr>
          <w:sz w:val="20"/>
          <w:szCs w:val="20"/>
        </w:rPr>
        <w:t>CVR Refining is subject to the Renewable Fuel Standard (“RFS”</w:t>
      </w:r>
      <w:r>
        <w:rPr>
          <w:sz w:val="20"/>
          <w:szCs w:val="20"/>
        </w:rPr>
        <w:t>) implemented primarily by the EPA which requires refiners to either blend renewable fuels into their transportation fuels or purchase renewable fuel credits, known as RINs, in lieu of blending. CVR Refining is not able to blend the substantial majority of</w:t>
      </w:r>
      <w:r>
        <w:rPr>
          <w:sz w:val="20"/>
          <w:szCs w:val="20"/>
        </w:rPr>
        <w:t xml:space="preserve"> its transportation fuels and has to purchase RINs on the open market and may have to obtain waiver credits for cellulosic biofuels or other exemptions from the EPA, to the extent available, in order to comply with the RFS.</w:t>
      </w:r>
    </w:p>
    <w:p w:rsidR="00000000" w:rsidRDefault="00DB7886">
      <w:pPr>
        <w:pStyle w:val="a3"/>
        <w:spacing w:before="0" w:beforeAutospacing="0" w:after="240" w:afterAutospacing="0"/>
        <w:ind w:firstLine="360"/>
        <w:divId w:val="1243877739"/>
        <w:rPr>
          <w:sz w:val="20"/>
          <w:szCs w:val="20"/>
        </w:rPr>
      </w:pPr>
      <w:r>
        <w:rPr>
          <w:sz w:val="20"/>
          <w:szCs w:val="20"/>
        </w:rPr>
        <w:t>For the three months ended Septe</w:t>
      </w:r>
      <w:r>
        <w:rPr>
          <w:sz w:val="20"/>
          <w:szCs w:val="20"/>
        </w:rPr>
        <w:t>mber 30, 2021 and 2020, our Energy segment recognized a benefit of $16 million and an expense of $36 million, respectively, for CVR Refining’s compliance with the RFS (based on our Energy segment’s 2020 annual renewal volume obligation (“RVO”) for all peri</w:t>
      </w:r>
      <w:r>
        <w:rPr>
          <w:sz w:val="20"/>
          <w:szCs w:val="20"/>
        </w:rPr>
        <w:t>ods since the EPA has not yet set the 2021 RVO and excluding the impacts of any exemptions or waivers to which our Energy segment may be entitled). For the nine months ended September 30, 2021 and 2020, such expenses were $335 million and $71 million, resp</w:t>
      </w:r>
      <w:r>
        <w:rPr>
          <w:sz w:val="20"/>
          <w:szCs w:val="20"/>
        </w:rPr>
        <w:t>ectively. These recognized amounts are included in cost of goods sold in the condensed consolidated statements of operations and represent costs to comply with the RFS obligation through purchasing of RINs not otherwise reduced by blending of ethanol or bi</w:t>
      </w:r>
      <w:r>
        <w:rPr>
          <w:sz w:val="20"/>
          <w:szCs w:val="20"/>
        </w:rPr>
        <w:t>odiesel. At each reporting period, to the extent RINs purchased or generated through blending are less than the RFS obligation (excluding the impact of exemptions or waivers to which CVR Refining may be entitled), the remaining position is marked-to-market</w:t>
      </w:r>
      <w:r>
        <w:rPr>
          <w:sz w:val="20"/>
          <w:szCs w:val="20"/>
        </w:rPr>
        <w:t xml:space="preserve"> using RIN market prices at period end. As of September 30, 2021 and December 31, 2020, CVR Refining’s RFS position was $442 million and $214 million, respectively, and is included in accrued expenses and other liabilities in the condensed consolidated bal</w:t>
      </w:r>
      <w:r>
        <w:rPr>
          <w:sz w:val="20"/>
          <w:szCs w:val="20"/>
        </w:rPr>
        <w:t xml:space="preserve">ance sheets. </w:t>
      </w:r>
    </w:p>
    <w:p w:rsidR="00000000" w:rsidRDefault="00DB7886">
      <w:pPr>
        <w:pStyle w:val="a3"/>
        <w:spacing w:before="0" w:beforeAutospacing="0" w:after="240" w:afterAutospacing="0"/>
        <w:divId w:val="1243877739"/>
        <w:rPr>
          <w:b/>
          <w:bCs/>
          <w:i/>
          <w:iCs/>
          <w:sz w:val="20"/>
          <w:szCs w:val="20"/>
        </w:rPr>
      </w:pPr>
      <w:r>
        <w:rPr>
          <w:b/>
          <w:bCs/>
          <w:i/>
          <w:iCs/>
          <w:sz w:val="20"/>
          <w:szCs w:val="20"/>
        </w:rPr>
        <w:t>Litigation</w:t>
      </w:r>
    </w:p>
    <w:p w:rsidR="00000000" w:rsidRDefault="00DB7886">
      <w:pPr>
        <w:pStyle w:val="a3"/>
        <w:spacing w:before="0" w:beforeAutospacing="0" w:after="240" w:afterAutospacing="0"/>
        <w:ind w:firstLine="360"/>
        <w:divId w:val="1243877739"/>
        <w:rPr>
          <w:sz w:val="20"/>
          <w:szCs w:val="20"/>
        </w:rPr>
      </w:pPr>
      <w:r>
        <w:rPr>
          <w:sz w:val="20"/>
          <w:szCs w:val="20"/>
        </w:rPr>
        <w:t>From time to time, we and our subsidiaries are involved in various lawsuits arising in the normal course of business. We do not believe that such normal routine litigation will have a material effect on our financial condition or r</w:t>
      </w:r>
      <w:r>
        <w:rPr>
          <w:sz w:val="20"/>
          <w:szCs w:val="20"/>
        </w:rPr>
        <w:t>esults of operations.</w:t>
      </w:r>
    </w:p>
    <w:p w:rsidR="00000000" w:rsidRDefault="00DB7886">
      <w:pPr>
        <w:pStyle w:val="a3"/>
        <w:spacing w:before="0" w:beforeAutospacing="0" w:after="240" w:afterAutospacing="0"/>
        <w:divId w:val="1243877739"/>
        <w:rPr>
          <w:i/>
          <w:iCs/>
          <w:sz w:val="20"/>
          <w:szCs w:val="20"/>
        </w:rPr>
      </w:pPr>
      <w:r>
        <w:rPr>
          <w:i/>
          <w:iCs/>
          <w:sz w:val="20"/>
          <w:szCs w:val="20"/>
        </w:rPr>
        <w:t>Energy</w:t>
      </w:r>
    </w:p>
    <w:p w:rsidR="00000000" w:rsidRDefault="00DB7886">
      <w:pPr>
        <w:pStyle w:val="a3"/>
        <w:spacing w:before="0" w:beforeAutospacing="0" w:after="240" w:afterAutospacing="0"/>
        <w:ind w:firstLine="360"/>
        <w:divId w:val="1243877739"/>
        <w:rPr>
          <w:sz w:val="20"/>
          <w:szCs w:val="20"/>
        </w:rPr>
      </w:pPr>
      <w:r>
        <w:rPr>
          <w:sz w:val="20"/>
          <w:szCs w:val="20"/>
        </w:rPr>
        <w:t>On July 29, 2021, trial concluded in the consolidated lawsuits filed by purported former unitholders of CVR Refining on behalf of themselves and an alleged class of similarly situated unitholders against CVR Energy, CVR Refinin</w:t>
      </w:r>
      <w:r>
        <w:rPr>
          <w:sz w:val="20"/>
          <w:szCs w:val="20"/>
        </w:rPr>
        <w:t>g and its general partner, CVR Refining Holdings, Icahn Enterprises and certain directors and affiliates in the Court of Chancery of the State of Delaware related to CVR Energy’s exercise of the call option under the CVR Refining Amended and Restated Agree</w:t>
      </w:r>
      <w:r>
        <w:rPr>
          <w:sz w:val="20"/>
          <w:szCs w:val="20"/>
        </w:rPr>
        <w:t>ment of Limited Partnership assigned to it by CVR Refining’s general partner (the “Delaware Lawsuits”) primarily alleging breach of contract, tortious interference, and breach of the implied covenant of good faith and fair dealing. The parties are currentl</w:t>
      </w:r>
      <w:r>
        <w:rPr>
          <w:sz w:val="20"/>
          <w:szCs w:val="20"/>
        </w:rPr>
        <w:t xml:space="preserve">y in post-trial proceedings and will be submitting post-trial briefs. Post-trial briefing and related activities are in process. CVR Energy believes the Delaware Lawsuits are without merit and has vigorously defended against them. As no ruling in the case </w:t>
      </w:r>
      <w:r>
        <w:rPr>
          <w:sz w:val="20"/>
          <w:szCs w:val="20"/>
        </w:rPr>
        <w:t xml:space="preserve">has yet been issued, CVR Energy cannot determine at this time the outcome of the Delaware Lawsuits, including whether the outcome would have a material impact on our Energy segment’s financial position, results of operations, or cash flows. </w:t>
      </w:r>
    </w:p>
    <w:p w:rsidR="00000000" w:rsidRDefault="00DB7886">
      <w:pPr>
        <w:pStyle w:val="a3"/>
        <w:spacing w:before="0" w:beforeAutospacing="0" w:after="240" w:afterAutospacing="0"/>
        <w:divId w:val="1243877739"/>
        <w:rPr>
          <w:b/>
          <w:bCs/>
          <w:i/>
          <w:iCs/>
          <w:sz w:val="20"/>
          <w:szCs w:val="20"/>
        </w:rPr>
      </w:pPr>
      <w:r>
        <w:rPr>
          <w:b/>
          <w:bCs/>
          <w:i/>
          <w:iCs/>
          <w:sz w:val="20"/>
          <w:szCs w:val="20"/>
        </w:rPr>
        <w:t>Other Matters</w:t>
      </w:r>
    </w:p>
    <w:p w:rsidR="00000000" w:rsidRDefault="00DB7886">
      <w:pPr>
        <w:pStyle w:val="a3"/>
        <w:spacing w:before="0" w:beforeAutospacing="0" w:after="240" w:afterAutospacing="0"/>
        <w:divId w:val="1243877739"/>
        <w:rPr>
          <w:i/>
          <w:iCs/>
          <w:sz w:val="20"/>
          <w:szCs w:val="20"/>
        </w:rPr>
      </w:pPr>
      <w:r>
        <w:rPr>
          <w:i/>
          <w:iCs/>
          <w:sz w:val="20"/>
          <w:szCs w:val="20"/>
        </w:rPr>
        <w:t>Pension Obligations</w:t>
      </w:r>
    </w:p>
    <w:p w:rsidR="00000000" w:rsidRDefault="00DB7886">
      <w:pPr>
        <w:pStyle w:val="a3"/>
        <w:spacing w:before="0" w:beforeAutospacing="0" w:after="0" w:afterAutospacing="0"/>
        <w:ind w:firstLine="360"/>
        <w:divId w:val="1243877739"/>
        <w:rPr>
          <w:sz w:val="20"/>
          <w:szCs w:val="20"/>
        </w:rPr>
      </w:pPr>
      <w:r>
        <w:rPr>
          <w:sz w:val="20"/>
          <w:szCs w:val="20"/>
        </w:rPr>
        <w:t>Mr. Icahn, through certain affiliates, owns 100% of Icahn Enterprises GP and approximately 89% of Icahn Enterprises’ outstanding depositary units as of September 30, 2021. Applicable pension and tax laws make each member of a “controlle</w:t>
      </w:r>
      <w:r>
        <w:rPr>
          <w:sz w:val="20"/>
          <w:szCs w:val="20"/>
        </w:rPr>
        <w:t>d group” of entities, generally defined as entities in which there is at least an 80% common ownership interest, jointly and severally liable for certain pension plan obligations of any member of the controlled group. These pension obligations include ongo</w:t>
      </w:r>
      <w:r>
        <w:rPr>
          <w:sz w:val="20"/>
          <w:szCs w:val="20"/>
        </w:rPr>
        <w:t xml:space="preserve">ing contributions to fund the plan, as well as liability for any unfunded liabilities that </w:t>
      </w:r>
    </w:p>
    <w:p w:rsidR="00000000" w:rsidRDefault="00DB7886">
      <w:pPr>
        <w:pStyle w:val="a3"/>
        <w:spacing w:before="480" w:beforeAutospacing="0" w:after="0" w:afterAutospacing="0"/>
        <w:jc w:val="center"/>
        <w:divId w:val="1440224193"/>
        <w:rPr>
          <w:sz w:val="20"/>
          <w:szCs w:val="20"/>
        </w:rPr>
      </w:pPr>
      <w:r>
        <w:rPr>
          <w:sz w:val="20"/>
          <w:szCs w:val="20"/>
        </w:rPr>
        <w:t>38</w:t>
      </w:r>
    </w:p>
    <w:p w:rsidR="00000000" w:rsidRDefault="00DB7886">
      <w:pPr>
        <w:pStyle w:val="a3"/>
        <w:spacing w:before="0" w:beforeAutospacing="0" w:after="600" w:afterAutospacing="0"/>
        <w:divId w:val="1481657724"/>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1481657724"/>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1481657724"/>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1481657724"/>
        <w:rPr>
          <w:sz w:val="20"/>
          <w:szCs w:val="20"/>
        </w:rPr>
      </w:pPr>
      <w:r>
        <w:rPr>
          <w:b/>
          <w:bCs/>
          <w:sz w:val="20"/>
          <w:szCs w:val="20"/>
        </w:rPr>
        <w:t>Notes to Condensed Consolida</w:t>
      </w:r>
      <w:r>
        <w:rPr>
          <w:b/>
          <w:bCs/>
          <w:sz w:val="20"/>
          <w:szCs w:val="20"/>
        </w:rPr>
        <w:t>ted Financial Statements (Unaudited)</w:t>
      </w:r>
    </w:p>
    <w:p w:rsidR="00000000" w:rsidRDefault="00DB7886">
      <w:pPr>
        <w:pStyle w:val="a3"/>
        <w:spacing w:before="0" w:beforeAutospacing="0" w:after="240" w:afterAutospacing="0"/>
        <w:divId w:val="600649843"/>
        <w:rPr>
          <w:sz w:val="20"/>
          <w:szCs w:val="20"/>
        </w:rPr>
      </w:pPr>
      <w:r>
        <w:rPr>
          <w:sz w:val="20"/>
          <w:szCs w:val="20"/>
        </w:rPr>
        <w:t>may exist at the time the plan is terminated. In addition, the failure to pay these pension obligations when due may result in the creation of liens in favor of the pension plan or the Pension Benefit Guaranty Corporati</w:t>
      </w:r>
      <w:r>
        <w:rPr>
          <w:sz w:val="20"/>
          <w:szCs w:val="20"/>
        </w:rPr>
        <w:t>on (the “PBGC”) against the assets of each member of the controlled group.</w:t>
      </w:r>
    </w:p>
    <w:p w:rsidR="00000000" w:rsidRDefault="00DB7886">
      <w:pPr>
        <w:pStyle w:val="a3"/>
        <w:spacing w:before="0" w:beforeAutospacing="0" w:after="240" w:afterAutospacing="0"/>
        <w:ind w:firstLine="360"/>
        <w:divId w:val="600649843"/>
        <w:rPr>
          <w:sz w:val="20"/>
          <w:szCs w:val="20"/>
        </w:rPr>
      </w:pPr>
      <w:r>
        <w:rPr>
          <w:sz w:val="20"/>
          <w:szCs w:val="20"/>
        </w:rPr>
        <w:t>As a result of the more than 80% ownership interest in us by Mr. Icahn’s affiliates, we and our subsidiaries are subject to the pension liabilities of entities in which Mr. Icahn ha</w:t>
      </w:r>
      <w:r>
        <w:rPr>
          <w:sz w:val="20"/>
          <w:szCs w:val="20"/>
        </w:rPr>
        <w:t>s a direct or indirect ownership interest of at least 80%, which includes the liabilities of pension plans sponsored by Viskase and ACF Industries LLC (“ACF”), an affiliate of Mr. Icahn. All the minimum funding requirements of the Internal Revenue Code, as</w:t>
      </w:r>
      <w:r>
        <w:rPr>
          <w:sz w:val="20"/>
          <w:szCs w:val="20"/>
        </w:rPr>
        <w:t xml:space="preserve"> amended, and the Employee Retirement Income Security Act of 1974, as amended, for the Viskase and ACF plans have been met as of September 30, 2021. If the plans were voluntarily terminated, they would be underfunded by approximately $110 million as of Sep</w:t>
      </w:r>
      <w:r>
        <w:rPr>
          <w:sz w:val="20"/>
          <w:szCs w:val="20"/>
        </w:rPr>
        <w:t>tember 30, 2021. These results are based on the most recent information provided by the plans’ actuaries. These liabilities could increase or decrease, depending on a number of factors, including future changes in benefits, investment returns, and the assu</w:t>
      </w:r>
      <w:r>
        <w:rPr>
          <w:sz w:val="20"/>
          <w:szCs w:val="20"/>
        </w:rPr>
        <w:t>mptions used to calculate the liability. As members of the controlled group, we would be liable for any failure of Viskase or ACF to make ongoing pension contributions or to pay the unfunded liabilities upon a termination of the Viskase or ACF pension plan</w:t>
      </w:r>
      <w:r>
        <w:rPr>
          <w:sz w:val="20"/>
          <w:szCs w:val="20"/>
        </w:rPr>
        <w:t xml:space="preserve">s. In addition, other entities now or in the future within the controlled group in which we are included may have pension plan obligations that are, or may become, underfunded and we would be liable for any failure of such entities to make ongoing pension </w:t>
      </w:r>
      <w:r>
        <w:rPr>
          <w:sz w:val="20"/>
          <w:szCs w:val="20"/>
        </w:rPr>
        <w:t>contributions or to pay the unfunded liabilities upon termination of such plans.</w:t>
      </w:r>
    </w:p>
    <w:p w:rsidR="00000000" w:rsidRDefault="00DB7886">
      <w:pPr>
        <w:pStyle w:val="a3"/>
        <w:spacing w:before="0" w:beforeAutospacing="0" w:after="240" w:afterAutospacing="0"/>
        <w:ind w:firstLine="360"/>
        <w:divId w:val="600649843"/>
        <w:rPr>
          <w:sz w:val="20"/>
          <w:szCs w:val="20"/>
        </w:rPr>
      </w:pPr>
      <w:r>
        <w:rPr>
          <w:sz w:val="20"/>
          <w:szCs w:val="20"/>
        </w:rPr>
        <w:t>The current underfunded status of the pension plans of Viskase and ACF requires them to notify the PBGC of certain “reportable events,” such as if we cease to be a member of t</w:t>
      </w:r>
      <w:r>
        <w:rPr>
          <w:sz w:val="20"/>
          <w:szCs w:val="20"/>
        </w:rPr>
        <w:t>he Viskase or ACF controlled group, or if we make certain extraordinary dividends or stock redemptions. The obligation to report could cause us to seek to delay or reconsider the occurrence of such reportable events.</w:t>
      </w:r>
    </w:p>
    <w:p w:rsidR="00000000" w:rsidRDefault="00DB7886">
      <w:pPr>
        <w:pStyle w:val="a3"/>
        <w:spacing w:before="0" w:beforeAutospacing="0" w:after="240" w:afterAutospacing="0"/>
        <w:ind w:firstLine="360"/>
        <w:divId w:val="600649843"/>
        <w:rPr>
          <w:sz w:val="20"/>
          <w:szCs w:val="20"/>
        </w:rPr>
      </w:pPr>
      <w:r>
        <w:rPr>
          <w:sz w:val="20"/>
          <w:szCs w:val="20"/>
        </w:rPr>
        <w:t>Starfire Holding Corporation (“Starfire</w:t>
      </w:r>
      <w:r>
        <w:rPr>
          <w:sz w:val="20"/>
          <w:szCs w:val="20"/>
        </w:rPr>
        <w:t>”), which is 99.6% owned by Mr. Icahn, has undertaken to indemnify us and our subsidiaries from losses resulting from any imposition of certain pension funding or termination liabilities that may be imposed on us and our subsidiaries or our assets as a res</w:t>
      </w:r>
      <w:r>
        <w:rPr>
          <w:sz w:val="20"/>
          <w:szCs w:val="20"/>
        </w:rPr>
        <w:t>ult of being a member of the Icahn controlled group, including ACF. The Starfire indemnity provides, among other things, that so long as such contingent liabilities exist and could be imposed on us, Starfire will not make any distributions to its stockhold</w:t>
      </w:r>
      <w:r>
        <w:rPr>
          <w:sz w:val="20"/>
          <w:szCs w:val="20"/>
        </w:rPr>
        <w:t>ers that would reduce its net worth to below $250 million. Nonetheless, Starfire may not be able to fund its indemnification obligations to us.</w:t>
      </w:r>
    </w:p>
    <w:p w:rsidR="00000000" w:rsidRDefault="00DB7886">
      <w:pPr>
        <w:pStyle w:val="a3"/>
        <w:spacing w:before="0" w:beforeAutospacing="0" w:after="240" w:afterAutospacing="0"/>
        <w:divId w:val="600649843"/>
        <w:rPr>
          <w:i/>
          <w:iCs/>
          <w:sz w:val="20"/>
          <w:szCs w:val="20"/>
        </w:rPr>
      </w:pPr>
      <w:r>
        <w:rPr>
          <w:i/>
          <w:iCs/>
          <w:sz w:val="20"/>
          <w:szCs w:val="20"/>
        </w:rPr>
        <w:t>Other</w:t>
      </w:r>
    </w:p>
    <w:p w:rsidR="00000000" w:rsidRDefault="00DB7886">
      <w:pPr>
        <w:pStyle w:val="a3"/>
        <w:spacing w:before="0" w:beforeAutospacing="0" w:after="240" w:afterAutospacing="0"/>
        <w:ind w:firstLine="360"/>
        <w:divId w:val="600649843"/>
        <w:rPr>
          <w:sz w:val="20"/>
          <w:szCs w:val="20"/>
        </w:rPr>
      </w:pPr>
      <w:r>
        <w:rPr>
          <w:sz w:val="20"/>
          <w:szCs w:val="20"/>
        </w:rPr>
        <w:t>The U.S. Attorney’s office for the Southern District of New York contacted Icahn Enterprises L.P. in Septe</w:t>
      </w:r>
      <w:r>
        <w:rPr>
          <w:sz w:val="20"/>
          <w:szCs w:val="20"/>
        </w:rPr>
        <w:t>mber 2017 seeking production of information pertaining to our and Mr. Icahn’s activities relating to the Renewable Fuels Standard and Mr. Icahn’s former role as an advisor to the former President of the United States. We cooperated with the request and pro</w:t>
      </w:r>
      <w:r>
        <w:rPr>
          <w:sz w:val="20"/>
          <w:szCs w:val="20"/>
        </w:rPr>
        <w:t xml:space="preserve">vided information in response to the subpoena. The U.S. Attorney’s office for the Southern District of New York contacted Icahn Enterprises L.P. in June 2018 seeking production of information pertaining to trading in Manitowoc Company, Inc. securities. We </w:t>
      </w:r>
      <w:r>
        <w:rPr>
          <w:sz w:val="20"/>
          <w:szCs w:val="20"/>
        </w:rPr>
        <w:t>cooperated with the request and provided documents in response to the subpoena. The U.S. Attorney’s office has not made any claims or allegations against us or Mr. Icahn with respect to either of the foregoing inquiries. We believe that we maintain a stron</w:t>
      </w:r>
      <w:r>
        <w:rPr>
          <w:sz w:val="20"/>
          <w:szCs w:val="20"/>
        </w:rPr>
        <w:t>g compliance program and, while no assurances can be made, we do not believe these inquiries will have a material impact on our business, financial condition, results of operations or cash flows.</w:t>
      </w:r>
    </w:p>
    <w:p w:rsidR="00000000" w:rsidRDefault="00DB7886">
      <w:pPr>
        <w:pStyle w:val="a3"/>
        <w:spacing w:before="480" w:beforeAutospacing="0" w:after="0" w:afterAutospacing="0"/>
        <w:jc w:val="center"/>
        <w:divId w:val="1337003743"/>
        <w:rPr>
          <w:sz w:val="20"/>
          <w:szCs w:val="20"/>
        </w:rPr>
      </w:pPr>
      <w:r>
        <w:rPr>
          <w:sz w:val="20"/>
          <w:szCs w:val="20"/>
        </w:rPr>
        <w:t>39</w:t>
      </w:r>
    </w:p>
    <w:p w:rsidR="00000000" w:rsidRDefault="00DB7886">
      <w:pPr>
        <w:pStyle w:val="a3"/>
        <w:spacing w:before="0" w:beforeAutospacing="0" w:after="600" w:afterAutospacing="0"/>
        <w:divId w:val="1292202946"/>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1292202946"/>
        <w:rPr>
          <w:sz w:val="20"/>
          <w:szCs w:val="20"/>
        </w:rPr>
      </w:pPr>
      <w:r>
        <w:rPr>
          <w:b/>
          <w:bCs/>
          <w:sz w:val="20"/>
          <w:szCs w:val="20"/>
        </w:rPr>
        <w:t>ICAHN ENTERPRISES L.P. AND SUBSIDIARIES</w:t>
      </w:r>
    </w:p>
    <w:p w:rsidR="00000000" w:rsidRDefault="00DB7886">
      <w:pPr>
        <w:pStyle w:val="a3"/>
        <w:spacing w:before="0" w:beforeAutospacing="0" w:after="0" w:afterAutospacing="0"/>
        <w:jc w:val="center"/>
        <w:divId w:val="1292202946"/>
        <w:rPr>
          <w:sz w:val="20"/>
          <w:szCs w:val="20"/>
        </w:rPr>
      </w:pPr>
      <w:r>
        <w:rPr>
          <w:b/>
          <w:bCs/>
          <w:sz w:val="20"/>
          <w:szCs w:val="20"/>
        </w:rPr>
        <w:t>ICAHN ENTERPRISES HOLDINGS L.P. AND SUBSIDIARIES</w:t>
      </w:r>
    </w:p>
    <w:p w:rsidR="00000000" w:rsidRDefault="00DB7886">
      <w:pPr>
        <w:pStyle w:val="a3"/>
        <w:spacing w:before="0" w:beforeAutospacing="0" w:after="240" w:afterAutospacing="0"/>
        <w:jc w:val="center"/>
        <w:divId w:val="1292202946"/>
        <w:rPr>
          <w:sz w:val="20"/>
          <w:szCs w:val="20"/>
        </w:rPr>
      </w:pPr>
      <w:r>
        <w:rPr>
          <w:b/>
          <w:bCs/>
          <w:sz w:val="20"/>
          <w:szCs w:val="20"/>
        </w:rPr>
        <w:t>Notes to Condensed Consolidated Financial Statements (Unaudited)</w:t>
      </w:r>
    </w:p>
    <w:p w:rsidR="00000000" w:rsidRDefault="00DB7886">
      <w:pPr>
        <w:pStyle w:val="a3"/>
        <w:spacing w:before="0" w:beforeAutospacing="0" w:after="240" w:afterAutospacing="0"/>
        <w:divId w:val="1530023079"/>
        <w:rPr>
          <w:b/>
          <w:bCs/>
          <w:sz w:val="20"/>
          <w:szCs w:val="20"/>
        </w:rPr>
      </w:pPr>
      <w:r>
        <w:rPr>
          <w:b/>
          <w:bCs/>
          <w:sz w:val="20"/>
          <w:szCs w:val="20"/>
        </w:rPr>
        <w:t>17.  Supplemental Cash Flow Information</w:t>
      </w:r>
    </w:p>
    <w:p w:rsidR="00000000" w:rsidRDefault="00DB7886">
      <w:pPr>
        <w:pStyle w:val="a3"/>
        <w:spacing w:before="0" w:beforeAutospacing="0" w:after="240" w:afterAutospacing="0"/>
        <w:ind w:firstLine="360"/>
        <w:divId w:val="1530023079"/>
        <w:rPr>
          <w:sz w:val="20"/>
          <w:szCs w:val="20"/>
        </w:rPr>
      </w:pPr>
      <w:r>
        <w:rPr>
          <w:sz w:val="20"/>
          <w:szCs w:val="20"/>
        </w:rPr>
        <w:t xml:space="preserve">Supplemental cash flow information consists </w:t>
      </w:r>
      <w:r>
        <w:rPr>
          <w:sz w:val="20"/>
          <w:szCs w:val="20"/>
        </w:rPr>
        <w:t xml:space="preserve">of the following: </w:t>
      </w:r>
    </w:p>
    <w:p w:rsidR="00000000" w:rsidRDefault="00DB7886">
      <w:pPr>
        <w:pStyle w:val="a3"/>
        <w:spacing w:before="0" w:beforeAutospacing="0" w:after="0" w:afterAutospacing="0"/>
        <w:divId w:val="153002307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072"/>
        <w:gridCol w:w="200"/>
        <w:gridCol w:w="181"/>
        <w:gridCol w:w="1194"/>
        <w:gridCol w:w="284"/>
        <w:gridCol w:w="180"/>
        <w:gridCol w:w="1195"/>
      </w:tblGrid>
      <w:tr w:rsidR="00000000">
        <w:trPr>
          <w:divId w:val="1530023079"/>
          <w:trHeight w:val="20"/>
        </w:trPr>
        <w:tc>
          <w:tcPr>
            <w:tcW w:w="3333" w:type="pct"/>
            <w:tcMar>
              <w:top w:w="0" w:type="dxa"/>
              <w:left w:w="0" w:type="dxa"/>
              <w:bottom w:w="0" w:type="dxa"/>
              <w:right w:w="0" w:type="dxa"/>
            </w:tcMar>
            <w:vAlign w:val="bottom"/>
            <w:hideMark/>
          </w:tcPr>
          <w:p w:rsidR="00000000" w:rsidRDefault="00DB7886">
            <w:pPr>
              <w:pStyle w:val="a3"/>
              <w:spacing w:before="0" w:beforeAutospacing="0" w:after="1" w:afterAutospacing="0"/>
              <w:divId w:val="194861195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1081103284"/>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948387730"/>
              <w:rPr>
                <w:sz w:val="20"/>
                <w:szCs w:val="20"/>
              </w:rPr>
            </w:pPr>
            <w:r>
              <w:rPr>
                <w:sz w:val="2"/>
                <w:szCs w:val="2"/>
              </w:rPr>
              <w:t>​</w:t>
            </w:r>
          </w:p>
        </w:tc>
        <w:tc>
          <w:tcPr>
            <w:tcW w:w="615"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610015249"/>
              <w:rPr>
                <w:sz w:val="20"/>
                <w:szCs w:val="20"/>
              </w:rPr>
            </w:pPr>
            <w:r>
              <w:rPr>
                <w:sz w:val="2"/>
                <w:szCs w:val="2"/>
              </w:rPr>
              <w:t>​</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807942401"/>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983584711"/>
              <w:rPr>
                <w:sz w:val="20"/>
                <w:szCs w:val="20"/>
              </w:rPr>
            </w:pPr>
            <w:r>
              <w:rPr>
                <w:sz w:val="2"/>
                <w:szCs w:val="2"/>
              </w:rPr>
              <w:t>​</w:t>
            </w:r>
          </w:p>
        </w:tc>
        <w:tc>
          <w:tcPr>
            <w:tcW w:w="614" w:type="pct"/>
            <w:noWrap/>
            <w:tcMar>
              <w:top w:w="0" w:type="dxa"/>
              <w:left w:w="0" w:type="dxa"/>
              <w:bottom w:w="0" w:type="dxa"/>
              <w:right w:w="0" w:type="dxa"/>
            </w:tcMar>
            <w:vAlign w:val="bottom"/>
            <w:hideMark/>
          </w:tcPr>
          <w:p w:rsidR="00000000" w:rsidRDefault="00DB7886">
            <w:pPr>
              <w:pStyle w:val="a3"/>
              <w:spacing w:before="0" w:beforeAutospacing="0" w:after="1" w:afterAutospacing="0"/>
              <w:divId w:val="980885739"/>
              <w:rPr>
                <w:sz w:val="20"/>
                <w:szCs w:val="20"/>
              </w:rPr>
            </w:pPr>
            <w:r>
              <w:rPr>
                <w:sz w:val="2"/>
                <w:szCs w:val="2"/>
              </w:rPr>
              <w:t>​</w:t>
            </w:r>
          </w:p>
        </w:tc>
      </w:tr>
      <w:tr w:rsidR="00000000">
        <w:trPr>
          <w:divId w:val="1530023079"/>
        </w:trPr>
        <w:tc>
          <w:tcPr>
            <w:tcW w:w="3333"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1563"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Nine Months Ended September 30, </w:t>
            </w:r>
          </w:p>
        </w:tc>
      </w:tr>
      <w:tr w:rsidR="00000000">
        <w:trPr>
          <w:divId w:val="1530023079"/>
        </w:trPr>
        <w:tc>
          <w:tcPr>
            <w:tcW w:w="3333"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708"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2021</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707"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20"/>
                <w:szCs w:val="20"/>
              </w:rPr>
            </w:pPr>
            <w:r>
              <w:rPr>
                <w:b/>
                <w:bCs/>
                <w:sz w:val="20"/>
                <w:szCs w:val="20"/>
              </w:rPr>
              <w:t>2020</w:t>
            </w:r>
          </w:p>
        </w:tc>
      </w:tr>
      <w:tr w:rsidR="00000000">
        <w:trPr>
          <w:divId w:val="1530023079"/>
        </w:trPr>
        <w:tc>
          <w:tcPr>
            <w:tcW w:w="0" w:type="auto"/>
            <w:gridSpan w:val="7"/>
            <w:tcMar>
              <w:top w:w="0" w:type="dxa"/>
              <w:left w:w="0" w:type="dxa"/>
              <w:bottom w:w="0" w:type="dxa"/>
              <w:right w:w="0" w:type="dxa"/>
            </w:tcMar>
            <w:vAlign w:val="center"/>
            <w:hideMark/>
          </w:tcPr>
          <w:p w:rsidR="00000000" w:rsidRDefault="00DB7886">
            <w:pPr>
              <w:rPr>
                <w:sz w:val="20"/>
                <w:szCs w:val="20"/>
              </w:rPr>
            </w:pPr>
          </w:p>
        </w:tc>
      </w:tr>
      <w:tr w:rsidR="00000000">
        <w:trPr>
          <w:divId w:val="1530023079"/>
        </w:trPr>
        <w:tc>
          <w:tcPr>
            <w:tcW w:w="3333"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16"/>
                <w:szCs w:val="16"/>
              </w:rPr>
              <w:t>​</w:t>
            </w:r>
          </w:p>
        </w:tc>
        <w:tc>
          <w:tcPr>
            <w:tcW w:w="1563" w:type="pct"/>
            <w:gridSpan w:val="5"/>
            <w:noWrap/>
            <w:tcMar>
              <w:top w:w="0" w:type="dxa"/>
              <w:left w:w="0" w:type="dxa"/>
              <w:bottom w:w="0" w:type="dxa"/>
              <w:right w:w="0" w:type="dxa"/>
            </w:tcMar>
            <w:vAlign w:val="bottom"/>
            <w:hideMark/>
          </w:tcPr>
          <w:p w:rsidR="00000000" w:rsidRDefault="00DB7886">
            <w:pPr>
              <w:pStyle w:val="a3"/>
              <w:spacing w:before="0" w:beforeAutospacing="0" w:after="1" w:afterAutospacing="0"/>
              <w:jc w:val="center"/>
              <w:rPr>
                <w:sz w:val="16"/>
                <w:szCs w:val="16"/>
              </w:rPr>
            </w:pPr>
            <w:r>
              <w:rPr>
                <w:sz w:val="16"/>
                <w:szCs w:val="16"/>
              </w:rPr>
              <w:t>(in millions)</w:t>
            </w:r>
          </w:p>
        </w:tc>
      </w:tr>
      <w:tr w:rsidR="00000000">
        <w:trPr>
          <w:divId w:val="1530023079"/>
        </w:trPr>
        <w:tc>
          <w:tcPr>
            <w:tcW w:w="333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Cash payments for interest, net of amounts capitalized</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(358)</w:t>
            </w:r>
          </w:p>
        </w:tc>
        <w:tc>
          <w:tcPr>
            <w:tcW w:w="1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(382)</w:t>
            </w:r>
          </w:p>
        </w:tc>
      </w:tr>
      <w:tr w:rsidR="00000000">
        <w:trPr>
          <w:divId w:val="1530023079"/>
        </w:trPr>
        <w:tc>
          <w:tcPr>
            <w:tcW w:w="3333"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Cash (payments) receipts for income taxes, net of payments</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615" w:type="pct"/>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(34)</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614"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11</w:t>
            </w:r>
          </w:p>
        </w:tc>
      </w:tr>
      <w:tr w:rsidR="00000000">
        <w:trPr>
          <w:divId w:val="1530023079"/>
        </w:trPr>
        <w:tc>
          <w:tcPr>
            <w:tcW w:w="333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Non-cash dividends to non-controlling interests in subsidiary</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61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jc w:val="right"/>
              <w:rPr>
                <w:sz w:val="20"/>
                <w:szCs w:val="20"/>
              </w:rPr>
            </w:pPr>
            <w:r>
              <w:rPr>
                <w:sz w:val="20"/>
                <w:szCs w:val="20"/>
              </w:rPr>
              <w:t>(74)</w:t>
            </w:r>
          </w:p>
        </w:tc>
        <w:tc>
          <w:tcPr>
            <w:tcW w:w="1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61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r>
      <w:tr w:rsidR="00000000">
        <w:trPr>
          <w:divId w:val="1530023079"/>
        </w:trPr>
        <w:tc>
          <w:tcPr>
            <w:tcW w:w="3333" w:type="pct"/>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Partnership contributions receivable</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615"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24</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 </w:t>
            </w:r>
          </w:p>
        </w:tc>
        <w:tc>
          <w:tcPr>
            <w:tcW w:w="614" w:type="pct"/>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w:t>
            </w:r>
          </w:p>
        </w:tc>
      </w:tr>
      <w:tr w:rsidR="00000000">
        <w:trPr>
          <w:divId w:val="1530023079"/>
        </w:trPr>
        <w:tc>
          <w:tcPr>
            <w:tcW w:w="3333" w:type="pct"/>
            <w:shd w:val="clear" w:color="auto" w:fill="CCEEFF"/>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Non-cash Investment segment contributions from non-controlling interests</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6</w:t>
            </w:r>
          </w:p>
        </w:tc>
        <w:tc>
          <w:tcPr>
            <w:tcW w:w="1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rPr>
                <w:sz w:val="20"/>
                <w:szCs w:val="20"/>
              </w:rPr>
            </w:pPr>
            <w:r>
              <w:rPr>
                <w:sz w:val="20"/>
                <w:szCs w:val="20"/>
              </w:rPr>
              <w:t>​</w:t>
            </w:r>
          </w:p>
        </w:tc>
        <w:tc>
          <w:tcPr>
            <w:tcW w:w="61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1" w:afterAutospacing="0"/>
              <w:ind w:right="60"/>
              <w:jc w:val="right"/>
              <w:rPr>
                <w:sz w:val="20"/>
                <w:szCs w:val="20"/>
              </w:rPr>
            </w:pPr>
            <w:r>
              <w:rPr>
                <w:sz w:val="20"/>
                <w:szCs w:val="20"/>
              </w:rPr>
              <w:t>1,240</w:t>
            </w:r>
          </w:p>
        </w:tc>
      </w:tr>
    </w:tbl>
    <w:p w:rsidR="00000000" w:rsidRDefault="00DB7886">
      <w:pPr>
        <w:pStyle w:val="a3"/>
        <w:spacing w:before="0" w:beforeAutospacing="0" w:after="0" w:afterAutospacing="0"/>
        <w:ind w:firstLine="360"/>
        <w:divId w:val="1530023079"/>
        <w:rPr>
          <w:sz w:val="20"/>
          <w:szCs w:val="20"/>
        </w:rPr>
      </w:pPr>
      <w:r>
        <w:rPr>
          <w:sz w:val="2"/>
          <w:szCs w:val="2"/>
        </w:rPr>
        <w:t>​</w:t>
      </w:r>
    </w:p>
    <w:p w:rsidR="00000000" w:rsidRDefault="00DB7886">
      <w:pPr>
        <w:pStyle w:val="a3"/>
        <w:spacing w:before="0" w:beforeAutospacing="0" w:after="240" w:afterAutospacing="0"/>
        <w:ind w:firstLine="360"/>
        <w:divId w:val="1530023079"/>
        <w:rPr>
          <w:sz w:val="20"/>
          <w:szCs w:val="20"/>
        </w:rPr>
      </w:pPr>
      <w:r>
        <w:rPr>
          <w:sz w:val="2"/>
          <w:szCs w:val="2"/>
        </w:rPr>
        <w:t>​</w:t>
      </w:r>
    </w:p>
    <w:p w:rsidR="00000000" w:rsidRDefault="00DB7886">
      <w:pPr>
        <w:pStyle w:val="a3"/>
        <w:spacing w:before="0" w:beforeAutospacing="0" w:after="0" w:afterAutospacing="0"/>
        <w:ind w:firstLine="360"/>
        <w:divId w:val="1530023079"/>
        <w:rPr>
          <w:sz w:val="20"/>
          <w:szCs w:val="20"/>
        </w:rPr>
      </w:pPr>
      <w:r>
        <w:rPr>
          <w:sz w:val="2"/>
          <w:szCs w:val="2"/>
        </w:rPr>
        <w:t>​</w:t>
      </w:r>
    </w:p>
    <w:p w:rsidR="00000000" w:rsidRDefault="00DB7886">
      <w:pPr>
        <w:pStyle w:val="a3"/>
        <w:spacing w:before="0" w:beforeAutospacing="0" w:after="240" w:afterAutospacing="0"/>
        <w:divId w:val="1530023079"/>
        <w:rPr>
          <w:b/>
          <w:bCs/>
          <w:sz w:val="20"/>
          <w:szCs w:val="20"/>
        </w:rPr>
      </w:pPr>
      <w:r>
        <w:rPr>
          <w:b/>
          <w:bCs/>
          <w:sz w:val="20"/>
          <w:szCs w:val="20"/>
        </w:rPr>
        <w:t>18.  Subsequent Events</w:t>
      </w:r>
    </w:p>
    <w:p w:rsidR="00000000" w:rsidRDefault="00DB7886">
      <w:pPr>
        <w:pStyle w:val="a3"/>
        <w:spacing w:before="0" w:beforeAutospacing="0" w:after="240" w:afterAutospacing="0"/>
        <w:divId w:val="1530023079"/>
        <w:rPr>
          <w:b/>
          <w:bCs/>
          <w:i/>
          <w:iCs/>
          <w:sz w:val="20"/>
          <w:szCs w:val="20"/>
        </w:rPr>
      </w:pPr>
      <w:r>
        <w:rPr>
          <w:b/>
          <w:bCs/>
          <w:i/>
          <w:iCs/>
          <w:sz w:val="20"/>
          <w:szCs w:val="20"/>
        </w:rPr>
        <w:t>Icahn Enterprises</w:t>
      </w:r>
    </w:p>
    <w:p w:rsidR="00000000" w:rsidRDefault="00DB7886">
      <w:pPr>
        <w:pStyle w:val="a3"/>
        <w:spacing w:before="0" w:beforeAutospacing="0" w:after="240" w:afterAutospacing="0"/>
        <w:divId w:val="1530023079"/>
        <w:rPr>
          <w:sz w:val="20"/>
          <w:szCs w:val="20"/>
        </w:rPr>
      </w:pPr>
      <w:r>
        <w:rPr>
          <w:i/>
          <w:iCs/>
          <w:sz w:val="20"/>
          <w:szCs w:val="20"/>
        </w:rPr>
        <w:t>Tender Offer</w:t>
      </w:r>
    </w:p>
    <w:p w:rsidR="00000000" w:rsidRDefault="00DB7886">
      <w:pPr>
        <w:pStyle w:val="a3"/>
        <w:spacing w:before="0" w:beforeAutospacing="0" w:after="240" w:afterAutospacing="0"/>
        <w:ind w:firstLine="360"/>
        <w:divId w:val="1530023079"/>
        <w:rPr>
          <w:sz w:val="20"/>
          <w:szCs w:val="20"/>
        </w:rPr>
      </w:pPr>
      <w:r>
        <w:rPr>
          <w:sz w:val="20"/>
          <w:szCs w:val="20"/>
        </w:rPr>
        <w:t xml:space="preserve">On October 27, 2021, IEP Utility Holdings LLC, a wholly owned subsidiary of Icahn Enterprises Holdings, commenced a cash offer (the “SWX Tender Offer”) to acquire, subject to certain terms and conditions, all of the issued and outstanding shares of common </w:t>
      </w:r>
      <w:r>
        <w:rPr>
          <w:sz w:val="20"/>
          <w:szCs w:val="20"/>
        </w:rPr>
        <w:t>stock of Southwest Gas Holdings, Inc. (“Southwest Gas”) not held by affiliates of Icahn Enterprises Holdings at a price of $75.00 per share. Southwest Gas, through its wholly owned subsidiaries, is engaged in the business of purchasing, distributing, and t</w:t>
      </w:r>
      <w:r>
        <w:rPr>
          <w:sz w:val="20"/>
          <w:szCs w:val="20"/>
        </w:rPr>
        <w:t>ransporting natural gas for customers in portions of Arizona, Nevada, and California. Southwest Gas’ shares of common stock are listed on the New York Stock Exchange under the symbol “SWX.” The SWX Tender Offer is scheduled to expire at 12:00 midnight, New</w:t>
      </w:r>
      <w:r>
        <w:rPr>
          <w:sz w:val="20"/>
          <w:szCs w:val="20"/>
        </w:rPr>
        <w:t xml:space="preserve"> York City Time, on December 27, 2021, unless the offer is extended. </w:t>
      </w:r>
    </w:p>
    <w:p w:rsidR="00000000" w:rsidRDefault="00DB7886">
      <w:pPr>
        <w:pStyle w:val="a3"/>
        <w:spacing w:before="0" w:beforeAutospacing="0" w:after="240" w:afterAutospacing="0"/>
        <w:divId w:val="1530023079"/>
        <w:rPr>
          <w:i/>
          <w:iCs/>
          <w:sz w:val="20"/>
          <w:szCs w:val="20"/>
        </w:rPr>
      </w:pPr>
      <w:r>
        <w:rPr>
          <w:i/>
          <w:iCs/>
          <w:sz w:val="20"/>
          <w:szCs w:val="20"/>
        </w:rPr>
        <w:t>LP Unit Distribution</w:t>
      </w:r>
    </w:p>
    <w:p w:rsidR="00000000" w:rsidRDefault="00DB7886">
      <w:pPr>
        <w:pStyle w:val="a3"/>
        <w:spacing w:before="0" w:beforeAutospacing="0" w:after="240" w:afterAutospacing="0"/>
        <w:ind w:firstLine="360"/>
        <w:divId w:val="1530023079"/>
        <w:rPr>
          <w:sz w:val="20"/>
          <w:szCs w:val="20"/>
        </w:rPr>
      </w:pPr>
      <w:r>
        <w:rPr>
          <w:sz w:val="20"/>
          <w:szCs w:val="20"/>
        </w:rPr>
        <w:t>On November 1, 2021, the Board of Directors of the general partner of Icahn Enterprises declared a quarterly distribution in the amount of $2.00 per depositary unit,</w:t>
      </w:r>
      <w:r>
        <w:rPr>
          <w:sz w:val="20"/>
          <w:szCs w:val="20"/>
        </w:rPr>
        <w:t xml:space="preserve"> which will be paid on or about December 22, 2021 to depositary unitholders of record at the close of business on November 16, 2021. Depositary unitholders will have until December 10, 2021 to make a timely election to receive either cash or additional dep</w:t>
      </w:r>
      <w:r>
        <w:rPr>
          <w:sz w:val="20"/>
          <w:szCs w:val="20"/>
        </w:rPr>
        <w:t>ositary units. If a unitholder does not make a timely election, it will automatically be deemed to have elected to receive the distribution in additional depositary units. Depositary unitholders who elect to receive (or who are deemed to have elected to re</w:t>
      </w:r>
      <w:r>
        <w:rPr>
          <w:sz w:val="20"/>
          <w:szCs w:val="20"/>
        </w:rPr>
        <w:t>ceive) additional depositary units will receive units valued at the volume weighted average trading price of the units during the five consecutive trading days ending December 17, 2021. Icahn Enterprises will make a cash payment in lieu of issuing fraction</w:t>
      </w:r>
      <w:r>
        <w:rPr>
          <w:sz w:val="20"/>
          <w:szCs w:val="20"/>
        </w:rPr>
        <w:t>al depositary units to any unitholders electing to receive (or who are deemed to have elected to receive) depositary units.</w:t>
      </w:r>
    </w:p>
    <w:p w:rsidR="00000000" w:rsidRDefault="00DB7886">
      <w:pPr>
        <w:pStyle w:val="a3"/>
        <w:spacing w:before="0" w:beforeAutospacing="0" w:after="240" w:afterAutospacing="0"/>
        <w:divId w:val="1530023079"/>
        <w:rPr>
          <w:b/>
          <w:bCs/>
          <w:i/>
          <w:iCs/>
          <w:sz w:val="20"/>
          <w:szCs w:val="20"/>
        </w:rPr>
      </w:pPr>
      <w:r>
        <w:rPr>
          <w:b/>
          <w:bCs/>
          <w:i/>
          <w:iCs/>
          <w:sz w:val="20"/>
          <w:szCs w:val="20"/>
        </w:rPr>
        <w:t>Metals</w:t>
      </w:r>
    </w:p>
    <w:p w:rsidR="00000000" w:rsidRDefault="00DB7886">
      <w:pPr>
        <w:pStyle w:val="a3"/>
        <w:spacing w:before="0" w:beforeAutospacing="0" w:after="240" w:afterAutospacing="0"/>
        <w:ind w:firstLine="360"/>
        <w:divId w:val="1530023079"/>
        <w:rPr>
          <w:sz w:val="20"/>
          <w:szCs w:val="20"/>
        </w:rPr>
      </w:pPr>
      <w:r>
        <w:rPr>
          <w:sz w:val="20"/>
          <w:szCs w:val="20"/>
        </w:rPr>
        <w:t>On October 29, 2021, we announced a definitive agreement to sell 100% of the equity interests in PSC Metals for total conside</w:t>
      </w:r>
      <w:r>
        <w:rPr>
          <w:sz w:val="20"/>
          <w:szCs w:val="20"/>
        </w:rPr>
        <w:t>ration of approximately $290 million (including indebtedness that will be repaid at closing and subject to customary working capital adjustments). The sale is expected to close in the fourth quarter of 2021, subject to receiving applicable regulatory appro</w:t>
      </w:r>
      <w:r>
        <w:rPr>
          <w:sz w:val="20"/>
          <w:szCs w:val="20"/>
        </w:rPr>
        <w:t xml:space="preserve">vals, and to the satisfaction of other customary closing conditions. </w:t>
      </w:r>
    </w:p>
    <w:p w:rsidR="00000000" w:rsidRDefault="00DB7886">
      <w:pPr>
        <w:pStyle w:val="a3"/>
        <w:spacing w:before="0" w:beforeAutospacing="0" w:after="0" w:afterAutospacing="0"/>
        <w:divId w:val="1530023079"/>
        <w:rPr>
          <w:sz w:val="20"/>
          <w:szCs w:val="20"/>
        </w:rPr>
      </w:pPr>
      <w:r>
        <w:rPr>
          <w:b/>
          <w:bCs/>
          <w:sz w:val="20"/>
          <w:szCs w:val="20"/>
        </w:rPr>
        <w:t>​</w:t>
      </w:r>
    </w:p>
    <w:p w:rsidR="00000000" w:rsidRDefault="00DB7886">
      <w:pPr>
        <w:pStyle w:val="a3"/>
        <w:spacing w:before="0" w:beforeAutospacing="0" w:after="0" w:afterAutospacing="0" w:line="0" w:lineRule="atLeast"/>
        <w:divId w:val="1530023079"/>
        <w:rPr>
          <w:vanish/>
        </w:rPr>
      </w:pPr>
      <w:r>
        <w:rPr>
          <w:b/>
          <w:bCs/>
          <w:vanish/>
          <w:sz w:val="2"/>
          <w:szCs w:val="2"/>
        </w:rPr>
        <w:t>​</w:t>
      </w:r>
    </w:p>
    <w:p w:rsidR="00000000" w:rsidRDefault="00DB7886">
      <w:pPr>
        <w:pStyle w:val="a3"/>
        <w:spacing w:before="480" w:beforeAutospacing="0" w:after="0" w:afterAutospacing="0"/>
        <w:jc w:val="center"/>
        <w:divId w:val="871267140"/>
        <w:rPr>
          <w:sz w:val="20"/>
          <w:szCs w:val="20"/>
        </w:rPr>
      </w:pPr>
      <w:r>
        <w:rPr>
          <w:sz w:val="20"/>
          <w:szCs w:val="20"/>
        </w:rPr>
        <w:t>40</w:t>
      </w:r>
    </w:p>
    <w:p w:rsidR="00000000" w:rsidRDefault="00DB7886">
      <w:pPr>
        <w:pStyle w:val="a3"/>
        <w:spacing w:before="0" w:beforeAutospacing="0" w:after="600" w:afterAutospacing="0"/>
        <w:divId w:val="761796602"/>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divId w:val="1718507464"/>
        <w:rPr>
          <w:b/>
          <w:bCs/>
          <w:sz w:val="20"/>
          <w:szCs w:val="20"/>
        </w:rPr>
      </w:pPr>
      <w:r>
        <w:rPr>
          <w:b/>
          <w:bCs/>
          <w:sz w:val="20"/>
          <w:szCs w:val="20"/>
        </w:rPr>
        <w:t>Item 2. Management’s Discussion and Analysis of Financial Condition and Results of Operations</w:t>
      </w:r>
    </w:p>
    <w:p w:rsidR="00000000" w:rsidRDefault="00DB7886">
      <w:pPr>
        <w:pStyle w:val="a3"/>
        <w:spacing w:before="0" w:beforeAutospacing="0" w:after="240" w:afterAutospacing="0"/>
        <w:ind w:firstLine="360"/>
        <w:divId w:val="1718507464"/>
        <w:rPr>
          <w:sz w:val="20"/>
          <w:szCs w:val="20"/>
        </w:rPr>
      </w:pPr>
      <w:r>
        <w:rPr>
          <w:i/>
          <w:iCs/>
          <w:sz w:val="20"/>
          <w:szCs w:val="20"/>
        </w:rPr>
        <w:t>The following discussion is intended to a</w:t>
      </w:r>
      <w:r>
        <w:rPr>
          <w:i/>
          <w:iCs/>
          <w:sz w:val="20"/>
          <w:szCs w:val="20"/>
        </w:rPr>
        <w:t>ssist you in understanding our present business and the results of operations together with our present financial condition. This section should be read in conjunction with our unaudited condensed consolidated financial statements and the accompanying note</w:t>
      </w:r>
      <w:r>
        <w:rPr>
          <w:i/>
          <w:iCs/>
          <w:sz w:val="20"/>
          <w:szCs w:val="20"/>
        </w:rPr>
        <w:t>s contained in this Quarterly Report on Form 10-Q for the period ended September 30, 2021 (this “Report”), as well as our Annual Report on Form 10-K for the year ended December 31, 2020 filed with the Securities and Exchange Commission on February 26, 2021</w:t>
      </w:r>
      <w:r>
        <w:rPr>
          <w:i/>
          <w:iCs/>
          <w:sz w:val="20"/>
          <w:szCs w:val="20"/>
        </w:rPr>
        <w:t>.</w:t>
      </w:r>
    </w:p>
    <w:p w:rsidR="00000000" w:rsidRDefault="00DB7886">
      <w:pPr>
        <w:pStyle w:val="a3"/>
        <w:spacing w:before="0" w:beforeAutospacing="0" w:after="240" w:afterAutospacing="0"/>
        <w:divId w:val="1718507464"/>
        <w:rPr>
          <w:b/>
          <w:bCs/>
          <w:sz w:val="20"/>
          <w:szCs w:val="20"/>
        </w:rPr>
      </w:pPr>
      <w:r>
        <w:rPr>
          <w:b/>
          <w:bCs/>
          <w:sz w:val="20"/>
          <w:szCs w:val="20"/>
        </w:rPr>
        <w:t>Executive Overview</w:t>
      </w:r>
    </w:p>
    <w:p w:rsidR="00000000" w:rsidRDefault="00DB7886">
      <w:pPr>
        <w:pStyle w:val="a3"/>
        <w:spacing w:before="0" w:beforeAutospacing="0" w:after="240" w:afterAutospacing="0"/>
        <w:divId w:val="1718507464"/>
        <w:rPr>
          <w:b/>
          <w:bCs/>
          <w:i/>
          <w:iCs/>
          <w:sz w:val="20"/>
          <w:szCs w:val="20"/>
        </w:rPr>
      </w:pPr>
      <w:r>
        <w:rPr>
          <w:b/>
          <w:bCs/>
          <w:i/>
          <w:iCs/>
          <w:sz w:val="20"/>
          <w:szCs w:val="20"/>
        </w:rPr>
        <w:t>Introduction</w:t>
      </w:r>
    </w:p>
    <w:p w:rsidR="00000000" w:rsidRDefault="00DB7886">
      <w:pPr>
        <w:pStyle w:val="a3"/>
        <w:spacing w:before="0" w:beforeAutospacing="0" w:after="240" w:afterAutospacing="0"/>
        <w:ind w:firstLine="360"/>
        <w:divId w:val="1718507464"/>
        <w:rPr>
          <w:sz w:val="20"/>
          <w:szCs w:val="20"/>
        </w:rPr>
      </w:pPr>
      <w:r>
        <w:rPr>
          <w:sz w:val="20"/>
          <w:szCs w:val="20"/>
        </w:rPr>
        <w:t>Icahn Enterprises L.P. (“Icahn Enterprises”) is a master limited partnership formed in Delaware on February 17, 1987. Icahn Enterprises Holdings L.P. (“Icahn Enterprises Holdings”) is a limited partnership formed in Delawa</w:t>
      </w:r>
      <w:r>
        <w:rPr>
          <w:sz w:val="20"/>
          <w:szCs w:val="20"/>
        </w:rPr>
        <w:t>re on February 17, 1987. References to “we,” “our” or “us” herein include both Icahn Enterprises and Icahn Enterprises Holdings and their subsidiaries, unless the context otherwise requires.</w:t>
      </w:r>
    </w:p>
    <w:p w:rsidR="00000000" w:rsidRDefault="00DB7886">
      <w:pPr>
        <w:pStyle w:val="a3"/>
        <w:spacing w:before="0" w:beforeAutospacing="0" w:after="240" w:afterAutospacing="0"/>
        <w:ind w:firstLine="360"/>
        <w:divId w:val="1718507464"/>
        <w:rPr>
          <w:sz w:val="20"/>
          <w:szCs w:val="20"/>
        </w:rPr>
      </w:pPr>
      <w:r>
        <w:rPr>
          <w:sz w:val="20"/>
          <w:szCs w:val="20"/>
        </w:rPr>
        <w:t>Icahn Enterprises owns a 99% limited partner interest in Icahn En</w:t>
      </w:r>
      <w:r>
        <w:rPr>
          <w:sz w:val="20"/>
          <w:szCs w:val="20"/>
        </w:rPr>
        <w:t>terprises Holdings. Icahn Enterprises Holdings and its subsidiaries own substantially all of the assets and liabilities of Icahn Enterprises and conduct substantially all of its operations. Therefore, the financial results of Icahn Enterprises and Icahn En</w:t>
      </w:r>
      <w:r>
        <w:rPr>
          <w:sz w:val="20"/>
          <w:szCs w:val="20"/>
        </w:rPr>
        <w:t>terprises Holdings are substantially the same, with differences relating primarily to allocations to the general and limited partners. We do not discuss Icahn Enterprises and Icahn Enterprises Holdings separately unless we believe it is necessary to an und</w:t>
      </w:r>
      <w:r>
        <w:rPr>
          <w:sz w:val="20"/>
          <w:szCs w:val="20"/>
        </w:rPr>
        <w:t>erstanding of the businesses.</w:t>
      </w:r>
    </w:p>
    <w:p w:rsidR="00000000" w:rsidRDefault="00DB7886">
      <w:pPr>
        <w:pStyle w:val="a3"/>
        <w:spacing w:before="0" w:beforeAutospacing="0" w:after="240" w:afterAutospacing="0"/>
        <w:ind w:firstLine="360"/>
        <w:divId w:val="1718507464"/>
        <w:rPr>
          <w:sz w:val="20"/>
          <w:szCs w:val="20"/>
        </w:rPr>
      </w:pPr>
      <w:r>
        <w:rPr>
          <w:sz w:val="20"/>
          <w:szCs w:val="20"/>
        </w:rPr>
        <w:t>We are a diversified holding company owning subsidiaries currently engaged in the following continuing operating businesses: Investment, Energy, Automotive, Food Packaging, Metals, Real Estate, Home Fashion and Pharma. We also report the results of our Hol</w:t>
      </w:r>
      <w:r>
        <w:rPr>
          <w:sz w:val="20"/>
          <w:szCs w:val="20"/>
        </w:rPr>
        <w:t xml:space="preserve">ding Company, which includes the results of certain subsidiaries of Icahn Enterprises and Icahn Enterprises Holdings (unless otherwise noted), and investment activity and expenses associated with our Holding Company. </w:t>
      </w:r>
    </w:p>
    <w:p w:rsidR="00000000" w:rsidRDefault="00DB7886">
      <w:pPr>
        <w:pStyle w:val="a3"/>
        <w:spacing w:before="0" w:beforeAutospacing="0" w:after="240" w:afterAutospacing="0"/>
        <w:divId w:val="1718507464"/>
        <w:rPr>
          <w:b/>
          <w:bCs/>
          <w:i/>
          <w:iCs/>
          <w:sz w:val="20"/>
          <w:szCs w:val="20"/>
        </w:rPr>
      </w:pPr>
      <w:r>
        <w:rPr>
          <w:b/>
          <w:bCs/>
          <w:i/>
          <w:iCs/>
          <w:sz w:val="20"/>
          <w:szCs w:val="20"/>
        </w:rPr>
        <w:t>Significant Transactions and Developme</w:t>
      </w:r>
      <w:r>
        <w:rPr>
          <w:b/>
          <w:bCs/>
          <w:i/>
          <w:iCs/>
          <w:sz w:val="20"/>
          <w:szCs w:val="20"/>
        </w:rPr>
        <w:t>nts</w:t>
      </w:r>
    </w:p>
    <w:p w:rsidR="00000000" w:rsidRDefault="00DB7886">
      <w:pPr>
        <w:pStyle w:val="a3"/>
        <w:spacing w:before="0" w:beforeAutospacing="0" w:after="240" w:afterAutospacing="0"/>
        <w:divId w:val="1718507464"/>
        <w:rPr>
          <w:sz w:val="20"/>
          <w:szCs w:val="20"/>
        </w:rPr>
      </w:pPr>
      <w:r>
        <w:rPr>
          <w:i/>
          <w:iCs/>
          <w:sz w:val="20"/>
          <w:szCs w:val="20"/>
        </w:rPr>
        <w:t>Tender Offer</w:t>
      </w:r>
    </w:p>
    <w:p w:rsidR="00000000" w:rsidRDefault="00DB7886">
      <w:pPr>
        <w:pStyle w:val="a3"/>
        <w:spacing w:before="0" w:beforeAutospacing="0" w:after="240" w:afterAutospacing="0"/>
        <w:ind w:firstLine="360"/>
        <w:divId w:val="1718507464"/>
        <w:rPr>
          <w:sz w:val="20"/>
          <w:szCs w:val="20"/>
        </w:rPr>
      </w:pPr>
      <w:r>
        <w:rPr>
          <w:sz w:val="20"/>
          <w:szCs w:val="20"/>
        </w:rPr>
        <w:t xml:space="preserve">On October 27, 2021, IEP Utility Holdings LLC (“IEP Utility”), a wholly owned subsidiary of Icahn Enterprises Holdings, commenced a cash offer (the “SWX Tender Offer”) to acquire, subject to certain terms and conditions, all of the issued </w:t>
      </w:r>
      <w:r>
        <w:rPr>
          <w:sz w:val="20"/>
          <w:szCs w:val="20"/>
        </w:rPr>
        <w:t>and outstanding shares of common stock of Southwest Gas Holdings, Inc. (“Southwest Gas”) not held by affiliates of Icahn Enterprises Holdings at a price of $75.00 per share. Southwest Gas, through its wholly owned subsidiaries, is engaged in the business o</w:t>
      </w:r>
      <w:r>
        <w:rPr>
          <w:sz w:val="20"/>
          <w:szCs w:val="20"/>
        </w:rPr>
        <w:t>f purchasing, distributing, and transporting natural gas for customers in portions of Arizona, Nevada, and California. Southwest Gas’ shares of common stock are listed on the New York Stock Exchange under the symbol “SWX.” The SWX Tender Offer is scheduled</w:t>
      </w:r>
      <w:r>
        <w:rPr>
          <w:sz w:val="20"/>
          <w:szCs w:val="20"/>
        </w:rPr>
        <w:t xml:space="preserve"> to expire at 12:00 midnight, New York City Time, on December 27, 2021, unless the offer is extended. </w:t>
      </w:r>
    </w:p>
    <w:p w:rsidR="00000000" w:rsidRDefault="00DB7886">
      <w:pPr>
        <w:pStyle w:val="a3"/>
        <w:spacing w:before="0" w:beforeAutospacing="0" w:after="240" w:afterAutospacing="0"/>
        <w:divId w:val="1718507464"/>
        <w:rPr>
          <w:sz w:val="20"/>
          <w:szCs w:val="20"/>
        </w:rPr>
      </w:pPr>
      <w:r>
        <w:rPr>
          <w:i/>
          <w:iCs/>
          <w:sz w:val="20"/>
          <w:szCs w:val="20"/>
        </w:rPr>
        <w:t>Pending Sale of PSC Metals, LLC</w:t>
      </w:r>
    </w:p>
    <w:p w:rsidR="00000000" w:rsidRDefault="00DB7886">
      <w:pPr>
        <w:pStyle w:val="a3"/>
        <w:spacing w:before="0" w:beforeAutospacing="0" w:after="240" w:afterAutospacing="0"/>
        <w:ind w:firstLine="360"/>
        <w:divId w:val="1718507464"/>
        <w:rPr>
          <w:sz w:val="20"/>
          <w:szCs w:val="20"/>
        </w:rPr>
      </w:pPr>
      <w:r>
        <w:rPr>
          <w:sz w:val="20"/>
          <w:szCs w:val="20"/>
        </w:rPr>
        <w:t>On October 29, 2021, we announced a definitive agreement to sell 100% of the equity interests in PSC Metals, LLC (“PSC Me</w:t>
      </w:r>
      <w:r>
        <w:rPr>
          <w:sz w:val="20"/>
          <w:szCs w:val="20"/>
        </w:rPr>
        <w:t>tals”), our wholly owned subsidiary through which we conduct our Metals segment, for total consideration of approximately $290 million (including indebtedness that will be repaid at closing and subject to customary working capital adjustments). The sale is</w:t>
      </w:r>
      <w:r>
        <w:rPr>
          <w:sz w:val="20"/>
          <w:szCs w:val="20"/>
        </w:rPr>
        <w:t xml:space="preserve"> expected to close in the fourth quarter of 2021, subject to receiving applicable regulatory approvals, and to the satisfaction of other customary closing conditions. </w:t>
      </w:r>
    </w:p>
    <w:p w:rsidR="00000000" w:rsidRDefault="00DB7886">
      <w:pPr>
        <w:pStyle w:val="a3"/>
        <w:spacing w:before="0" w:beforeAutospacing="0" w:after="0" w:afterAutospacing="0"/>
        <w:divId w:val="1718507464"/>
        <w:rPr>
          <w:sz w:val="20"/>
          <w:szCs w:val="20"/>
        </w:rPr>
      </w:pPr>
      <w:r>
        <w:rPr>
          <w:i/>
          <w:iCs/>
          <w:sz w:val="20"/>
          <w:szCs w:val="20"/>
        </w:rPr>
        <w:t>​</w:t>
      </w:r>
    </w:p>
    <w:p w:rsidR="00000000" w:rsidRDefault="00DB7886">
      <w:pPr>
        <w:pStyle w:val="a3"/>
        <w:spacing w:before="480" w:beforeAutospacing="0" w:after="0" w:afterAutospacing="0"/>
        <w:jc w:val="center"/>
        <w:divId w:val="1021667017"/>
        <w:rPr>
          <w:sz w:val="20"/>
          <w:szCs w:val="20"/>
        </w:rPr>
      </w:pPr>
      <w:r>
        <w:rPr>
          <w:sz w:val="20"/>
          <w:szCs w:val="20"/>
        </w:rPr>
        <w:t>41</w:t>
      </w:r>
    </w:p>
    <w:p w:rsidR="00000000" w:rsidRDefault="00DB7886">
      <w:pPr>
        <w:pStyle w:val="a3"/>
        <w:spacing w:before="0" w:beforeAutospacing="0" w:after="600" w:afterAutospacing="0"/>
        <w:divId w:val="1623925133"/>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divId w:val="1003970794"/>
        <w:rPr>
          <w:sz w:val="20"/>
          <w:szCs w:val="20"/>
        </w:rPr>
      </w:pPr>
      <w:r>
        <w:rPr>
          <w:i/>
          <w:iCs/>
          <w:sz w:val="20"/>
          <w:szCs w:val="20"/>
        </w:rPr>
        <w:t>Debt Issuances</w:t>
      </w:r>
    </w:p>
    <w:p w:rsidR="00000000" w:rsidRDefault="00DB7886">
      <w:pPr>
        <w:pStyle w:val="a3"/>
        <w:spacing w:before="0" w:beforeAutospacing="0" w:after="240" w:afterAutospacing="0"/>
        <w:ind w:firstLine="360"/>
        <w:divId w:val="1003970794"/>
        <w:rPr>
          <w:sz w:val="20"/>
          <w:szCs w:val="20"/>
        </w:rPr>
      </w:pPr>
      <w:r>
        <w:rPr>
          <w:sz w:val="20"/>
          <w:szCs w:val="20"/>
        </w:rPr>
        <w:t>In January 2021, Icahn E</w:t>
      </w:r>
      <w:r>
        <w:rPr>
          <w:sz w:val="20"/>
          <w:szCs w:val="20"/>
        </w:rPr>
        <w:t>nterprises and Icahn Enterprises Finance Corp. (together the “Issuers”) issued $750 million in aggregate principal amount of 4.375% senior unsecured notes due 2029 (the “New 2029 Notes”). The proceeds from the New 2029 Notes were used to redeem $750 millio</w:t>
      </w:r>
      <w:r>
        <w:rPr>
          <w:sz w:val="20"/>
          <w:szCs w:val="20"/>
        </w:rPr>
        <w:t xml:space="preserve">n principal amount of 6.250% senior unsecured notes due 2022, and to pay accrued interest, related fees and expenses. </w:t>
      </w:r>
    </w:p>
    <w:p w:rsidR="00000000" w:rsidRDefault="00DB7886">
      <w:pPr>
        <w:pStyle w:val="a3"/>
        <w:spacing w:before="0" w:beforeAutospacing="0" w:after="240" w:afterAutospacing="0"/>
        <w:ind w:firstLine="360"/>
        <w:divId w:val="1003970794"/>
        <w:rPr>
          <w:sz w:val="20"/>
          <w:szCs w:val="20"/>
        </w:rPr>
      </w:pPr>
      <w:r>
        <w:rPr>
          <w:sz w:val="20"/>
          <w:szCs w:val="20"/>
        </w:rPr>
        <w:t>In April 2021, the Issuers issued $455 million in aggregate principal amount of additional 5.250% senior unsecured notes due 2027. The pr</w:t>
      </w:r>
      <w:r>
        <w:rPr>
          <w:sz w:val="20"/>
          <w:szCs w:val="20"/>
        </w:rPr>
        <w:t xml:space="preserve">oceeds from this issuance were used to redeem the remaining $455 million principal amount of 6.250% senior unsecured notes due 2022, and to pay accrued interest, related fees and expenses. </w:t>
      </w:r>
    </w:p>
    <w:p w:rsidR="00000000" w:rsidRDefault="00DB7886">
      <w:pPr>
        <w:pStyle w:val="a3"/>
        <w:spacing w:before="0" w:beforeAutospacing="0" w:after="240" w:afterAutospacing="0"/>
        <w:divId w:val="1003970794"/>
        <w:rPr>
          <w:sz w:val="20"/>
          <w:szCs w:val="20"/>
        </w:rPr>
      </w:pPr>
      <w:r>
        <w:rPr>
          <w:i/>
          <w:iCs/>
          <w:sz w:val="20"/>
          <w:szCs w:val="20"/>
        </w:rPr>
        <w:t>Management Changes</w:t>
      </w:r>
      <w:r>
        <w:rPr>
          <w:sz w:val="20"/>
          <w:szCs w:val="20"/>
        </w:rPr>
        <w:t xml:space="preserve"> </w:t>
      </w:r>
    </w:p>
    <w:p w:rsidR="00000000" w:rsidRDefault="00DB7886">
      <w:pPr>
        <w:pStyle w:val="a3"/>
        <w:spacing w:before="0" w:beforeAutospacing="0" w:after="240" w:afterAutospacing="0"/>
        <w:ind w:firstLine="360"/>
        <w:divId w:val="1003970794"/>
        <w:rPr>
          <w:sz w:val="20"/>
          <w:szCs w:val="20"/>
        </w:rPr>
      </w:pPr>
      <w:r>
        <w:rPr>
          <w:sz w:val="20"/>
          <w:szCs w:val="20"/>
        </w:rPr>
        <w:t>On April 5, 2021, we announced the hiring of A</w:t>
      </w:r>
      <w:r>
        <w:rPr>
          <w:sz w:val="20"/>
          <w:szCs w:val="20"/>
        </w:rPr>
        <w:t>ris Kekedjian, who succeeded Keith Cozza as President and Chief Executive Officer as of May 10, 2021. Mr. Kekedjian also joined the board of directors of our general partner. In addition, on May 17, 2021, we announced the hiring of David Willetts, who succ</w:t>
      </w:r>
      <w:r>
        <w:rPr>
          <w:sz w:val="20"/>
          <w:szCs w:val="20"/>
        </w:rPr>
        <w:t xml:space="preserve">eeded SungHwan Cho as Chief Financial Officer as of June 7, 2021. Mr. Willetts also joined the board of directors of our general partner. </w:t>
      </w:r>
    </w:p>
    <w:p w:rsidR="00000000" w:rsidRDefault="00DB7886">
      <w:pPr>
        <w:pStyle w:val="a3"/>
        <w:spacing w:before="0" w:beforeAutospacing="0" w:after="240" w:afterAutospacing="0"/>
        <w:divId w:val="1003970794"/>
        <w:rPr>
          <w:sz w:val="20"/>
          <w:szCs w:val="20"/>
        </w:rPr>
      </w:pPr>
      <w:r>
        <w:rPr>
          <w:b/>
          <w:bCs/>
          <w:sz w:val="20"/>
          <w:szCs w:val="20"/>
        </w:rPr>
        <w:t>Results of Operations</w:t>
      </w:r>
    </w:p>
    <w:p w:rsidR="00000000" w:rsidRDefault="00DB7886">
      <w:pPr>
        <w:pStyle w:val="a3"/>
        <w:spacing w:before="0" w:beforeAutospacing="0" w:after="240" w:afterAutospacing="0"/>
        <w:divId w:val="1003970794"/>
        <w:rPr>
          <w:b/>
          <w:bCs/>
          <w:i/>
          <w:iCs/>
          <w:sz w:val="20"/>
          <w:szCs w:val="20"/>
        </w:rPr>
      </w:pPr>
      <w:r>
        <w:rPr>
          <w:b/>
          <w:bCs/>
          <w:i/>
          <w:iCs/>
          <w:sz w:val="20"/>
          <w:szCs w:val="20"/>
        </w:rPr>
        <w:t>Consolidated Financial Results</w:t>
      </w:r>
    </w:p>
    <w:p w:rsidR="00000000" w:rsidRDefault="00DB7886">
      <w:pPr>
        <w:pStyle w:val="a3"/>
        <w:spacing w:before="0" w:beforeAutospacing="0" w:after="240" w:afterAutospacing="0"/>
        <w:ind w:firstLine="360"/>
        <w:divId w:val="1003970794"/>
        <w:rPr>
          <w:sz w:val="20"/>
          <w:szCs w:val="20"/>
        </w:rPr>
      </w:pPr>
      <w:r>
        <w:rPr>
          <w:sz w:val="20"/>
          <w:szCs w:val="20"/>
        </w:rPr>
        <w:t>Our operating businesses comprise consolidated subsidiaries whic</w:t>
      </w:r>
      <w:r>
        <w:rPr>
          <w:sz w:val="20"/>
          <w:szCs w:val="20"/>
        </w:rPr>
        <w:t>h operate in various industries and are managed on a decentralized basis. In addition to our Investment segment’s revenues from investment transactions, revenues for our operating businesses primarily consist of net sales of various products, services reve</w:t>
      </w:r>
      <w:r>
        <w:rPr>
          <w:sz w:val="20"/>
          <w:szCs w:val="20"/>
        </w:rPr>
        <w:t>nue, franchisor operations and leasing of real estate. Due to the structure and nature of our business, we primarily discuss the results of operations by individual reporting segment in order to better understand our consolidated operating performance. Cer</w:t>
      </w:r>
      <w:r>
        <w:rPr>
          <w:sz w:val="20"/>
          <w:szCs w:val="20"/>
        </w:rPr>
        <w:t>tain other financial information is discussed on a consolidated basis following our segment discussion, including other revenues and expenses included in continuing operations as well as our results from discontinued operations. In addition to the summariz</w:t>
      </w:r>
      <w:r>
        <w:rPr>
          <w:sz w:val="20"/>
          <w:szCs w:val="20"/>
        </w:rPr>
        <w:t>ed financial results below, refer to Note 12, “Segment Reporting,” to the condensed consolidated financial statements for a reconciliation of each of our reporting segment’s results of continuing operations to our consolidated results.</w:t>
      </w:r>
    </w:p>
    <w:p w:rsidR="00000000" w:rsidRDefault="00DB7886">
      <w:pPr>
        <w:pStyle w:val="a3"/>
        <w:spacing w:before="0" w:beforeAutospacing="0" w:after="240" w:afterAutospacing="0"/>
        <w:ind w:firstLine="360"/>
        <w:divId w:val="1003970794"/>
        <w:rPr>
          <w:sz w:val="20"/>
          <w:szCs w:val="20"/>
        </w:rPr>
      </w:pPr>
      <w:r>
        <w:rPr>
          <w:sz w:val="20"/>
          <w:szCs w:val="20"/>
        </w:rPr>
        <w:t xml:space="preserve">Throughout 2020 and </w:t>
      </w:r>
      <w:r>
        <w:rPr>
          <w:sz w:val="20"/>
          <w:szCs w:val="20"/>
        </w:rPr>
        <w:t>2021, the COVID-19 pandemic, and actions taken by governments and others in response thereto, has negatively impacted the global economy, financial markets, and certain of the industries in which our subsidiaries operate. Our consolidated results of operat</w:t>
      </w:r>
      <w:r>
        <w:rPr>
          <w:sz w:val="20"/>
          <w:szCs w:val="20"/>
        </w:rPr>
        <w:t>ions and financial condition have been impacted primarily by the volatility in the fair value of investments held by our Investment segment and the Holding Company as well as volatility in the global demand for refined products, especially gasoline and die</w:t>
      </w:r>
      <w:r>
        <w:rPr>
          <w:sz w:val="20"/>
          <w:szCs w:val="20"/>
        </w:rPr>
        <w:t>sel fuels, with respect to our Energy segment. The impact on our businesses has also included the acceleration of selective planned store closures in our Automotive segment and recording write-downs to inventories. The economic conditions that persisted fo</w:t>
      </w:r>
      <w:r>
        <w:rPr>
          <w:sz w:val="20"/>
          <w:szCs w:val="20"/>
        </w:rPr>
        <w:t>r much of 2020 have improved in 2021 as more governments reduce restrictions and more businesses resume operations.</w:t>
      </w:r>
    </w:p>
    <w:p w:rsidR="00000000" w:rsidRDefault="00DB7886">
      <w:pPr>
        <w:pStyle w:val="a3"/>
        <w:spacing w:before="0" w:beforeAutospacing="0" w:after="0" w:afterAutospacing="0"/>
        <w:divId w:val="1003970794"/>
        <w:rPr>
          <w:sz w:val="20"/>
          <w:szCs w:val="20"/>
        </w:rPr>
      </w:pPr>
      <w:r>
        <w:rPr>
          <w:sz w:val="20"/>
          <w:szCs w:val="20"/>
        </w:rPr>
        <w:t>​</w:t>
      </w:r>
    </w:p>
    <w:p w:rsidR="00000000" w:rsidRDefault="00DB7886">
      <w:pPr>
        <w:pStyle w:val="a3"/>
        <w:spacing w:before="480" w:beforeAutospacing="0" w:after="0" w:afterAutospacing="0"/>
        <w:jc w:val="center"/>
        <w:divId w:val="121962654"/>
        <w:rPr>
          <w:sz w:val="20"/>
          <w:szCs w:val="20"/>
        </w:rPr>
      </w:pPr>
      <w:r>
        <w:rPr>
          <w:sz w:val="20"/>
          <w:szCs w:val="20"/>
        </w:rPr>
        <w:t>42</w:t>
      </w:r>
    </w:p>
    <w:p w:rsidR="00000000" w:rsidRDefault="00DB7886">
      <w:pPr>
        <w:pStyle w:val="a3"/>
        <w:spacing w:before="0" w:beforeAutospacing="0" w:after="600" w:afterAutospacing="0"/>
        <w:divId w:val="1793865644"/>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ind w:firstLine="360"/>
        <w:divId w:val="610358356"/>
        <w:rPr>
          <w:sz w:val="20"/>
          <w:szCs w:val="20"/>
        </w:rPr>
      </w:pPr>
      <w:r>
        <w:rPr>
          <w:sz w:val="20"/>
          <w:szCs w:val="20"/>
        </w:rPr>
        <w:t>The comparability of our summarized consolidated financial results presented below is affec</w:t>
      </w:r>
      <w:r>
        <w:rPr>
          <w:sz w:val="20"/>
          <w:szCs w:val="20"/>
        </w:rPr>
        <w:t>ted primarily by the performance of the Investment Funds (as defined below), the results of operations of our Energy segment, impacted by the demand and pricing for its products, and our Holding Company’s realized and unrealized gains and losses on certain</w:t>
      </w:r>
      <w:r>
        <w:rPr>
          <w:sz w:val="20"/>
          <w:szCs w:val="20"/>
        </w:rPr>
        <w:t xml:space="preserve"> equity investments. Refer to our respective segment discussions and “Other Consolidated Results of Operations,” below for further discussion. </w:t>
      </w:r>
    </w:p>
    <w:tbl>
      <w:tblPr>
        <w:tblW w:w="5000" w:type="pct"/>
        <w:tblCellMar>
          <w:top w:w="15" w:type="dxa"/>
          <w:left w:w="0" w:type="dxa"/>
          <w:bottom w:w="15" w:type="dxa"/>
          <w:right w:w="0" w:type="dxa"/>
        </w:tblCellMar>
        <w:tblLook w:val="04A0" w:firstRow="1" w:lastRow="0" w:firstColumn="1" w:lastColumn="0" w:noHBand="0" w:noVBand="1"/>
      </w:tblPr>
      <w:tblGrid>
        <w:gridCol w:w="845"/>
        <w:gridCol w:w="160"/>
        <w:gridCol w:w="164"/>
        <w:gridCol w:w="965"/>
        <w:gridCol w:w="260"/>
        <w:gridCol w:w="161"/>
        <w:gridCol w:w="966"/>
        <w:gridCol w:w="160"/>
        <w:gridCol w:w="164"/>
        <w:gridCol w:w="965"/>
        <w:gridCol w:w="260"/>
        <w:gridCol w:w="161"/>
        <w:gridCol w:w="966"/>
        <w:gridCol w:w="160"/>
        <w:gridCol w:w="163"/>
        <w:gridCol w:w="965"/>
        <w:gridCol w:w="260"/>
        <w:gridCol w:w="161"/>
        <w:gridCol w:w="967"/>
      </w:tblGrid>
      <w:tr w:rsidR="00000000">
        <w:trPr>
          <w:divId w:val="610358356"/>
          <w:trHeight w:val="20"/>
        </w:trPr>
        <w:tc>
          <w:tcPr>
            <w:tcW w:w="864" w:type="pct"/>
            <w:tcMar>
              <w:top w:w="0" w:type="dxa"/>
              <w:left w:w="0" w:type="dxa"/>
              <w:bottom w:w="0" w:type="dxa"/>
              <w:right w:w="0" w:type="dxa"/>
            </w:tcMar>
            <w:vAlign w:val="bottom"/>
            <w:hideMark/>
          </w:tcPr>
          <w:p w:rsidR="00000000" w:rsidRDefault="00DB7886">
            <w:pPr>
              <w:pStyle w:val="a3"/>
              <w:spacing w:before="0" w:beforeAutospacing="0" w:after="0" w:afterAutospacing="0"/>
              <w:divId w:val="142168106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44369550"/>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7919459"/>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90347498"/>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924800861"/>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15380022"/>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00174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07157777"/>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40857139"/>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01927007"/>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99417597"/>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98138801"/>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7836893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01644257"/>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40042856"/>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77490669"/>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73357726"/>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05286658"/>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23887265"/>
              <w:rPr>
                <w:sz w:val="20"/>
                <w:szCs w:val="20"/>
              </w:rPr>
            </w:pPr>
            <w:r>
              <w:rPr>
                <w:sz w:val="2"/>
                <w:szCs w:val="2"/>
              </w:rPr>
              <w:t>​</w:t>
            </w:r>
          </w:p>
        </w:tc>
      </w:tr>
      <w:tr w:rsidR="00000000">
        <w:trPr>
          <w:divId w:val="610358356"/>
        </w:trPr>
        <w:tc>
          <w:tcPr>
            <w:tcW w:w="864"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16"/>
                <w:szCs w:val="16"/>
              </w:rPr>
              <w:t>​</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16"/>
                <w:szCs w:val="16"/>
              </w:rPr>
              <w:t>​</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296" w:type="pct"/>
            <w:gridSpan w:val="5"/>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Net Income (Loss)</w:t>
            </w:r>
          </w:p>
        </w:tc>
      </w:tr>
      <w:tr w:rsidR="00000000">
        <w:trPr>
          <w:divId w:val="610358356"/>
        </w:trPr>
        <w:tc>
          <w:tcPr>
            <w:tcW w:w="864"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1296"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Revenues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296"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Net Income (Loss)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296"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Attributable to Icahn Enterprises</w:t>
            </w:r>
            <w:r>
              <w:rPr>
                <w:sz w:val="16"/>
                <w:szCs w:val="16"/>
              </w:rPr>
              <w:t>  </w:t>
            </w:r>
          </w:p>
        </w:tc>
      </w:tr>
      <w:tr w:rsidR="00000000">
        <w:trPr>
          <w:divId w:val="610358356"/>
        </w:trPr>
        <w:tc>
          <w:tcPr>
            <w:tcW w:w="864"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1296"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Three Months Ended September 30, </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296"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Three Months Ended September 30, </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296"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Three Months Ended September 30, </w:t>
            </w:r>
          </w:p>
        </w:tc>
      </w:tr>
      <w:tr w:rsidR="00000000">
        <w:trPr>
          <w:divId w:val="610358356"/>
        </w:trPr>
        <w:tc>
          <w:tcPr>
            <w:tcW w:w="864"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58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2021</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580"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2020</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58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2021</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580"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2020</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58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2021</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580"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2020</w:t>
            </w:r>
          </w:p>
        </w:tc>
      </w:tr>
      <w:tr w:rsidR="00000000">
        <w:trPr>
          <w:divId w:val="610358356"/>
        </w:trPr>
        <w:tc>
          <w:tcPr>
            <w:tcW w:w="0" w:type="auto"/>
            <w:gridSpan w:val="19"/>
            <w:tcMar>
              <w:top w:w="0" w:type="dxa"/>
              <w:left w:w="0" w:type="dxa"/>
              <w:bottom w:w="0" w:type="dxa"/>
              <w:right w:w="0" w:type="dxa"/>
            </w:tcMar>
            <w:vAlign w:val="center"/>
            <w:hideMark/>
          </w:tcPr>
          <w:p w:rsidR="00000000" w:rsidRDefault="00DB7886">
            <w:pPr>
              <w:rPr>
                <w:sz w:val="16"/>
                <w:szCs w:val="16"/>
              </w:rPr>
            </w:pPr>
          </w:p>
        </w:tc>
      </w:tr>
      <w:tr w:rsidR="00000000">
        <w:trPr>
          <w:divId w:val="610358356"/>
        </w:trPr>
        <w:tc>
          <w:tcPr>
            <w:tcW w:w="864"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053" w:type="pct"/>
            <w:gridSpan w:val="17"/>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610358356"/>
        </w:trPr>
        <w:tc>
          <w:tcPr>
            <w:tcW w:w="864"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Investment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(131</w:t>
            </w: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(1,130</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(187</w:t>
            </w: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(1,183</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(84</w:t>
            </w: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(543</w:t>
            </w:r>
            <w:r>
              <w:rPr>
                <w:sz w:val="16"/>
                <w:szCs w:val="16"/>
              </w:rPr>
              <w:t>)</w:t>
            </w:r>
          </w:p>
        </w:tc>
      </w:tr>
      <w:tr w:rsidR="00000000">
        <w:trPr>
          <w:divId w:val="610358356"/>
        </w:trPr>
        <w:tc>
          <w:tcPr>
            <w:tcW w:w="864" w:type="pct"/>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Holding Company</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(27</w:t>
            </w:r>
            <w:r>
              <w:rPr>
                <w:sz w:val="16"/>
                <w:szCs w:val="16"/>
              </w:rPr>
              <w:t>)</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(21</w:t>
            </w: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(63</w:t>
            </w:r>
            <w:r>
              <w:rPr>
                <w:sz w:val="16"/>
                <w:szCs w:val="16"/>
              </w:rPr>
              <w:t>)</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(87</w:t>
            </w: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(63</w:t>
            </w:r>
            <w:r>
              <w:rPr>
                <w:sz w:val="16"/>
                <w:szCs w:val="16"/>
              </w:rPr>
              <w:t>)</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(87</w:t>
            </w:r>
            <w:r>
              <w:rPr>
                <w:sz w:val="16"/>
                <w:szCs w:val="16"/>
              </w:rPr>
              <w:t>)</w:t>
            </w:r>
          </w:p>
        </w:tc>
      </w:tr>
      <w:tr w:rsidR="00000000">
        <w:trPr>
          <w:divId w:val="610358356"/>
        </w:trPr>
        <w:tc>
          <w:tcPr>
            <w:tcW w:w="864"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r>
      <w:tr w:rsidR="00000000">
        <w:trPr>
          <w:divId w:val="610358356"/>
        </w:trPr>
        <w:tc>
          <w:tcPr>
            <w:tcW w:w="864"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16"/>
                <w:szCs w:val="16"/>
              </w:rPr>
            </w:pPr>
            <w:r>
              <w:rPr>
                <w:sz w:val="16"/>
                <w:szCs w:val="16"/>
                <w:u w:val="single"/>
              </w:rPr>
              <w:t>Other Operating Segments</w:t>
            </w:r>
            <w:r>
              <w:rPr>
                <w:sz w:val="16"/>
                <w:szCs w:val="16"/>
                <w:u w:val="single"/>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6"/>
                <w:szCs w:val="16"/>
              </w:rPr>
              <w:t>​</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6"/>
                <w:szCs w:val="16"/>
              </w:rPr>
              <w:t>​</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6"/>
                <w:szCs w:val="16"/>
              </w:rPr>
              <w:t>​</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6"/>
                <w:szCs w:val="16"/>
              </w:rPr>
              <w:t>​</w:t>
            </w:r>
          </w:p>
        </w:tc>
      </w:tr>
      <w:tr w:rsidR="00000000">
        <w:trPr>
          <w:divId w:val="610358356"/>
        </w:trPr>
        <w:tc>
          <w:tcPr>
            <w:tcW w:w="864"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Energy</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1,88</w:t>
            </w:r>
            <w:r>
              <w:rPr>
                <w:sz w:val="16"/>
                <w:szCs w:val="16"/>
              </w:rPr>
              <w:t>3</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94</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9</w:t>
            </w:r>
            <w:r>
              <w:rPr>
                <w:sz w:val="16"/>
                <w:szCs w:val="16"/>
              </w:rPr>
              <w:t>4</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(120</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5</w:t>
            </w:r>
            <w:r>
              <w:rPr>
                <w:sz w:val="16"/>
                <w:szCs w:val="16"/>
              </w:rPr>
              <w:t>4</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(73</w:t>
            </w:r>
            <w:r>
              <w:rPr>
                <w:sz w:val="16"/>
                <w:szCs w:val="16"/>
              </w:rPr>
              <w:t>)</w:t>
            </w:r>
          </w:p>
        </w:tc>
      </w:tr>
      <w:tr w:rsidR="00000000">
        <w:trPr>
          <w:divId w:val="610358356"/>
        </w:trPr>
        <w:tc>
          <w:tcPr>
            <w:tcW w:w="864" w:type="pct"/>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Automotive</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57</w:t>
            </w:r>
            <w:r>
              <w:rPr>
                <w:sz w:val="16"/>
                <w:szCs w:val="16"/>
              </w:rPr>
              <w:t>4</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65</w:t>
            </w:r>
            <w:r>
              <w:rPr>
                <w:sz w:val="16"/>
                <w:szCs w:val="16"/>
              </w:rPr>
              <w:t>8</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(55</w:t>
            </w:r>
            <w:r>
              <w:rPr>
                <w:sz w:val="16"/>
                <w:szCs w:val="16"/>
              </w:rPr>
              <w:t>)</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(26</w:t>
            </w: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(55</w:t>
            </w:r>
            <w:r>
              <w:rPr>
                <w:sz w:val="16"/>
                <w:szCs w:val="16"/>
              </w:rPr>
              <w:t>)</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(26</w:t>
            </w:r>
            <w:r>
              <w:rPr>
                <w:sz w:val="16"/>
                <w:szCs w:val="16"/>
              </w:rPr>
              <w:t>)</w:t>
            </w:r>
          </w:p>
        </w:tc>
      </w:tr>
      <w:tr w:rsidR="00000000">
        <w:trPr>
          <w:divId w:val="610358356"/>
        </w:trPr>
        <w:tc>
          <w:tcPr>
            <w:tcW w:w="864"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Food Packaging</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10</w:t>
            </w:r>
            <w:r>
              <w:rPr>
                <w:sz w:val="16"/>
                <w:szCs w:val="16"/>
              </w:rPr>
              <w:t>3</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10</w:t>
            </w: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3</w:t>
            </w:r>
          </w:p>
        </w:tc>
      </w:tr>
      <w:tr w:rsidR="00000000">
        <w:trPr>
          <w:divId w:val="610358356"/>
        </w:trPr>
        <w:tc>
          <w:tcPr>
            <w:tcW w:w="86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Metals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14</w:t>
            </w:r>
            <w:r>
              <w:rPr>
                <w:sz w:val="16"/>
                <w:szCs w:val="16"/>
              </w:rPr>
              <w:t>4</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8</w:t>
            </w:r>
            <w:r>
              <w:rPr>
                <w:sz w:val="16"/>
                <w:szCs w:val="16"/>
              </w:rPr>
              <w:t>5</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7</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3</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7</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3</w:t>
            </w:r>
          </w:p>
        </w:tc>
      </w:tr>
      <w:tr w:rsidR="00000000">
        <w:trPr>
          <w:divId w:val="610358356"/>
        </w:trPr>
        <w:tc>
          <w:tcPr>
            <w:tcW w:w="864"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Real Estate</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3</w:t>
            </w:r>
            <w:r>
              <w:rPr>
                <w:sz w:val="16"/>
                <w:szCs w:val="16"/>
              </w:rPr>
              <w:t>0</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2</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8</w:t>
            </w:r>
          </w:p>
        </w:tc>
      </w:tr>
      <w:tr w:rsidR="00000000">
        <w:trPr>
          <w:divId w:val="610358356"/>
        </w:trPr>
        <w:tc>
          <w:tcPr>
            <w:tcW w:w="864" w:type="pct"/>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Home Fashion</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5</w:t>
            </w:r>
            <w:r>
              <w:rPr>
                <w:sz w:val="16"/>
                <w:szCs w:val="16"/>
              </w:rPr>
              <w:t>1</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5</w:t>
            </w:r>
            <w:r>
              <w:rPr>
                <w:sz w:val="16"/>
                <w:szCs w:val="16"/>
              </w:rPr>
              <w:t>3</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(3</w:t>
            </w:r>
            <w:r>
              <w:rPr>
                <w:sz w:val="16"/>
                <w:szCs w:val="16"/>
              </w:rPr>
              <w:t>)</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(3</w:t>
            </w:r>
            <w:r>
              <w:rPr>
                <w:sz w:val="16"/>
                <w:szCs w:val="16"/>
              </w:rPr>
              <w:t>)</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w:t>
            </w:r>
          </w:p>
        </w:tc>
      </w:tr>
      <w:tr w:rsidR="00000000">
        <w:trPr>
          <w:divId w:val="610358356"/>
        </w:trPr>
        <w:tc>
          <w:tcPr>
            <w:tcW w:w="864"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Pharma</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w:t>
            </w:r>
            <w:r>
              <w:rPr>
                <w:sz w:val="16"/>
                <w:szCs w:val="16"/>
              </w:rPr>
              <w:t>9</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(5</w:t>
            </w: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(5</w:t>
            </w: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w:t>
            </w:r>
          </w:p>
        </w:tc>
      </w:tr>
      <w:tr w:rsidR="00000000">
        <w:trPr>
          <w:divId w:val="610358356"/>
        </w:trPr>
        <w:tc>
          <w:tcPr>
            <w:tcW w:w="864" w:type="pct"/>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Other operating segments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2,80</w:t>
            </w:r>
            <w:r>
              <w:rPr>
                <w:sz w:val="16"/>
                <w:szCs w:val="16"/>
              </w:rPr>
              <w:t>4</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1,87</w:t>
            </w:r>
            <w:r>
              <w:rPr>
                <w:sz w:val="16"/>
                <w:szCs w:val="16"/>
              </w:rPr>
              <w:t>4</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3</w:t>
            </w:r>
            <w:r>
              <w:rPr>
                <w:sz w:val="16"/>
                <w:szCs w:val="16"/>
              </w:rPr>
              <w:t>9</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(130</w:t>
            </w: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w:t>
            </w:r>
            <w:r>
              <w:rPr>
                <w:sz w:val="16"/>
                <w:szCs w:val="16"/>
              </w:rPr>
              <w:t>)</w:t>
            </w:r>
          </w:p>
        </w:tc>
        <w:tc>
          <w:tcPr>
            <w:tcW w:w="13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(84</w:t>
            </w:r>
            <w:r>
              <w:rPr>
                <w:sz w:val="16"/>
                <w:szCs w:val="16"/>
              </w:rPr>
              <w:t>)</w:t>
            </w:r>
          </w:p>
        </w:tc>
      </w:tr>
      <w:tr w:rsidR="00000000">
        <w:trPr>
          <w:divId w:val="610358356"/>
        </w:trPr>
        <w:tc>
          <w:tcPr>
            <w:tcW w:w="864"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Consolidated</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2,64</w:t>
            </w:r>
            <w:r>
              <w:rPr>
                <w:sz w:val="16"/>
                <w:szCs w:val="16"/>
              </w:rPr>
              <w:t>6</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72</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(211</w:t>
            </w: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(1,400</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(148</w:t>
            </w:r>
            <w:r>
              <w:rPr>
                <w:sz w:val="16"/>
                <w:szCs w:val="16"/>
              </w:rPr>
              <w:t>)</w:t>
            </w:r>
          </w:p>
        </w:tc>
        <w:tc>
          <w:tcPr>
            <w:tcW w:w="13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(714</w:t>
            </w:r>
            <w:r>
              <w:rPr>
                <w:sz w:val="16"/>
                <w:szCs w:val="16"/>
              </w:rPr>
              <w:t>)</w:t>
            </w:r>
          </w:p>
        </w:tc>
      </w:tr>
    </w:tbl>
    <w:p w:rsidR="00000000" w:rsidRDefault="00DB7886">
      <w:pPr>
        <w:pStyle w:val="a3"/>
        <w:spacing w:before="0" w:beforeAutospacing="0" w:after="0" w:afterAutospacing="0"/>
        <w:divId w:val="61035835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845"/>
        <w:gridCol w:w="160"/>
        <w:gridCol w:w="158"/>
        <w:gridCol w:w="931"/>
        <w:gridCol w:w="252"/>
        <w:gridCol w:w="155"/>
        <w:gridCol w:w="931"/>
        <w:gridCol w:w="160"/>
        <w:gridCol w:w="158"/>
        <w:gridCol w:w="931"/>
        <w:gridCol w:w="252"/>
        <w:gridCol w:w="155"/>
        <w:gridCol w:w="931"/>
        <w:gridCol w:w="160"/>
        <w:gridCol w:w="158"/>
        <w:gridCol w:w="929"/>
        <w:gridCol w:w="252"/>
        <w:gridCol w:w="155"/>
        <w:gridCol w:w="933"/>
      </w:tblGrid>
      <w:tr w:rsidR="00000000">
        <w:trPr>
          <w:divId w:val="610358356"/>
          <w:trHeight w:val="20"/>
        </w:trPr>
        <w:tc>
          <w:tcPr>
            <w:tcW w:w="1001" w:type="pct"/>
            <w:tcMar>
              <w:top w:w="0" w:type="dxa"/>
              <w:left w:w="0" w:type="dxa"/>
              <w:bottom w:w="0" w:type="dxa"/>
              <w:right w:w="0" w:type="dxa"/>
            </w:tcMar>
            <w:vAlign w:val="bottom"/>
            <w:hideMark/>
          </w:tcPr>
          <w:p w:rsidR="00000000" w:rsidRDefault="00DB7886">
            <w:pPr>
              <w:pStyle w:val="a3"/>
              <w:spacing w:before="0" w:beforeAutospacing="0" w:after="0" w:afterAutospacing="0"/>
              <w:divId w:val="120902778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27125525"/>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00672876"/>
              <w:rPr>
                <w:sz w:val="20"/>
                <w:szCs w:val="20"/>
              </w:rPr>
            </w:pPr>
            <w:r>
              <w:rPr>
                <w:sz w:val="2"/>
                <w:szCs w:val="2"/>
              </w:rPr>
              <w:t>​</w:t>
            </w:r>
          </w:p>
        </w:tc>
        <w:tc>
          <w:tcPr>
            <w:tcW w:w="47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73004851"/>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39734579"/>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74500135"/>
              <w:rPr>
                <w:sz w:val="20"/>
                <w:szCs w:val="20"/>
              </w:rPr>
            </w:pPr>
            <w:r>
              <w:rPr>
                <w:sz w:val="2"/>
                <w:szCs w:val="2"/>
              </w:rPr>
              <w:t>​</w:t>
            </w:r>
          </w:p>
        </w:tc>
        <w:tc>
          <w:tcPr>
            <w:tcW w:w="47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8070330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21160274"/>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80130346"/>
              <w:rPr>
                <w:sz w:val="20"/>
                <w:szCs w:val="20"/>
              </w:rPr>
            </w:pPr>
            <w:r>
              <w:rPr>
                <w:sz w:val="2"/>
                <w:szCs w:val="2"/>
              </w:rPr>
              <w:t>​</w:t>
            </w:r>
          </w:p>
        </w:tc>
        <w:tc>
          <w:tcPr>
            <w:tcW w:w="47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64331546"/>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5399868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31231873"/>
              <w:rPr>
                <w:sz w:val="20"/>
                <w:szCs w:val="20"/>
              </w:rPr>
            </w:pPr>
            <w:r>
              <w:rPr>
                <w:sz w:val="2"/>
                <w:szCs w:val="2"/>
              </w:rPr>
              <w:t>​</w:t>
            </w:r>
          </w:p>
        </w:tc>
        <w:tc>
          <w:tcPr>
            <w:tcW w:w="47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0065623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32223741"/>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24206928"/>
              <w:rPr>
                <w:sz w:val="20"/>
                <w:szCs w:val="20"/>
              </w:rPr>
            </w:pPr>
            <w:r>
              <w:rPr>
                <w:sz w:val="2"/>
                <w:szCs w:val="2"/>
              </w:rPr>
              <w:t>​</w:t>
            </w:r>
          </w:p>
        </w:tc>
        <w:tc>
          <w:tcPr>
            <w:tcW w:w="47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9950419"/>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45313057"/>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61292859"/>
              <w:rPr>
                <w:sz w:val="20"/>
                <w:szCs w:val="20"/>
              </w:rPr>
            </w:pPr>
            <w:r>
              <w:rPr>
                <w:sz w:val="2"/>
                <w:szCs w:val="2"/>
              </w:rPr>
              <w:t>​</w:t>
            </w:r>
          </w:p>
        </w:tc>
        <w:tc>
          <w:tcPr>
            <w:tcW w:w="47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84499167"/>
              <w:rPr>
                <w:sz w:val="20"/>
                <w:szCs w:val="20"/>
              </w:rPr>
            </w:pPr>
            <w:r>
              <w:rPr>
                <w:sz w:val="2"/>
                <w:szCs w:val="2"/>
              </w:rPr>
              <w:t>​</w:t>
            </w:r>
          </w:p>
        </w:tc>
      </w:tr>
      <w:tr w:rsidR="00000000">
        <w:trPr>
          <w:divId w:val="610358356"/>
        </w:trPr>
        <w:tc>
          <w:tcPr>
            <w:tcW w:w="100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479"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16"/>
                <w:szCs w:val="16"/>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478"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79"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16"/>
                <w:szCs w:val="16"/>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78"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250" w:type="pct"/>
            <w:gridSpan w:val="5"/>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Net Income (Loss)</w:t>
            </w:r>
          </w:p>
        </w:tc>
      </w:tr>
      <w:tr w:rsidR="00000000">
        <w:trPr>
          <w:divId w:val="610358356"/>
        </w:trPr>
        <w:tc>
          <w:tcPr>
            <w:tcW w:w="100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1250"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Revenues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250"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Net Income (Loss)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250"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Attributable to Icahn Enterprises</w:t>
            </w:r>
            <w:r>
              <w:rPr>
                <w:sz w:val="16"/>
                <w:szCs w:val="16"/>
              </w:rPr>
              <w:t>  </w:t>
            </w:r>
          </w:p>
        </w:tc>
      </w:tr>
      <w:tr w:rsidR="00000000">
        <w:trPr>
          <w:divId w:val="610358356"/>
        </w:trPr>
        <w:tc>
          <w:tcPr>
            <w:tcW w:w="100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1250"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Nine Months Ended September 30, </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250"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Nine Months Ended September 30, </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250"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Nine Months Ended September 30, </w:t>
            </w:r>
          </w:p>
        </w:tc>
      </w:tr>
      <w:tr w:rsidR="00000000">
        <w:trPr>
          <w:divId w:val="610358356"/>
        </w:trPr>
        <w:tc>
          <w:tcPr>
            <w:tcW w:w="100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2021</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2020</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2021</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2020</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2021</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2020</w:t>
            </w:r>
          </w:p>
        </w:tc>
      </w:tr>
      <w:tr w:rsidR="00000000">
        <w:trPr>
          <w:divId w:val="610358356"/>
        </w:trPr>
        <w:tc>
          <w:tcPr>
            <w:tcW w:w="0" w:type="auto"/>
            <w:gridSpan w:val="19"/>
            <w:tcMar>
              <w:top w:w="0" w:type="dxa"/>
              <w:left w:w="0" w:type="dxa"/>
              <w:bottom w:w="0" w:type="dxa"/>
              <w:right w:w="0" w:type="dxa"/>
            </w:tcMar>
            <w:vAlign w:val="center"/>
            <w:hideMark/>
          </w:tcPr>
          <w:p w:rsidR="00000000" w:rsidRDefault="00DB7886">
            <w:pPr>
              <w:rPr>
                <w:sz w:val="16"/>
                <w:szCs w:val="16"/>
              </w:rPr>
            </w:pPr>
          </w:p>
        </w:tc>
      </w:tr>
      <w:tr w:rsidR="00000000">
        <w:trPr>
          <w:divId w:val="610358356"/>
        </w:trPr>
        <w:tc>
          <w:tcPr>
            <w:tcW w:w="100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3915" w:type="pct"/>
            <w:gridSpan w:val="17"/>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610358356"/>
        </w:trPr>
        <w:tc>
          <w:tcPr>
            <w:tcW w:w="100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Investment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1,00</w:t>
            </w:r>
            <w:r>
              <w:rPr>
                <w:sz w:val="16"/>
                <w:szCs w:val="16"/>
              </w:rPr>
              <w:t>1</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7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(1,793</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82</w:t>
            </w:r>
            <w:r>
              <w:rPr>
                <w:sz w:val="16"/>
                <w:szCs w:val="16"/>
              </w:rPr>
              <w:t>0</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7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(1,937</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37</w:t>
            </w:r>
            <w:r>
              <w:rPr>
                <w:sz w:val="16"/>
                <w:szCs w:val="16"/>
              </w:rPr>
              <w:t>5</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7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(990</w:t>
            </w:r>
            <w:r>
              <w:rPr>
                <w:sz w:val="16"/>
                <w:szCs w:val="16"/>
              </w:rPr>
              <w:t>)</w:t>
            </w:r>
          </w:p>
        </w:tc>
      </w:tr>
      <w:tr w:rsidR="00000000">
        <w:trPr>
          <w:divId w:val="610358356"/>
        </w:trPr>
        <w:tc>
          <w:tcPr>
            <w:tcW w:w="1001" w:type="pct"/>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Holding Company</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(6</w:t>
            </w:r>
            <w:r>
              <w:rPr>
                <w:sz w:val="16"/>
                <w:szCs w:val="16"/>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(226</w:t>
            </w: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(376</w:t>
            </w:r>
            <w:r>
              <w:rPr>
                <w:sz w:val="16"/>
                <w:szCs w:val="16"/>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(507</w:t>
            </w: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(376</w:t>
            </w:r>
            <w:r>
              <w:rPr>
                <w:sz w:val="16"/>
                <w:szCs w:val="16"/>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(507</w:t>
            </w:r>
            <w:r>
              <w:rPr>
                <w:sz w:val="16"/>
                <w:szCs w:val="16"/>
              </w:rPr>
              <w:t>)</w:t>
            </w:r>
          </w:p>
        </w:tc>
      </w:tr>
      <w:tr w:rsidR="00000000">
        <w:trPr>
          <w:divId w:val="610358356"/>
        </w:trPr>
        <w:tc>
          <w:tcPr>
            <w:tcW w:w="100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7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7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47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r>
      <w:tr w:rsidR="00000000">
        <w:trPr>
          <w:divId w:val="610358356"/>
        </w:trPr>
        <w:tc>
          <w:tcPr>
            <w:tcW w:w="1001" w:type="pct"/>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u w:val="single"/>
              </w:rPr>
              <w:t>Other Operating Segments</w:t>
            </w:r>
            <w:r>
              <w:rPr>
                <w:sz w:val="16"/>
                <w:szCs w:val="16"/>
                <w:u w:val="single"/>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6"/>
                <w:szCs w:val="16"/>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6"/>
                <w:szCs w:val="16"/>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6"/>
                <w:szCs w:val="16"/>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16"/>
                <w:szCs w:val="16"/>
              </w:rPr>
              <w:t>​</w:t>
            </w:r>
          </w:p>
        </w:tc>
      </w:tr>
      <w:tr w:rsidR="00000000">
        <w:trPr>
          <w:divId w:val="610358356"/>
        </w:trPr>
        <w:tc>
          <w:tcPr>
            <w:tcW w:w="100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Energy</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5,21</w:t>
            </w:r>
            <w:r>
              <w:rPr>
                <w:sz w:val="16"/>
                <w:szCs w:val="16"/>
              </w:rPr>
              <w:t>2</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2,79</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w:t>
            </w:r>
            <w:r>
              <w:rPr>
                <w:sz w:val="16"/>
                <w:szCs w:val="16"/>
              </w:rPr>
              <w:t>3</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(236</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w:t>
            </w:r>
            <w:r>
              <w:rPr>
                <w:sz w:val="16"/>
                <w:szCs w:val="16"/>
              </w:rPr>
              <w:t>0</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(140</w:t>
            </w:r>
            <w:r>
              <w:rPr>
                <w:sz w:val="16"/>
                <w:szCs w:val="16"/>
              </w:rPr>
              <w:t>)</w:t>
            </w:r>
          </w:p>
        </w:tc>
      </w:tr>
      <w:tr w:rsidR="00000000">
        <w:trPr>
          <w:divId w:val="610358356"/>
        </w:trPr>
        <w:tc>
          <w:tcPr>
            <w:tcW w:w="1001" w:type="pct"/>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Automotive</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1,80</w:t>
            </w:r>
            <w:r>
              <w:rPr>
                <w:sz w:val="16"/>
                <w:szCs w:val="16"/>
              </w:rPr>
              <w:t>6</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1,87</w:t>
            </w:r>
            <w:r>
              <w:rPr>
                <w:sz w:val="16"/>
                <w:szCs w:val="16"/>
              </w:rPr>
              <w:t>5</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(139</w:t>
            </w:r>
            <w:r>
              <w:rPr>
                <w:sz w:val="16"/>
                <w:szCs w:val="16"/>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(149</w:t>
            </w: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(139</w:t>
            </w:r>
            <w:r>
              <w:rPr>
                <w:sz w:val="16"/>
                <w:szCs w:val="16"/>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(149</w:t>
            </w:r>
            <w:r>
              <w:rPr>
                <w:sz w:val="16"/>
                <w:szCs w:val="16"/>
              </w:rPr>
              <w:t>)</w:t>
            </w:r>
          </w:p>
        </w:tc>
      </w:tr>
      <w:tr w:rsidR="00000000">
        <w:trPr>
          <w:divId w:val="610358356"/>
        </w:trPr>
        <w:tc>
          <w:tcPr>
            <w:tcW w:w="100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Food Packaging</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30</w:t>
            </w:r>
            <w:r>
              <w:rPr>
                <w:sz w:val="16"/>
                <w:szCs w:val="16"/>
              </w:rPr>
              <w:t>2</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29</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2</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2</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3</w:t>
            </w:r>
          </w:p>
        </w:tc>
      </w:tr>
      <w:tr w:rsidR="00000000">
        <w:trPr>
          <w:divId w:val="610358356"/>
        </w:trPr>
        <w:tc>
          <w:tcPr>
            <w:tcW w:w="100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Metals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41</w:t>
            </w:r>
            <w:r>
              <w:rPr>
                <w:sz w:val="16"/>
                <w:szCs w:val="16"/>
              </w:rPr>
              <w:t>8</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20</w:t>
            </w:r>
            <w:r>
              <w:rPr>
                <w:sz w:val="16"/>
                <w:szCs w:val="16"/>
              </w:rPr>
              <w:t>5</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w:t>
            </w:r>
            <w:r>
              <w:rPr>
                <w:sz w:val="16"/>
                <w:szCs w:val="16"/>
              </w:rPr>
              <w:t>9</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(10</w:t>
            </w: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w:t>
            </w:r>
            <w:r>
              <w:rPr>
                <w:sz w:val="16"/>
                <w:szCs w:val="16"/>
              </w:rPr>
              <w:t>9</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(10</w:t>
            </w:r>
            <w:r>
              <w:rPr>
                <w:sz w:val="16"/>
                <w:szCs w:val="16"/>
              </w:rPr>
              <w:t>)</w:t>
            </w:r>
          </w:p>
        </w:tc>
      </w:tr>
      <w:tr w:rsidR="00000000">
        <w:trPr>
          <w:divId w:val="610358356"/>
        </w:trPr>
        <w:tc>
          <w:tcPr>
            <w:tcW w:w="100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Real Estate</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7</w:t>
            </w:r>
            <w:r>
              <w:rPr>
                <w:sz w:val="16"/>
                <w:szCs w:val="16"/>
              </w:rPr>
              <w:t>4</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7</w:t>
            </w: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(5</w:t>
            </w:r>
            <w:r>
              <w:rPr>
                <w:sz w:val="16"/>
                <w:szCs w:val="16"/>
              </w:rPr>
              <w:t>)</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(4</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(5</w:t>
            </w:r>
            <w:r>
              <w:rPr>
                <w:sz w:val="16"/>
                <w:szCs w:val="16"/>
              </w:rPr>
              <w:t>)</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(4</w:t>
            </w:r>
            <w:r>
              <w:rPr>
                <w:sz w:val="16"/>
                <w:szCs w:val="16"/>
              </w:rPr>
              <w:t>)</w:t>
            </w:r>
          </w:p>
        </w:tc>
      </w:tr>
      <w:tr w:rsidR="00000000">
        <w:trPr>
          <w:divId w:val="610358356"/>
        </w:trPr>
        <w:tc>
          <w:tcPr>
            <w:tcW w:w="1001" w:type="pct"/>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Home Fashion</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14</w:t>
            </w:r>
            <w:r>
              <w:rPr>
                <w:sz w:val="16"/>
                <w:szCs w:val="16"/>
              </w:rPr>
              <w:t>3</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14</w:t>
            </w:r>
            <w:r>
              <w:rPr>
                <w:sz w:val="16"/>
                <w:szCs w:val="16"/>
              </w:rPr>
              <w:t>3</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(9</w:t>
            </w:r>
            <w:r>
              <w:rPr>
                <w:sz w:val="16"/>
                <w:szCs w:val="16"/>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(2</w:t>
            </w: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(9</w:t>
            </w:r>
            <w:r>
              <w:rPr>
                <w:sz w:val="16"/>
                <w:szCs w:val="16"/>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(2</w:t>
            </w:r>
            <w:r>
              <w:rPr>
                <w:sz w:val="16"/>
                <w:szCs w:val="16"/>
              </w:rPr>
              <w:t>)</w:t>
            </w:r>
          </w:p>
        </w:tc>
      </w:tr>
      <w:tr w:rsidR="00000000">
        <w:trPr>
          <w:divId w:val="610358356"/>
        </w:trPr>
        <w:tc>
          <w:tcPr>
            <w:tcW w:w="100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Pharma</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6</w:t>
            </w:r>
            <w:r>
              <w:rPr>
                <w:sz w:val="16"/>
                <w:szCs w:val="16"/>
              </w:rPr>
              <w:t>8</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1</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w:t>
            </w:r>
          </w:p>
        </w:tc>
      </w:tr>
      <w:tr w:rsidR="00000000">
        <w:trPr>
          <w:divId w:val="610358356"/>
        </w:trPr>
        <w:tc>
          <w:tcPr>
            <w:tcW w:w="1001" w:type="pct"/>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Other operating segments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8,02</w:t>
            </w:r>
            <w:r>
              <w:rPr>
                <w:sz w:val="16"/>
                <w:szCs w:val="16"/>
              </w:rPr>
              <w:t>3</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5,39</w:t>
            </w:r>
            <w:r>
              <w:rPr>
                <w:sz w:val="16"/>
                <w:szCs w:val="16"/>
              </w:rPr>
              <w:t>1</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(118</w:t>
            </w:r>
            <w:r>
              <w:rPr>
                <w:sz w:val="16"/>
                <w:szCs w:val="16"/>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(398</w:t>
            </w: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(121</w:t>
            </w:r>
            <w:r>
              <w:rPr>
                <w:sz w:val="16"/>
                <w:szCs w:val="16"/>
              </w:rPr>
              <w:t>)</w:t>
            </w:r>
          </w:p>
        </w:tc>
        <w:tc>
          <w:tcPr>
            <w:tcW w:w="13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 </w:t>
            </w:r>
          </w:p>
        </w:tc>
        <w:tc>
          <w:tcPr>
            <w:tcW w:w="47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(302</w:t>
            </w:r>
            <w:r>
              <w:rPr>
                <w:sz w:val="16"/>
                <w:szCs w:val="16"/>
              </w:rPr>
              <w:t>)</w:t>
            </w:r>
          </w:p>
        </w:tc>
      </w:tr>
      <w:tr w:rsidR="00000000">
        <w:trPr>
          <w:divId w:val="610358356"/>
        </w:trPr>
        <w:tc>
          <w:tcPr>
            <w:tcW w:w="100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Consolidated</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9,01</w:t>
            </w:r>
            <w:r>
              <w:rPr>
                <w:sz w:val="16"/>
                <w:szCs w:val="16"/>
              </w:rPr>
              <w:t>8</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3,37</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6"/>
                <w:szCs w:val="16"/>
              </w:rPr>
            </w:pPr>
            <w:r>
              <w:rPr>
                <w:sz w:val="16"/>
                <w:szCs w:val="16"/>
              </w:rPr>
              <w:t>32</w:t>
            </w:r>
            <w:r>
              <w:rPr>
                <w:sz w:val="16"/>
                <w:szCs w:val="16"/>
              </w:rPr>
              <w:t>6</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(2,842</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(122</w:t>
            </w:r>
            <w:r>
              <w:rPr>
                <w:sz w:val="16"/>
                <w:szCs w:val="16"/>
              </w:rPr>
              <w:t>)</w:t>
            </w:r>
          </w:p>
        </w:tc>
        <w:tc>
          <w:tcPr>
            <w:tcW w:w="13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sz w:val="16"/>
                <w:szCs w:val="16"/>
              </w:rPr>
              <w:t>$</w:t>
            </w:r>
          </w:p>
        </w:tc>
        <w:tc>
          <w:tcPr>
            <w:tcW w:w="4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16"/>
                <w:szCs w:val="16"/>
              </w:rPr>
            </w:pPr>
            <w:r>
              <w:rPr>
                <w:sz w:val="16"/>
                <w:szCs w:val="16"/>
              </w:rPr>
              <w:t>(1,799</w:t>
            </w:r>
            <w:r>
              <w:rPr>
                <w:sz w:val="16"/>
                <w:szCs w:val="16"/>
              </w:rPr>
              <w:t>)</w:t>
            </w:r>
          </w:p>
        </w:tc>
      </w:tr>
    </w:tbl>
    <w:p w:rsidR="00000000" w:rsidRDefault="00DB7886">
      <w:pPr>
        <w:pStyle w:val="a3"/>
        <w:spacing w:before="0" w:beforeAutospacing="0" w:after="0" w:afterAutospacing="0"/>
        <w:divId w:val="610358356"/>
        <w:rPr>
          <w:sz w:val="20"/>
          <w:szCs w:val="20"/>
        </w:rPr>
      </w:pPr>
      <w:r>
        <w:rPr>
          <w:sz w:val="20"/>
          <w:szCs w:val="20"/>
        </w:rPr>
        <w:t>​</w:t>
      </w:r>
    </w:p>
    <w:p w:rsidR="00000000" w:rsidRDefault="00DB7886">
      <w:pPr>
        <w:pStyle w:val="a3"/>
        <w:spacing w:before="0" w:beforeAutospacing="0" w:after="240" w:afterAutospacing="0"/>
        <w:divId w:val="610358356"/>
        <w:rPr>
          <w:b/>
          <w:bCs/>
          <w:i/>
          <w:iCs/>
          <w:sz w:val="20"/>
          <w:szCs w:val="20"/>
        </w:rPr>
      </w:pPr>
      <w:r>
        <w:rPr>
          <w:b/>
          <w:bCs/>
          <w:i/>
          <w:iCs/>
          <w:sz w:val="20"/>
          <w:szCs w:val="20"/>
        </w:rPr>
        <w:t>Investment</w:t>
      </w:r>
    </w:p>
    <w:p w:rsidR="00000000" w:rsidRDefault="00DB7886">
      <w:pPr>
        <w:pStyle w:val="a3"/>
        <w:spacing w:before="0" w:beforeAutospacing="0" w:after="240" w:afterAutospacing="0"/>
        <w:ind w:firstLine="360"/>
        <w:divId w:val="610358356"/>
        <w:rPr>
          <w:sz w:val="20"/>
          <w:szCs w:val="20"/>
        </w:rPr>
      </w:pPr>
      <w:r>
        <w:rPr>
          <w:sz w:val="20"/>
          <w:szCs w:val="20"/>
        </w:rPr>
        <w:t>We invest our proprietary capital through various private investment funds (“Investment Funds”). As of September 30, 2021 and December 31, 2020, we had investments with a fair market value of approximately $4.6 billion and $4.3 billion, respectively, in th</w:t>
      </w:r>
      <w:r>
        <w:rPr>
          <w:sz w:val="20"/>
          <w:szCs w:val="20"/>
        </w:rPr>
        <w:t>e Investment Funds. As of September 30, 2021 and December 31, 2020, the total fair market value of investments in the Investment Funds made by Mr. Icahn and his affiliates (excluding us and Brett Icahn) was approximately $5.5 billion and $5.0 billion, resp</w:t>
      </w:r>
      <w:r>
        <w:rPr>
          <w:sz w:val="20"/>
          <w:szCs w:val="20"/>
        </w:rPr>
        <w:t xml:space="preserve">ectively. </w:t>
      </w:r>
    </w:p>
    <w:p w:rsidR="00000000" w:rsidRDefault="00DB7886">
      <w:pPr>
        <w:pStyle w:val="a3"/>
        <w:spacing w:before="0" w:beforeAutospacing="0" w:after="0" w:afterAutospacing="0"/>
        <w:ind w:firstLine="360"/>
        <w:divId w:val="610358356"/>
        <w:rPr>
          <w:sz w:val="20"/>
          <w:szCs w:val="20"/>
        </w:rPr>
      </w:pPr>
      <w:r>
        <w:rPr>
          <w:sz w:val="20"/>
          <w:szCs w:val="20"/>
        </w:rPr>
        <w:t>Our Investment segment’s results of operations are reflected in net income (loss) in the condensed consolidated statements of operations. Our Investment segment’s net income (loss) is driven by the amount of funds allocated to the Investment Fun</w:t>
      </w:r>
      <w:r>
        <w:rPr>
          <w:sz w:val="20"/>
          <w:szCs w:val="20"/>
        </w:rPr>
        <w:t>ds and the performance of the underlying investments in the Investment Funds. Future funds allocated to the Investment Funds may increase or decrease based on the contributions and redemptions by our Holding Company, Mr. Icahn and his affiliates and by Bre</w:t>
      </w:r>
      <w:r>
        <w:rPr>
          <w:sz w:val="20"/>
          <w:szCs w:val="20"/>
        </w:rPr>
        <w:t>tt Icahn, Mr. Icahn’s son. Additionally, historical performance results of the Investment Funds are not indicative of future results as past market conditions, investment opportunities and investment decisions may not occur in the future. Changes in genera</w:t>
      </w:r>
      <w:r>
        <w:rPr>
          <w:sz w:val="20"/>
          <w:szCs w:val="20"/>
        </w:rPr>
        <w:t xml:space="preserve">l market conditions coupled with changes in exposure to short and long positions have significant impact on our Investment segment’s results of operations and the comparability of </w:t>
      </w:r>
    </w:p>
    <w:p w:rsidR="00000000" w:rsidRDefault="00DB7886">
      <w:pPr>
        <w:pStyle w:val="a3"/>
        <w:spacing w:before="480" w:beforeAutospacing="0" w:after="0" w:afterAutospacing="0"/>
        <w:jc w:val="center"/>
        <w:divId w:val="782769269"/>
        <w:rPr>
          <w:sz w:val="20"/>
          <w:szCs w:val="20"/>
        </w:rPr>
      </w:pPr>
      <w:r>
        <w:rPr>
          <w:sz w:val="20"/>
          <w:szCs w:val="20"/>
        </w:rPr>
        <w:t>43</w:t>
      </w:r>
    </w:p>
    <w:p w:rsidR="00000000" w:rsidRDefault="00DB7886">
      <w:pPr>
        <w:pStyle w:val="a3"/>
        <w:spacing w:before="0" w:beforeAutospacing="0" w:after="600" w:afterAutospacing="0"/>
        <w:divId w:val="431634242"/>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divId w:val="987517781"/>
        <w:rPr>
          <w:sz w:val="20"/>
          <w:szCs w:val="20"/>
        </w:rPr>
      </w:pPr>
      <w:r>
        <w:rPr>
          <w:sz w:val="20"/>
          <w:szCs w:val="20"/>
        </w:rPr>
        <w:t xml:space="preserve">results of operations year over year and as such, future results of operations will be impacted by our future exposures and future market conditions, which may not be consistent with prior trends. Refer to the “Investment Segment Liquidity” section of our </w:t>
      </w:r>
      <w:r>
        <w:rPr>
          <w:sz w:val="20"/>
          <w:szCs w:val="20"/>
        </w:rPr>
        <w:t>“Liquidity and Capital Resources” discussion for additional information regarding our Investment segment’s exposure as of September 30, 2021.</w:t>
      </w:r>
    </w:p>
    <w:p w:rsidR="00000000" w:rsidRDefault="00DB7886">
      <w:pPr>
        <w:pStyle w:val="a3"/>
        <w:spacing w:before="0" w:beforeAutospacing="0" w:after="240" w:afterAutospacing="0"/>
        <w:ind w:firstLine="360"/>
        <w:divId w:val="987517781"/>
        <w:rPr>
          <w:sz w:val="20"/>
          <w:szCs w:val="20"/>
        </w:rPr>
      </w:pPr>
      <w:r>
        <w:rPr>
          <w:sz w:val="20"/>
          <w:szCs w:val="20"/>
        </w:rPr>
        <w:t>For the three months ended September 30, 2021 and 2020, our Investment Funds’ returns were (1.8)% and (11.8)%, res</w:t>
      </w:r>
      <w:r>
        <w:rPr>
          <w:sz w:val="20"/>
          <w:szCs w:val="20"/>
        </w:rPr>
        <w:t>pectively. For the nine months ended September 30, 2021 and 2020, our Investment Funds’ returns were 8.8% and (18.8)%, respectively. Our Investment Funds’ returns represent a weighted-average composite of the average returns, net of expenses.</w:t>
      </w:r>
    </w:p>
    <w:p w:rsidR="00000000" w:rsidRDefault="00DB7886">
      <w:pPr>
        <w:pStyle w:val="a3"/>
        <w:spacing w:before="0" w:beforeAutospacing="0" w:after="240" w:afterAutospacing="0"/>
        <w:ind w:firstLine="360"/>
        <w:divId w:val="987517781"/>
        <w:rPr>
          <w:sz w:val="20"/>
          <w:szCs w:val="20"/>
        </w:rPr>
      </w:pPr>
      <w:r>
        <w:rPr>
          <w:sz w:val="20"/>
          <w:szCs w:val="20"/>
        </w:rPr>
        <w:t>The following</w:t>
      </w:r>
      <w:r>
        <w:rPr>
          <w:sz w:val="20"/>
          <w:szCs w:val="20"/>
        </w:rPr>
        <w:t xml:space="preserve"> table sets forth the performance attribution for the Investment Funds’ returns.</w:t>
      </w:r>
    </w:p>
    <w:tbl>
      <w:tblPr>
        <w:tblW w:w="5000" w:type="pct"/>
        <w:tblCellMar>
          <w:top w:w="15" w:type="dxa"/>
          <w:left w:w="0" w:type="dxa"/>
          <w:bottom w:w="15" w:type="dxa"/>
          <w:right w:w="0" w:type="dxa"/>
        </w:tblCellMar>
        <w:tblLook w:val="04A0" w:firstRow="1" w:lastRow="0" w:firstColumn="1" w:lastColumn="0" w:noHBand="0" w:noVBand="1"/>
      </w:tblPr>
      <w:tblGrid>
        <w:gridCol w:w="1233"/>
        <w:gridCol w:w="160"/>
        <w:gridCol w:w="1513"/>
        <w:gridCol w:w="283"/>
        <w:gridCol w:w="1349"/>
        <w:gridCol w:w="267"/>
        <w:gridCol w:w="200"/>
        <w:gridCol w:w="1366"/>
        <w:gridCol w:w="301"/>
        <w:gridCol w:w="1367"/>
        <w:gridCol w:w="267"/>
      </w:tblGrid>
      <w:tr w:rsidR="00000000">
        <w:trPr>
          <w:divId w:val="987517781"/>
          <w:trHeight w:val="20"/>
        </w:trPr>
        <w:tc>
          <w:tcPr>
            <w:tcW w:w="1356" w:type="pct"/>
            <w:tcMar>
              <w:top w:w="0" w:type="dxa"/>
              <w:left w:w="0" w:type="dxa"/>
              <w:bottom w:w="0" w:type="dxa"/>
              <w:right w:w="0" w:type="dxa"/>
            </w:tcMar>
            <w:vAlign w:val="bottom"/>
            <w:hideMark/>
          </w:tcPr>
          <w:p w:rsidR="00000000" w:rsidRDefault="00DB7886">
            <w:pPr>
              <w:pStyle w:val="a3"/>
              <w:spacing w:before="0" w:beforeAutospacing="0" w:after="0" w:afterAutospacing="0"/>
              <w:divId w:val="195448180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09064892"/>
              <w:rPr>
                <w:sz w:val="20"/>
                <w:szCs w:val="20"/>
              </w:rPr>
            </w:pPr>
            <w:r>
              <w:rPr>
                <w:sz w:val="2"/>
                <w:szCs w:val="2"/>
              </w:rPr>
              <w:t>​</w:t>
            </w:r>
          </w:p>
        </w:tc>
        <w:tc>
          <w:tcPr>
            <w:tcW w:w="77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84216668"/>
              <w:rPr>
                <w:sz w:val="20"/>
                <w:szCs w:val="20"/>
              </w:rPr>
            </w:pPr>
            <w:r>
              <w:rPr>
                <w:sz w:val="2"/>
                <w:szCs w:val="2"/>
              </w:rPr>
              <w:t>​</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120176186"/>
              <w:rPr>
                <w:sz w:val="20"/>
                <w:szCs w:val="20"/>
              </w:rPr>
            </w:pPr>
            <w:r>
              <w:rPr>
                <w:sz w:val="2"/>
                <w:szCs w:val="2"/>
              </w:rPr>
              <w:t>​</w:t>
            </w:r>
          </w:p>
        </w:tc>
        <w:tc>
          <w:tcPr>
            <w:tcW w:w="69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55230584"/>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98959712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79412705"/>
              <w:rPr>
                <w:sz w:val="20"/>
                <w:szCs w:val="20"/>
              </w:rPr>
            </w:pPr>
            <w:r>
              <w:rPr>
                <w:sz w:val="2"/>
                <w:szCs w:val="2"/>
              </w:rPr>
              <w:t>​</w:t>
            </w:r>
          </w:p>
        </w:tc>
        <w:tc>
          <w:tcPr>
            <w:tcW w:w="7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42001592"/>
              <w:rPr>
                <w:sz w:val="20"/>
                <w:szCs w:val="20"/>
              </w:rPr>
            </w:pPr>
            <w:r>
              <w:rPr>
                <w:sz w:val="2"/>
                <w:szCs w:val="2"/>
              </w:rPr>
              <w:t>​</w:t>
            </w:r>
          </w:p>
        </w:tc>
        <w:tc>
          <w:tcPr>
            <w:tcW w:w="15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43781871"/>
              <w:rPr>
                <w:sz w:val="20"/>
                <w:szCs w:val="20"/>
              </w:rPr>
            </w:pPr>
            <w:r>
              <w:rPr>
                <w:sz w:val="2"/>
                <w:szCs w:val="2"/>
              </w:rPr>
              <w:t>​</w:t>
            </w:r>
          </w:p>
        </w:tc>
        <w:tc>
          <w:tcPr>
            <w:tcW w:w="70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3898658"/>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56541909"/>
              <w:rPr>
                <w:sz w:val="20"/>
                <w:szCs w:val="20"/>
              </w:rPr>
            </w:pPr>
            <w:r>
              <w:rPr>
                <w:sz w:val="2"/>
                <w:szCs w:val="2"/>
              </w:rPr>
              <w:t>​</w:t>
            </w:r>
          </w:p>
        </w:tc>
      </w:tr>
      <w:tr w:rsidR="00000000">
        <w:trPr>
          <w:divId w:val="987517781"/>
        </w:trPr>
        <w:tc>
          <w:tcPr>
            <w:tcW w:w="1356"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1620" w:type="pct"/>
            <w:gridSpan w:val="3"/>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Three Months Ended September 30, </w:t>
            </w:r>
          </w:p>
        </w:tc>
        <w:tc>
          <w:tcPr>
            <w:tcW w:w="1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w:t>
            </w:r>
          </w:p>
        </w:tc>
        <w:tc>
          <w:tcPr>
            <w:tcW w:w="1562" w:type="pct"/>
            <w:gridSpan w:val="3"/>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Nine Months Ended September 30, </w:t>
            </w:r>
          </w:p>
        </w:tc>
        <w:tc>
          <w:tcPr>
            <w:tcW w:w="1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w:t>
            </w:r>
          </w:p>
        </w:tc>
      </w:tr>
      <w:tr w:rsidR="00000000">
        <w:trPr>
          <w:divId w:val="987517781"/>
        </w:trPr>
        <w:tc>
          <w:tcPr>
            <w:tcW w:w="1356"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77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69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c>
          <w:tcPr>
            <w:tcW w:w="1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70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70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c>
          <w:tcPr>
            <w:tcW w:w="1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r>
      <w:tr w:rsidR="00000000">
        <w:trPr>
          <w:divId w:val="987517781"/>
        </w:trPr>
        <w:tc>
          <w:tcPr>
            <w:tcW w:w="1356"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Long positions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(1.6</w:t>
            </w:r>
            <w:r>
              <w:rPr>
                <w:sz w:val="20"/>
                <w:szCs w:val="20"/>
              </w:rPr>
              <w:t>)</w:t>
            </w:r>
          </w:p>
        </w:tc>
        <w:tc>
          <w:tcPr>
            <w:tcW w:w="1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9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(3.0</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27.</w:t>
            </w:r>
            <w:r>
              <w:rPr>
                <w:sz w:val="20"/>
                <w:szCs w:val="20"/>
              </w:rPr>
              <w:t>9</w:t>
            </w:r>
          </w:p>
        </w:tc>
        <w:tc>
          <w:tcPr>
            <w:tcW w:w="1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0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(20.4</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r>
      <w:tr w:rsidR="00000000">
        <w:trPr>
          <w:divId w:val="987517781"/>
        </w:trPr>
        <w:tc>
          <w:tcPr>
            <w:tcW w:w="1356"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Short positions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7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(0.1</w:t>
            </w:r>
            <w:r>
              <w:rPr>
                <w:sz w:val="20"/>
                <w:szCs w:val="20"/>
              </w:rPr>
              <w:t>)</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9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(8.8</w:t>
            </w:r>
            <w:r>
              <w:rPr>
                <w:sz w:val="20"/>
                <w:szCs w:val="20"/>
              </w:rPr>
              <w:t>)</w:t>
            </w:r>
          </w:p>
        </w:tc>
        <w:tc>
          <w:tcPr>
            <w:tcW w:w="1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03"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(18.8</w:t>
            </w:r>
            <w:r>
              <w:rPr>
                <w:sz w:val="20"/>
                <w:szCs w:val="20"/>
              </w:rPr>
              <w:t>)</w:t>
            </w:r>
          </w:p>
        </w:tc>
        <w:tc>
          <w:tcPr>
            <w:tcW w:w="1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0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r>
              <w:rPr>
                <w:sz w:val="20"/>
                <w:szCs w:val="20"/>
              </w:rPr>
              <w:t>6</w:t>
            </w:r>
          </w:p>
        </w:tc>
        <w:tc>
          <w:tcPr>
            <w:tcW w:w="1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r>
      <w:tr w:rsidR="00000000">
        <w:trPr>
          <w:divId w:val="987517781"/>
        </w:trPr>
        <w:tc>
          <w:tcPr>
            <w:tcW w:w="1356"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Other</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(0.1</w:t>
            </w:r>
            <w:r>
              <w:rPr>
                <w:sz w:val="20"/>
                <w:szCs w:val="20"/>
              </w:rPr>
              <w:t>)</w:t>
            </w:r>
          </w:p>
        </w:tc>
        <w:tc>
          <w:tcPr>
            <w:tcW w:w="14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(0.3</w:t>
            </w:r>
            <w:r>
              <w:rPr>
                <w:sz w:val="20"/>
                <w:szCs w:val="20"/>
              </w:rPr>
              <w:t>)</w:t>
            </w:r>
          </w:p>
        </w:tc>
        <w:tc>
          <w:tcPr>
            <w:tcW w:w="1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r>
      <w:tr w:rsidR="00000000">
        <w:trPr>
          <w:divId w:val="987517781"/>
        </w:trPr>
        <w:tc>
          <w:tcPr>
            <w:tcW w:w="1356"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79"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(1.8</w:t>
            </w:r>
            <w:r>
              <w:rPr>
                <w:sz w:val="20"/>
                <w:szCs w:val="20"/>
              </w:rPr>
              <w:t>)</w:t>
            </w:r>
          </w:p>
        </w:tc>
        <w:tc>
          <w:tcPr>
            <w:tcW w:w="14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94"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(11.8</w:t>
            </w:r>
            <w:r>
              <w:rPr>
                <w:sz w:val="20"/>
                <w:szCs w:val="20"/>
              </w:rPr>
              <w:t>)</w:t>
            </w:r>
          </w:p>
        </w:tc>
        <w:tc>
          <w:tcPr>
            <w:tcW w:w="1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03"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w:t>
            </w:r>
            <w:r>
              <w:rPr>
                <w:sz w:val="20"/>
                <w:szCs w:val="20"/>
              </w:rPr>
              <w:t>8</w:t>
            </w:r>
          </w:p>
        </w:tc>
        <w:tc>
          <w:tcPr>
            <w:tcW w:w="15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704"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(18.8</w:t>
            </w:r>
            <w:r>
              <w:rPr>
                <w:sz w:val="20"/>
                <w:szCs w:val="20"/>
              </w:rPr>
              <w:t>)</w:t>
            </w:r>
          </w:p>
        </w:tc>
        <w:tc>
          <w:tcPr>
            <w:tcW w:w="13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r>
    </w:tbl>
    <w:p w:rsidR="00000000" w:rsidRDefault="00DB7886">
      <w:pPr>
        <w:pStyle w:val="a3"/>
        <w:spacing w:before="0" w:beforeAutospacing="0" w:after="0" w:afterAutospacing="0"/>
        <w:divId w:val="987517781"/>
        <w:rPr>
          <w:sz w:val="20"/>
          <w:szCs w:val="20"/>
        </w:rPr>
      </w:pPr>
      <w:r>
        <w:rPr>
          <w:sz w:val="20"/>
          <w:szCs w:val="20"/>
        </w:rPr>
        <w:t>​</w:t>
      </w:r>
    </w:p>
    <w:p w:rsidR="00000000" w:rsidRDefault="00DB7886">
      <w:pPr>
        <w:pStyle w:val="a3"/>
        <w:spacing w:before="0" w:beforeAutospacing="0" w:after="240" w:afterAutospacing="0"/>
        <w:ind w:firstLine="360"/>
        <w:divId w:val="987517781"/>
        <w:rPr>
          <w:sz w:val="20"/>
          <w:szCs w:val="20"/>
        </w:rPr>
      </w:pPr>
      <w:r>
        <w:rPr>
          <w:sz w:val="20"/>
          <w:szCs w:val="20"/>
        </w:rPr>
        <w:t>The following table presents net income (loss) for our Investment segment for the three and nine months ended September 30, 2021 and 2020.</w:t>
      </w:r>
    </w:p>
    <w:tbl>
      <w:tblPr>
        <w:tblW w:w="5000" w:type="pct"/>
        <w:tblCellMar>
          <w:top w:w="15" w:type="dxa"/>
          <w:left w:w="0" w:type="dxa"/>
          <w:bottom w:w="15" w:type="dxa"/>
          <w:right w:w="0" w:type="dxa"/>
        </w:tblCellMar>
        <w:tblLook w:val="04A0" w:firstRow="1" w:lastRow="0" w:firstColumn="1" w:lastColumn="0" w:noHBand="0" w:noVBand="1"/>
      </w:tblPr>
      <w:tblGrid>
        <w:gridCol w:w="1727"/>
        <w:gridCol w:w="200"/>
        <w:gridCol w:w="175"/>
        <w:gridCol w:w="1243"/>
        <w:gridCol w:w="280"/>
        <w:gridCol w:w="174"/>
        <w:gridCol w:w="1273"/>
        <w:gridCol w:w="200"/>
        <w:gridCol w:w="169"/>
        <w:gridCol w:w="1214"/>
        <w:gridCol w:w="270"/>
        <w:gridCol w:w="168"/>
        <w:gridCol w:w="1213"/>
      </w:tblGrid>
      <w:tr w:rsidR="00000000">
        <w:trPr>
          <w:divId w:val="987517781"/>
          <w:trHeight w:val="20"/>
        </w:trPr>
        <w:tc>
          <w:tcPr>
            <w:tcW w:w="1610" w:type="pct"/>
            <w:tcMar>
              <w:top w:w="0" w:type="dxa"/>
              <w:left w:w="0" w:type="dxa"/>
              <w:bottom w:w="0" w:type="dxa"/>
              <w:right w:w="0" w:type="dxa"/>
            </w:tcMar>
            <w:vAlign w:val="bottom"/>
            <w:hideMark/>
          </w:tcPr>
          <w:p w:rsidR="00000000" w:rsidRDefault="00DB7886">
            <w:pPr>
              <w:pStyle w:val="a3"/>
              <w:spacing w:before="0" w:beforeAutospacing="0" w:after="0" w:afterAutospacing="0"/>
              <w:divId w:val="167569057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85658615"/>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3905537"/>
              <w:rPr>
                <w:sz w:val="20"/>
                <w:szCs w:val="20"/>
              </w:rPr>
            </w:pPr>
            <w:r>
              <w:rPr>
                <w:sz w:val="2"/>
                <w:szCs w:val="2"/>
              </w:rPr>
              <w:t>​</w:t>
            </w:r>
          </w:p>
        </w:tc>
        <w:tc>
          <w:tcPr>
            <w:tcW w:w="63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18889973"/>
              <w:rPr>
                <w:sz w:val="20"/>
                <w:szCs w:val="20"/>
              </w:rPr>
            </w:pPr>
            <w:r>
              <w:rPr>
                <w:sz w:val="2"/>
                <w:szCs w:val="2"/>
              </w:rPr>
              <w:t>​</w:t>
            </w:r>
          </w:p>
        </w:tc>
        <w:tc>
          <w:tcPr>
            <w:tcW w:w="14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86437722"/>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58894547"/>
              <w:rPr>
                <w:sz w:val="20"/>
                <w:szCs w:val="20"/>
              </w:rPr>
            </w:pPr>
            <w:r>
              <w:rPr>
                <w:sz w:val="2"/>
                <w:szCs w:val="2"/>
              </w:rPr>
              <w:t>​</w:t>
            </w:r>
          </w:p>
        </w:tc>
        <w:tc>
          <w:tcPr>
            <w:tcW w:w="65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6360857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12735457"/>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94314058"/>
              <w:rPr>
                <w:sz w:val="20"/>
                <w:szCs w:val="20"/>
              </w:rPr>
            </w:pPr>
            <w:r>
              <w:rPr>
                <w:sz w:val="2"/>
                <w:szCs w:val="2"/>
              </w:rPr>
              <w:t>​</w:t>
            </w:r>
          </w:p>
        </w:tc>
        <w:tc>
          <w:tcPr>
            <w:tcW w:w="62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79925290"/>
              <w:rPr>
                <w:sz w:val="20"/>
                <w:szCs w:val="20"/>
              </w:rPr>
            </w:pPr>
            <w:r>
              <w:rPr>
                <w:sz w:val="2"/>
                <w:szCs w:val="2"/>
              </w:rPr>
              <w:t>​</w:t>
            </w:r>
          </w:p>
        </w:tc>
        <w:tc>
          <w:tcPr>
            <w:tcW w:w="13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79775827"/>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87244329"/>
              <w:rPr>
                <w:sz w:val="20"/>
                <w:szCs w:val="20"/>
              </w:rPr>
            </w:pPr>
            <w:r>
              <w:rPr>
                <w:sz w:val="2"/>
                <w:szCs w:val="2"/>
              </w:rPr>
              <w:t>​</w:t>
            </w:r>
          </w:p>
        </w:tc>
        <w:tc>
          <w:tcPr>
            <w:tcW w:w="62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85569256"/>
              <w:rPr>
                <w:sz w:val="20"/>
                <w:szCs w:val="20"/>
              </w:rPr>
            </w:pPr>
            <w:r>
              <w:rPr>
                <w:sz w:val="2"/>
                <w:szCs w:val="2"/>
              </w:rPr>
              <w:t>​</w:t>
            </w:r>
          </w:p>
        </w:tc>
      </w:tr>
      <w:tr w:rsidR="00000000">
        <w:trPr>
          <w:divId w:val="987517781"/>
        </w:trPr>
        <w:tc>
          <w:tcPr>
            <w:tcW w:w="161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1620"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Three Months Ended September 30,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w:t>
            </w:r>
          </w:p>
        </w:tc>
        <w:tc>
          <w:tcPr>
            <w:tcW w:w="1562"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Nine Months Ended September 30, </w:t>
            </w:r>
          </w:p>
        </w:tc>
      </w:tr>
      <w:tr w:rsidR="00000000">
        <w:trPr>
          <w:divId w:val="987517781"/>
        </w:trPr>
        <w:tc>
          <w:tcPr>
            <w:tcW w:w="161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730"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745"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712"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3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71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r>
      <w:tr w:rsidR="00000000">
        <w:trPr>
          <w:divId w:val="987517781"/>
        </w:trPr>
        <w:tc>
          <w:tcPr>
            <w:tcW w:w="0" w:type="auto"/>
            <w:gridSpan w:val="13"/>
            <w:tcMar>
              <w:top w:w="0" w:type="dxa"/>
              <w:left w:w="0" w:type="dxa"/>
              <w:bottom w:w="0" w:type="dxa"/>
              <w:right w:w="0" w:type="dxa"/>
            </w:tcMar>
            <w:vAlign w:val="center"/>
            <w:hideMark/>
          </w:tcPr>
          <w:p w:rsidR="00000000" w:rsidRDefault="00DB7886">
            <w:pPr>
              <w:rPr>
                <w:sz w:val="20"/>
                <w:szCs w:val="20"/>
              </w:rPr>
            </w:pPr>
          </w:p>
        </w:tc>
      </w:tr>
      <w:tr w:rsidR="00000000">
        <w:trPr>
          <w:divId w:val="987517781"/>
        </w:trPr>
        <w:tc>
          <w:tcPr>
            <w:tcW w:w="161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3286" w:type="pct"/>
            <w:gridSpan w:val="11"/>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987517781"/>
        </w:trPr>
        <w:tc>
          <w:tcPr>
            <w:tcW w:w="16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Long positions</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(168</w:t>
            </w:r>
            <w:r>
              <w:rPr>
                <w:sz w:val="20"/>
                <w:szCs w:val="20"/>
              </w:rPr>
              <w:t>)</w:t>
            </w:r>
          </w:p>
        </w:tc>
        <w:tc>
          <w:tcPr>
            <w:tcW w:w="1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(260</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2,73</w:t>
            </w:r>
            <w:r>
              <w:rPr>
                <w:sz w:val="20"/>
                <w:szCs w:val="20"/>
              </w:rPr>
              <w:t>8</w:t>
            </w:r>
          </w:p>
        </w:tc>
        <w:tc>
          <w:tcPr>
            <w:tcW w:w="1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(1,952</w:t>
            </w:r>
            <w:r>
              <w:rPr>
                <w:sz w:val="20"/>
                <w:szCs w:val="20"/>
              </w:rPr>
              <w:t>)</w:t>
            </w:r>
          </w:p>
        </w:tc>
      </w:tr>
      <w:tr w:rsidR="00000000">
        <w:trPr>
          <w:divId w:val="987517781"/>
        </w:trPr>
        <w:tc>
          <w:tcPr>
            <w:tcW w:w="161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Short positions</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9"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(7</w:t>
            </w:r>
            <w:r>
              <w:rPr>
                <w:sz w:val="20"/>
                <w:szCs w:val="20"/>
              </w:rPr>
              <w:t>)</w:t>
            </w:r>
          </w:p>
        </w:tc>
        <w:tc>
          <w:tcPr>
            <w:tcW w:w="1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5"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(923</w:t>
            </w: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4"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(1,886</w:t>
            </w:r>
            <w:r>
              <w:rPr>
                <w:sz w:val="20"/>
                <w:szCs w:val="20"/>
              </w:rPr>
              <w:t>)</w:t>
            </w:r>
          </w:p>
        </w:tc>
        <w:tc>
          <w:tcPr>
            <w:tcW w:w="13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r>
              <w:rPr>
                <w:sz w:val="20"/>
                <w:szCs w:val="20"/>
              </w:rPr>
              <w:t>0</w:t>
            </w:r>
          </w:p>
        </w:tc>
      </w:tr>
      <w:tr w:rsidR="00000000">
        <w:trPr>
          <w:divId w:val="987517781"/>
        </w:trPr>
        <w:tc>
          <w:tcPr>
            <w:tcW w:w="161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Other</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(12</w:t>
            </w:r>
            <w:r>
              <w:rPr>
                <w:sz w:val="20"/>
                <w:szCs w:val="20"/>
              </w:rPr>
              <w:t>)</w:t>
            </w:r>
          </w:p>
        </w:tc>
        <w:tc>
          <w:tcPr>
            <w:tcW w:w="1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(32</w:t>
            </w:r>
            <w:r>
              <w:rPr>
                <w:sz w:val="20"/>
                <w:szCs w:val="20"/>
              </w:rPr>
              <w:t>)</w:t>
            </w:r>
          </w:p>
        </w:tc>
        <w:tc>
          <w:tcPr>
            <w:tcW w:w="13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w:t>
            </w:r>
          </w:p>
        </w:tc>
      </w:tr>
      <w:tr w:rsidR="00000000">
        <w:trPr>
          <w:divId w:val="987517781"/>
        </w:trPr>
        <w:tc>
          <w:tcPr>
            <w:tcW w:w="161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9"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(187</w:t>
            </w:r>
            <w:r>
              <w:rPr>
                <w:sz w:val="20"/>
                <w:szCs w:val="20"/>
              </w:rPr>
              <w:t>)</w:t>
            </w:r>
          </w:p>
        </w:tc>
        <w:tc>
          <w:tcPr>
            <w:tcW w:w="1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5"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(1,183</w:t>
            </w: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4"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82</w:t>
            </w:r>
            <w:r>
              <w:rPr>
                <w:sz w:val="20"/>
                <w:szCs w:val="20"/>
              </w:rPr>
              <w:t>0</w:t>
            </w:r>
          </w:p>
        </w:tc>
        <w:tc>
          <w:tcPr>
            <w:tcW w:w="139"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4"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(1,937</w:t>
            </w:r>
            <w:r>
              <w:rPr>
                <w:sz w:val="20"/>
                <w:szCs w:val="20"/>
              </w:rPr>
              <w:t>)</w:t>
            </w:r>
          </w:p>
        </w:tc>
      </w:tr>
    </w:tbl>
    <w:p w:rsidR="00000000" w:rsidRDefault="00DB7886">
      <w:pPr>
        <w:pStyle w:val="a3"/>
        <w:spacing w:before="0" w:beforeAutospacing="0" w:after="0" w:afterAutospacing="0"/>
        <w:divId w:val="987517781"/>
        <w:rPr>
          <w:sz w:val="20"/>
          <w:szCs w:val="20"/>
        </w:rPr>
      </w:pPr>
      <w:r>
        <w:rPr>
          <w:sz w:val="20"/>
          <w:szCs w:val="20"/>
        </w:rPr>
        <w:t>​</w:t>
      </w:r>
    </w:p>
    <w:p w:rsidR="00000000" w:rsidRDefault="00DB7886">
      <w:pPr>
        <w:pStyle w:val="a3"/>
        <w:spacing w:before="0" w:beforeAutospacing="0" w:after="240" w:afterAutospacing="0"/>
        <w:divId w:val="987517781"/>
        <w:rPr>
          <w:i/>
          <w:iCs/>
          <w:sz w:val="20"/>
          <w:szCs w:val="20"/>
        </w:rPr>
      </w:pPr>
      <w:r>
        <w:rPr>
          <w:i/>
          <w:iCs/>
          <w:sz w:val="20"/>
          <w:szCs w:val="20"/>
          <w:u w:val="single"/>
        </w:rPr>
        <w:t>Three Months Ended September 30, 2021 and 2020</w:t>
      </w:r>
    </w:p>
    <w:p w:rsidR="00000000" w:rsidRDefault="00DB7886">
      <w:pPr>
        <w:pStyle w:val="a3"/>
        <w:spacing w:before="0" w:beforeAutospacing="0" w:after="240" w:afterAutospacing="0"/>
        <w:ind w:firstLine="360"/>
        <w:divId w:val="987517781"/>
        <w:rPr>
          <w:sz w:val="20"/>
          <w:szCs w:val="20"/>
        </w:rPr>
      </w:pPr>
      <w:r>
        <w:rPr>
          <w:sz w:val="20"/>
          <w:szCs w:val="20"/>
        </w:rPr>
        <w:t>For the three months ended September 30, 2021, the Investment Funds’ negative performance was primarily driven by net losses in long positions. The negative performance of our Investment segment’s long positions was driven primarily by losses from a consum</w:t>
      </w:r>
      <w:r>
        <w:rPr>
          <w:sz w:val="20"/>
          <w:szCs w:val="20"/>
        </w:rPr>
        <w:t>er, cyclical sector investment of $223 million and an energy sector investment of $141 million. The aggregate performance of investments with net losses across various sectors accounted for an additional negative performance of our Investment segment’s lon</w:t>
      </w:r>
      <w:r>
        <w:rPr>
          <w:sz w:val="20"/>
          <w:szCs w:val="20"/>
        </w:rPr>
        <w:t>g positions. The negative performance of our Investment segment’s long positions was offset in part by gains from a consumer, non-cyclical sector investment of $231 million and an energy sector investment of $177 million. The negative performance of our In</w:t>
      </w:r>
      <w:r>
        <w:rPr>
          <w:sz w:val="20"/>
          <w:szCs w:val="20"/>
        </w:rPr>
        <w:t xml:space="preserve">vestment segment’s short positions was driven primarily by the net negative performance of various short equity positions aggregating $80 million offset in part by the net positive performance of short credit positions aggregating $73 million. </w:t>
      </w:r>
    </w:p>
    <w:p w:rsidR="00000000" w:rsidRDefault="00DB7886">
      <w:pPr>
        <w:pStyle w:val="a3"/>
        <w:spacing w:before="0" w:beforeAutospacing="0" w:after="240" w:afterAutospacing="0"/>
        <w:ind w:firstLine="360"/>
        <w:divId w:val="987517781"/>
        <w:rPr>
          <w:sz w:val="20"/>
          <w:szCs w:val="20"/>
        </w:rPr>
      </w:pPr>
      <w:r>
        <w:rPr>
          <w:sz w:val="20"/>
          <w:szCs w:val="20"/>
        </w:rPr>
        <w:t>For the thr</w:t>
      </w:r>
      <w:r>
        <w:rPr>
          <w:sz w:val="20"/>
          <w:szCs w:val="20"/>
        </w:rPr>
        <w:t>ee months ended September 30, 2020, the Investment Funds’ negative performance was driven by net losses in short positions and, to a lesser extent, net losses in long positions. The negative performance of our Investment segment’s short positions was drive</w:t>
      </w:r>
      <w:r>
        <w:rPr>
          <w:sz w:val="20"/>
          <w:szCs w:val="20"/>
        </w:rPr>
        <w:t>n primarily by the negative performance of broad market hedges of $677 million, losses from a consumer, non-cyclical sector investment of $156 million and the aggregate performance of various other short positions with net losses aggregating $161 million a</w:t>
      </w:r>
      <w:r>
        <w:rPr>
          <w:sz w:val="20"/>
          <w:szCs w:val="20"/>
        </w:rPr>
        <w:t>cross various sectors. The negative performance of our Investment segment’s short positions was partially offset by net gains from its short exposure to commercial mortgage-backed securities through credit default swap contracts of $71 million. The negativ</w:t>
      </w:r>
      <w:r>
        <w:rPr>
          <w:sz w:val="20"/>
          <w:szCs w:val="20"/>
        </w:rPr>
        <w:t>e performance of our Investment Segment’s long positions was driven by losses from an energy sector investment of $699 million, offset in part by gains from a consumer, cyclical sector investment of $257 million. Net losses in long positions were further o</w:t>
      </w:r>
      <w:r>
        <w:rPr>
          <w:sz w:val="20"/>
          <w:szCs w:val="20"/>
        </w:rPr>
        <w:t xml:space="preserve">ffset in part by the aggregate performance of investments with net gains across various other sectors. </w:t>
      </w:r>
    </w:p>
    <w:p w:rsidR="00000000" w:rsidRDefault="00DB7886">
      <w:pPr>
        <w:pStyle w:val="a3"/>
        <w:spacing w:before="480" w:beforeAutospacing="0" w:after="0" w:afterAutospacing="0"/>
        <w:jc w:val="center"/>
        <w:divId w:val="133448680"/>
        <w:rPr>
          <w:sz w:val="20"/>
          <w:szCs w:val="20"/>
        </w:rPr>
      </w:pPr>
      <w:r>
        <w:rPr>
          <w:sz w:val="20"/>
          <w:szCs w:val="20"/>
        </w:rPr>
        <w:t>44</w:t>
      </w:r>
    </w:p>
    <w:p w:rsidR="00000000" w:rsidRDefault="00DB7886">
      <w:pPr>
        <w:pStyle w:val="a3"/>
        <w:spacing w:before="0" w:beforeAutospacing="0" w:after="600" w:afterAutospacing="0"/>
        <w:divId w:val="135607436"/>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divId w:val="2025400664"/>
        <w:rPr>
          <w:i/>
          <w:iCs/>
          <w:sz w:val="20"/>
          <w:szCs w:val="20"/>
        </w:rPr>
      </w:pPr>
      <w:r>
        <w:rPr>
          <w:i/>
          <w:iCs/>
          <w:sz w:val="20"/>
          <w:szCs w:val="20"/>
          <w:u w:val="single"/>
        </w:rPr>
        <w:t>Nine Months Ended September 30, 2021 and 2020</w:t>
      </w:r>
    </w:p>
    <w:p w:rsidR="00000000" w:rsidRDefault="00DB7886">
      <w:pPr>
        <w:pStyle w:val="a3"/>
        <w:spacing w:before="0" w:beforeAutospacing="0" w:after="240" w:afterAutospacing="0"/>
        <w:ind w:firstLine="360"/>
        <w:divId w:val="2025400664"/>
        <w:rPr>
          <w:sz w:val="20"/>
          <w:szCs w:val="20"/>
        </w:rPr>
      </w:pPr>
      <w:r>
        <w:rPr>
          <w:sz w:val="20"/>
          <w:szCs w:val="20"/>
        </w:rPr>
        <w:t>For the nine months ended September 30, 2021, the Investment Funds’ positive performance was driven by net gains in long positions, offset in part by net losses in short positions. The positive performance of our Investment segment’s long positions was dri</w:t>
      </w:r>
      <w:r>
        <w:rPr>
          <w:sz w:val="20"/>
          <w:szCs w:val="20"/>
        </w:rPr>
        <w:t>ven primarily by gains from two energy sector investments aggregating approximately $1.6 billion and a consumer, non-cyclical sector investment of $436 million. The aggregate performance of investments with net gains across various sectors accounted for an</w:t>
      </w:r>
      <w:r>
        <w:rPr>
          <w:sz w:val="20"/>
          <w:szCs w:val="20"/>
        </w:rPr>
        <w:t xml:space="preserve"> additional positive performance of our Investment segment’s long positions. The negative performance of our Investment segment’s short positions was driven primarily by the negative performance of an energy sector investment of $757 million, broad market </w:t>
      </w:r>
      <w:r>
        <w:rPr>
          <w:sz w:val="20"/>
          <w:szCs w:val="20"/>
        </w:rPr>
        <w:t>hedges of $669 million and a consumer, cyclical sector investment of $216 million. The aggregate performance of investments with net losses across various sectors accounted for an additional negative performance of our Investment segment’s short positions.</w:t>
      </w:r>
      <w:r>
        <w:rPr>
          <w:sz w:val="20"/>
          <w:szCs w:val="20"/>
        </w:rPr>
        <w:t xml:space="preserve"> The negative performance of our Investment segment’s short positions was offset in part by gains from a consumer, cyclical sector investment of $199 million. </w:t>
      </w:r>
    </w:p>
    <w:p w:rsidR="00000000" w:rsidRDefault="00DB7886">
      <w:pPr>
        <w:pStyle w:val="a3"/>
        <w:spacing w:before="0" w:beforeAutospacing="0" w:after="240" w:afterAutospacing="0"/>
        <w:ind w:firstLine="360"/>
        <w:divId w:val="2025400664"/>
        <w:rPr>
          <w:sz w:val="20"/>
          <w:szCs w:val="20"/>
        </w:rPr>
      </w:pPr>
      <w:r>
        <w:rPr>
          <w:sz w:val="20"/>
          <w:szCs w:val="20"/>
        </w:rPr>
        <w:t>For the nine months ended September 30, 2020, the Investment Funds’ negative performance was dri</w:t>
      </w:r>
      <w:r>
        <w:rPr>
          <w:sz w:val="20"/>
          <w:szCs w:val="20"/>
        </w:rPr>
        <w:t xml:space="preserve">ven by net losses in long positions. The negative performance of our Investment segment’s long positions was driven by losses from an energy sector investment of $758 million, a consumer, non-cyclical sector investment of $637 million and aggregate losses </w:t>
      </w:r>
      <w:r>
        <w:rPr>
          <w:sz w:val="20"/>
          <w:szCs w:val="20"/>
        </w:rPr>
        <w:t>from two technology sector investments of $536 million. The aggregate performance of investments with net losses across various other sectors accounted for an additional negative performance of our Investment segment’s long positions. The negative performa</w:t>
      </w:r>
      <w:r>
        <w:rPr>
          <w:sz w:val="20"/>
          <w:szCs w:val="20"/>
        </w:rPr>
        <w:t xml:space="preserve">nce of our Investment segment’s long positions was partially offset by net gains from a consumer, cyclical sector investment of $284 million. The performance of our Investment segment’s short positions was driven by the positive performance of their short </w:t>
      </w:r>
      <w:r>
        <w:rPr>
          <w:sz w:val="20"/>
          <w:szCs w:val="20"/>
        </w:rPr>
        <w:t>exposure to commercial mortgage-backed securities through credit default swap contracts of approximately $1.4 billion, offset in part primarily by the negative performance of broad market hedges of $910 million and the aggregate performance of various othe</w:t>
      </w:r>
      <w:r>
        <w:rPr>
          <w:sz w:val="20"/>
          <w:szCs w:val="20"/>
        </w:rPr>
        <w:t xml:space="preserve">r short positions with net losses across various sectors. </w:t>
      </w:r>
    </w:p>
    <w:p w:rsidR="00000000" w:rsidRDefault="00DB7886">
      <w:pPr>
        <w:pStyle w:val="a3"/>
        <w:spacing w:before="0" w:beforeAutospacing="0" w:after="240" w:afterAutospacing="0"/>
        <w:divId w:val="2025400664"/>
        <w:rPr>
          <w:b/>
          <w:bCs/>
          <w:i/>
          <w:iCs/>
          <w:sz w:val="20"/>
          <w:szCs w:val="20"/>
        </w:rPr>
      </w:pPr>
      <w:r>
        <w:rPr>
          <w:b/>
          <w:bCs/>
          <w:i/>
          <w:iCs/>
          <w:sz w:val="20"/>
          <w:szCs w:val="20"/>
        </w:rPr>
        <w:t>Energy</w:t>
      </w:r>
    </w:p>
    <w:p w:rsidR="00000000" w:rsidRDefault="00DB7886">
      <w:pPr>
        <w:pStyle w:val="a3"/>
        <w:spacing w:before="0" w:beforeAutospacing="0" w:after="240" w:afterAutospacing="0"/>
        <w:ind w:firstLine="360"/>
        <w:divId w:val="2025400664"/>
        <w:rPr>
          <w:sz w:val="20"/>
          <w:szCs w:val="20"/>
        </w:rPr>
      </w:pPr>
      <w:r>
        <w:rPr>
          <w:sz w:val="20"/>
          <w:szCs w:val="20"/>
        </w:rPr>
        <w:t>Our Energy segment is primarily engaged in the petroleum refining and nitrogen fertilizer manufacturing businesses. The petroleum business accounted for approximately 93% and 91% of our Energy segment’s net sales for the nine months ended September 30, 202</w:t>
      </w:r>
      <w:r>
        <w:rPr>
          <w:sz w:val="20"/>
          <w:szCs w:val="20"/>
        </w:rPr>
        <w:t>1 and 2020, respectively.</w:t>
      </w:r>
    </w:p>
    <w:p w:rsidR="00000000" w:rsidRDefault="00DB7886">
      <w:pPr>
        <w:pStyle w:val="a3"/>
        <w:spacing w:before="0" w:beforeAutospacing="0" w:after="240" w:afterAutospacing="0"/>
        <w:ind w:firstLine="360"/>
        <w:divId w:val="2025400664"/>
        <w:rPr>
          <w:sz w:val="20"/>
          <w:szCs w:val="20"/>
        </w:rPr>
      </w:pPr>
      <w:r>
        <w:rPr>
          <w:sz w:val="20"/>
          <w:szCs w:val="20"/>
        </w:rPr>
        <w:t>The results of operations of the petroleum business are primarily affected by the relationship between refined product prices and the prices for crude oil and other feedstocks that are processed and blended into petroleum products</w:t>
      </w:r>
      <w:r>
        <w:rPr>
          <w:sz w:val="20"/>
          <w:szCs w:val="20"/>
        </w:rPr>
        <w:t>, such as gasoline, diesel fuel and jet fuel, that are produced by a refinery (“refined products”). The cost to acquire crude oil and other feedstocks and the price for which refined products are ultimately sold depend on factors beyond our Energy segment’</w:t>
      </w:r>
      <w:r>
        <w:rPr>
          <w:sz w:val="20"/>
          <w:szCs w:val="20"/>
        </w:rPr>
        <w:t>s control, including the supply of and demand for crude oil, as well as gasoline and other refined products. This supply and demand depend on, among other factors, changes in domestic and foreign economies, weather conditions, domestic and foreign politica</w:t>
      </w:r>
      <w:r>
        <w:rPr>
          <w:sz w:val="20"/>
          <w:szCs w:val="20"/>
        </w:rPr>
        <w:t>l affairs, production levels, the availability of imports, the marketing of competitive fuels and the extent of government regulation. Because the petroleum business applies first-in, first-out accounting to value its inventory, crude oil price movements m</w:t>
      </w:r>
      <w:r>
        <w:rPr>
          <w:sz w:val="20"/>
          <w:szCs w:val="20"/>
        </w:rPr>
        <w:t>ay impact gross margin in the short-term fluctuations in the market price of inventory. The effect of changes in crude oil prices on the petroleum business’ results of operations is influenced by the rate at which the prices of refined products adjust to r</w:t>
      </w:r>
      <w:r>
        <w:rPr>
          <w:sz w:val="20"/>
          <w:szCs w:val="20"/>
        </w:rPr>
        <w:t>eflect these changes.</w:t>
      </w:r>
    </w:p>
    <w:p w:rsidR="00000000" w:rsidRDefault="00DB7886">
      <w:pPr>
        <w:pStyle w:val="a3"/>
        <w:spacing w:before="0" w:beforeAutospacing="0" w:after="240" w:afterAutospacing="0"/>
        <w:ind w:firstLine="360"/>
        <w:divId w:val="2025400664"/>
        <w:rPr>
          <w:sz w:val="20"/>
          <w:szCs w:val="20"/>
        </w:rPr>
      </w:pPr>
      <w:r>
        <w:rPr>
          <w:sz w:val="20"/>
          <w:szCs w:val="20"/>
        </w:rPr>
        <w:t>The COVID-19 pandemic, and the actions taken by governments and others, has negatively impacted the energy industry. The COVID-19 pandemic has also resulted in significant business and operational disruptions, including business closu</w:t>
      </w:r>
      <w:r>
        <w:rPr>
          <w:sz w:val="20"/>
          <w:szCs w:val="20"/>
        </w:rPr>
        <w:t xml:space="preserve">res, liquidity strains, destruction of non-essential demand, as well as supply chain challenges, travel restrictions, stay-at home orders, and limitations on the availability of the workforce. As a result, the demand for gasoline and diesel in the regions </w:t>
      </w:r>
      <w:r>
        <w:rPr>
          <w:sz w:val="20"/>
          <w:szCs w:val="20"/>
        </w:rPr>
        <w:t>that our Energy segment operates declined beginning in the first quarter of 2020. The declines were amplified in the first quarter of 2020 by market plays between the world’s largest oil producers. The simultaneous shocks in oil supply and demand have resu</w:t>
      </w:r>
      <w:r>
        <w:rPr>
          <w:sz w:val="20"/>
          <w:szCs w:val="20"/>
        </w:rPr>
        <w:t>lted in a decline in the price of crude oil and lead to a significant decrease in the price of refined products sold by our Energy segment. However, beginning in late 2020 and into 2021, the U.S. market for refined products has improved and demand has incr</w:t>
      </w:r>
      <w:r>
        <w:rPr>
          <w:sz w:val="20"/>
          <w:szCs w:val="20"/>
        </w:rPr>
        <w:t>eased as travel restrictions and stay-at-home orders have been eased.</w:t>
      </w:r>
    </w:p>
    <w:p w:rsidR="00000000" w:rsidRDefault="00DB7886">
      <w:pPr>
        <w:pStyle w:val="a3"/>
        <w:spacing w:before="480" w:beforeAutospacing="0" w:after="0" w:afterAutospacing="0"/>
        <w:jc w:val="center"/>
        <w:divId w:val="607474021"/>
        <w:rPr>
          <w:sz w:val="20"/>
          <w:szCs w:val="20"/>
        </w:rPr>
      </w:pPr>
      <w:r>
        <w:rPr>
          <w:sz w:val="20"/>
          <w:szCs w:val="20"/>
        </w:rPr>
        <w:t>45</w:t>
      </w:r>
    </w:p>
    <w:p w:rsidR="00000000" w:rsidRDefault="00DB7886">
      <w:pPr>
        <w:pStyle w:val="a3"/>
        <w:spacing w:before="0" w:beforeAutospacing="0" w:after="600" w:afterAutospacing="0"/>
        <w:divId w:val="763650739"/>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ind w:firstLine="360"/>
        <w:divId w:val="1339424999"/>
        <w:rPr>
          <w:sz w:val="20"/>
          <w:szCs w:val="20"/>
        </w:rPr>
      </w:pPr>
      <w:r>
        <w:rPr>
          <w:sz w:val="20"/>
          <w:szCs w:val="20"/>
        </w:rPr>
        <w:t>In addition to recent market conditions, there are long-term factors that may impact the demand for refined products. These factors include</w:t>
      </w:r>
      <w:r>
        <w:rPr>
          <w:sz w:val="20"/>
          <w:szCs w:val="20"/>
        </w:rPr>
        <w:t xml:space="preserve"> mandated renewable fuels standards, proposed climate change laws and regulations, and increased mileage standards for vehicles. The petroleum business is also subject to the Renewable Fuel Standard of the United States Environmental Protection Agency, whi</w:t>
      </w:r>
      <w:r>
        <w:rPr>
          <w:sz w:val="20"/>
          <w:szCs w:val="20"/>
        </w:rPr>
        <w:t>ch requires the operating companies in our Energy segment to either blend “renewable fuels” with their transportation fuels or purchase renewable identification numbers (“RINs”), to the extent available, in lieu of blending, or to seek other exemptions. Th</w:t>
      </w:r>
      <w:r>
        <w:rPr>
          <w:sz w:val="20"/>
          <w:szCs w:val="20"/>
        </w:rPr>
        <w:t>e price of RINs has been extremely volatile and the future cost of RINs for the petroleum business is difficult to estimate. Additionally, the cost of RINs is dependent upon a variety of factors, which include the availability of RINs for purchase, the pri</w:t>
      </w:r>
      <w:r>
        <w:rPr>
          <w:sz w:val="20"/>
          <w:szCs w:val="20"/>
        </w:rPr>
        <w:t>ce at which RINs can be purchased, transportation fuel production levels, the mix of the petroleum business’ petroleum products, as well as the fuel blending performed at its refineries and downstream terminals, all of which can vary significantly from per</w:t>
      </w:r>
      <w:r>
        <w:rPr>
          <w:sz w:val="20"/>
          <w:szCs w:val="20"/>
        </w:rPr>
        <w:t>iod to period. Refer to Note 16, “Commitments and Contingencies,” to the condensed consolidated financial statements for further discussion of RINs.</w:t>
      </w:r>
    </w:p>
    <w:p w:rsidR="00000000" w:rsidRDefault="00DB7886">
      <w:pPr>
        <w:pStyle w:val="a3"/>
        <w:spacing w:before="0" w:beforeAutospacing="0" w:after="240" w:afterAutospacing="0"/>
        <w:ind w:firstLine="360"/>
        <w:divId w:val="1339424999"/>
        <w:rPr>
          <w:sz w:val="20"/>
          <w:szCs w:val="20"/>
        </w:rPr>
      </w:pPr>
      <w:r>
        <w:rPr>
          <w:sz w:val="20"/>
          <w:szCs w:val="20"/>
        </w:rPr>
        <w:t>In December 2020, our Energy segment approved a renewable diesel project at one of its refineries, which wo</w:t>
      </w:r>
      <w:r>
        <w:rPr>
          <w:sz w:val="20"/>
          <w:szCs w:val="20"/>
        </w:rPr>
        <w:t>uld convert the refinery’s hydrocracker to a renewable diesel unit (“RDU”) capable of producing 100 million gallons of renewable diesel per year and approximately 170 to 180 million RINs annually. As a result of conversion, the crude oil capacity of the re</w:t>
      </w:r>
      <w:r>
        <w:rPr>
          <w:sz w:val="20"/>
          <w:szCs w:val="20"/>
        </w:rPr>
        <w:t xml:space="preserve">finery will be reduced. Further, the conversion enables our Energy segment to capture additional benefits associated with the existing blenders’ tax credit that expires at the end of 2022 and low carbon fuel standard programs in states such as California. </w:t>
      </w:r>
      <w:r>
        <w:rPr>
          <w:sz w:val="20"/>
          <w:szCs w:val="20"/>
        </w:rPr>
        <w:t>Our Energy segment has additional plans to add pretreating capabilities for the RDU and construction of a similar facility at its other refinery. These collective renewable diesel efforts could reduce our Energy segment’s Renewable Fuels Standard (“RFS”) e</w:t>
      </w:r>
      <w:r>
        <w:rPr>
          <w:sz w:val="20"/>
          <w:szCs w:val="20"/>
        </w:rPr>
        <w:t xml:space="preserve">xposure. However, any actions taken by the Supreme Court, resulting administration efforts under the RFS, such as denial of existing or previous waiver applications, and market conditions could significantly impact the amount by which our Energy segment’s </w:t>
      </w:r>
      <w:r>
        <w:rPr>
          <w:sz w:val="20"/>
          <w:szCs w:val="20"/>
        </w:rPr>
        <w:t>renewable diesel business mitigates our costs to comply with the RFS, if at all.</w:t>
      </w:r>
    </w:p>
    <w:tbl>
      <w:tblPr>
        <w:tblW w:w="5000" w:type="pct"/>
        <w:tblCellMar>
          <w:top w:w="15" w:type="dxa"/>
          <w:left w:w="0" w:type="dxa"/>
          <w:bottom w:w="15" w:type="dxa"/>
          <w:right w:w="0" w:type="dxa"/>
        </w:tblCellMar>
        <w:tblLook w:val="04A0" w:firstRow="1" w:lastRow="0" w:firstColumn="1" w:lastColumn="0" w:noHBand="0" w:noVBand="1"/>
      </w:tblPr>
      <w:tblGrid>
        <w:gridCol w:w="1767"/>
        <w:gridCol w:w="160"/>
        <w:gridCol w:w="173"/>
        <w:gridCol w:w="1235"/>
        <w:gridCol w:w="272"/>
        <w:gridCol w:w="173"/>
        <w:gridCol w:w="1292"/>
        <w:gridCol w:w="200"/>
        <w:gridCol w:w="183"/>
        <w:gridCol w:w="1138"/>
        <w:gridCol w:w="287"/>
        <w:gridCol w:w="180"/>
        <w:gridCol w:w="1246"/>
      </w:tblGrid>
      <w:tr w:rsidR="00000000">
        <w:trPr>
          <w:divId w:val="1339424999"/>
          <w:trHeight w:val="20"/>
        </w:trPr>
        <w:tc>
          <w:tcPr>
            <w:tcW w:w="1631" w:type="pct"/>
            <w:tcMar>
              <w:top w:w="0" w:type="dxa"/>
              <w:left w:w="0" w:type="dxa"/>
              <w:bottom w:w="0" w:type="dxa"/>
              <w:right w:w="0" w:type="dxa"/>
            </w:tcMar>
            <w:vAlign w:val="bottom"/>
            <w:hideMark/>
          </w:tcPr>
          <w:p w:rsidR="00000000" w:rsidRDefault="00DB7886">
            <w:pPr>
              <w:pStyle w:val="a3"/>
              <w:spacing w:before="0" w:beforeAutospacing="0" w:after="0" w:afterAutospacing="0"/>
              <w:divId w:val="51257213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6940827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11051352"/>
              <w:rPr>
                <w:sz w:val="20"/>
                <w:szCs w:val="20"/>
              </w:rPr>
            </w:pPr>
            <w:r>
              <w:rPr>
                <w:sz w:val="2"/>
                <w:szCs w:val="2"/>
              </w:rPr>
              <w:t>​</w:t>
            </w:r>
          </w:p>
        </w:tc>
        <w:tc>
          <w:tcPr>
            <w:tcW w:w="63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2140728"/>
              <w:rPr>
                <w:sz w:val="20"/>
                <w:szCs w:val="20"/>
              </w:rPr>
            </w:pPr>
            <w:r>
              <w:rPr>
                <w:sz w:val="2"/>
                <w:szCs w:val="2"/>
              </w:rPr>
              <w:t>​</w:t>
            </w:r>
          </w:p>
        </w:tc>
        <w:tc>
          <w:tcPr>
            <w:tcW w:w="14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4941303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42731106"/>
              <w:rPr>
                <w:sz w:val="20"/>
                <w:szCs w:val="20"/>
              </w:rPr>
            </w:pPr>
            <w:r>
              <w:rPr>
                <w:sz w:val="2"/>
                <w:szCs w:val="2"/>
              </w:rPr>
              <w:t>​</w:t>
            </w:r>
          </w:p>
        </w:tc>
        <w:tc>
          <w:tcPr>
            <w:tcW w:w="66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8603168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11483949"/>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90177981"/>
              <w:rPr>
                <w:sz w:val="20"/>
                <w:szCs w:val="20"/>
              </w:rPr>
            </w:pPr>
            <w:r>
              <w:rPr>
                <w:sz w:val="2"/>
                <w:szCs w:val="2"/>
              </w:rPr>
              <w:t>​</w:t>
            </w:r>
          </w:p>
        </w:tc>
        <w:tc>
          <w:tcPr>
            <w:tcW w:w="58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97617234"/>
              <w:rPr>
                <w:sz w:val="20"/>
                <w:szCs w:val="20"/>
              </w:rPr>
            </w:pPr>
            <w:r>
              <w:rPr>
                <w:sz w:val="2"/>
                <w:szCs w:val="2"/>
              </w:rPr>
              <w:t>​</w:t>
            </w:r>
          </w:p>
        </w:tc>
        <w:tc>
          <w:tcPr>
            <w:tcW w:w="14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37321788"/>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26365121"/>
              <w:rPr>
                <w:sz w:val="20"/>
                <w:szCs w:val="20"/>
              </w:rPr>
            </w:pPr>
            <w:r>
              <w:rPr>
                <w:sz w:val="2"/>
                <w:szCs w:val="2"/>
              </w:rPr>
              <w:t>​</w:t>
            </w:r>
          </w:p>
        </w:tc>
        <w:tc>
          <w:tcPr>
            <w:tcW w:w="64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23005456"/>
              <w:rPr>
                <w:sz w:val="20"/>
                <w:szCs w:val="20"/>
              </w:rPr>
            </w:pPr>
            <w:r>
              <w:rPr>
                <w:sz w:val="2"/>
                <w:szCs w:val="2"/>
              </w:rPr>
              <w:t>​</w:t>
            </w:r>
          </w:p>
        </w:tc>
      </w:tr>
      <w:tr w:rsidR="00000000">
        <w:trPr>
          <w:divId w:val="1339424999"/>
        </w:trPr>
        <w:tc>
          <w:tcPr>
            <w:tcW w:w="16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1620"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Three Months Ended September 30,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w:t>
            </w:r>
          </w:p>
        </w:tc>
        <w:tc>
          <w:tcPr>
            <w:tcW w:w="1562"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Nine Months Ended September 30, </w:t>
            </w:r>
          </w:p>
        </w:tc>
      </w:tr>
      <w:tr w:rsidR="00000000">
        <w:trPr>
          <w:divId w:val="1339424999"/>
        </w:trPr>
        <w:tc>
          <w:tcPr>
            <w:tcW w:w="16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725"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4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754"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680"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734"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r>
      <w:tr w:rsidR="00000000">
        <w:trPr>
          <w:divId w:val="1339424999"/>
        </w:trPr>
        <w:tc>
          <w:tcPr>
            <w:tcW w:w="0" w:type="auto"/>
            <w:gridSpan w:val="13"/>
            <w:tcMar>
              <w:top w:w="0" w:type="dxa"/>
              <w:left w:w="0" w:type="dxa"/>
              <w:bottom w:w="0" w:type="dxa"/>
              <w:right w:w="0" w:type="dxa"/>
            </w:tcMar>
            <w:vAlign w:val="center"/>
            <w:hideMark/>
          </w:tcPr>
          <w:p w:rsidR="00000000" w:rsidRDefault="00DB7886">
            <w:pPr>
              <w:rPr>
                <w:sz w:val="20"/>
                <w:szCs w:val="20"/>
              </w:rPr>
            </w:pPr>
          </w:p>
        </w:tc>
      </w:tr>
      <w:tr w:rsidR="00000000">
        <w:trPr>
          <w:divId w:val="1339424999"/>
        </w:trPr>
        <w:tc>
          <w:tcPr>
            <w:tcW w:w="16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3286" w:type="pct"/>
            <w:gridSpan w:val="11"/>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1339424999"/>
        </w:trPr>
        <w:tc>
          <w:tcPr>
            <w:tcW w:w="16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Net sales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1,88</w:t>
            </w:r>
            <w:r>
              <w:rPr>
                <w:sz w:val="20"/>
                <w:szCs w:val="20"/>
              </w:rPr>
              <w:t>3</w:t>
            </w:r>
          </w:p>
        </w:tc>
        <w:tc>
          <w:tcPr>
            <w:tcW w:w="14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6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1,00</w:t>
            </w: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8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5,12</w:t>
            </w:r>
            <w:r>
              <w:rPr>
                <w:sz w:val="20"/>
                <w:szCs w:val="20"/>
              </w:rPr>
              <w:t>9</w:t>
            </w:r>
          </w:p>
        </w:tc>
        <w:tc>
          <w:tcPr>
            <w:tcW w:w="1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4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2,81</w:t>
            </w:r>
            <w:r>
              <w:rPr>
                <w:sz w:val="20"/>
                <w:szCs w:val="20"/>
              </w:rPr>
              <w:t>1</w:t>
            </w:r>
          </w:p>
        </w:tc>
      </w:tr>
      <w:tr w:rsidR="00000000">
        <w:trPr>
          <w:divId w:val="1339424999"/>
        </w:trPr>
        <w:tc>
          <w:tcPr>
            <w:tcW w:w="16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Cost of goods sold</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3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1,68</w:t>
            </w:r>
            <w:r>
              <w:rPr>
                <w:sz w:val="20"/>
                <w:szCs w:val="20"/>
              </w:rPr>
              <w:t>6</w:t>
            </w:r>
          </w:p>
        </w:tc>
        <w:tc>
          <w:tcPr>
            <w:tcW w:w="14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65"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1,04</w:t>
            </w:r>
            <w:r>
              <w:rPr>
                <w:sz w:val="20"/>
                <w:szCs w:val="20"/>
              </w:rPr>
              <w:t>0</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8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5,02</w:t>
            </w:r>
            <w:r>
              <w:rPr>
                <w:sz w:val="20"/>
                <w:szCs w:val="20"/>
              </w:rPr>
              <w:t>2</w:t>
            </w:r>
          </w:p>
        </w:tc>
        <w:tc>
          <w:tcPr>
            <w:tcW w:w="14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4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2,93</w:t>
            </w:r>
            <w:r>
              <w:rPr>
                <w:sz w:val="20"/>
                <w:szCs w:val="20"/>
              </w:rPr>
              <w:t>4</w:t>
            </w:r>
          </w:p>
        </w:tc>
      </w:tr>
      <w:tr w:rsidR="00000000">
        <w:trPr>
          <w:divId w:val="1339424999"/>
        </w:trPr>
        <w:tc>
          <w:tcPr>
            <w:tcW w:w="16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Gross margin</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19</w:t>
            </w:r>
            <w:r>
              <w:rPr>
                <w:sz w:val="20"/>
                <w:szCs w:val="20"/>
              </w:rPr>
              <w:t>7</w:t>
            </w:r>
          </w:p>
        </w:tc>
        <w:tc>
          <w:tcPr>
            <w:tcW w:w="14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(35</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10</w:t>
            </w:r>
            <w:r>
              <w:rPr>
                <w:sz w:val="20"/>
                <w:szCs w:val="20"/>
              </w:rPr>
              <w:t>7</w:t>
            </w:r>
          </w:p>
        </w:tc>
        <w:tc>
          <w:tcPr>
            <w:tcW w:w="14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(123</w:t>
            </w:r>
            <w:r>
              <w:rPr>
                <w:sz w:val="20"/>
                <w:szCs w:val="20"/>
              </w:rPr>
              <w:t>)</w:t>
            </w:r>
          </w:p>
        </w:tc>
      </w:tr>
    </w:tbl>
    <w:p w:rsidR="00000000" w:rsidRDefault="00DB7886">
      <w:pPr>
        <w:pStyle w:val="a3"/>
        <w:spacing w:before="0" w:beforeAutospacing="0" w:after="0" w:afterAutospacing="0"/>
        <w:divId w:val="1339424999"/>
        <w:rPr>
          <w:sz w:val="20"/>
          <w:szCs w:val="20"/>
        </w:rPr>
      </w:pPr>
      <w:r>
        <w:rPr>
          <w:sz w:val="20"/>
          <w:szCs w:val="20"/>
        </w:rPr>
        <w:t>​</w:t>
      </w:r>
    </w:p>
    <w:p w:rsidR="00000000" w:rsidRDefault="00DB7886">
      <w:pPr>
        <w:pStyle w:val="a3"/>
        <w:spacing w:before="0" w:beforeAutospacing="0" w:after="240" w:afterAutospacing="0"/>
        <w:divId w:val="1339424999"/>
        <w:rPr>
          <w:i/>
          <w:iCs/>
          <w:sz w:val="20"/>
          <w:szCs w:val="20"/>
        </w:rPr>
      </w:pPr>
      <w:r>
        <w:rPr>
          <w:i/>
          <w:iCs/>
          <w:sz w:val="20"/>
          <w:szCs w:val="20"/>
          <w:u w:val="single"/>
        </w:rPr>
        <w:t>Three Months September 30,</w:t>
      </w:r>
      <w:r>
        <w:rPr>
          <w:i/>
          <w:iCs/>
          <w:sz w:val="20"/>
          <w:szCs w:val="20"/>
          <w:u w:val="single"/>
        </w:rPr>
        <w:t> </w:t>
      </w:r>
      <w:r>
        <w:rPr>
          <w:i/>
          <w:iCs/>
          <w:sz w:val="20"/>
          <w:szCs w:val="20"/>
          <w:u w:val="single"/>
        </w:rPr>
        <w:t>2021 and 2020</w:t>
      </w:r>
    </w:p>
    <w:p w:rsidR="00000000" w:rsidRDefault="00DB7886">
      <w:pPr>
        <w:pStyle w:val="a3"/>
        <w:spacing w:before="0" w:beforeAutospacing="0" w:after="240" w:afterAutospacing="0"/>
        <w:ind w:firstLine="360"/>
        <w:divId w:val="1339424999"/>
        <w:rPr>
          <w:sz w:val="20"/>
          <w:szCs w:val="20"/>
        </w:rPr>
      </w:pPr>
      <w:r>
        <w:rPr>
          <w:sz w:val="20"/>
          <w:szCs w:val="20"/>
        </w:rPr>
        <w:t>Net sales for our Energy segment increased by $878 million (87%) for the three months ended September 30, 2021 as compared to the comparable prior year period due to an increase in our petroleum business’ net sales, which increased $813 million, as well as</w:t>
      </w:r>
      <w:r>
        <w:rPr>
          <w:sz w:val="20"/>
          <w:szCs w:val="20"/>
        </w:rPr>
        <w:t xml:space="preserve"> an increase in our nitrogen fertilizer business’ net sales, which increased $65 million over the comparable periods. The increase in the petroleum business’ net sales was primarily due to an increase in sales of gasoline and distillates attributable to an</w:t>
      </w:r>
      <w:r>
        <w:rPr>
          <w:sz w:val="20"/>
          <w:szCs w:val="20"/>
        </w:rPr>
        <w:t xml:space="preserve"> increase in volumes and more favorable pricing conditions. Volumes were lower in the comparable prior year period due to the full planned turnaround at one of the refineries while another refinery experienced reduced utilization in response to demand redu</w:t>
      </w:r>
      <w:r>
        <w:rPr>
          <w:sz w:val="20"/>
          <w:szCs w:val="20"/>
        </w:rPr>
        <w:t>ctions driven by the impacts of the COVID-19 pandemic. Our nitrogen fertilizer business’ net sales increased primarily due to an increase in urea ammonium nitrate (“UAN”) sales primarily due to favorable pricing conditions.</w:t>
      </w:r>
    </w:p>
    <w:p w:rsidR="00000000" w:rsidRDefault="00DB7886">
      <w:pPr>
        <w:pStyle w:val="a3"/>
        <w:spacing w:before="0" w:beforeAutospacing="0" w:after="240" w:afterAutospacing="0"/>
        <w:ind w:firstLine="360"/>
        <w:divId w:val="1339424999"/>
        <w:rPr>
          <w:sz w:val="20"/>
          <w:szCs w:val="20"/>
        </w:rPr>
      </w:pPr>
      <w:r>
        <w:rPr>
          <w:sz w:val="20"/>
          <w:szCs w:val="20"/>
        </w:rPr>
        <w:t>Cost of goods sold for our Energ</w:t>
      </w:r>
      <w:r>
        <w:rPr>
          <w:sz w:val="20"/>
          <w:szCs w:val="20"/>
        </w:rPr>
        <w:t>y segment increased by $646 million (62%) for the three months ended September 30, 2021 as compared to the comparable prior year period. The increase was primarily due to our petroleum business as a result of higher cost of consumed crude oil. The higher c</w:t>
      </w:r>
      <w:r>
        <w:rPr>
          <w:sz w:val="20"/>
          <w:szCs w:val="20"/>
        </w:rPr>
        <w:t xml:space="preserve">ost of consumed crude oil was due to an increase in volumes, as discussed above, as well as lower derivative performance of $17 million, offset in part by a $52 million decrease in the net cost of RINs. Gross margin for our Energy segment improved by $232 </w:t>
      </w:r>
      <w:r>
        <w:rPr>
          <w:sz w:val="20"/>
          <w:szCs w:val="20"/>
        </w:rPr>
        <w:t>million for the three months ended September 30, 2021 as compared to the comparable prior year period. Gross margin as a percentage of net sales was 10% and (3)% for the three months ended September 30, 2021 and 2020, respectively. The improvement in the g</w:t>
      </w:r>
      <w:r>
        <w:rPr>
          <w:sz w:val="20"/>
          <w:szCs w:val="20"/>
        </w:rPr>
        <w:t>ross margin as a percentage of net sales was primarily attributable to the petroleum business, which was primarily due to higher crack spreads and a decrease in the net cost of RINs, offset in part by lower derivative performance.</w:t>
      </w:r>
    </w:p>
    <w:p w:rsidR="00000000" w:rsidRDefault="00DB7886">
      <w:pPr>
        <w:pStyle w:val="a3"/>
        <w:spacing w:before="480" w:beforeAutospacing="0" w:after="0" w:afterAutospacing="0"/>
        <w:jc w:val="center"/>
        <w:divId w:val="478420144"/>
        <w:rPr>
          <w:sz w:val="20"/>
          <w:szCs w:val="20"/>
        </w:rPr>
      </w:pPr>
      <w:r>
        <w:rPr>
          <w:sz w:val="20"/>
          <w:szCs w:val="20"/>
        </w:rPr>
        <w:t>46</w:t>
      </w:r>
    </w:p>
    <w:p w:rsidR="00000000" w:rsidRDefault="00DB7886">
      <w:pPr>
        <w:pStyle w:val="a3"/>
        <w:spacing w:before="0" w:beforeAutospacing="0" w:after="600" w:afterAutospacing="0"/>
        <w:divId w:val="933708263"/>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divId w:val="1587373529"/>
        <w:rPr>
          <w:i/>
          <w:iCs/>
          <w:sz w:val="20"/>
          <w:szCs w:val="20"/>
        </w:rPr>
      </w:pPr>
      <w:r>
        <w:rPr>
          <w:i/>
          <w:iCs/>
          <w:sz w:val="20"/>
          <w:szCs w:val="20"/>
          <w:u w:val="single"/>
        </w:rPr>
        <w:t>Nine Months Ended September 30, 2021 and 2020</w:t>
      </w:r>
    </w:p>
    <w:p w:rsidR="00000000" w:rsidRDefault="00DB7886">
      <w:pPr>
        <w:pStyle w:val="a3"/>
        <w:spacing w:before="0" w:beforeAutospacing="0" w:after="240" w:afterAutospacing="0"/>
        <w:ind w:firstLine="360"/>
        <w:divId w:val="1587373529"/>
        <w:rPr>
          <w:sz w:val="20"/>
          <w:szCs w:val="20"/>
        </w:rPr>
      </w:pPr>
      <w:r>
        <w:rPr>
          <w:sz w:val="20"/>
          <w:szCs w:val="20"/>
        </w:rPr>
        <w:t>Net sales for our Energy segment increased by approximately $2.3 billion (82%) for the nine months ended September 30, 2021 as compared to the comparable prior year period due to an increa</w:t>
      </w:r>
      <w:r>
        <w:rPr>
          <w:sz w:val="20"/>
          <w:szCs w:val="20"/>
        </w:rPr>
        <w:t>se in our petroleum business’ net sales, which increased approximately $2.2 billion, as well as an increase in our nitrogen fertilizer business’ net sales, which increased $84 million over the comparable periods. The increase in the petroleum business’ net</w:t>
      </w:r>
      <w:r>
        <w:rPr>
          <w:sz w:val="20"/>
          <w:szCs w:val="20"/>
        </w:rPr>
        <w:t xml:space="preserve"> sales was primarily due to an increase in sales of gasoline and distillates attributable to an increase in volumes and more favorable pricing conditions. Volumes were lower in the comparable prior year period due to the full planned turnaround at one of t</w:t>
      </w:r>
      <w:r>
        <w:rPr>
          <w:sz w:val="20"/>
          <w:szCs w:val="20"/>
        </w:rPr>
        <w:t>he refineries while another refinery experienced reduced utilization in response to demand reductions driven by the impacts of the COVID-19 pandemic. Our nitrogen fertilizer business’ net sales increased primarily due to an increase in urea ammonium nitrat</w:t>
      </w:r>
      <w:r>
        <w:rPr>
          <w:sz w:val="20"/>
          <w:szCs w:val="20"/>
        </w:rPr>
        <w:t>e (“UAN”) sales primarily due to favorable pricing conditions.</w:t>
      </w:r>
    </w:p>
    <w:p w:rsidR="00000000" w:rsidRDefault="00DB7886">
      <w:pPr>
        <w:pStyle w:val="a3"/>
        <w:spacing w:before="0" w:beforeAutospacing="0" w:after="240" w:afterAutospacing="0"/>
        <w:ind w:firstLine="360"/>
        <w:divId w:val="1587373529"/>
        <w:rPr>
          <w:sz w:val="20"/>
          <w:szCs w:val="20"/>
        </w:rPr>
      </w:pPr>
      <w:r>
        <w:rPr>
          <w:sz w:val="20"/>
          <w:szCs w:val="20"/>
        </w:rPr>
        <w:t>Cost of goods sold for our Energy segment increased by approximately $2.1 billion (71%) for the nine months ended September 30, 2021 as compared to the comparable prior year period. The increas</w:t>
      </w:r>
      <w:r>
        <w:rPr>
          <w:sz w:val="20"/>
          <w:szCs w:val="20"/>
        </w:rPr>
        <w:t>e was primarily due to our petroleum business as a result of higher cost of consumed crude oil. The higher cost of consumed crude oil was due to an increase in volumes, as discussed above, as well as a $264 million increase in the net cost of RINs and lowe</w:t>
      </w:r>
      <w:r>
        <w:rPr>
          <w:sz w:val="20"/>
          <w:szCs w:val="20"/>
        </w:rPr>
        <w:t>r derivative performance of $116 million. Gross margin for our Energy segment improved by $230 million for the nine months ended September 30, 2021 as compared to the comparable prior year period. Gross margin as a percentage of net sales was 2% and (4)% f</w:t>
      </w:r>
      <w:r>
        <w:rPr>
          <w:sz w:val="20"/>
          <w:szCs w:val="20"/>
        </w:rPr>
        <w:t>or the nine months ended September 30, 2021 and 2020, respectively. The improvement in the gross margin as a</w:t>
      </w:r>
      <w:r>
        <w:rPr>
          <w:sz w:val="20"/>
          <w:szCs w:val="20"/>
        </w:rPr>
        <w:t> </w:t>
      </w:r>
      <w:r>
        <w:rPr>
          <w:sz w:val="20"/>
          <w:szCs w:val="20"/>
        </w:rPr>
        <w:t>percentage of net sales was primarily attributable to the petroleum business, which was primarily due to higher crack spreads, offset in part by an</w:t>
      </w:r>
      <w:r>
        <w:rPr>
          <w:sz w:val="20"/>
          <w:szCs w:val="20"/>
        </w:rPr>
        <w:t xml:space="preserve"> increase in the net cost of RINs and lower derivative performance.</w:t>
      </w:r>
      <w:r>
        <w:rPr>
          <w:sz w:val="20"/>
          <w:szCs w:val="20"/>
        </w:rPr>
        <w:t xml:space="preserve"> </w:t>
      </w:r>
    </w:p>
    <w:p w:rsidR="00000000" w:rsidRDefault="00DB7886">
      <w:pPr>
        <w:pStyle w:val="a3"/>
        <w:spacing w:before="0" w:beforeAutospacing="0" w:after="240" w:afterAutospacing="0"/>
        <w:divId w:val="1587373529"/>
        <w:rPr>
          <w:b/>
          <w:bCs/>
          <w:i/>
          <w:iCs/>
          <w:sz w:val="20"/>
          <w:szCs w:val="20"/>
        </w:rPr>
      </w:pPr>
      <w:r>
        <w:rPr>
          <w:b/>
          <w:bCs/>
          <w:i/>
          <w:iCs/>
          <w:sz w:val="20"/>
          <w:szCs w:val="20"/>
        </w:rPr>
        <w:t>Automotive</w:t>
      </w:r>
    </w:p>
    <w:p w:rsidR="00000000" w:rsidRDefault="00DB7886">
      <w:pPr>
        <w:pStyle w:val="a3"/>
        <w:spacing w:before="0" w:beforeAutospacing="0" w:after="240" w:afterAutospacing="0"/>
        <w:ind w:firstLine="360"/>
        <w:divId w:val="1587373529"/>
        <w:rPr>
          <w:sz w:val="20"/>
          <w:szCs w:val="20"/>
        </w:rPr>
      </w:pPr>
      <w:r>
        <w:rPr>
          <w:sz w:val="20"/>
          <w:szCs w:val="20"/>
        </w:rPr>
        <w:t>Our Automotive segment’</w:t>
      </w:r>
      <w:r>
        <w:rPr>
          <w:sz w:val="20"/>
          <w:szCs w:val="20"/>
        </w:rPr>
        <w:t>s results of operations are generally driven by the distribution and installation of automotive aftermarket parts and the demand for automotive service and maintenance, and is affected by the relative strength of automotive part replacement trends, among o</w:t>
      </w:r>
      <w:r>
        <w:rPr>
          <w:sz w:val="20"/>
          <w:szCs w:val="20"/>
        </w:rPr>
        <w:t xml:space="preserve">ther factors. </w:t>
      </w:r>
    </w:p>
    <w:p w:rsidR="00000000" w:rsidRDefault="00DB7886">
      <w:pPr>
        <w:pStyle w:val="a3"/>
        <w:spacing w:before="0" w:beforeAutospacing="0" w:after="240" w:afterAutospacing="0"/>
        <w:ind w:firstLine="360"/>
        <w:divId w:val="1587373529"/>
        <w:rPr>
          <w:sz w:val="20"/>
          <w:szCs w:val="20"/>
        </w:rPr>
      </w:pPr>
      <w:r>
        <w:rPr>
          <w:sz w:val="20"/>
          <w:szCs w:val="20"/>
        </w:rPr>
        <w:t>Our Automotive segment has been in the process of implementing a multi-year transformation plan, which includes the restructuring of its businesses. The transformation plan includes operating the automotive services and aftermarket parts bus</w:t>
      </w:r>
      <w:r>
        <w:rPr>
          <w:sz w:val="20"/>
          <w:szCs w:val="20"/>
        </w:rPr>
        <w:t>inesses as separate businesses, streamlining Icahn Automotive’s corporate and field support teams, facility closures, consolidations and conversions, inventory optimization actions, and the re-focusing of its automotive parts business on certain core marke</w:t>
      </w:r>
      <w:r>
        <w:rPr>
          <w:sz w:val="20"/>
          <w:szCs w:val="20"/>
        </w:rPr>
        <w:t>ts. As part of this plan, Icahn Automotive entered into an agreement to sell certain inventory assets relating to its aftermarket parts business at 109 locations and a distribution center in California and certain other inventory and fixed assets in Califo</w:t>
      </w:r>
      <w:r>
        <w:rPr>
          <w:sz w:val="20"/>
          <w:szCs w:val="20"/>
        </w:rPr>
        <w:t xml:space="preserve">rnia. Aftermarket parts sales from these locations aggregated $12 million and $77 million during the three and nine months ended September 30, 2021. Costs to implement the transformation plan include restructuring charges, which are recorded when specific </w:t>
      </w:r>
      <w:r>
        <w:rPr>
          <w:sz w:val="20"/>
          <w:szCs w:val="20"/>
        </w:rPr>
        <w:t xml:space="preserve">plans are approved, and which may be significant. </w:t>
      </w:r>
    </w:p>
    <w:p w:rsidR="00000000" w:rsidRDefault="00DB7886">
      <w:pPr>
        <w:pStyle w:val="a3"/>
        <w:spacing w:before="0" w:beforeAutospacing="0" w:after="240" w:afterAutospacing="0"/>
        <w:ind w:firstLine="360"/>
        <w:divId w:val="1587373529"/>
        <w:rPr>
          <w:sz w:val="20"/>
          <w:szCs w:val="20"/>
        </w:rPr>
      </w:pPr>
      <w:r>
        <w:rPr>
          <w:sz w:val="20"/>
          <w:szCs w:val="20"/>
        </w:rPr>
        <w:t>Our Automotive segment’s priorities include:</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87373529"/>
        </w:trPr>
        <w:tc>
          <w:tcPr>
            <w:tcW w:w="360" w:type="dxa"/>
            <w:vAlign w:val="center"/>
            <w:hideMark/>
          </w:tcPr>
          <w:p w:rsidR="00000000" w:rsidRDefault="00DB7886">
            <w:pPr>
              <w:rPr>
                <w:sz w:val="20"/>
                <w:szCs w:val="20"/>
              </w:rPr>
            </w:pPr>
          </w:p>
        </w:tc>
        <w:tc>
          <w:tcPr>
            <w:tcW w:w="360" w:type="dxa"/>
            <w:noWrap/>
            <w:tcMar>
              <w:top w:w="0" w:type="dxa"/>
              <w:left w:w="0" w:type="dxa"/>
              <w:bottom w:w="0" w:type="dxa"/>
              <w:right w:w="0" w:type="dxa"/>
            </w:tcMar>
            <w:hideMark/>
          </w:tcPr>
          <w:p w:rsidR="00000000" w:rsidRDefault="00DB788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B7886">
            <w:pPr>
              <w:rPr>
                <w:rFonts w:eastAsia="Times New Roman"/>
                <w:sz w:val="20"/>
                <w:szCs w:val="20"/>
              </w:rPr>
            </w:pPr>
            <w:r>
              <w:rPr>
                <w:rFonts w:eastAsia="Times New Roman"/>
                <w:sz w:val="20"/>
                <w:szCs w:val="20"/>
              </w:rPr>
              <w:t>Positioning the service business to take advantage of opportunities in the do-it-for-me market and vehicle fleets;</w:t>
            </w:r>
          </w:p>
        </w:tc>
      </w:tr>
    </w:tbl>
    <w:p w:rsidR="00000000" w:rsidRDefault="00DB7886">
      <w:pPr>
        <w:divId w:val="158737352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87373529"/>
        </w:trPr>
        <w:tc>
          <w:tcPr>
            <w:tcW w:w="360" w:type="dxa"/>
            <w:vAlign w:val="center"/>
            <w:hideMark/>
          </w:tcPr>
          <w:p w:rsidR="00000000" w:rsidRDefault="00DB7886">
            <w:pPr>
              <w:rPr>
                <w:rFonts w:eastAsia="Times New Roman"/>
              </w:rPr>
            </w:pPr>
          </w:p>
        </w:tc>
        <w:tc>
          <w:tcPr>
            <w:tcW w:w="360" w:type="dxa"/>
            <w:noWrap/>
            <w:tcMar>
              <w:top w:w="0" w:type="dxa"/>
              <w:left w:w="0" w:type="dxa"/>
              <w:bottom w:w="0" w:type="dxa"/>
              <w:right w:w="0" w:type="dxa"/>
            </w:tcMar>
            <w:hideMark/>
          </w:tcPr>
          <w:p w:rsidR="00000000" w:rsidRDefault="00DB788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B7886">
            <w:pPr>
              <w:rPr>
                <w:rFonts w:eastAsia="Times New Roman"/>
                <w:sz w:val="20"/>
                <w:szCs w:val="20"/>
              </w:rPr>
            </w:pPr>
            <w:r>
              <w:rPr>
                <w:rFonts w:eastAsia="Times New Roman"/>
                <w:sz w:val="20"/>
                <w:szCs w:val="20"/>
              </w:rPr>
              <w:t>Optimizing the value of the commercia</w:t>
            </w:r>
            <w:r>
              <w:rPr>
                <w:rFonts w:eastAsia="Times New Roman"/>
                <w:sz w:val="20"/>
                <w:szCs w:val="20"/>
              </w:rPr>
              <w:t>l parts distribution business in certain high-volume core markets;</w:t>
            </w:r>
          </w:p>
        </w:tc>
      </w:tr>
    </w:tbl>
    <w:p w:rsidR="00000000" w:rsidRDefault="00DB7886">
      <w:pPr>
        <w:divId w:val="158737352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87373529"/>
        </w:trPr>
        <w:tc>
          <w:tcPr>
            <w:tcW w:w="360" w:type="dxa"/>
            <w:vAlign w:val="center"/>
            <w:hideMark/>
          </w:tcPr>
          <w:p w:rsidR="00000000" w:rsidRDefault="00DB7886">
            <w:pPr>
              <w:rPr>
                <w:rFonts w:eastAsia="Times New Roman"/>
              </w:rPr>
            </w:pPr>
          </w:p>
        </w:tc>
        <w:tc>
          <w:tcPr>
            <w:tcW w:w="360" w:type="dxa"/>
            <w:noWrap/>
            <w:tcMar>
              <w:top w:w="0" w:type="dxa"/>
              <w:left w:w="0" w:type="dxa"/>
              <w:bottom w:w="0" w:type="dxa"/>
              <w:right w:w="0" w:type="dxa"/>
            </w:tcMar>
            <w:hideMark/>
          </w:tcPr>
          <w:p w:rsidR="00000000" w:rsidRDefault="00DB788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B7886">
            <w:pPr>
              <w:rPr>
                <w:rFonts w:eastAsia="Times New Roman"/>
                <w:sz w:val="20"/>
                <w:szCs w:val="20"/>
              </w:rPr>
            </w:pPr>
            <w:r>
              <w:rPr>
                <w:rFonts w:eastAsia="Times New Roman"/>
                <w:sz w:val="20"/>
                <w:szCs w:val="20"/>
              </w:rPr>
              <w:t>Exiting the automotive parts distribution business in certain low volume, non-core markets;</w:t>
            </w:r>
          </w:p>
        </w:tc>
      </w:tr>
    </w:tbl>
    <w:p w:rsidR="00000000" w:rsidRDefault="00DB7886">
      <w:pPr>
        <w:divId w:val="158737352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87373529"/>
        </w:trPr>
        <w:tc>
          <w:tcPr>
            <w:tcW w:w="360" w:type="dxa"/>
            <w:vAlign w:val="center"/>
            <w:hideMark/>
          </w:tcPr>
          <w:p w:rsidR="00000000" w:rsidRDefault="00DB7886">
            <w:pPr>
              <w:rPr>
                <w:rFonts w:eastAsia="Times New Roman"/>
              </w:rPr>
            </w:pPr>
          </w:p>
        </w:tc>
        <w:tc>
          <w:tcPr>
            <w:tcW w:w="360" w:type="dxa"/>
            <w:noWrap/>
            <w:tcMar>
              <w:top w:w="0" w:type="dxa"/>
              <w:left w:w="0" w:type="dxa"/>
              <w:bottom w:w="0" w:type="dxa"/>
              <w:right w:w="0" w:type="dxa"/>
            </w:tcMar>
            <w:hideMark/>
          </w:tcPr>
          <w:p w:rsidR="00000000" w:rsidRDefault="00DB788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B7886">
            <w:pPr>
              <w:rPr>
                <w:rFonts w:eastAsia="Times New Roman"/>
                <w:sz w:val="20"/>
                <w:szCs w:val="20"/>
              </w:rPr>
            </w:pPr>
            <w:r>
              <w:rPr>
                <w:rFonts w:eastAsia="Times New Roman"/>
                <w:sz w:val="20"/>
                <w:szCs w:val="20"/>
              </w:rPr>
              <w:t>Improving inventory management across Icahn Automotive’s parts and tire distribution ne</w:t>
            </w:r>
            <w:r>
              <w:rPr>
                <w:rFonts w:eastAsia="Times New Roman"/>
                <w:sz w:val="20"/>
                <w:szCs w:val="20"/>
              </w:rPr>
              <w:t>twork;</w:t>
            </w:r>
          </w:p>
        </w:tc>
      </w:tr>
    </w:tbl>
    <w:p w:rsidR="00000000" w:rsidRDefault="00DB7886">
      <w:pPr>
        <w:divId w:val="158737352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87373529"/>
        </w:trPr>
        <w:tc>
          <w:tcPr>
            <w:tcW w:w="360" w:type="dxa"/>
            <w:vAlign w:val="center"/>
            <w:hideMark/>
          </w:tcPr>
          <w:p w:rsidR="00000000" w:rsidRDefault="00DB7886">
            <w:pPr>
              <w:rPr>
                <w:rFonts w:eastAsia="Times New Roman"/>
              </w:rPr>
            </w:pPr>
          </w:p>
        </w:tc>
        <w:tc>
          <w:tcPr>
            <w:tcW w:w="360" w:type="dxa"/>
            <w:noWrap/>
            <w:tcMar>
              <w:top w:w="0" w:type="dxa"/>
              <w:left w:w="0" w:type="dxa"/>
              <w:bottom w:w="0" w:type="dxa"/>
              <w:right w:w="0" w:type="dxa"/>
            </w:tcMar>
            <w:hideMark/>
          </w:tcPr>
          <w:p w:rsidR="00000000" w:rsidRDefault="00DB788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B7886">
            <w:pPr>
              <w:rPr>
                <w:rFonts w:eastAsia="Times New Roman"/>
                <w:sz w:val="20"/>
                <w:szCs w:val="20"/>
              </w:rPr>
            </w:pPr>
            <w:r>
              <w:rPr>
                <w:rFonts w:eastAsia="Times New Roman"/>
                <w:sz w:val="20"/>
                <w:szCs w:val="20"/>
              </w:rPr>
              <w:t>Investment in customer experience initiatives and selective upgrades in facilities;</w:t>
            </w:r>
          </w:p>
        </w:tc>
      </w:tr>
    </w:tbl>
    <w:p w:rsidR="00000000" w:rsidRDefault="00DB7886">
      <w:pPr>
        <w:divId w:val="158737352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87373529"/>
        </w:trPr>
        <w:tc>
          <w:tcPr>
            <w:tcW w:w="360" w:type="dxa"/>
            <w:vAlign w:val="center"/>
            <w:hideMark/>
          </w:tcPr>
          <w:p w:rsidR="00000000" w:rsidRDefault="00DB7886">
            <w:pPr>
              <w:rPr>
                <w:rFonts w:eastAsia="Times New Roman"/>
              </w:rPr>
            </w:pPr>
          </w:p>
        </w:tc>
        <w:tc>
          <w:tcPr>
            <w:tcW w:w="360" w:type="dxa"/>
            <w:noWrap/>
            <w:tcMar>
              <w:top w:w="0" w:type="dxa"/>
              <w:left w:w="0" w:type="dxa"/>
              <w:bottom w:w="0" w:type="dxa"/>
              <w:right w:w="0" w:type="dxa"/>
            </w:tcMar>
            <w:hideMark/>
          </w:tcPr>
          <w:p w:rsidR="00000000" w:rsidRDefault="00DB788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B7886">
            <w:pPr>
              <w:rPr>
                <w:rFonts w:eastAsia="Times New Roman"/>
                <w:sz w:val="20"/>
                <w:szCs w:val="20"/>
              </w:rPr>
            </w:pPr>
            <w:r>
              <w:rPr>
                <w:rFonts w:eastAsia="Times New Roman"/>
                <w:sz w:val="20"/>
                <w:szCs w:val="20"/>
              </w:rPr>
              <w:t>Investment in employees with focus on training and career development investments; and</w:t>
            </w:r>
          </w:p>
        </w:tc>
      </w:tr>
    </w:tbl>
    <w:p w:rsidR="00000000" w:rsidRDefault="00DB7886">
      <w:pPr>
        <w:divId w:val="158737352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87373529"/>
        </w:trPr>
        <w:tc>
          <w:tcPr>
            <w:tcW w:w="360" w:type="dxa"/>
            <w:vAlign w:val="center"/>
            <w:hideMark/>
          </w:tcPr>
          <w:p w:rsidR="00000000" w:rsidRDefault="00DB7886">
            <w:pPr>
              <w:rPr>
                <w:rFonts w:eastAsia="Times New Roman"/>
              </w:rPr>
            </w:pPr>
          </w:p>
        </w:tc>
        <w:tc>
          <w:tcPr>
            <w:tcW w:w="360" w:type="dxa"/>
            <w:noWrap/>
            <w:tcMar>
              <w:top w:w="0" w:type="dxa"/>
              <w:left w:w="0" w:type="dxa"/>
              <w:bottom w:w="0" w:type="dxa"/>
              <w:right w:w="0" w:type="dxa"/>
            </w:tcMar>
            <w:hideMark/>
          </w:tcPr>
          <w:p w:rsidR="00000000" w:rsidRDefault="00DB788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DB7886">
            <w:pPr>
              <w:rPr>
                <w:rFonts w:eastAsia="Times New Roman"/>
                <w:sz w:val="20"/>
                <w:szCs w:val="20"/>
              </w:rPr>
            </w:pPr>
            <w:r>
              <w:rPr>
                <w:rFonts w:eastAsia="Times New Roman"/>
                <w:sz w:val="20"/>
                <w:szCs w:val="20"/>
              </w:rPr>
              <w:t>Business process improvements, including investments in our supply chain and information technology capabilities.</w:t>
            </w:r>
          </w:p>
        </w:tc>
      </w:tr>
    </w:tbl>
    <w:p w:rsidR="00000000" w:rsidRDefault="00DB7886">
      <w:pPr>
        <w:pStyle w:val="a3"/>
        <w:spacing w:before="0" w:beforeAutospacing="0" w:after="0" w:afterAutospacing="0"/>
        <w:ind w:firstLine="360"/>
        <w:divId w:val="1587373529"/>
        <w:rPr>
          <w:sz w:val="20"/>
          <w:szCs w:val="20"/>
        </w:rPr>
      </w:pPr>
      <w:r>
        <w:rPr>
          <w:sz w:val="20"/>
          <w:szCs w:val="20"/>
        </w:rPr>
        <w:t>The following table presents our Automotive segme</w:t>
      </w:r>
      <w:r>
        <w:rPr>
          <w:sz w:val="20"/>
          <w:szCs w:val="20"/>
        </w:rPr>
        <w:t>nt’s operating revenue, cost of revenue and gross margin. Our Automotive segment’s results of operations also include automotive services labor. Automotive services labor revenues are included in other revenues from operations in our condensed consolidated</w:t>
      </w:r>
      <w:r>
        <w:rPr>
          <w:sz w:val="20"/>
          <w:szCs w:val="20"/>
        </w:rPr>
        <w:t xml:space="preserve"> statements of operations, however, the sale </w:t>
      </w:r>
    </w:p>
    <w:p w:rsidR="00000000" w:rsidRDefault="00DB7886">
      <w:pPr>
        <w:pStyle w:val="a3"/>
        <w:spacing w:before="480" w:beforeAutospacing="0" w:after="0" w:afterAutospacing="0"/>
        <w:jc w:val="center"/>
        <w:divId w:val="1683893164"/>
        <w:rPr>
          <w:sz w:val="20"/>
          <w:szCs w:val="20"/>
        </w:rPr>
      </w:pPr>
      <w:r>
        <w:rPr>
          <w:sz w:val="20"/>
          <w:szCs w:val="20"/>
        </w:rPr>
        <w:t>47</w:t>
      </w:r>
    </w:p>
    <w:p w:rsidR="00000000" w:rsidRDefault="00DB7886">
      <w:pPr>
        <w:pStyle w:val="a3"/>
        <w:spacing w:before="0" w:beforeAutospacing="0" w:after="600" w:afterAutospacing="0"/>
        <w:divId w:val="1653213407"/>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divId w:val="2073429479"/>
        <w:rPr>
          <w:sz w:val="20"/>
          <w:szCs w:val="20"/>
        </w:rPr>
      </w:pPr>
      <w:r>
        <w:rPr>
          <w:sz w:val="20"/>
          <w:szCs w:val="20"/>
        </w:rPr>
        <w:t>of any installed parts or materials related to automotive services are included in net sales. Therefore, we discuss the combined results of our automotive net sale</w:t>
      </w:r>
      <w:r>
        <w:rPr>
          <w:sz w:val="20"/>
          <w:szCs w:val="20"/>
        </w:rPr>
        <w:t>s and automotive services labor revenues below.</w:t>
      </w:r>
    </w:p>
    <w:tbl>
      <w:tblPr>
        <w:tblW w:w="5000" w:type="pct"/>
        <w:tblCellMar>
          <w:top w:w="15" w:type="dxa"/>
          <w:left w:w="0" w:type="dxa"/>
          <w:bottom w:w="15" w:type="dxa"/>
          <w:right w:w="0" w:type="dxa"/>
        </w:tblCellMar>
        <w:tblLook w:val="04A0" w:firstRow="1" w:lastRow="0" w:firstColumn="1" w:lastColumn="0" w:noHBand="0" w:noVBand="1"/>
      </w:tblPr>
      <w:tblGrid>
        <w:gridCol w:w="1767"/>
        <w:gridCol w:w="160"/>
        <w:gridCol w:w="175"/>
        <w:gridCol w:w="1243"/>
        <w:gridCol w:w="280"/>
        <w:gridCol w:w="174"/>
        <w:gridCol w:w="1273"/>
        <w:gridCol w:w="200"/>
        <w:gridCol w:w="187"/>
        <w:gridCol w:w="1181"/>
        <w:gridCol w:w="298"/>
        <w:gridCol w:w="186"/>
        <w:gridCol w:w="1182"/>
      </w:tblGrid>
      <w:tr w:rsidR="00000000">
        <w:trPr>
          <w:divId w:val="2073429479"/>
          <w:trHeight w:val="20"/>
        </w:trPr>
        <w:tc>
          <w:tcPr>
            <w:tcW w:w="1631" w:type="pct"/>
            <w:tcMar>
              <w:top w:w="0" w:type="dxa"/>
              <w:left w:w="0" w:type="dxa"/>
              <w:bottom w:w="0" w:type="dxa"/>
              <w:right w:w="0" w:type="dxa"/>
            </w:tcMar>
            <w:vAlign w:val="bottom"/>
            <w:hideMark/>
          </w:tcPr>
          <w:p w:rsidR="00000000" w:rsidRDefault="00DB7886">
            <w:pPr>
              <w:pStyle w:val="a3"/>
              <w:spacing w:before="0" w:beforeAutospacing="0" w:after="0" w:afterAutospacing="0"/>
              <w:divId w:val="145833215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14999016"/>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74813591"/>
              <w:rPr>
                <w:sz w:val="20"/>
                <w:szCs w:val="20"/>
              </w:rPr>
            </w:pPr>
            <w:r>
              <w:rPr>
                <w:sz w:val="2"/>
                <w:szCs w:val="2"/>
              </w:rPr>
              <w:t>​</w:t>
            </w:r>
          </w:p>
        </w:tc>
        <w:tc>
          <w:tcPr>
            <w:tcW w:w="64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22222204"/>
              <w:rPr>
                <w:sz w:val="20"/>
                <w:szCs w:val="20"/>
              </w:rPr>
            </w:pPr>
            <w:r>
              <w:rPr>
                <w:sz w:val="2"/>
                <w:szCs w:val="2"/>
              </w:rPr>
              <w:t>​</w:t>
            </w:r>
          </w:p>
        </w:tc>
        <w:tc>
          <w:tcPr>
            <w:tcW w:w="14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96687603"/>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66148160"/>
              <w:rPr>
                <w:sz w:val="20"/>
                <w:szCs w:val="20"/>
              </w:rPr>
            </w:pPr>
            <w:r>
              <w:rPr>
                <w:sz w:val="2"/>
                <w:szCs w:val="2"/>
              </w:rPr>
              <w:t>​</w:t>
            </w:r>
          </w:p>
        </w:tc>
        <w:tc>
          <w:tcPr>
            <w:tcW w:w="65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7716137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54556795"/>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69037681"/>
              <w:rPr>
                <w:sz w:val="20"/>
                <w:szCs w:val="20"/>
              </w:rPr>
            </w:pPr>
            <w:r>
              <w:rPr>
                <w:sz w:val="2"/>
                <w:szCs w:val="2"/>
              </w:rPr>
              <w:t>​</w:t>
            </w:r>
          </w:p>
        </w:tc>
        <w:tc>
          <w:tcPr>
            <w:tcW w:w="60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12920590"/>
              <w:rPr>
                <w:sz w:val="20"/>
                <w:szCs w:val="20"/>
              </w:rPr>
            </w:pPr>
            <w:r>
              <w:rPr>
                <w:sz w:val="2"/>
                <w:szCs w:val="2"/>
              </w:rPr>
              <w:t>​</w:t>
            </w:r>
          </w:p>
        </w:tc>
        <w:tc>
          <w:tcPr>
            <w:tcW w:w="15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84931048"/>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74914318"/>
              <w:rPr>
                <w:sz w:val="20"/>
                <w:szCs w:val="20"/>
              </w:rPr>
            </w:pPr>
            <w:r>
              <w:rPr>
                <w:sz w:val="2"/>
                <w:szCs w:val="2"/>
              </w:rPr>
              <w:t>​</w:t>
            </w:r>
          </w:p>
        </w:tc>
        <w:tc>
          <w:tcPr>
            <w:tcW w:w="60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39869768"/>
              <w:rPr>
                <w:sz w:val="20"/>
                <w:szCs w:val="20"/>
              </w:rPr>
            </w:pPr>
            <w:r>
              <w:rPr>
                <w:sz w:val="2"/>
                <w:szCs w:val="2"/>
              </w:rPr>
              <w:t>​</w:t>
            </w:r>
          </w:p>
        </w:tc>
      </w:tr>
      <w:tr w:rsidR="00000000">
        <w:trPr>
          <w:divId w:val="2073429479"/>
        </w:trPr>
        <w:tc>
          <w:tcPr>
            <w:tcW w:w="16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1620"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Three Months Ended September 30,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w:t>
            </w:r>
          </w:p>
        </w:tc>
        <w:tc>
          <w:tcPr>
            <w:tcW w:w="1562" w:type="pct"/>
            <w:gridSpan w:val="5"/>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Nine Months Ended September 30, </w:t>
            </w:r>
          </w:p>
        </w:tc>
      </w:tr>
      <w:tr w:rsidR="00000000">
        <w:trPr>
          <w:divId w:val="2073429479"/>
        </w:trPr>
        <w:tc>
          <w:tcPr>
            <w:tcW w:w="16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730"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744"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704"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5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704"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r>
      <w:tr w:rsidR="00000000">
        <w:trPr>
          <w:divId w:val="2073429479"/>
        </w:trPr>
        <w:tc>
          <w:tcPr>
            <w:tcW w:w="0" w:type="auto"/>
            <w:gridSpan w:val="13"/>
            <w:tcMar>
              <w:top w:w="0" w:type="dxa"/>
              <w:left w:w="0" w:type="dxa"/>
              <w:bottom w:w="0" w:type="dxa"/>
              <w:right w:w="0" w:type="dxa"/>
            </w:tcMar>
            <w:vAlign w:val="center"/>
            <w:hideMark/>
          </w:tcPr>
          <w:p w:rsidR="00000000" w:rsidRDefault="00DB7886">
            <w:pPr>
              <w:rPr>
                <w:sz w:val="20"/>
                <w:szCs w:val="20"/>
              </w:rPr>
            </w:pPr>
          </w:p>
        </w:tc>
      </w:tr>
      <w:tr w:rsidR="00000000">
        <w:trPr>
          <w:divId w:val="2073429479"/>
        </w:trPr>
        <w:tc>
          <w:tcPr>
            <w:tcW w:w="163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3286" w:type="pct"/>
            <w:gridSpan w:val="11"/>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2073429479"/>
        </w:trPr>
        <w:tc>
          <w:tcPr>
            <w:tcW w:w="16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20"/>
                <w:szCs w:val="20"/>
              </w:rPr>
            </w:pPr>
            <w:r>
              <w:rPr>
                <w:sz w:val="20"/>
                <w:szCs w:val="20"/>
              </w:rPr>
              <w:t>Net sales and other revenues from operations</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4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59</w:t>
            </w:r>
            <w:r>
              <w:rPr>
                <w:sz w:val="20"/>
                <w:szCs w:val="20"/>
              </w:rPr>
              <w:t>1</w:t>
            </w:r>
          </w:p>
        </w:tc>
        <w:tc>
          <w:tcPr>
            <w:tcW w:w="1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66</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1,82</w:t>
            </w:r>
            <w:r>
              <w:rPr>
                <w:sz w:val="20"/>
                <w:szCs w:val="20"/>
              </w:rPr>
              <w:t>6</w:t>
            </w:r>
          </w:p>
        </w:tc>
        <w:tc>
          <w:tcPr>
            <w:tcW w:w="1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1,88</w:t>
            </w:r>
            <w:r>
              <w:rPr>
                <w:sz w:val="20"/>
                <w:szCs w:val="20"/>
              </w:rPr>
              <w:t>2</w:t>
            </w:r>
          </w:p>
        </w:tc>
      </w:tr>
      <w:tr w:rsidR="00000000">
        <w:trPr>
          <w:divId w:val="2073429479"/>
        </w:trPr>
        <w:tc>
          <w:tcPr>
            <w:tcW w:w="1631" w:type="pct"/>
            <w:tcMar>
              <w:top w:w="0" w:type="dxa"/>
              <w:left w:w="0" w:type="dxa"/>
              <w:bottom w:w="0" w:type="dxa"/>
              <w:right w:w="0" w:type="dxa"/>
            </w:tcMar>
            <w:vAlign w:val="bottom"/>
            <w:hideMark/>
          </w:tcPr>
          <w:p w:rsidR="00000000" w:rsidRDefault="00DB7886">
            <w:pPr>
              <w:pStyle w:val="a3"/>
              <w:spacing w:before="0" w:beforeAutospacing="0" w:after="0" w:afterAutospacing="0"/>
              <w:ind w:hanging="144"/>
              <w:rPr>
                <w:sz w:val="20"/>
                <w:szCs w:val="20"/>
              </w:rPr>
            </w:pPr>
            <w:r>
              <w:rPr>
                <w:sz w:val="20"/>
                <w:szCs w:val="20"/>
              </w:rPr>
              <w:t>Cost of goods sold and other expenses from operations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4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41</w:t>
            </w:r>
            <w:r>
              <w:rPr>
                <w:sz w:val="20"/>
                <w:szCs w:val="20"/>
              </w:rPr>
              <w:t>8</w:t>
            </w:r>
          </w:p>
        </w:tc>
        <w:tc>
          <w:tcPr>
            <w:tcW w:w="14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5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46</w:t>
            </w:r>
            <w:r>
              <w:rPr>
                <w:sz w:val="20"/>
                <w:szCs w:val="20"/>
              </w:rPr>
              <w:t>6</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08"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1,30</w:t>
            </w:r>
            <w:r>
              <w:rPr>
                <w:sz w:val="20"/>
                <w:szCs w:val="20"/>
              </w:rPr>
              <w:t>4</w:t>
            </w:r>
          </w:p>
        </w:tc>
        <w:tc>
          <w:tcPr>
            <w:tcW w:w="15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60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1,37</w:t>
            </w:r>
            <w:r>
              <w:rPr>
                <w:sz w:val="20"/>
                <w:szCs w:val="20"/>
              </w:rPr>
              <w:t>5</w:t>
            </w:r>
          </w:p>
        </w:tc>
      </w:tr>
      <w:tr w:rsidR="00000000">
        <w:trPr>
          <w:divId w:val="2073429479"/>
        </w:trPr>
        <w:tc>
          <w:tcPr>
            <w:tcW w:w="1631"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Gross margin</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17</w:t>
            </w:r>
            <w:r>
              <w:rPr>
                <w:sz w:val="20"/>
                <w:szCs w:val="20"/>
              </w:rPr>
              <w:t>3</w:t>
            </w:r>
          </w:p>
        </w:tc>
        <w:tc>
          <w:tcPr>
            <w:tcW w:w="1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19</w:t>
            </w: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52</w:t>
            </w:r>
            <w:r>
              <w:rPr>
                <w:sz w:val="20"/>
                <w:szCs w:val="20"/>
              </w:rPr>
              <w:t>2</w:t>
            </w:r>
          </w:p>
        </w:tc>
        <w:tc>
          <w:tcPr>
            <w:tcW w:w="15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50</w:t>
            </w:r>
            <w:r>
              <w:rPr>
                <w:sz w:val="20"/>
                <w:szCs w:val="20"/>
              </w:rPr>
              <w:t>7</w:t>
            </w:r>
          </w:p>
        </w:tc>
      </w:tr>
    </w:tbl>
    <w:p w:rsidR="00000000" w:rsidRDefault="00DB7886">
      <w:pPr>
        <w:pStyle w:val="a3"/>
        <w:spacing w:before="0" w:beforeAutospacing="0" w:after="0" w:afterAutospacing="0"/>
        <w:divId w:val="2073429479"/>
        <w:rPr>
          <w:sz w:val="20"/>
          <w:szCs w:val="20"/>
        </w:rPr>
      </w:pPr>
      <w:r>
        <w:rPr>
          <w:sz w:val="20"/>
          <w:szCs w:val="20"/>
        </w:rPr>
        <w:t>​</w:t>
      </w:r>
    </w:p>
    <w:p w:rsidR="00000000" w:rsidRDefault="00DB7886">
      <w:pPr>
        <w:pStyle w:val="a3"/>
        <w:spacing w:before="0" w:beforeAutospacing="0" w:after="240" w:afterAutospacing="0"/>
        <w:divId w:val="2073429479"/>
        <w:rPr>
          <w:i/>
          <w:iCs/>
          <w:sz w:val="20"/>
          <w:szCs w:val="20"/>
        </w:rPr>
      </w:pPr>
      <w:r>
        <w:rPr>
          <w:i/>
          <w:iCs/>
          <w:sz w:val="20"/>
          <w:szCs w:val="20"/>
          <w:u w:val="single"/>
        </w:rPr>
        <w:t>Three </w:t>
      </w:r>
      <w:r>
        <w:rPr>
          <w:i/>
          <w:iCs/>
          <w:sz w:val="20"/>
          <w:szCs w:val="20"/>
          <w:u w:val="single"/>
        </w:rPr>
        <w:t>Months Ended September 30, 2021 and 2020</w:t>
      </w:r>
    </w:p>
    <w:p w:rsidR="00000000" w:rsidRDefault="00DB7886">
      <w:pPr>
        <w:pStyle w:val="a3"/>
        <w:spacing w:before="0" w:beforeAutospacing="0" w:after="240" w:afterAutospacing="0"/>
        <w:ind w:firstLine="360"/>
        <w:divId w:val="2073429479"/>
        <w:rPr>
          <w:sz w:val="20"/>
          <w:szCs w:val="20"/>
        </w:rPr>
      </w:pPr>
      <w:r>
        <w:rPr>
          <w:sz w:val="20"/>
          <w:szCs w:val="20"/>
        </w:rPr>
        <w:t xml:space="preserve">Net sales and other revenues from operations for our Automotive segment for the three months ended September 30, 2021 decreased by $69 million (10%) as compared to the comparable prior year period. The decrease was </w:t>
      </w:r>
      <w:r>
        <w:rPr>
          <w:sz w:val="20"/>
          <w:szCs w:val="20"/>
        </w:rPr>
        <w:t xml:space="preserve">attributable to a decrease in aftermarket parts sales of $97 million (29%), offset in part by an increase in automotive services revenue of $28 million (9%). On an organic basis, aftermarket parts sales decreased $7 million over the comparable periods due </w:t>
      </w:r>
      <w:r>
        <w:rPr>
          <w:sz w:val="20"/>
          <w:szCs w:val="20"/>
        </w:rPr>
        <w:t xml:space="preserve">to a decrease in retail sales of $4 million (22%) and a decrease in commercial sales of $3 million (2%). Store closures related to the transformation plan accounted for a $90 million decrease in aftermarket parts sales. The increase in automotive services </w:t>
      </w:r>
      <w:r>
        <w:rPr>
          <w:sz w:val="20"/>
          <w:szCs w:val="20"/>
        </w:rPr>
        <w:t xml:space="preserve">revenues represents an increase on a primarily organic basis as sales have improved over the comparable prior year period. </w:t>
      </w:r>
    </w:p>
    <w:p w:rsidR="00000000" w:rsidRDefault="00DB7886">
      <w:pPr>
        <w:pStyle w:val="a3"/>
        <w:spacing w:before="0" w:beforeAutospacing="0" w:after="240" w:afterAutospacing="0"/>
        <w:ind w:firstLine="360"/>
        <w:divId w:val="2073429479"/>
        <w:rPr>
          <w:sz w:val="20"/>
          <w:szCs w:val="20"/>
        </w:rPr>
      </w:pPr>
      <w:r>
        <w:rPr>
          <w:sz w:val="20"/>
          <w:szCs w:val="20"/>
        </w:rPr>
        <w:t>Cost of goods sold and other expenses from operations for the three months ended September 30, 2021 decreased by $48 million (10%) a</w:t>
      </w:r>
      <w:r>
        <w:rPr>
          <w:sz w:val="20"/>
          <w:szCs w:val="20"/>
        </w:rPr>
        <w:t>s compared to the comparable prior year period. The decrease was primarily due to lower costs attributable to lower aftermarket parts sales which exceeded higher costs associated with higher services revenues. Gross margin on net sales and other revenue fr</w:t>
      </w:r>
      <w:r>
        <w:rPr>
          <w:sz w:val="20"/>
          <w:szCs w:val="20"/>
        </w:rPr>
        <w:t>om operations for the three months ended September 30, 2021 decreased by $21 million (11%) as compared to the comparable prior year period. Gross margin as a percentage of net sales and other revenue from operations was 29% and 29% for the three months end</w:t>
      </w:r>
      <w:r>
        <w:rPr>
          <w:sz w:val="20"/>
          <w:szCs w:val="20"/>
        </w:rPr>
        <w:t xml:space="preserve">ed September 30, 2021 and 2020, respectively. </w:t>
      </w:r>
    </w:p>
    <w:p w:rsidR="00000000" w:rsidRDefault="00DB7886">
      <w:pPr>
        <w:pStyle w:val="a3"/>
        <w:spacing w:before="0" w:beforeAutospacing="0" w:after="240" w:afterAutospacing="0"/>
        <w:divId w:val="2073429479"/>
        <w:rPr>
          <w:i/>
          <w:iCs/>
          <w:sz w:val="20"/>
          <w:szCs w:val="20"/>
        </w:rPr>
      </w:pPr>
      <w:r>
        <w:rPr>
          <w:i/>
          <w:iCs/>
          <w:sz w:val="20"/>
          <w:szCs w:val="20"/>
          <w:u w:val="single"/>
        </w:rPr>
        <w:t>Nine Months Ended September 30, 2021 and 2020</w:t>
      </w:r>
    </w:p>
    <w:p w:rsidR="00000000" w:rsidRDefault="00DB7886">
      <w:pPr>
        <w:pStyle w:val="a3"/>
        <w:spacing w:before="0" w:beforeAutospacing="0" w:after="240" w:afterAutospacing="0"/>
        <w:ind w:firstLine="360"/>
        <w:divId w:val="2073429479"/>
        <w:rPr>
          <w:sz w:val="20"/>
          <w:szCs w:val="20"/>
        </w:rPr>
      </w:pPr>
      <w:r>
        <w:rPr>
          <w:sz w:val="20"/>
          <w:szCs w:val="20"/>
        </w:rPr>
        <w:t>Net sales and other revenues from operations for our Automotive segment for the nine months ended September 30, 2021 decreased by $56 million (3%) as compared to t</w:t>
      </w:r>
      <w:r>
        <w:rPr>
          <w:sz w:val="20"/>
          <w:szCs w:val="20"/>
        </w:rPr>
        <w:t xml:space="preserve">he comparable prior year period. The decrease was attributable to a decrease in aftermarket parts sales of $167 million (17%), offset in part by an increase in automotive services revenue of $111 million (12%). On an organic basis, aftermarket parts sales </w:t>
      </w:r>
      <w:r>
        <w:rPr>
          <w:sz w:val="20"/>
          <w:szCs w:val="20"/>
        </w:rPr>
        <w:t>decreased $4 million over the comparable periods due to a 4% decrease in retail sales. Store closures related to the transformation plan accounted for a $163 million decrease in aftermarket parts sales. The increase in automotive services revenues represen</w:t>
      </w:r>
      <w:r>
        <w:rPr>
          <w:sz w:val="20"/>
          <w:szCs w:val="20"/>
        </w:rPr>
        <w:t>ts an increase on a primarily organic basis as sales have improved over the comparable prior year period. The COVID-19 pandemic, and the impacts of the actions taken by governments and others, have significantly contributed to a decline in revenues beginni</w:t>
      </w:r>
      <w:r>
        <w:rPr>
          <w:sz w:val="20"/>
          <w:szCs w:val="20"/>
        </w:rPr>
        <w:t xml:space="preserve">ng in March 2020. </w:t>
      </w:r>
    </w:p>
    <w:p w:rsidR="00000000" w:rsidRDefault="00DB7886">
      <w:pPr>
        <w:pStyle w:val="a3"/>
        <w:spacing w:before="0" w:beforeAutospacing="0" w:after="240" w:afterAutospacing="0"/>
        <w:ind w:firstLine="360"/>
        <w:divId w:val="2073429479"/>
        <w:rPr>
          <w:sz w:val="20"/>
          <w:szCs w:val="20"/>
        </w:rPr>
      </w:pPr>
      <w:r>
        <w:rPr>
          <w:sz w:val="20"/>
          <w:szCs w:val="20"/>
        </w:rPr>
        <w:t xml:space="preserve">Cost of goods sold and other expenses from operations for the nine months ended September 30, 2021 decreased by $71 million (5%) as compared to the comparable prior year period. The decrease was primarily due to lower costs attributable </w:t>
      </w:r>
      <w:r>
        <w:rPr>
          <w:sz w:val="20"/>
          <w:szCs w:val="20"/>
        </w:rPr>
        <w:t>to lower aftermarket parts sales which exceeded higher costs associated with higher services revenues. Gross margin on net sales and other revenue from operations for the nine months ended September 30, 2021 increased by $15 million (3%) as compared to the</w:t>
      </w:r>
      <w:r>
        <w:rPr>
          <w:sz w:val="20"/>
          <w:szCs w:val="20"/>
        </w:rPr>
        <w:t xml:space="preserve"> comparable prior year period. Gross margin as a percentage of net sales and other revenue from operations was 29% and 27% for the nine months ended September 30, 2021 and 2020, respectively. Due to the COVID-19 pandemic, our Automotive segment accelerated</w:t>
      </w:r>
      <w:r>
        <w:rPr>
          <w:sz w:val="20"/>
          <w:szCs w:val="20"/>
        </w:rPr>
        <w:t xml:space="preserve"> planned store closures in 2020, shifting our Automotive segment’s business from a majority attributable to aftermarket parts sales to a majority attributable to higher margin automotive services. </w:t>
      </w:r>
    </w:p>
    <w:p w:rsidR="00000000" w:rsidRDefault="00DB7886">
      <w:pPr>
        <w:pStyle w:val="a3"/>
        <w:spacing w:before="0" w:beforeAutospacing="0" w:after="0" w:afterAutospacing="0"/>
        <w:divId w:val="2073429479"/>
        <w:rPr>
          <w:sz w:val="20"/>
          <w:szCs w:val="20"/>
        </w:rPr>
      </w:pPr>
      <w:r>
        <w:rPr>
          <w:b/>
          <w:bCs/>
          <w:i/>
          <w:iCs/>
          <w:sz w:val="20"/>
          <w:szCs w:val="20"/>
        </w:rPr>
        <w:t>​</w:t>
      </w:r>
    </w:p>
    <w:p w:rsidR="00000000" w:rsidRDefault="00DB7886">
      <w:pPr>
        <w:pStyle w:val="a3"/>
        <w:spacing w:before="480" w:beforeAutospacing="0" w:after="0" w:afterAutospacing="0"/>
        <w:jc w:val="center"/>
        <w:divId w:val="4981075"/>
        <w:rPr>
          <w:sz w:val="20"/>
          <w:szCs w:val="20"/>
        </w:rPr>
      </w:pPr>
      <w:r>
        <w:rPr>
          <w:sz w:val="20"/>
          <w:szCs w:val="20"/>
        </w:rPr>
        <w:t>48</w:t>
      </w:r>
    </w:p>
    <w:p w:rsidR="00000000" w:rsidRDefault="00DB7886">
      <w:pPr>
        <w:pStyle w:val="a3"/>
        <w:spacing w:before="0" w:beforeAutospacing="0" w:after="600" w:afterAutospacing="0"/>
        <w:divId w:val="1553423244"/>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divId w:val="703217722"/>
        <w:rPr>
          <w:sz w:val="20"/>
          <w:szCs w:val="20"/>
        </w:rPr>
      </w:pPr>
      <w:r>
        <w:rPr>
          <w:b/>
          <w:bCs/>
          <w:i/>
          <w:iCs/>
          <w:sz w:val="20"/>
          <w:szCs w:val="20"/>
        </w:rPr>
        <w:t>Food Packaging</w:t>
      </w:r>
    </w:p>
    <w:p w:rsidR="00000000" w:rsidRDefault="00DB7886">
      <w:pPr>
        <w:pStyle w:val="a3"/>
        <w:spacing w:before="0" w:beforeAutospacing="0" w:after="240" w:afterAutospacing="0"/>
        <w:ind w:firstLine="360"/>
        <w:divId w:val="703217722"/>
        <w:rPr>
          <w:sz w:val="20"/>
          <w:szCs w:val="20"/>
        </w:rPr>
      </w:pPr>
      <w:r>
        <w:rPr>
          <w:sz w:val="20"/>
          <w:szCs w:val="20"/>
        </w:rPr>
        <w:t>Our Food packaging segment’s results of operations are primarily driven by the production and sale of cellulosic, fibrous and plastic casings for the processed meat and poultry industry and derives a majority of its total net sales from cust</w:t>
      </w:r>
      <w:r>
        <w:rPr>
          <w:sz w:val="20"/>
          <w:szCs w:val="20"/>
        </w:rPr>
        <w:t>omers located outside the United States.</w:t>
      </w:r>
    </w:p>
    <w:p w:rsidR="00000000" w:rsidRDefault="00DB7886">
      <w:pPr>
        <w:pStyle w:val="a3"/>
        <w:spacing w:before="0" w:beforeAutospacing="0" w:after="240" w:afterAutospacing="0"/>
        <w:divId w:val="703217722"/>
        <w:rPr>
          <w:i/>
          <w:iCs/>
          <w:sz w:val="20"/>
          <w:szCs w:val="20"/>
        </w:rPr>
      </w:pPr>
      <w:r>
        <w:rPr>
          <w:i/>
          <w:iCs/>
          <w:sz w:val="20"/>
          <w:szCs w:val="20"/>
          <w:u w:val="single"/>
        </w:rPr>
        <w:t>Three Months Ended September 30, 2021 and 2020</w:t>
      </w:r>
    </w:p>
    <w:p w:rsidR="00000000" w:rsidRDefault="00DB7886">
      <w:pPr>
        <w:pStyle w:val="a3"/>
        <w:spacing w:before="0" w:beforeAutospacing="0" w:after="240" w:afterAutospacing="0"/>
        <w:ind w:firstLine="360"/>
        <w:divId w:val="703217722"/>
        <w:rPr>
          <w:sz w:val="20"/>
          <w:szCs w:val="20"/>
        </w:rPr>
      </w:pPr>
      <w:r>
        <w:rPr>
          <w:sz w:val="20"/>
          <w:szCs w:val="20"/>
        </w:rPr>
        <w:t>Net sales for the three months ended September 30, 2021 decreased by $1 million (1%) as compared to the comparable prior year period due to an increase in price and pro</w:t>
      </w:r>
      <w:r>
        <w:rPr>
          <w:sz w:val="20"/>
          <w:szCs w:val="20"/>
        </w:rPr>
        <w:t>duct mix as well as the favorable effects of foreign exchange, offset in part by lower volumes. Cost of goods sold for the three months ended September 30, 2021 increased by $1 million (1%) as compared to the comparable prior year period due to the effects</w:t>
      </w:r>
      <w:r>
        <w:rPr>
          <w:sz w:val="20"/>
          <w:szCs w:val="20"/>
        </w:rPr>
        <w:t xml:space="preserve"> of raw material price inflation, manufacturing variances and distribution costs. Gross margin as a percentage of net sales was 18% and 20% for the three months ended September 30, 2021 and 2020, respectively.</w:t>
      </w:r>
    </w:p>
    <w:p w:rsidR="00000000" w:rsidRDefault="00DB7886">
      <w:pPr>
        <w:pStyle w:val="a3"/>
        <w:spacing w:before="0" w:beforeAutospacing="0" w:after="240" w:afterAutospacing="0"/>
        <w:divId w:val="703217722"/>
        <w:rPr>
          <w:i/>
          <w:iCs/>
          <w:sz w:val="20"/>
          <w:szCs w:val="20"/>
        </w:rPr>
      </w:pPr>
      <w:r>
        <w:rPr>
          <w:i/>
          <w:iCs/>
          <w:sz w:val="20"/>
          <w:szCs w:val="20"/>
          <w:u w:val="single"/>
        </w:rPr>
        <w:t>Nine Months Ended September 30, 2021 and 2020</w:t>
      </w:r>
    </w:p>
    <w:p w:rsidR="00000000" w:rsidRDefault="00DB7886">
      <w:pPr>
        <w:pStyle w:val="a3"/>
        <w:spacing w:before="0" w:beforeAutospacing="0" w:after="240" w:afterAutospacing="0"/>
        <w:ind w:firstLine="360"/>
        <w:divId w:val="703217722"/>
        <w:rPr>
          <w:sz w:val="20"/>
          <w:szCs w:val="20"/>
        </w:rPr>
      </w:pPr>
      <w:r>
        <w:rPr>
          <w:sz w:val="20"/>
          <w:szCs w:val="20"/>
        </w:rPr>
        <w:t>Net sales for the nine months ended September 30, 2021 increased $4 million (1%) as compared to the comparable prior year period. The increase was due to an increase in price and product mix as well as the favorable effects of foreign exchange, offset in p</w:t>
      </w:r>
      <w:r>
        <w:rPr>
          <w:sz w:val="20"/>
          <w:szCs w:val="20"/>
        </w:rPr>
        <w:t>art by lower volumes. Cost of goods sold for the nine months ended September 30, 2021 increased by $9 million (4%) as compared to the comparable prior year period due to the effects raw material price inflation, manufacturing variances and distribution cos</w:t>
      </w:r>
      <w:r>
        <w:rPr>
          <w:sz w:val="20"/>
          <w:szCs w:val="20"/>
        </w:rPr>
        <w:t>ts. Gross margin as a percentage of net sales was 19% and 21% for the nine months ended September 30, 2021 and 2020, respectively.</w:t>
      </w:r>
    </w:p>
    <w:p w:rsidR="00000000" w:rsidRDefault="00DB7886">
      <w:pPr>
        <w:pStyle w:val="a3"/>
        <w:spacing w:before="0" w:beforeAutospacing="0" w:after="240" w:afterAutospacing="0"/>
        <w:divId w:val="703217722"/>
        <w:rPr>
          <w:b/>
          <w:bCs/>
          <w:i/>
          <w:iCs/>
          <w:sz w:val="20"/>
          <w:szCs w:val="20"/>
        </w:rPr>
      </w:pPr>
      <w:r>
        <w:rPr>
          <w:b/>
          <w:bCs/>
          <w:i/>
          <w:iCs/>
          <w:sz w:val="20"/>
          <w:szCs w:val="20"/>
        </w:rPr>
        <w:t>Metals</w:t>
      </w:r>
    </w:p>
    <w:p w:rsidR="00000000" w:rsidRDefault="00DB7886">
      <w:pPr>
        <w:pStyle w:val="a3"/>
        <w:spacing w:before="0" w:beforeAutospacing="0" w:after="240" w:afterAutospacing="0"/>
        <w:ind w:firstLine="360"/>
        <w:divId w:val="703217722"/>
        <w:rPr>
          <w:sz w:val="20"/>
          <w:szCs w:val="20"/>
        </w:rPr>
      </w:pPr>
      <w:r>
        <w:rPr>
          <w:sz w:val="20"/>
          <w:szCs w:val="20"/>
        </w:rPr>
        <w:t>The scrap metals business is highly cyclical and is substantially dependent upon the overall economic conditions in th</w:t>
      </w:r>
      <w:r>
        <w:rPr>
          <w:sz w:val="20"/>
          <w:szCs w:val="20"/>
        </w:rPr>
        <w:t>e United States and other global markets. Ferrous and non-ferrous scrap has been historically vulnerable to significant declines in consumption and product pricing during prolonged periods of economic downturn or stagnation.</w:t>
      </w:r>
    </w:p>
    <w:p w:rsidR="00000000" w:rsidRDefault="00DB7886">
      <w:pPr>
        <w:pStyle w:val="a3"/>
        <w:spacing w:before="0" w:beforeAutospacing="0" w:after="240" w:afterAutospacing="0"/>
        <w:divId w:val="703217722"/>
        <w:rPr>
          <w:i/>
          <w:iCs/>
          <w:sz w:val="20"/>
          <w:szCs w:val="20"/>
        </w:rPr>
      </w:pPr>
      <w:r>
        <w:rPr>
          <w:i/>
          <w:iCs/>
          <w:sz w:val="20"/>
          <w:szCs w:val="20"/>
          <w:u w:val="single"/>
        </w:rPr>
        <w:t>Three Months Ended September 30</w:t>
      </w:r>
      <w:r>
        <w:rPr>
          <w:i/>
          <w:iCs/>
          <w:sz w:val="20"/>
          <w:szCs w:val="20"/>
          <w:u w:val="single"/>
        </w:rPr>
        <w:t>, 2021 and 2020</w:t>
      </w:r>
    </w:p>
    <w:p w:rsidR="00000000" w:rsidRDefault="00DB7886">
      <w:pPr>
        <w:pStyle w:val="a3"/>
        <w:spacing w:before="0" w:beforeAutospacing="0" w:after="240" w:afterAutospacing="0"/>
        <w:ind w:firstLine="360"/>
        <w:divId w:val="703217722"/>
        <w:rPr>
          <w:sz w:val="20"/>
          <w:szCs w:val="20"/>
        </w:rPr>
      </w:pPr>
      <w:r>
        <w:rPr>
          <w:sz w:val="20"/>
          <w:szCs w:val="20"/>
        </w:rPr>
        <w:t>Net sales for the three months ended September 30, 2021 increased by $61 million (73%) compared to the comparable prior year period primarily due to higher selling prices. Cost of goods sold for the three months ended September 30, 2021 inc</w:t>
      </w:r>
      <w:r>
        <w:rPr>
          <w:sz w:val="20"/>
          <w:szCs w:val="20"/>
        </w:rPr>
        <w:t>reased by $54 million (69%) compared to the comparable prior year period due to higher material costs. Gross margin as a percentage of net sales was 8% and 6% for the three months ended September 30, 2021 and 2020, respectively, with the improvement primar</w:t>
      </w:r>
      <w:r>
        <w:rPr>
          <w:sz w:val="20"/>
          <w:szCs w:val="20"/>
        </w:rPr>
        <w:t xml:space="preserve">ily due to higher material margins as the prior year period was negatively impacted by the effects of the COVID-19 pandemic. </w:t>
      </w:r>
    </w:p>
    <w:p w:rsidR="00000000" w:rsidRDefault="00DB7886">
      <w:pPr>
        <w:pStyle w:val="a3"/>
        <w:spacing w:before="0" w:beforeAutospacing="0" w:after="240" w:afterAutospacing="0"/>
        <w:divId w:val="703217722"/>
        <w:rPr>
          <w:i/>
          <w:iCs/>
          <w:sz w:val="20"/>
          <w:szCs w:val="20"/>
        </w:rPr>
      </w:pPr>
      <w:r>
        <w:rPr>
          <w:i/>
          <w:iCs/>
          <w:sz w:val="20"/>
          <w:szCs w:val="20"/>
          <w:u w:val="single"/>
        </w:rPr>
        <w:t>Nine Months Ended September 30, 2021 and 2020</w:t>
      </w:r>
    </w:p>
    <w:p w:rsidR="00000000" w:rsidRDefault="00DB7886">
      <w:pPr>
        <w:pStyle w:val="a3"/>
        <w:spacing w:before="0" w:beforeAutospacing="0" w:after="240" w:afterAutospacing="0"/>
        <w:ind w:firstLine="360"/>
        <w:divId w:val="703217722"/>
        <w:rPr>
          <w:sz w:val="20"/>
          <w:szCs w:val="20"/>
        </w:rPr>
      </w:pPr>
      <w:r>
        <w:rPr>
          <w:sz w:val="20"/>
          <w:szCs w:val="20"/>
        </w:rPr>
        <w:t>Net sales for the nine months ended September 30, 2021 increased by $214 million (10</w:t>
      </w:r>
      <w:r>
        <w:rPr>
          <w:sz w:val="20"/>
          <w:szCs w:val="20"/>
        </w:rPr>
        <w:t xml:space="preserve">5%) compared to the comparable prior year period primarily due to higher volumes and higher selling prices. Cost of goods sold for the nine months ended September 30, 2021 increased by $182 million (90%) compared to the comparable prior year period due to </w:t>
      </w:r>
      <w:r>
        <w:rPr>
          <w:sz w:val="20"/>
          <w:szCs w:val="20"/>
        </w:rPr>
        <w:t>higher volumes as well as higher material costs. Gross margin as a percentage of net sales was 8% and 1% for the nine months ended September 30, 2021 and 2020, respectively, with the improvement primarily due to higher material margins as the prior year pe</w:t>
      </w:r>
      <w:r>
        <w:rPr>
          <w:sz w:val="20"/>
          <w:szCs w:val="20"/>
        </w:rPr>
        <w:t xml:space="preserve">riod was negatively impacted by the effects of the COVID-19 pandemic. </w:t>
      </w:r>
    </w:p>
    <w:p w:rsidR="00000000" w:rsidRDefault="00DB7886">
      <w:pPr>
        <w:pStyle w:val="a3"/>
        <w:spacing w:before="0" w:beforeAutospacing="0" w:after="240" w:afterAutospacing="0"/>
        <w:divId w:val="703217722"/>
        <w:rPr>
          <w:sz w:val="20"/>
          <w:szCs w:val="20"/>
        </w:rPr>
      </w:pPr>
      <w:r>
        <w:rPr>
          <w:b/>
          <w:bCs/>
          <w:i/>
          <w:iCs/>
          <w:sz w:val="20"/>
          <w:szCs w:val="20"/>
        </w:rPr>
        <w:t>Real Estate</w:t>
      </w:r>
    </w:p>
    <w:p w:rsidR="00000000" w:rsidRDefault="00DB7886">
      <w:pPr>
        <w:pStyle w:val="a3"/>
        <w:spacing w:before="0" w:beforeAutospacing="0" w:after="0" w:afterAutospacing="0"/>
        <w:ind w:firstLine="360"/>
        <w:divId w:val="703217722"/>
        <w:rPr>
          <w:sz w:val="20"/>
          <w:szCs w:val="20"/>
        </w:rPr>
      </w:pPr>
      <w:r>
        <w:rPr>
          <w:sz w:val="20"/>
          <w:szCs w:val="20"/>
        </w:rPr>
        <w:t>Our Real Estate segment consists primarily of investment properties, the development and sale of single-family homes, and the management of a country club. Sales of single-f</w:t>
      </w:r>
      <w:r>
        <w:rPr>
          <w:sz w:val="20"/>
          <w:szCs w:val="20"/>
        </w:rPr>
        <w:t>amily homes are included in net sales in our consolidated statements of operations. Results from investment properties and country club operations are included in other revenues from operations in our consolidated statements of operations. Revenue from our</w:t>
      </w:r>
      <w:r>
        <w:rPr>
          <w:sz w:val="20"/>
          <w:szCs w:val="20"/>
        </w:rPr>
        <w:t xml:space="preserve"> real estate operations for each of the </w:t>
      </w:r>
    </w:p>
    <w:p w:rsidR="00000000" w:rsidRDefault="00DB7886">
      <w:pPr>
        <w:pStyle w:val="a3"/>
        <w:spacing w:before="480" w:beforeAutospacing="0" w:after="0" w:afterAutospacing="0"/>
        <w:jc w:val="center"/>
        <w:divId w:val="2103523516"/>
        <w:rPr>
          <w:sz w:val="20"/>
          <w:szCs w:val="20"/>
        </w:rPr>
      </w:pPr>
      <w:r>
        <w:rPr>
          <w:sz w:val="20"/>
          <w:szCs w:val="20"/>
        </w:rPr>
        <w:t>49</w:t>
      </w:r>
    </w:p>
    <w:p w:rsidR="00000000" w:rsidRDefault="00DB7886">
      <w:pPr>
        <w:pStyle w:val="a3"/>
        <w:spacing w:before="0" w:beforeAutospacing="0" w:after="600" w:afterAutospacing="0"/>
        <w:divId w:val="1893075184"/>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divId w:val="1867480713"/>
        <w:rPr>
          <w:sz w:val="20"/>
          <w:szCs w:val="20"/>
        </w:rPr>
      </w:pPr>
      <w:r>
        <w:rPr>
          <w:sz w:val="20"/>
          <w:szCs w:val="20"/>
        </w:rPr>
        <w:t xml:space="preserve">nine months ended September 30, 2021 and 2020 were primarily derived from the sale of residential units and rental operations. </w:t>
      </w:r>
    </w:p>
    <w:p w:rsidR="00000000" w:rsidRDefault="00DB7886">
      <w:pPr>
        <w:pStyle w:val="a3"/>
        <w:spacing w:before="0" w:beforeAutospacing="0" w:after="240" w:afterAutospacing="0"/>
        <w:divId w:val="1867480713"/>
        <w:rPr>
          <w:b/>
          <w:bCs/>
          <w:i/>
          <w:iCs/>
          <w:sz w:val="20"/>
          <w:szCs w:val="20"/>
        </w:rPr>
      </w:pPr>
      <w:r>
        <w:rPr>
          <w:b/>
          <w:bCs/>
          <w:i/>
          <w:iCs/>
          <w:sz w:val="20"/>
          <w:szCs w:val="20"/>
        </w:rPr>
        <w:t>Home Fashion</w:t>
      </w:r>
    </w:p>
    <w:p w:rsidR="00000000" w:rsidRDefault="00DB7886">
      <w:pPr>
        <w:pStyle w:val="a3"/>
        <w:spacing w:before="0" w:beforeAutospacing="0" w:after="240" w:afterAutospacing="0"/>
        <w:ind w:firstLine="360"/>
        <w:divId w:val="1867480713"/>
        <w:rPr>
          <w:sz w:val="20"/>
          <w:szCs w:val="20"/>
        </w:rPr>
      </w:pPr>
      <w:r>
        <w:rPr>
          <w:sz w:val="20"/>
          <w:szCs w:val="20"/>
        </w:rPr>
        <w:t>Our Home Fashion segment is</w:t>
      </w:r>
      <w:r>
        <w:rPr>
          <w:sz w:val="20"/>
          <w:szCs w:val="20"/>
        </w:rPr>
        <w:t xml:space="preserve"> significantly influenced by the overall economic environment, including consumer spending, at the retail level, for home textile products. </w:t>
      </w:r>
    </w:p>
    <w:p w:rsidR="00000000" w:rsidRDefault="00DB7886">
      <w:pPr>
        <w:pStyle w:val="a3"/>
        <w:spacing w:before="0" w:beforeAutospacing="0" w:after="240" w:afterAutospacing="0"/>
        <w:divId w:val="1867480713"/>
        <w:rPr>
          <w:i/>
          <w:iCs/>
          <w:sz w:val="20"/>
          <w:szCs w:val="20"/>
        </w:rPr>
      </w:pPr>
      <w:r>
        <w:rPr>
          <w:i/>
          <w:iCs/>
          <w:sz w:val="20"/>
          <w:szCs w:val="20"/>
          <w:u w:val="single"/>
        </w:rPr>
        <w:t>Three Months Ended September 30, 2021 and 2020</w:t>
      </w:r>
    </w:p>
    <w:p w:rsidR="00000000" w:rsidRDefault="00DB7886">
      <w:pPr>
        <w:pStyle w:val="a3"/>
        <w:spacing w:before="0" w:beforeAutospacing="0" w:after="240" w:afterAutospacing="0"/>
        <w:ind w:firstLine="360"/>
        <w:divId w:val="1867480713"/>
        <w:rPr>
          <w:sz w:val="20"/>
          <w:szCs w:val="20"/>
        </w:rPr>
      </w:pPr>
      <w:r>
        <w:rPr>
          <w:sz w:val="20"/>
          <w:szCs w:val="20"/>
        </w:rPr>
        <w:t>Net sales for the three months ended September 30, 2021 decreased by</w:t>
      </w:r>
      <w:r>
        <w:rPr>
          <w:sz w:val="20"/>
          <w:szCs w:val="20"/>
        </w:rPr>
        <w:t xml:space="preserve"> $2 million (4%) compared to the comparable prior year period primarily due to a decrease in facemask sales due to the reduced impact of the COVID-19 pandemic. Cost of goods sold for the three months ended September 30, 2021 remained flat compared to the c</w:t>
      </w:r>
      <w:r>
        <w:rPr>
          <w:sz w:val="20"/>
          <w:szCs w:val="20"/>
        </w:rPr>
        <w:t>omparable prior year period due to higher material and freight costs offset by lower volumes. Gross margin as a percentage of net sales was 18% and 21% for the three months ended September 30, 2021 and 2020, respectively. The decrease is due to higher mate</w:t>
      </w:r>
      <w:r>
        <w:rPr>
          <w:sz w:val="20"/>
          <w:szCs w:val="20"/>
        </w:rPr>
        <w:t xml:space="preserve">rial and freight costs. </w:t>
      </w:r>
    </w:p>
    <w:p w:rsidR="00000000" w:rsidRDefault="00DB7886">
      <w:pPr>
        <w:pStyle w:val="a3"/>
        <w:spacing w:before="0" w:beforeAutospacing="0" w:after="240" w:afterAutospacing="0"/>
        <w:divId w:val="1867480713"/>
        <w:rPr>
          <w:i/>
          <w:iCs/>
          <w:sz w:val="20"/>
          <w:szCs w:val="20"/>
        </w:rPr>
      </w:pPr>
      <w:r>
        <w:rPr>
          <w:i/>
          <w:iCs/>
          <w:sz w:val="20"/>
          <w:szCs w:val="20"/>
          <w:u w:val="single"/>
        </w:rPr>
        <w:t>Nine Months Ended September 30, 2021 and 2020</w:t>
      </w:r>
    </w:p>
    <w:p w:rsidR="00000000" w:rsidRDefault="00DB7886">
      <w:pPr>
        <w:pStyle w:val="a3"/>
        <w:spacing w:before="0" w:beforeAutospacing="0" w:after="240" w:afterAutospacing="0"/>
        <w:ind w:firstLine="360"/>
        <w:divId w:val="1867480713"/>
        <w:rPr>
          <w:sz w:val="20"/>
          <w:szCs w:val="20"/>
        </w:rPr>
      </w:pPr>
      <w:r>
        <w:rPr>
          <w:sz w:val="20"/>
          <w:szCs w:val="20"/>
        </w:rPr>
        <w:t>Net sales for the nine months ended September 30, 2021 increased by $3 million (2%) compared to the comparable prior year period primarily due to the reduced impact of the COVID-19 pand</w:t>
      </w:r>
      <w:r>
        <w:rPr>
          <w:sz w:val="20"/>
          <w:szCs w:val="20"/>
        </w:rPr>
        <w:t xml:space="preserve">emic on our Home Fashion segment’s hospitality and department store businesses, offset in part by a decline resulting from exiting lower margin business. Cost of goods sold for the nine months ended September 30, 2021 increased $6 million (5%) compared to </w:t>
      </w:r>
      <w:r>
        <w:rPr>
          <w:sz w:val="20"/>
          <w:szCs w:val="20"/>
        </w:rPr>
        <w:t>the comparable prior year period due to higher material and freight costs. Gross margin as a percentage of net sales was 18% and 21% for the nine months ended September 30, 2021 and 2020, respectively. The decrease is due to higher material and freight cos</w:t>
      </w:r>
      <w:r>
        <w:rPr>
          <w:sz w:val="20"/>
          <w:szCs w:val="20"/>
        </w:rPr>
        <w:t xml:space="preserve">ts. </w:t>
      </w:r>
    </w:p>
    <w:p w:rsidR="00000000" w:rsidRDefault="00DB7886">
      <w:pPr>
        <w:pStyle w:val="a3"/>
        <w:spacing w:before="0" w:beforeAutospacing="0" w:after="240" w:afterAutospacing="0"/>
        <w:divId w:val="1867480713"/>
        <w:rPr>
          <w:b/>
          <w:bCs/>
          <w:i/>
          <w:iCs/>
          <w:sz w:val="20"/>
          <w:szCs w:val="20"/>
        </w:rPr>
      </w:pPr>
      <w:r>
        <w:rPr>
          <w:b/>
          <w:bCs/>
          <w:i/>
          <w:iCs/>
          <w:sz w:val="20"/>
          <w:szCs w:val="20"/>
        </w:rPr>
        <w:t>Pharma</w:t>
      </w:r>
    </w:p>
    <w:p w:rsidR="00000000" w:rsidRDefault="00DB7886">
      <w:pPr>
        <w:pStyle w:val="a3"/>
        <w:spacing w:before="0" w:beforeAutospacing="0" w:after="240" w:afterAutospacing="0"/>
        <w:ind w:firstLine="360"/>
        <w:divId w:val="1867480713"/>
        <w:rPr>
          <w:sz w:val="20"/>
          <w:szCs w:val="20"/>
        </w:rPr>
      </w:pPr>
      <w:r>
        <w:rPr>
          <w:sz w:val="20"/>
          <w:szCs w:val="20"/>
        </w:rPr>
        <w:t xml:space="preserve">Our Pharma segment derives revenues primarily from the sale of its products directly to customers, wholesalers and pharmacies. To a lesser extent, our Pharma segment derives revenues through supply, licensing and royalty arrangements. We began </w:t>
      </w:r>
      <w:r>
        <w:rPr>
          <w:sz w:val="20"/>
          <w:szCs w:val="20"/>
        </w:rPr>
        <w:t>consolidating our Pharma segment in the fourth quarter of 2020. For the three months ended September 30, 2021, our Pharma segment had $17 million of net product revenue, $1 million of supply revenue and $1 million of royalty revenue. For the nine months en</w:t>
      </w:r>
      <w:r>
        <w:rPr>
          <w:sz w:val="20"/>
          <w:szCs w:val="20"/>
        </w:rPr>
        <w:t>ded September 30, 2021, our Pharma segment had $48 million of net product revenue, $17 million of supply revenue and $3 million of royalty revenue. For our Pharma segment’s supply revenue, $13 million is attributable to the one-time sale of product to a si</w:t>
      </w:r>
      <w:r>
        <w:rPr>
          <w:sz w:val="20"/>
          <w:szCs w:val="20"/>
        </w:rPr>
        <w:t xml:space="preserve">ngle customer in the first quarter of 2021. </w:t>
      </w:r>
    </w:p>
    <w:p w:rsidR="00000000" w:rsidRDefault="00DB7886">
      <w:pPr>
        <w:pStyle w:val="a3"/>
        <w:spacing w:before="0" w:beforeAutospacing="0" w:after="240" w:afterAutospacing="0"/>
        <w:divId w:val="1867480713"/>
        <w:rPr>
          <w:b/>
          <w:bCs/>
          <w:i/>
          <w:iCs/>
          <w:sz w:val="20"/>
          <w:szCs w:val="20"/>
        </w:rPr>
      </w:pPr>
      <w:r>
        <w:rPr>
          <w:b/>
          <w:bCs/>
          <w:i/>
          <w:iCs/>
          <w:sz w:val="20"/>
          <w:szCs w:val="20"/>
        </w:rPr>
        <w:t>Holding Company</w:t>
      </w:r>
    </w:p>
    <w:p w:rsidR="00000000" w:rsidRDefault="00DB7886">
      <w:pPr>
        <w:pStyle w:val="a3"/>
        <w:spacing w:before="0" w:beforeAutospacing="0" w:after="240" w:afterAutospacing="0"/>
        <w:ind w:firstLine="360"/>
        <w:divId w:val="1867480713"/>
        <w:rPr>
          <w:sz w:val="20"/>
          <w:szCs w:val="20"/>
        </w:rPr>
      </w:pPr>
      <w:r>
        <w:rPr>
          <w:sz w:val="20"/>
          <w:szCs w:val="20"/>
        </w:rPr>
        <w:t xml:space="preserve">Our Holding Company’s results of operations primarily reflect investment gains and losses from equity investments and the interest expense on its senior unsecured notes for each of the three and </w:t>
      </w:r>
      <w:r>
        <w:rPr>
          <w:sz w:val="20"/>
          <w:szCs w:val="20"/>
        </w:rPr>
        <w:t>nine months ended September 30, 2021 and 2020.</w:t>
      </w:r>
    </w:p>
    <w:p w:rsidR="00000000" w:rsidRDefault="00DB7886">
      <w:pPr>
        <w:pStyle w:val="a3"/>
        <w:spacing w:before="0" w:beforeAutospacing="0" w:after="240" w:afterAutospacing="0"/>
        <w:divId w:val="1867480713"/>
        <w:rPr>
          <w:b/>
          <w:bCs/>
          <w:i/>
          <w:iCs/>
          <w:sz w:val="20"/>
          <w:szCs w:val="20"/>
        </w:rPr>
      </w:pPr>
      <w:r>
        <w:rPr>
          <w:b/>
          <w:bCs/>
          <w:i/>
          <w:iCs/>
          <w:sz w:val="20"/>
          <w:szCs w:val="20"/>
        </w:rPr>
        <w:t>Other Consolidated Results of Operations</w:t>
      </w:r>
    </w:p>
    <w:p w:rsidR="00000000" w:rsidRDefault="00DB7886">
      <w:pPr>
        <w:pStyle w:val="a3"/>
        <w:spacing w:before="0" w:beforeAutospacing="0" w:after="240" w:afterAutospacing="0"/>
        <w:divId w:val="1867480713"/>
        <w:rPr>
          <w:b/>
          <w:bCs/>
          <w:sz w:val="20"/>
          <w:szCs w:val="20"/>
        </w:rPr>
      </w:pPr>
      <w:r>
        <w:rPr>
          <w:b/>
          <w:bCs/>
          <w:sz w:val="20"/>
          <w:szCs w:val="20"/>
        </w:rPr>
        <w:t>Selling, General and Administrative</w:t>
      </w:r>
    </w:p>
    <w:p w:rsidR="00000000" w:rsidRDefault="00DB7886">
      <w:pPr>
        <w:pStyle w:val="a3"/>
        <w:spacing w:before="0" w:beforeAutospacing="0" w:after="240" w:afterAutospacing="0"/>
        <w:divId w:val="1867480713"/>
        <w:rPr>
          <w:i/>
          <w:iCs/>
          <w:sz w:val="20"/>
          <w:szCs w:val="20"/>
        </w:rPr>
      </w:pPr>
      <w:r>
        <w:rPr>
          <w:i/>
          <w:iCs/>
          <w:sz w:val="20"/>
          <w:szCs w:val="20"/>
          <w:u w:val="single"/>
        </w:rPr>
        <w:t>Three Months Ended September 30, 2021 and 2020</w:t>
      </w:r>
    </w:p>
    <w:p w:rsidR="00000000" w:rsidRDefault="00DB7886">
      <w:pPr>
        <w:pStyle w:val="a3"/>
        <w:spacing w:before="0" w:beforeAutospacing="0" w:after="240" w:afterAutospacing="0"/>
        <w:ind w:firstLine="360"/>
        <w:divId w:val="1867480713"/>
        <w:rPr>
          <w:sz w:val="20"/>
          <w:szCs w:val="20"/>
        </w:rPr>
      </w:pPr>
      <w:r>
        <w:rPr>
          <w:sz w:val="20"/>
          <w:szCs w:val="20"/>
        </w:rPr>
        <w:t>Our consolidated selling, general and administrative during the three months ended September 30, 2021 increased by $27 million (9%) as compared to the comparable prior</w:t>
      </w:r>
      <w:r>
        <w:rPr>
          <w:sz w:val="20"/>
          <w:szCs w:val="20"/>
        </w:rPr>
        <w:t> </w:t>
      </w:r>
      <w:r>
        <w:rPr>
          <w:sz w:val="20"/>
          <w:szCs w:val="20"/>
        </w:rPr>
        <w:t xml:space="preserve">year period primarily due to the addition of the results of our Pharma segment and from </w:t>
      </w:r>
      <w:r>
        <w:rPr>
          <w:sz w:val="20"/>
          <w:szCs w:val="20"/>
        </w:rPr>
        <w:t>our Energy segment, primarily due to higher share-based compensation.</w:t>
      </w:r>
      <w:r>
        <w:rPr>
          <w:sz w:val="20"/>
          <w:szCs w:val="20"/>
        </w:rPr>
        <w:t xml:space="preserve"> </w:t>
      </w:r>
    </w:p>
    <w:p w:rsidR="00000000" w:rsidRDefault="00DB7886">
      <w:pPr>
        <w:pStyle w:val="a3"/>
        <w:spacing w:before="480" w:beforeAutospacing="0" w:after="0" w:afterAutospacing="0"/>
        <w:jc w:val="center"/>
        <w:divId w:val="1982491202"/>
        <w:rPr>
          <w:sz w:val="20"/>
          <w:szCs w:val="20"/>
        </w:rPr>
      </w:pPr>
      <w:r>
        <w:rPr>
          <w:sz w:val="20"/>
          <w:szCs w:val="20"/>
        </w:rPr>
        <w:t>50</w:t>
      </w:r>
    </w:p>
    <w:p w:rsidR="00000000" w:rsidRDefault="00DB7886">
      <w:pPr>
        <w:pStyle w:val="a3"/>
        <w:spacing w:before="0" w:beforeAutospacing="0" w:after="600" w:afterAutospacing="0"/>
        <w:divId w:val="1643073542"/>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divId w:val="431249092"/>
        <w:rPr>
          <w:i/>
          <w:iCs/>
          <w:sz w:val="20"/>
          <w:szCs w:val="20"/>
        </w:rPr>
      </w:pPr>
      <w:r>
        <w:rPr>
          <w:i/>
          <w:iCs/>
          <w:sz w:val="20"/>
          <w:szCs w:val="20"/>
          <w:u w:val="single"/>
        </w:rPr>
        <w:t>Nine Months Ended September 30, 2021 and 2020</w:t>
      </w:r>
    </w:p>
    <w:p w:rsidR="00000000" w:rsidRDefault="00DB7886">
      <w:pPr>
        <w:pStyle w:val="a3"/>
        <w:spacing w:before="0" w:beforeAutospacing="0" w:after="240" w:afterAutospacing="0"/>
        <w:ind w:firstLine="360"/>
        <w:divId w:val="431249092"/>
        <w:rPr>
          <w:sz w:val="20"/>
          <w:szCs w:val="20"/>
        </w:rPr>
      </w:pPr>
      <w:r>
        <w:rPr>
          <w:sz w:val="20"/>
          <w:szCs w:val="20"/>
        </w:rPr>
        <w:t xml:space="preserve">Our consolidated selling, general and administrative during the nine months ended September </w:t>
      </w:r>
      <w:r>
        <w:rPr>
          <w:sz w:val="20"/>
          <w:szCs w:val="20"/>
        </w:rPr>
        <w:t>30, 2021 increased by $49 million (6%) as compared to the comparable prior year period primarily due to the addition of the results of our Pharma segment, our Energy segment, primarily due to higher share-based compensation as well as higher compensation c</w:t>
      </w:r>
      <w:r>
        <w:rPr>
          <w:sz w:val="20"/>
          <w:szCs w:val="20"/>
        </w:rPr>
        <w:t xml:space="preserve">osts for our Investment segment, offset in part by lower costs resulting from our Real Estate segment, which incurred additional costs in the second quarter of 2020 relating to the demolition of one of its properties. </w:t>
      </w:r>
    </w:p>
    <w:p w:rsidR="00000000" w:rsidRDefault="00DB7886">
      <w:pPr>
        <w:pStyle w:val="a3"/>
        <w:spacing w:before="0" w:beforeAutospacing="0" w:after="240" w:afterAutospacing="0"/>
        <w:divId w:val="431249092"/>
        <w:rPr>
          <w:b/>
          <w:bCs/>
          <w:sz w:val="20"/>
          <w:szCs w:val="20"/>
        </w:rPr>
      </w:pPr>
      <w:r>
        <w:rPr>
          <w:b/>
          <w:bCs/>
          <w:sz w:val="20"/>
          <w:szCs w:val="20"/>
        </w:rPr>
        <w:t>Interest Expense</w:t>
      </w:r>
    </w:p>
    <w:p w:rsidR="00000000" w:rsidRDefault="00DB7886">
      <w:pPr>
        <w:pStyle w:val="a3"/>
        <w:spacing w:before="0" w:beforeAutospacing="0" w:after="240" w:afterAutospacing="0"/>
        <w:divId w:val="431249092"/>
        <w:rPr>
          <w:i/>
          <w:iCs/>
          <w:sz w:val="20"/>
          <w:szCs w:val="20"/>
        </w:rPr>
      </w:pPr>
      <w:r>
        <w:rPr>
          <w:i/>
          <w:iCs/>
          <w:sz w:val="20"/>
          <w:szCs w:val="20"/>
          <w:u w:val="single"/>
        </w:rPr>
        <w:t>Three Months Ended S</w:t>
      </w:r>
      <w:r>
        <w:rPr>
          <w:i/>
          <w:iCs/>
          <w:sz w:val="20"/>
          <w:szCs w:val="20"/>
          <w:u w:val="single"/>
        </w:rPr>
        <w:t>eptember 30, 2021 and 2020</w:t>
      </w:r>
    </w:p>
    <w:p w:rsidR="00000000" w:rsidRDefault="00DB7886">
      <w:pPr>
        <w:pStyle w:val="a3"/>
        <w:spacing w:before="0" w:beforeAutospacing="0" w:after="240" w:afterAutospacing="0"/>
        <w:ind w:firstLine="360"/>
        <w:divId w:val="431249092"/>
        <w:rPr>
          <w:sz w:val="20"/>
          <w:szCs w:val="20"/>
        </w:rPr>
      </w:pPr>
      <w:r>
        <w:rPr>
          <w:sz w:val="20"/>
          <w:szCs w:val="20"/>
        </w:rPr>
        <w:t>Our consolidated interest expense during the three months ended September 30, 2021 decreased by $13 million (8%) as compared to the comparable prior year period. The decrease was primarily due to lower interest expense from our E</w:t>
      </w:r>
      <w:r>
        <w:rPr>
          <w:sz w:val="20"/>
          <w:szCs w:val="20"/>
        </w:rPr>
        <w:t xml:space="preserve">nergy segment and our Holding Company due to lower weighted average interest rates resulting from their respective debt refinancings. </w:t>
      </w:r>
    </w:p>
    <w:p w:rsidR="00000000" w:rsidRDefault="00DB7886">
      <w:pPr>
        <w:pStyle w:val="a3"/>
        <w:spacing w:before="0" w:beforeAutospacing="0" w:after="240" w:afterAutospacing="0"/>
        <w:divId w:val="431249092"/>
        <w:rPr>
          <w:i/>
          <w:iCs/>
          <w:sz w:val="20"/>
          <w:szCs w:val="20"/>
        </w:rPr>
      </w:pPr>
      <w:r>
        <w:rPr>
          <w:i/>
          <w:iCs/>
          <w:sz w:val="20"/>
          <w:szCs w:val="20"/>
          <w:u w:val="single"/>
        </w:rPr>
        <w:t>Nine Months Ended September 30, 2021 and 2020</w:t>
      </w:r>
    </w:p>
    <w:p w:rsidR="00000000" w:rsidRDefault="00DB7886">
      <w:pPr>
        <w:pStyle w:val="a3"/>
        <w:spacing w:before="0" w:beforeAutospacing="0" w:after="240" w:afterAutospacing="0"/>
        <w:ind w:firstLine="360"/>
        <w:divId w:val="431249092"/>
        <w:rPr>
          <w:sz w:val="20"/>
          <w:szCs w:val="20"/>
        </w:rPr>
      </w:pPr>
      <w:r>
        <w:rPr>
          <w:sz w:val="20"/>
          <w:szCs w:val="20"/>
        </w:rPr>
        <w:t>Our consolidated interest expense during the nine months ended September 30</w:t>
      </w:r>
      <w:r>
        <w:rPr>
          <w:sz w:val="20"/>
          <w:szCs w:val="20"/>
        </w:rPr>
        <w:t>, 2021 decreased by $6 million (1%) as compared to the comparable prior year period. The decrease was primarily due to lower interest expense for our Holding Company and Energy segment due to lower weighted average interest rates resulting from their respe</w:t>
      </w:r>
      <w:r>
        <w:rPr>
          <w:sz w:val="20"/>
          <w:szCs w:val="20"/>
        </w:rPr>
        <w:t xml:space="preserve">ctive debt refinancings. </w:t>
      </w:r>
    </w:p>
    <w:p w:rsidR="00000000" w:rsidRDefault="00DB7886">
      <w:pPr>
        <w:pStyle w:val="a3"/>
        <w:spacing w:before="0" w:beforeAutospacing="0" w:after="240" w:afterAutospacing="0"/>
        <w:divId w:val="431249092"/>
        <w:rPr>
          <w:b/>
          <w:bCs/>
          <w:sz w:val="20"/>
          <w:szCs w:val="20"/>
        </w:rPr>
      </w:pPr>
      <w:r>
        <w:rPr>
          <w:b/>
          <w:bCs/>
          <w:sz w:val="20"/>
          <w:szCs w:val="20"/>
        </w:rPr>
        <w:t>Income Tax Expense</w:t>
      </w:r>
    </w:p>
    <w:p w:rsidR="00000000" w:rsidRDefault="00DB7886">
      <w:pPr>
        <w:pStyle w:val="a3"/>
        <w:spacing w:before="0" w:beforeAutospacing="0" w:after="240" w:afterAutospacing="0"/>
        <w:ind w:firstLine="360"/>
        <w:divId w:val="431249092"/>
        <w:rPr>
          <w:sz w:val="20"/>
          <w:szCs w:val="20"/>
        </w:rPr>
      </w:pPr>
      <w:r>
        <w:rPr>
          <w:sz w:val="20"/>
          <w:szCs w:val="20"/>
        </w:rPr>
        <w:t>Certain of our subsidiaries are partnerships not subject to taxation in our condensed consolidated financial statements and certain other subsidiaries are corporations, or subsidiaries of corporations, subject t</w:t>
      </w:r>
      <w:r>
        <w:rPr>
          <w:sz w:val="20"/>
          <w:szCs w:val="20"/>
        </w:rPr>
        <w:t xml:space="preserve">o taxation in our condensed consolidated financial statements. Therefore, our consolidated effective tax rate generally differs from the statutory federal tax rate. Refer to Note 13, “Income Taxes,” to the condensed consolidated financial statements for a </w:t>
      </w:r>
      <w:r>
        <w:rPr>
          <w:sz w:val="20"/>
          <w:szCs w:val="20"/>
        </w:rPr>
        <w:t>discussion of income taxes.</w:t>
      </w:r>
    </w:p>
    <w:p w:rsidR="00000000" w:rsidRDefault="00DB7886">
      <w:pPr>
        <w:pStyle w:val="a3"/>
        <w:spacing w:before="0" w:beforeAutospacing="0" w:after="240" w:afterAutospacing="0"/>
        <w:divId w:val="431249092"/>
        <w:rPr>
          <w:b/>
          <w:bCs/>
          <w:sz w:val="20"/>
          <w:szCs w:val="20"/>
        </w:rPr>
      </w:pPr>
      <w:r>
        <w:rPr>
          <w:b/>
          <w:bCs/>
          <w:sz w:val="20"/>
          <w:szCs w:val="20"/>
        </w:rPr>
        <w:t>Liquidity and Capital Resources</w:t>
      </w:r>
    </w:p>
    <w:p w:rsidR="00000000" w:rsidRDefault="00DB7886">
      <w:pPr>
        <w:pStyle w:val="a3"/>
        <w:spacing w:before="0" w:beforeAutospacing="0" w:after="240" w:afterAutospacing="0"/>
        <w:divId w:val="431249092"/>
        <w:rPr>
          <w:b/>
          <w:bCs/>
          <w:i/>
          <w:iCs/>
          <w:sz w:val="20"/>
          <w:szCs w:val="20"/>
        </w:rPr>
      </w:pPr>
      <w:r>
        <w:rPr>
          <w:b/>
          <w:bCs/>
          <w:i/>
          <w:iCs/>
          <w:sz w:val="20"/>
          <w:szCs w:val="20"/>
        </w:rPr>
        <w:t>Holding Company Liquidity</w:t>
      </w:r>
    </w:p>
    <w:p w:rsidR="00000000" w:rsidRDefault="00DB7886">
      <w:pPr>
        <w:pStyle w:val="a3"/>
        <w:spacing w:before="0" w:beforeAutospacing="0" w:after="240" w:afterAutospacing="0"/>
        <w:ind w:firstLine="360"/>
        <w:divId w:val="431249092"/>
        <w:rPr>
          <w:sz w:val="20"/>
          <w:szCs w:val="20"/>
        </w:rPr>
      </w:pPr>
      <w:r>
        <w:rPr>
          <w:sz w:val="20"/>
          <w:szCs w:val="20"/>
        </w:rPr>
        <w:t>We are a holding company. Our cash flow and our ability to meet our debt service obligations and make distributions with respect to depositary units depends on the cash f</w:t>
      </w:r>
      <w:r>
        <w:rPr>
          <w:sz w:val="20"/>
          <w:szCs w:val="20"/>
        </w:rPr>
        <w:t>low resulting from divestitures, equity offerings and debt financings, interest income, returns on our interests in the Investment Funds and the payment of funds to us by our subsidiaries in the form of loans, dividends and distributions. We may pursue var</w:t>
      </w:r>
      <w:r>
        <w:rPr>
          <w:sz w:val="20"/>
          <w:szCs w:val="20"/>
        </w:rPr>
        <w:t>ious means to raise cash from our subsidiaries. To date, such means include receipt of dividends and distributions from subsidiaries, obtaining loans or other financings based on the asset values of subsidiaries or selling debt or equity securities of subs</w:t>
      </w:r>
      <w:r>
        <w:rPr>
          <w:sz w:val="20"/>
          <w:szCs w:val="20"/>
        </w:rPr>
        <w:t>idiaries through capital market transactions. To the degree any distributions and transfers are impaired or prohibited, our ability to make payments on our debt or distributions on our depositary units could be limited. The operating results of our subsidi</w:t>
      </w:r>
      <w:r>
        <w:rPr>
          <w:sz w:val="20"/>
          <w:szCs w:val="20"/>
        </w:rPr>
        <w:t xml:space="preserve">aries may not be sufficient for them to make distributions to us. In addition, our subsidiaries are not obligated to make funds available to us and distributions and intercompany transfers from our subsidiaries to us may be restricted by applicable law or </w:t>
      </w:r>
      <w:r>
        <w:rPr>
          <w:sz w:val="20"/>
          <w:szCs w:val="20"/>
        </w:rPr>
        <w:t>covenants contained in debt agreements and other agreements.</w:t>
      </w:r>
    </w:p>
    <w:p w:rsidR="00000000" w:rsidRDefault="00DB7886">
      <w:pPr>
        <w:pStyle w:val="a3"/>
        <w:spacing w:before="0" w:beforeAutospacing="0" w:after="240" w:afterAutospacing="0"/>
        <w:ind w:firstLine="360"/>
        <w:divId w:val="431249092"/>
        <w:rPr>
          <w:sz w:val="20"/>
          <w:szCs w:val="20"/>
        </w:rPr>
      </w:pPr>
      <w:r>
        <w:rPr>
          <w:sz w:val="20"/>
          <w:szCs w:val="20"/>
        </w:rPr>
        <w:t>As of September 30, 2021, our Holding Company had cash and cash equivalents of approximately $1.3 billion and total debt of approximately $5.8 billion. As of September 30, 2021, our Holding Compa</w:t>
      </w:r>
      <w:r>
        <w:rPr>
          <w:sz w:val="20"/>
          <w:szCs w:val="20"/>
        </w:rPr>
        <w:t>ny had investments in the Investment Funds with a total fair market value of approximately $4.6 billion. We may redeem our direct investment in the Investment Funds upon notice. See “Investment Segment Liquidity” below for additional information with respe</w:t>
      </w:r>
      <w:r>
        <w:rPr>
          <w:sz w:val="20"/>
          <w:szCs w:val="20"/>
        </w:rPr>
        <w:t>ct to our Investment segment liquidity. See “Consolidated Cash Flows” below for additional information with respect to our Holding Company liquidity.</w:t>
      </w:r>
    </w:p>
    <w:p w:rsidR="00000000" w:rsidRDefault="00DB7886">
      <w:pPr>
        <w:pStyle w:val="a3"/>
        <w:spacing w:before="480" w:beforeAutospacing="0" w:after="0" w:afterAutospacing="0"/>
        <w:jc w:val="center"/>
        <w:divId w:val="872883869"/>
        <w:rPr>
          <w:sz w:val="20"/>
          <w:szCs w:val="20"/>
        </w:rPr>
      </w:pPr>
      <w:r>
        <w:rPr>
          <w:sz w:val="20"/>
          <w:szCs w:val="20"/>
        </w:rPr>
        <w:t>51</w:t>
      </w:r>
    </w:p>
    <w:p w:rsidR="00000000" w:rsidRDefault="00DB7886">
      <w:pPr>
        <w:pStyle w:val="a3"/>
        <w:spacing w:before="0" w:beforeAutospacing="0" w:after="600" w:afterAutospacing="0"/>
        <w:divId w:val="1452357287"/>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divId w:val="533421110"/>
        <w:rPr>
          <w:i/>
          <w:iCs/>
          <w:sz w:val="20"/>
          <w:szCs w:val="20"/>
        </w:rPr>
      </w:pPr>
      <w:r>
        <w:rPr>
          <w:i/>
          <w:iCs/>
          <w:sz w:val="20"/>
          <w:szCs w:val="20"/>
        </w:rPr>
        <w:t>Holding Company Borrowings and Availability</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68"/>
        <w:gridCol w:w="1104"/>
        <w:gridCol w:w="200"/>
        <w:gridCol w:w="160"/>
        <w:gridCol w:w="1057"/>
      </w:tblGrid>
      <w:tr w:rsidR="00000000">
        <w:trPr>
          <w:divId w:val="533421110"/>
          <w:trHeight w:val="2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divId w:val="89943964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3934028"/>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4672634"/>
              <w:rPr>
                <w:sz w:val="20"/>
                <w:szCs w:val="20"/>
              </w:rPr>
            </w:pPr>
            <w:r>
              <w:rPr>
                <w:sz w:val="2"/>
                <w:szCs w:val="2"/>
              </w:rPr>
              <w:t>​</w:t>
            </w:r>
          </w:p>
        </w:tc>
        <w:tc>
          <w:tcPr>
            <w:tcW w:w="56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5509481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7386114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0034068"/>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44914386"/>
              <w:rPr>
                <w:sz w:val="20"/>
                <w:szCs w:val="20"/>
              </w:rPr>
            </w:pPr>
            <w:r>
              <w:rPr>
                <w:sz w:val="2"/>
                <w:szCs w:val="2"/>
              </w:rPr>
              <w:t>​</w:t>
            </w:r>
          </w:p>
        </w:tc>
      </w:tr>
      <w:tr w:rsidR="00000000">
        <w:trPr>
          <w:divId w:val="53342111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655"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December 31, </w:t>
            </w:r>
          </w:p>
        </w:tc>
      </w:tr>
      <w:tr w:rsidR="00000000">
        <w:trPr>
          <w:divId w:val="53342111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r>
      <w:tr w:rsidR="00000000">
        <w:trPr>
          <w:divId w:val="533421110"/>
        </w:trPr>
        <w:tc>
          <w:tcPr>
            <w:tcW w:w="0" w:type="auto"/>
            <w:gridSpan w:val="7"/>
            <w:tcMar>
              <w:top w:w="0" w:type="dxa"/>
              <w:left w:w="0" w:type="dxa"/>
              <w:bottom w:w="0" w:type="dxa"/>
              <w:right w:w="0" w:type="dxa"/>
            </w:tcMar>
            <w:vAlign w:val="center"/>
            <w:hideMark/>
          </w:tcPr>
          <w:p w:rsidR="00000000" w:rsidRDefault="00DB7886">
            <w:pPr>
              <w:rPr>
                <w:sz w:val="20"/>
                <w:szCs w:val="20"/>
              </w:rPr>
            </w:pPr>
          </w:p>
        </w:tc>
      </w:tr>
      <w:tr w:rsidR="00000000">
        <w:trPr>
          <w:divId w:val="53342111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385" w:type="pct"/>
            <w:gridSpan w:val="5"/>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533421110"/>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6.250% senior unsecured notes due 2022</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1,20</w:t>
            </w:r>
            <w:r>
              <w:rPr>
                <w:sz w:val="20"/>
                <w:szCs w:val="20"/>
              </w:rPr>
              <w:t>9</w:t>
            </w:r>
          </w:p>
        </w:tc>
      </w:tr>
      <w:tr w:rsidR="00000000">
        <w:trPr>
          <w:divId w:val="53342111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6.750% senior unsecured notes due 2024</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49</w:t>
            </w:r>
            <w:r>
              <w:rPr>
                <w:sz w:val="20"/>
                <w:szCs w:val="20"/>
              </w:rPr>
              <w:t>9</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49</w:t>
            </w:r>
            <w:r>
              <w:rPr>
                <w:sz w:val="20"/>
                <w:szCs w:val="20"/>
              </w:rPr>
              <w:t>9</w:t>
            </w:r>
          </w:p>
        </w:tc>
      </w:tr>
      <w:tr w:rsidR="00000000">
        <w:trPr>
          <w:divId w:val="533421110"/>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4.750% senior unsecured notes due 2024</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1,10</w:t>
            </w: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1,10</w:t>
            </w:r>
            <w:r>
              <w:rPr>
                <w:sz w:val="20"/>
                <w:szCs w:val="20"/>
              </w:rPr>
              <w:t>6</w:t>
            </w:r>
          </w:p>
        </w:tc>
      </w:tr>
      <w:tr w:rsidR="00000000">
        <w:trPr>
          <w:divId w:val="53342111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6.375% senior unsecured notes due 2025</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74</w:t>
            </w:r>
            <w:r>
              <w:rPr>
                <w:sz w:val="20"/>
                <w:szCs w:val="20"/>
              </w:rPr>
              <w:t>8</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74</w:t>
            </w:r>
            <w:r>
              <w:rPr>
                <w:sz w:val="20"/>
                <w:szCs w:val="20"/>
              </w:rPr>
              <w:t>8</w:t>
            </w:r>
          </w:p>
        </w:tc>
      </w:tr>
      <w:tr w:rsidR="00000000">
        <w:trPr>
          <w:divId w:val="533421110"/>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6.250% senior unsecured notes due 2026</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1,25</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1,25</w:t>
            </w:r>
            <w:r>
              <w:rPr>
                <w:sz w:val="20"/>
                <w:szCs w:val="20"/>
              </w:rPr>
              <w:t>0</w:t>
            </w:r>
          </w:p>
        </w:tc>
      </w:tr>
      <w:tr w:rsidR="00000000">
        <w:trPr>
          <w:divId w:val="53342111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5.250% senior unsecured notes due 2027</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1,46</w:t>
            </w:r>
            <w:r>
              <w:rPr>
                <w:sz w:val="20"/>
                <w:szCs w:val="20"/>
              </w:rPr>
              <w:t>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99</w:t>
            </w:r>
            <w:r>
              <w:rPr>
                <w:sz w:val="20"/>
                <w:szCs w:val="20"/>
              </w:rPr>
              <w:t>9</w:t>
            </w:r>
          </w:p>
        </w:tc>
      </w:tr>
      <w:tr w:rsidR="00000000">
        <w:trPr>
          <w:divId w:val="533421110"/>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4.375% senior unsecured notes due 2029</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74</w:t>
            </w: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r>
      <w:tr w:rsidR="00000000">
        <w:trPr>
          <w:divId w:val="53342111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9"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5,81</w:t>
            </w:r>
            <w:r>
              <w:rPr>
                <w:sz w:val="20"/>
                <w:szCs w:val="20"/>
              </w:rPr>
              <w:t>0</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4"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5,81</w:t>
            </w:r>
            <w:r>
              <w:rPr>
                <w:sz w:val="20"/>
                <w:szCs w:val="20"/>
              </w:rPr>
              <w:t>1</w:t>
            </w:r>
          </w:p>
        </w:tc>
      </w:tr>
    </w:tbl>
    <w:p w:rsidR="00000000" w:rsidRDefault="00DB7886">
      <w:pPr>
        <w:pStyle w:val="a3"/>
        <w:spacing w:before="0" w:beforeAutospacing="0" w:after="0" w:afterAutospacing="0"/>
        <w:divId w:val="533421110"/>
        <w:rPr>
          <w:sz w:val="20"/>
          <w:szCs w:val="20"/>
        </w:rPr>
      </w:pPr>
      <w:r>
        <w:rPr>
          <w:sz w:val="20"/>
          <w:szCs w:val="20"/>
        </w:rPr>
        <w:t>​</w:t>
      </w:r>
    </w:p>
    <w:p w:rsidR="00000000" w:rsidRDefault="00DB7886">
      <w:pPr>
        <w:pStyle w:val="a3"/>
        <w:spacing w:before="0" w:beforeAutospacing="0" w:after="240" w:afterAutospacing="0"/>
        <w:ind w:firstLine="360"/>
        <w:divId w:val="533421110"/>
        <w:rPr>
          <w:sz w:val="20"/>
          <w:szCs w:val="20"/>
        </w:rPr>
      </w:pPr>
      <w:r>
        <w:rPr>
          <w:sz w:val="20"/>
          <w:szCs w:val="20"/>
        </w:rPr>
        <w:t>Holding Company debt consists of various issues of fixed-rate senior unsecured notes issued by Icahn Enterprises and Icahn Enterprises Finance Corp. (together the “Issuers”) and guaranteed by Icahn Enterprises Holdings (the “Guarantor”). Interest on each t</w:t>
      </w:r>
      <w:r>
        <w:rPr>
          <w:sz w:val="20"/>
          <w:szCs w:val="20"/>
        </w:rPr>
        <w:t>ranche of senior unsecured notes is payable semi-annually.</w:t>
      </w:r>
    </w:p>
    <w:p w:rsidR="00000000" w:rsidRDefault="00DB7886">
      <w:pPr>
        <w:pStyle w:val="a3"/>
        <w:spacing w:before="0" w:beforeAutospacing="0" w:after="240" w:afterAutospacing="0"/>
        <w:ind w:firstLine="360"/>
        <w:divId w:val="533421110"/>
        <w:rPr>
          <w:sz w:val="20"/>
          <w:szCs w:val="20"/>
        </w:rPr>
      </w:pPr>
      <w:r>
        <w:rPr>
          <w:sz w:val="20"/>
          <w:szCs w:val="20"/>
        </w:rPr>
        <w:t>In January 2021, the Issuers issued $750 million in aggregate principal amount of 4.375% senior unsecured notes due 2029 (the “New 2029 Notes”). The proceeds from the New 2029 Notes were used to re</w:t>
      </w:r>
      <w:r>
        <w:rPr>
          <w:sz w:val="20"/>
          <w:szCs w:val="20"/>
        </w:rPr>
        <w:t>deem $750 million principal amount of 6.250% senior unsecured notes due 2022, and to pay accrued interest, related fees and expenses. Interest on the New 2029 Notes is payable semi-annually.</w:t>
      </w:r>
    </w:p>
    <w:p w:rsidR="00000000" w:rsidRDefault="00DB7886">
      <w:pPr>
        <w:pStyle w:val="a3"/>
        <w:spacing w:before="0" w:beforeAutospacing="0" w:after="240" w:afterAutospacing="0"/>
        <w:ind w:firstLine="360"/>
        <w:divId w:val="533421110"/>
        <w:rPr>
          <w:sz w:val="20"/>
          <w:szCs w:val="20"/>
        </w:rPr>
      </w:pPr>
      <w:r>
        <w:rPr>
          <w:sz w:val="20"/>
          <w:szCs w:val="20"/>
        </w:rPr>
        <w:t>In April 2021, the Issuers issued $455 million in aggregate princ</w:t>
      </w:r>
      <w:r>
        <w:rPr>
          <w:sz w:val="20"/>
          <w:szCs w:val="20"/>
        </w:rPr>
        <w:t>ipal amount of additional 5.250% senior unsecured notes due 2027. The proceeds from this issuance were used to redeem the remaining $455 million principal amount of 6.250% senior unsecured notes due 2022, and to pay accrued interest, related fees and expen</w:t>
      </w:r>
      <w:r>
        <w:rPr>
          <w:sz w:val="20"/>
          <w:szCs w:val="20"/>
        </w:rPr>
        <w:t xml:space="preserve">ses. </w:t>
      </w:r>
    </w:p>
    <w:p w:rsidR="00000000" w:rsidRDefault="00DB7886">
      <w:pPr>
        <w:pStyle w:val="a3"/>
        <w:spacing w:before="0" w:beforeAutospacing="0" w:after="240" w:afterAutospacing="0"/>
        <w:ind w:firstLine="360"/>
        <w:divId w:val="533421110"/>
        <w:rPr>
          <w:sz w:val="20"/>
          <w:szCs w:val="20"/>
        </w:rPr>
      </w:pPr>
      <w:r>
        <w:rPr>
          <w:sz w:val="20"/>
          <w:szCs w:val="20"/>
        </w:rPr>
        <w:t>Each of our senior unsecured notes and the related guarantees are the senior unsecured obligations of the Issuers and rank equally with all of the Issuers’ and the Guarantor’s existing and future senior unsecured indebtedness and senior to all of the</w:t>
      </w:r>
      <w:r>
        <w:rPr>
          <w:sz w:val="20"/>
          <w:szCs w:val="20"/>
        </w:rPr>
        <w:t xml:space="preserve"> Issuers’ and the Guarantor’s existing and future subordinated indebtedness. Each of our senior unsecured notes and the related guarantees are effectively subordinated to the Issuers’ and the Guarantor’s existing and future secured indebtedness to the exte</w:t>
      </w:r>
      <w:r>
        <w:rPr>
          <w:sz w:val="20"/>
          <w:szCs w:val="20"/>
        </w:rPr>
        <w:t>nt of the collateral securing such indebtedness. Each of our senior unsecured notes and the related guarantees are also effectively subordinated to all indebtedness and other liabilities of the Issuers’ subsidiaries other than the Guarantor.</w:t>
      </w:r>
    </w:p>
    <w:p w:rsidR="00000000" w:rsidRDefault="00DB7886">
      <w:pPr>
        <w:pStyle w:val="a3"/>
        <w:spacing w:before="0" w:beforeAutospacing="0" w:after="240" w:afterAutospacing="0"/>
        <w:ind w:firstLine="360"/>
        <w:divId w:val="533421110"/>
        <w:rPr>
          <w:sz w:val="20"/>
          <w:szCs w:val="20"/>
        </w:rPr>
      </w:pPr>
      <w:r>
        <w:rPr>
          <w:sz w:val="20"/>
          <w:szCs w:val="20"/>
        </w:rPr>
        <w:t>The indentures</w:t>
      </w:r>
      <w:r>
        <w:rPr>
          <w:sz w:val="20"/>
          <w:szCs w:val="20"/>
        </w:rPr>
        <w:t xml:space="preserve"> governing our senior unsecured notes described above restrict the payment of cash distributions, the purchase of equity interests or the purchase, redemption, defeasance or acquisition of debt subordinated to the senior unsecured notes. The indentures als</w:t>
      </w:r>
      <w:r>
        <w:rPr>
          <w:sz w:val="20"/>
          <w:szCs w:val="20"/>
        </w:rPr>
        <w:t xml:space="preserve">o restrict the incurrence of debt or the issuance of disqualified stock, as defined in the indentures, with certain exceptions. In addition, the indentures require that on each quarterly determination date, Icahn Enterprises and the guarantor of the notes </w:t>
      </w:r>
      <w:r>
        <w:rPr>
          <w:sz w:val="20"/>
          <w:szCs w:val="20"/>
        </w:rPr>
        <w:t>(currently only Icahn Enterprises Holdings) maintain certain minimum financial ratios, as defined therein. The indentures also restrict the creation of liens, mergers, consolidations and sales of substantially all of our assets, and transactions with affil</w:t>
      </w:r>
      <w:r>
        <w:rPr>
          <w:sz w:val="20"/>
          <w:szCs w:val="20"/>
        </w:rPr>
        <w:t>iates. Additionally, each of the senior unsecured notes outstanding as of September 30, 2021, except for the 4.750% senior unsecured notes due 2024, the 5.250% senior unsecured notes due 2027 and 4.375% senior unsecured notes due 2029, are subject to optio</w:t>
      </w:r>
      <w:r>
        <w:rPr>
          <w:sz w:val="20"/>
          <w:szCs w:val="20"/>
        </w:rPr>
        <w:t>nal redemption premiums in the event we redeem any of the notes prior to certain dates as described in the indentures.</w:t>
      </w:r>
    </w:p>
    <w:p w:rsidR="00000000" w:rsidRDefault="00DB7886">
      <w:pPr>
        <w:pStyle w:val="a3"/>
        <w:spacing w:before="0" w:beforeAutospacing="0" w:after="240" w:afterAutospacing="0"/>
        <w:ind w:firstLine="360"/>
        <w:divId w:val="533421110"/>
        <w:rPr>
          <w:sz w:val="20"/>
          <w:szCs w:val="20"/>
        </w:rPr>
      </w:pPr>
      <w:r>
        <w:rPr>
          <w:sz w:val="20"/>
          <w:szCs w:val="20"/>
        </w:rPr>
        <w:t>As of September 30, 2021 and December 31, 2020, we were in compliance with all covenants, including maintaining certain minimum financial</w:t>
      </w:r>
      <w:r>
        <w:rPr>
          <w:sz w:val="20"/>
          <w:szCs w:val="20"/>
        </w:rPr>
        <w:t xml:space="preserve"> ratios, as defined in the indentures. Additionally, as of September 30, 2021, based on covenants in the indentures governing our senior unsecured notes, we are not permitted to incur additional indebtedness; however, we are permitted to issue new notes in</w:t>
      </w:r>
      <w:r>
        <w:rPr>
          <w:sz w:val="20"/>
          <w:szCs w:val="20"/>
        </w:rPr>
        <w:t xml:space="preserve"> connection with debt refinancings of existing notes. </w:t>
      </w:r>
    </w:p>
    <w:p w:rsidR="00000000" w:rsidRDefault="00DB7886">
      <w:pPr>
        <w:pStyle w:val="a3"/>
        <w:spacing w:before="480" w:beforeAutospacing="0" w:after="0" w:afterAutospacing="0"/>
        <w:jc w:val="center"/>
        <w:divId w:val="591856096"/>
        <w:rPr>
          <w:sz w:val="20"/>
          <w:szCs w:val="20"/>
        </w:rPr>
      </w:pPr>
      <w:r>
        <w:rPr>
          <w:sz w:val="20"/>
          <w:szCs w:val="20"/>
        </w:rPr>
        <w:t>52</w:t>
      </w:r>
    </w:p>
    <w:p w:rsidR="00000000" w:rsidRDefault="00DB7886">
      <w:pPr>
        <w:pStyle w:val="a3"/>
        <w:spacing w:before="0" w:beforeAutospacing="0" w:after="600" w:afterAutospacing="0"/>
        <w:divId w:val="2089383774"/>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divId w:val="1785074079"/>
        <w:rPr>
          <w:i/>
          <w:iCs/>
          <w:sz w:val="20"/>
          <w:szCs w:val="20"/>
        </w:rPr>
      </w:pPr>
      <w:r>
        <w:rPr>
          <w:i/>
          <w:iCs/>
          <w:sz w:val="20"/>
          <w:szCs w:val="20"/>
        </w:rPr>
        <w:t>At-The-Market Offerings</w:t>
      </w:r>
    </w:p>
    <w:p w:rsidR="00000000" w:rsidRDefault="00DB7886">
      <w:pPr>
        <w:pStyle w:val="a3"/>
        <w:spacing w:before="0" w:beforeAutospacing="0" w:after="240" w:afterAutospacing="0"/>
        <w:ind w:firstLine="360"/>
        <w:divId w:val="1785074079"/>
        <w:rPr>
          <w:sz w:val="20"/>
          <w:szCs w:val="20"/>
        </w:rPr>
      </w:pPr>
      <w:r>
        <w:rPr>
          <w:sz w:val="20"/>
          <w:szCs w:val="20"/>
        </w:rPr>
        <w:t>On February 26, 2021, Icahn Enterprises entered into a new Open Market Sale Agreement, pursuant to which Icahn Enterprises was abl</w:t>
      </w:r>
      <w:r>
        <w:rPr>
          <w:sz w:val="20"/>
          <w:szCs w:val="20"/>
        </w:rPr>
        <w:t xml:space="preserve">e to sell its depositary units, from time to time, for up to $400 million in aggregate sale proceeds, under its ongoing “at-the-market offering. On August 6, 2021, this agreement was terminated and replaced by a new Open Market Sale Agreement, pursuant to </w:t>
      </w:r>
      <w:r>
        <w:rPr>
          <w:sz w:val="20"/>
          <w:szCs w:val="20"/>
        </w:rPr>
        <w:t>which Icahn Enterprises may sell its depositary units, from time to time, for up to $400 million in aggregate sale proceeds. During the nine months ended September 30, 2021, Icahn Enterprises sold 10,783,098 depositary units pursuant to this agreement, res</w:t>
      </w:r>
      <w:r>
        <w:rPr>
          <w:sz w:val="20"/>
          <w:szCs w:val="20"/>
        </w:rPr>
        <w:t>ulting in gross proceeds of $604 million. As of September 30, 2021, Icahn Enterprises may sell its depositary units for up to an additional $180 million in aggregate gross sale proceeds pursuant to its agreement entered into on August 6, 2021. No assurance</w:t>
      </w:r>
      <w:r>
        <w:rPr>
          <w:sz w:val="20"/>
          <w:szCs w:val="20"/>
        </w:rPr>
        <w:t xml:space="preserve"> can be made that any or all amounts will be sold during the term of the agreement, and we have no obligation to sell additional depositary units under the Open Market Sale Agreement. Depending on market conditions, we may continue to sell depositary units</w:t>
      </w:r>
      <w:r>
        <w:rPr>
          <w:sz w:val="20"/>
          <w:szCs w:val="20"/>
        </w:rPr>
        <w:t xml:space="preserve"> under the Open Market Sale Agreement, and, if appropriate, enter into a new Open Market Sale Agreement to continue our “at-the-market” sales program once we have sold the full amount of our existing Open Market Sale Agreement. Our ability to access remain</w:t>
      </w:r>
      <w:r>
        <w:rPr>
          <w:sz w:val="20"/>
          <w:szCs w:val="20"/>
        </w:rPr>
        <w:t>ing capital under our “at-the-market” program may be limited by market conditions at the time of any future potential sale. While we were able to sell shares during the nine months ended September 30, 2021, there can be no assurance that any future capital</w:t>
      </w:r>
      <w:r>
        <w:rPr>
          <w:sz w:val="20"/>
          <w:szCs w:val="20"/>
        </w:rPr>
        <w:t xml:space="preserve"> will be available on acceptable terms or at all under this program.</w:t>
      </w:r>
    </w:p>
    <w:p w:rsidR="00000000" w:rsidRDefault="00DB7886">
      <w:pPr>
        <w:pStyle w:val="a3"/>
        <w:spacing w:before="0" w:beforeAutospacing="0" w:after="240" w:afterAutospacing="0"/>
        <w:divId w:val="1785074079"/>
        <w:rPr>
          <w:i/>
          <w:iCs/>
          <w:sz w:val="20"/>
          <w:szCs w:val="20"/>
        </w:rPr>
      </w:pPr>
      <w:r>
        <w:rPr>
          <w:i/>
          <w:iCs/>
          <w:sz w:val="20"/>
          <w:szCs w:val="20"/>
        </w:rPr>
        <w:t>LP Unit Distributions</w:t>
      </w:r>
    </w:p>
    <w:p w:rsidR="00000000" w:rsidRDefault="00DB7886">
      <w:pPr>
        <w:pStyle w:val="a3"/>
        <w:spacing w:before="0" w:beforeAutospacing="0" w:after="240" w:afterAutospacing="0"/>
        <w:ind w:firstLine="360"/>
        <w:divId w:val="1785074079"/>
        <w:rPr>
          <w:sz w:val="20"/>
          <w:szCs w:val="20"/>
        </w:rPr>
      </w:pPr>
      <w:r>
        <w:rPr>
          <w:sz w:val="20"/>
          <w:szCs w:val="20"/>
        </w:rPr>
        <w:t>During the nine months ended September 30, 2021, Icahn Enterprises declared three quarterly distributions aggregating $6.00 per depositary unit in which each deposit</w:t>
      </w:r>
      <w:r>
        <w:rPr>
          <w:sz w:val="20"/>
          <w:szCs w:val="20"/>
        </w:rPr>
        <w:t xml:space="preserve">ary unitholder had the option to make an election to receive either cash or additional depositary units. In connection with these distributions, aggregate cash distributions to all depositary unitholders that made a timely election to receive cash was $91 </w:t>
      </w:r>
      <w:r>
        <w:rPr>
          <w:sz w:val="20"/>
          <w:szCs w:val="20"/>
        </w:rPr>
        <w:t xml:space="preserve">million during the nine months ended September 30, 2021. </w:t>
      </w:r>
    </w:p>
    <w:p w:rsidR="00000000" w:rsidRDefault="00DB7886">
      <w:pPr>
        <w:pStyle w:val="a3"/>
        <w:spacing w:before="0" w:beforeAutospacing="0" w:after="240" w:afterAutospacing="0"/>
        <w:ind w:firstLine="360"/>
        <w:divId w:val="1785074079"/>
        <w:rPr>
          <w:sz w:val="20"/>
          <w:szCs w:val="20"/>
        </w:rPr>
      </w:pPr>
      <w:r>
        <w:rPr>
          <w:sz w:val="20"/>
          <w:szCs w:val="20"/>
        </w:rPr>
        <w:t>On November 1, 2021, the Board of Directors of the general partner of Icahn Enterprises declared a quarterly distribution in the amount of $2.00 per depositary unit, which will be paid on or about D</w:t>
      </w:r>
      <w:r>
        <w:rPr>
          <w:sz w:val="20"/>
          <w:szCs w:val="20"/>
        </w:rPr>
        <w:t>ecember 22, 2021 to depositary unitholders of record at the close of business on November 16, 2021. Depositary unitholders will have until December 10, 2021 to make a timely election to receive either cash or additional depositary units. If a unitholder do</w:t>
      </w:r>
      <w:r>
        <w:rPr>
          <w:sz w:val="20"/>
          <w:szCs w:val="20"/>
        </w:rPr>
        <w:t>es not make a timely election, it will automatically be deemed to have elected to receive the distribution in additional depositary units. Depositary unitholders who elect to receive (or who are deemed to have elected to receive) additional depositary unit</w:t>
      </w:r>
      <w:r>
        <w:rPr>
          <w:sz w:val="20"/>
          <w:szCs w:val="20"/>
        </w:rPr>
        <w:t>s will receive units valued at the volume weighted average trading price of the units during the five consecutive trading days ending December 17, 2021. Icahn Enterprises will make a cash payment in lieu of issuing fractional depositary units to any unitho</w:t>
      </w:r>
      <w:r>
        <w:rPr>
          <w:sz w:val="20"/>
          <w:szCs w:val="20"/>
        </w:rPr>
        <w:t>lders electing to receive (or who are deemed to have elected to receive) depositary units.</w:t>
      </w:r>
    </w:p>
    <w:p w:rsidR="00000000" w:rsidRDefault="00DB7886">
      <w:pPr>
        <w:pStyle w:val="a3"/>
        <w:spacing w:before="0" w:beforeAutospacing="0" w:after="240" w:afterAutospacing="0"/>
        <w:ind w:firstLine="360"/>
        <w:divId w:val="1785074079"/>
        <w:rPr>
          <w:sz w:val="20"/>
          <w:szCs w:val="20"/>
        </w:rPr>
      </w:pPr>
      <w:r>
        <w:rPr>
          <w:sz w:val="20"/>
          <w:szCs w:val="20"/>
        </w:rPr>
        <w:t>The declaration and payment of distributions is reviewed quarterly by Icahn Enterprises GP’s board of directors based upon a review of our balance sheet and cash flo</w:t>
      </w:r>
      <w:r>
        <w:rPr>
          <w:sz w:val="20"/>
          <w:szCs w:val="20"/>
        </w:rPr>
        <w:t>w, our expected capital and liquidity requirements, the provisions of our partnership agreement and provisions in our financing arrangements governing distributions, and keeping in mind that limited partners subject to U.S. federal income tax have recogniz</w:t>
      </w:r>
      <w:r>
        <w:rPr>
          <w:sz w:val="20"/>
          <w:szCs w:val="20"/>
        </w:rPr>
        <w:t>ed income on our earnings even if they do not receive distributions that could be used to satisfy any resulting tax obligations. The payment of future distributions will be determined by the board of directors quarterly, based upon the factors described ab</w:t>
      </w:r>
      <w:r>
        <w:rPr>
          <w:sz w:val="20"/>
          <w:szCs w:val="20"/>
        </w:rPr>
        <w:t>ove and other factors that it deems relevant at the time that declaration of a distribution is considered. Payments of distributions are subject to certain restrictions, including certain restrictions on our subsidiaries which limit their ability to distri</w:t>
      </w:r>
      <w:r>
        <w:rPr>
          <w:sz w:val="20"/>
          <w:szCs w:val="20"/>
        </w:rPr>
        <w:t>bute dividends to us. There can be no assurance as to whether or in what amounts any future distributions might be paid.</w:t>
      </w:r>
    </w:p>
    <w:p w:rsidR="00000000" w:rsidRDefault="00DB7886">
      <w:pPr>
        <w:pStyle w:val="a3"/>
        <w:spacing w:before="0" w:beforeAutospacing="0" w:after="240" w:afterAutospacing="0"/>
        <w:divId w:val="1785074079"/>
        <w:rPr>
          <w:sz w:val="20"/>
          <w:szCs w:val="20"/>
        </w:rPr>
      </w:pPr>
      <w:r>
        <w:rPr>
          <w:i/>
          <w:iCs/>
          <w:sz w:val="20"/>
          <w:szCs w:val="20"/>
        </w:rPr>
        <w:t>Tender Offer</w:t>
      </w:r>
    </w:p>
    <w:p w:rsidR="00000000" w:rsidRDefault="00DB7886">
      <w:pPr>
        <w:pStyle w:val="a3"/>
        <w:spacing w:before="0" w:beforeAutospacing="0" w:after="240" w:afterAutospacing="0"/>
        <w:ind w:firstLine="360"/>
        <w:divId w:val="1785074079"/>
        <w:rPr>
          <w:sz w:val="20"/>
          <w:szCs w:val="20"/>
        </w:rPr>
      </w:pPr>
      <w:r>
        <w:rPr>
          <w:sz w:val="20"/>
          <w:szCs w:val="20"/>
        </w:rPr>
        <w:t>On October 27, 2021, IEP Utility, a wholly owned subsidiary of Icahn Enterprises Holdings, commenced the SWX Tender Offer. We estimate that the maximum amount of funds required to complete the SWX Tender Offer would be up to approximately $4.2 billion. IEP</w:t>
      </w:r>
      <w:r>
        <w:rPr>
          <w:sz w:val="20"/>
          <w:szCs w:val="20"/>
        </w:rPr>
        <w:t xml:space="preserve"> Utility and Icahn Enterprises Holdings intend to obtain such funds from cash, cash equivalents, and from their ability to realize cash upon sale of liquid securities.</w:t>
      </w:r>
      <w:r>
        <w:rPr>
          <w:sz w:val="20"/>
          <w:szCs w:val="20"/>
        </w:rPr>
        <w:t xml:space="preserve"> </w:t>
      </w:r>
    </w:p>
    <w:p w:rsidR="00000000" w:rsidRDefault="00DB7886">
      <w:pPr>
        <w:pStyle w:val="a3"/>
        <w:spacing w:before="0" w:beforeAutospacing="0" w:after="0" w:afterAutospacing="0"/>
        <w:divId w:val="1785074079"/>
        <w:rPr>
          <w:sz w:val="20"/>
          <w:szCs w:val="20"/>
        </w:rPr>
      </w:pPr>
      <w:r>
        <w:rPr>
          <w:i/>
          <w:iCs/>
          <w:sz w:val="20"/>
          <w:szCs w:val="20"/>
        </w:rPr>
        <w:t>​</w:t>
      </w:r>
    </w:p>
    <w:p w:rsidR="00000000" w:rsidRDefault="00DB7886">
      <w:pPr>
        <w:pStyle w:val="a3"/>
        <w:spacing w:before="480" w:beforeAutospacing="0" w:after="0" w:afterAutospacing="0"/>
        <w:jc w:val="center"/>
        <w:divId w:val="363135386"/>
        <w:rPr>
          <w:sz w:val="20"/>
          <w:szCs w:val="20"/>
        </w:rPr>
      </w:pPr>
      <w:r>
        <w:rPr>
          <w:sz w:val="20"/>
          <w:szCs w:val="20"/>
        </w:rPr>
        <w:t>53</w:t>
      </w:r>
    </w:p>
    <w:p w:rsidR="00000000" w:rsidRDefault="00DB7886">
      <w:pPr>
        <w:pStyle w:val="a3"/>
        <w:spacing w:before="0" w:beforeAutospacing="0" w:after="600" w:afterAutospacing="0"/>
        <w:divId w:val="556625649"/>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divId w:val="1716125717"/>
        <w:rPr>
          <w:sz w:val="20"/>
          <w:szCs w:val="20"/>
        </w:rPr>
      </w:pPr>
      <w:r>
        <w:rPr>
          <w:i/>
          <w:iCs/>
          <w:sz w:val="20"/>
          <w:szCs w:val="20"/>
        </w:rPr>
        <w:t>Pending Sale of PSC Metals</w:t>
      </w:r>
    </w:p>
    <w:p w:rsidR="00000000" w:rsidRDefault="00DB7886">
      <w:pPr>
        <w:pStyle w:val="a3"/>
        <w:spacing w:before="0" w:beforeAutospacing="0" w:after="240" w:afterAutospacing="0"/>
        <w:ind w:firstLine="360"/>
        <w:divId w:val="1716125717"/>
        <w:rPr>
          <w:sz w:val="20"/>
          <w:szCs w:val="20"/>
        </w:rPr>
      </w:pPr>
      <w:r>
        <w:rPr>
          <w:sz w:val="20"/>
          <w:szCs w:val="20"/>
        </w:rPr>
        <w:t xml:space="preserve">On October </w:t>
      </w:r>
      <w:r>
        <w:rPr>
          <w:sz w:val="20"/>
          <w:szCs w:val="20"/>
        </w:rPr>
        <w:t>29, 2021, we announced a definitive agreement to sell PSC Metals for total consideration of approximately $290 million (including indebtedness that will be repaid at closing and subject to customary working capital adjustments). The sale is expected to clo</w:t>
      </w:r>
      <w:r>
        <w:rPr>
          <w:sz w:val="20"/>
          <w:szCs w:val="20"/>
        </w:rPr>
        <w:t xml:space="preserve">se in the fourth quarter of 2021, subject to receiving applicable regulatory approvals, and to the satisfaction of other customary closing conditions. </w:t>
      </w:r>
    </w:p>
    <w:p w:rsidR="00000000" w:rsidRDefault="00DB7886">
      <w:pPr>
        <w:pStyle w:val="a3"/>
        <w:spacing w:before="0" w:beforeAutospacing="0" w:after="240" w:afterAutospacing="0"/>
        <w:divId w:val="1716125717"/>
        <w:rPr>
          <w:b/>
          <w:bCs/>
          <w:i/>
          <w:iCs/>
          <w:sz w:val="20"/>
          <w:szCs w:val="20"/>
        </w:rPr>
      </w:pPr>
      <w:r>
        <w:rPr>
          <w:b/>
          <w:bCs/>
          <w:i/>
          <w:iCs/>
          <w:sz w:val="20"/>
          <w:szCs w:val="20"/>
        </w:rPr>
        <w:t>Investment Segment Liquidity</w:t>
      </w:r>
    </w:p>
    <w:p w:rsidR="00000000" w:rsidRDefault="00DB7886">
      <w:pPr>
        <w:pStyle w:val="a3"/>
        <w:spacing w:before="0" w:beforeAutospacing="0" w:after="240" w:afterAutospacing="0"/>
        <w:ind w:firstLine="360"/>
        <w:divId w:val="1716125717"/>
        <w:rPr>
          <w:sz w:val="20"/>
          <w:szCs w:val="20"/>
        </w:rPr>
      </w:pPr>
      <w:r>
        <w:rPr>
          <w:sz w:val="20"/>
          <w:szCs w:val="20"/>
        </w:rPr>
        <w:t>In addition to investments by us and Mr. </w:t>
      </w:r>
      <w:r>
        <w:rPr>
          <w:sz w:val="20"/>
          <w:szCs w:val="20"/>
        </w:rPr>
        <w:t xml:space="preserve">Icahn, the Investment Funds historically have access to significant amounts of cash available from prime brokerage lines of credit, subject to customary terms and market conditions. </w:t>
      </w:r>
    </w:p>
    <w:p w:rsidR="00000000" w:rsidRDefault="00DB7886">
      <w:pPr>
        <w:pStyle w:val="a3"/>
        <w:spacing w:before="0" w:beforeAutospacing="0" w:after="240" w:afterAutospacing="0"/>
        <w:ind w:firstLine="360"/>
        <w:divId w:val="1716125717"/>
        <w:rPr>
          <w:sz w:val="20"/>
          <w:szCs w:val="20"/>
        </w:rPr>
      </w:pPr>
      <w:r>
        <w:rPr>
          <w:sz w:val="20"/>
          <w:szCs w:val="20"/>
        </w:rPr>
        <w:t>Additionally, our Investment segment liquidity is driven by the investmen</w:t>
      </w:r>
      <w:r>
        <w:rPr>
          <w:sz w:val="20"/>
          <w:szCs w:val="20"/>
        </w:rPr>
        <w:t>t activities and performance of the Investment Funds. As of September 30, 2021, the Investment Funds’ had a net short notional exposure of 11%. The Investment Funds’ long exposure was 108% (107% long equity and 1% long credit) and its short exposure was 11</w:t>
      </w:r>
      <w:r>
        <w:rPr>
          <w:sz w:val="20"/>
          <w:szCs w:val="20"/>
        </w:rPr>
        <w:t>9% (98% short equity and 21% short credit). The notional exposure represents the ratio of the notional exposure of the Investment Funds’ invested capital to the net asset value of the Investment Funds at September 30, 2021.</w:t>
      </w:r>
    </w:p>
    <w:p w:rsidR="00000000" w:rsidRDefault="00DB7886">
      <w:pPr>
        <w:pStyle w:val="a3"/>
        <w:spacing w:before="0" w:beforeAutospacing="0" w:after="240" w:afterAutospacing="0"/>
        <w:ind w:firstLine="360"/>
        <w:divId w:val="1716125717"/>
        <w:rPr>
          <w:sz w:val="20"/>
          <w:szCs w:val="20"/>
        </w:rPr>
      </w:pPr>
      <w:r>
        <w:rPr>
          <w:sz w:val="20"/>
          <w:szCs w:val="20"/>
        </w:rPr>
        <w:t>Of the Investment Funds’ 108% lo</w:t>
      </w:r>
      <w:r>
        <w:rPr>
          <w:sz w:val="20"/>
          <w:szCs w:val="20"/>
        </w:rPr>
        <w:t>ng exposure, 94% was comprised of the fair value of its long positions (with certain adjustments) and 14% was comprised of single name equity forward contracts and credit contracts. Of the Investment Funds’ 119% short exposure, 48% was comprised of the fai</w:t>
      </w:r>
      <w:r>
        <w:rPr>
          <w:sz w:val="20"/>
          <w:szCs w:val="20"/>
        </w:rPr>
        <w:t>r value of its short positions and 71% was comprised of short broad market index swap derivative contracts and short credit default swap contracts.</w:t>
      </w:r>
    </w:p>
    <w:p w:rsidR="00000000" w:rsidRDefault="00DB7886">
      <w:pPr>
        <w:pStyle w:val="a3"/>
        <w:spacing w:before="0" w:beforeAutospacing="0" w:after="240" w:afterAutospacing="0"/>
        <w:ind w:firstLine="360"/>
        <w:divId w:val="1716125717"/>
        <w:rPr>
          <w:sz w:val="20"/>
          <w:szCs w:val="20"/>
        </w:rPr>
      </w:pPr>
      <w:r>
        <w:rPr>
          <w:sz w:val="20"/>
          <w:szCs w:val="20"/>
        </w:rPr>
        <w:t>With respect to both our long positions that are not notionalized (94% long exposure) and our short position</w:t>
      </w:r>
      <w:r>
        <w:rPr>
          <w:sz w:val="20"/>
          <w:szCs w:val="20"/>
        </w:rPr>
        <w:t>s that are not notionalized (48% short exposure), each 1% change in exposure as a result of purchases or sales (assuming no change in value) would have a 1% impact on our cash and cash equivalents (as a percentage of net asset value). Changes in exposure a</w:t>
      </w:r>
      <w:r>
        <w:rPr>
          <w:sz w:val="20"/>
          <w:szCs w:val="20"/>
        </w:rPr>
        <w:t>s a result of purchases and sales as well as adverse changes in market value would also have an effect on funds available to us pursuant to prime brokerage lines of credit.</w:t>
      </w:r>
    </w:p>
    <w:p w:rsidR="00000000" w:rsidRDefault="00DB7886">
      <w:pPr>
        <w:pStyle w:val="a3"/>
        <w:spacing w:before="0" w:beforeAutospacing="0" w:after="240" w:afterAutospacing="0"/>
        <w:ind w:firstLine="360"/>
        <w:divId w:val="1716125717"/>
        <w:rPr>
          <w:sz w:val="20"/>
          <w:szCs w:val="20"/>
        </w:rPr>
      </w:pPr>
      <w:r>
        <w:rPr>
          <w:sz w:val="20"/>
          <w:szCs w:val="20"/>
        </w:rPr>
        <w:t>With respect to the notional value of our other short positions (71% short exposure</w:t>
      </w:r>
      <w:r>
        <w:rPr>
          <w:sz w:val="20"/>
          <w:szCs w:val="20"/>
        </w:rPr>
        <w:t>), our liquidity would decrease by the balance sheet unrealized loss if we were to close the positions at quarter end prices. This would be offset by a release of restricted cash balances collateralizing these positions as well as an increase in funds avai</w:t>
      </w:r>
      <w:r>
        <w:rPr>
          <w:sz w:val="20"/>
          <w:szCs w:val="20"/>
        </w:rPr>
        <w:t>lable to us pursuant to certain prime brokerage lines of credit. If we were to increase our short exposure by adding to these short positions, we would be required to provide cash collateral equal to a small percentage of the initial notional value at coun</w:t>
      </w:r>
      <w:r>
        <w:rPr>
          <w:sz w:val="20"/>
          <w:szCs w:val="20"/>
        </w:rPr>
        <w:t>terparties that require cash as collateral and then post additional collateral equal to 100% of the mark to market on adverse changes in fair value. For our counterparties who do not require cash collateral, funds available from lines of credit would decre</w:t>
      </w:r>
      <w:r>
        <w:rPr>
          <w:sz w:val="20"/>
          <w:szCs w:val="20"/>
        </w:rPr>
        <w:t>ase.</w:t>
      </w:r>
    </w:p>
    <w:p w:rsidR="00000000" w:rsidRDefault="00DB7886">
      <w:pPr>
        <w:pStyle w:val="a3"/>
        <w:spacing w:before="0" w:beforeAutospacing="0" w:after="240" w:afterAutospacing="0"/>
        <w:divId w:val="1716125717"/>
        <w:rPr>
          <w:b/>
          <w:bCs/>
          <w:i/>
          <w:iCs/>
          <w:sz w:val="20"/>
          <w:szCs w:val="20"/>
        </w:rPr>
      </w:pPr>
      <w:r>
        <w:rPr>
          <w:b/>
          <w:bCs/>
          <w:i/>
          <w:iCs/>
          <w:sz w:val="20"/>
          <w:szCs w:val="20"/>
        </w:rPr>
        <w:t>Other Segment Liquidity</w:t>
      </w:r>
    </w:p>
    <w:p w:rsidR="00000000" w:rsidRDefault="00DB7886">
      <w:pPr>
        <w:pStyle w:val="a3"/>
        <w:spacing w:before="0" w:beforeAutospacing="0" w:after="240" w:afterAutospacing="0"/>
        <w:divId w:val="1716125717"/>
        <w:rPr>
          <w:i/>
          <w:iCs/>
          <w:sz w:val="20"/>
          <w:szCs w:val="20"/>
        </w:rPr>
      </w:pPr>
      <w:r>
        <w:rPr>
          <w:i/>
          <w:iCs/>
          <w:sz w:val="20"/>
          <w:szCs w:val="20"/>
        </w:rPr>
        <w:t>Segment Cash and Cash Equivalents</w:t>
      </w:r>
    </w:p>
    <w:p w:rsidR="00000000" w:rsidRDefault="00DB7886">
      <w:pPr>
        <w:pStyle w:val="a3"/>
        <w:spacing w:before="0" w:beforeAutospacing="0" w:after="240" w:afterAutospacing="0"/>
        <w:ind w:firstLine="360"/>
        <w:divId w:val="1716125717"/>
        <w:rPr>
          <w:sz w:val="20"/>
          <w:szCs w:val="20"/>
        </w:rPr>
      </w:pPr>
      <w:r>
        <w:rPr>
          <w:sz w:val="20"/>
          <w:szCs w:val="20"/>
        </w:rPr>
        <w:t>Segment cash and cash equivalents (excluding our Investment segment)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68"/>
        <w:gridCol w:w="1104"/>
        <w:gridCol w:w="200"/>
        <w:gridCol w:w="160"/>
        <w:gridCol w:w="1057"/>
      </w:tblGrid>
      <w:tr w:rsidR="00000000">
        <w:trPr>
          <w:divId w:val="1716125717"/>
          <w:trHeight w:val="2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divId w:val="126584826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871961014"/>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36608587"/>
              <w:rPr>
                <w:sz w:val="20"/>
                <w:szCs w:val="20"/>
              </w:rPr>
            </w:pPr>
            <w:r>
              <w:rPr>
                <w:sz w:val="2"/>
                <w:szCs w:val="2"/>
              </w:rPr>
              <w:t>​</w:t>
            </w:r>
          </w:p>
        </w:tc>
        <w:tc>
          <w:tcPr>
            <w:tcW w:w="56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04051665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9165914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04583237"/>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85829991"/>
              <w:rPr>
                <w:sz w:val="20"/>
                <w:szCs w:val="20"/>
              </w:rPr>
            </w:pPr>
            <w:r>
              <w:rPr>
                <w:sz w:val="2"/>
                <w:szCs w:val="2"/>
              </w:rPr>
              <w:t>​</w:t>
            </w:r>
          </w:p>
        </w:tc>
      </w:tr>
      <w:tr w:rsidR="00000000">
        <w:trPr>
          <w:divId w:val="1716125717"/>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655"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December 31, </w:t>
            </w:r>
          </w:p>
        </w:tc>
      </w:tr>
      <w:tr w:rsidR="00000000">
        <w:trPr>
          <w:divId w:val="1716125717"/>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r>
      <w:tr w:rsidR="00000000">
        <w:trPr>
          <w:divId w:val="1716125717"/>
        </w:trPr>
        <w:tc>
          <w:tcPr>
            <w:tcW w:w="0" w:type="auto"/>
            <w:gridSpan w:val="7"/>
            <w:tcMar>
              <w:top w:w="0" w:type="dxa"/>
              <w:left w:w="0" w:type="dxa"/>
              <w:bottom w:w="0" w:type="dxa"/>
              <w:right w:w="0" w:type="dxa"/>
            </w:tcMar>
            <w:vAlign w:val="center"/>
            <w:hideMark/>
          </w:tcPr>
          <w:p w:rsidR="00000000" w:rsidRDefault="00DB7886">
            <w:pPr>
              <w:rPr>
                <w:sz w:val="20"/>
                <w:szCs w:val="20"/>
              </w:rPr>
            </w:pPr>
          </w:p>
        </w:tc>
      </w:tr>
      <w:tr w:rsidR="00000000">
        <w:trPr>
          <w:divId w:val="1716125717"/>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385" w:type="pct"/>
            <w:gridSpan w:val="5"/>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1716125717"/>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Energy</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56</w:t>
            </w: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66</w:t>
            </w:r>
            <w:r>
              <w:rPr>
                <w:sz w:val="20"/>
                <w:szCs w:val="20"/>
              </w:rPr>
              <w:t>7</w:t>
            </w:r>
          </w:p>
        </w:tc>
      </w:tr>
      <w:tr w:rsidR="00000000">
        <w:trPr>
          <w:divId w:val="1716125717"/>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Automotive</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w:t>
            </w:r>
            <w:r>
              <w:rPr>
                <w:sz w:val="20"/>
                <w:szCs w:val="20"/>
              </w:rPr>
              <w:t>8</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w:t>
            </w:r>
            <w:r>
              <w:rPr>
                <w:sz w:val="20"/>
                <w:szCs w:val="20"/>
              </w:rPr>
              <w:t>5</w:t>
            </w:r>
          </w:p>
        </w:tc>
      </w:tr>
      <w:tr w:rsidR="00000000">
        <w:trPr>
          <w:divId w:val="1716125717"/>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Food Packaging</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r>
              <w:rPr>
                <w:sz w:val="20"/>
                <w:szCs w:val="20"/>
              </w:rPr>
              <w:t>6</w:t>
            </w:r>
          </w:p>
        </w:tc>
      </w:tr>
      <w:tr w:rsidR="00000000">
        <w:trPr>
          <w:divId w:val="1716125717"/>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Metals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r>
      <w:tr w:rsidR="00000000">
        <w:trPr>
          <w:divId w:val="1716125717"/>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Real Estate</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w:t>
            </w:r>
            <w:r>
              <w:rPr>
                <w:sz w:val="20"/>
                <w:szCs w:val="20"/>
              </w:rPr>
              <w:t>1</w:t>
            </w:r>
          </w:p>
        </w:tc>
      </w:tr>
      <w:tr w:rsidR="00000000">
        <w:trPr>
          <w:divId w:val="1716125717"/>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Home Fashion</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w:t>
            </w:r>
          </w:p>
        </w:tc>
      </w:tr>
      <w:tr w:rsidR="00000000">
        <w:trPr>
          <w:divId w:val="1716125717"/>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Pharma</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w:t>
            </w:r>
          </w:p>
        </w:tc>
      </w:tr>
      <w:tr w:rsidR="00000000">
        <w:trPr>
          <w:divId w:val="1716125717"/>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9"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66</w:t>
            </w:r>
            <w:r>
              <w:rPr>
                <w:sz w:val="20"/>
                <w:szCs w:val="20"/>
              </w:rPr>
              <w:t>9</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4" w:type="pct"/>
            <w:tcBorders>
              <w:bottom w:val="doub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74</w:t>
            </w:r>
            <w:r>
              <w:rPr>
                <w:sz w:val="20"/>
                <w:szCs w:val="20"/>
              </w:rPr>
              <w:t>0</w:t>
            </w:r>
          </w:p>
        </w:tc>
      </w:tr>
    </w:tbl>
    <w:p w:rsidR="00000000" w:rsidRDefault="00DB7886">
      <w:pPr>
        <w:pStyle w:val="a3"/>
        <w:spacing w:before="480" w:beforeAutospacing="0" w:after="0" w:afterAutospacing="0"/>
        <w:jc w:val="center"/>
        <w:divId w:val="1036272347"/>
        <w:rPr>
          <w:sz w:val="20"/>
          <w:szCs w:val="20"/>
        </w:rPr>
      </w:pPr>
      <w:r>
        <w:rPr>
          <w:sz w:val="20"/>
          <w:szCs w:val="20"/>
        </w:rPr>
        <w:t>54</w:t>
      </w:r>
    </w:p>
    <w:p w:rsidR="00000000" w:rsidRDefault="00DB7886">
      <w:pPr>
        <w:pStyle w:val="a3"/>
        <w:spacing w:before="0" w:beforeAutospacing="0" w:after="600" w:afterAutospacing="0"/>
        <w:divId w:val="801465417"/>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divId w:val="2083094033"/>
        <w:rPr>
          <w:i/>
          <w:iCs/>
          <w:sz w:val="20"/>
          <w:szCs w:val="20"/>
        </w:rPr>
      </w:pPr>
      <w:r>
        <w:rPr>
          <w:i/>
          <w:iCs/>
          <w:sz w:val="20"/>
          <w:szCs w:val="20"/>
        </w:rPr>
        <w:t>Segment Borrowings and Availability</w:t>
      </w:r>
    </w:p>
    <w:p w:rsidR="00000000" w:rsidRDefault="00DB7886">
      <w:pPr>
        <w:pStyle w:val="a3"/>
        <w:spacing w:before="0" w:beforeAutospacing="0" w:after="240" w:afterAutospacing="0"/>
        <w:ind w:firstLine="360"/>
        <w:divId w:val="2083094033"/>
        <w:rPr>
          <w:sz w:val="20"/>
          <w:szCs w:val="20"/>
        </w:rPr>
      </w:pPr>
      <w:r>
        <w:rPr>
          <w:sz w:val="20"/>
          <w:szCs w:val="20"/>
        </w:rPr>
        <w:t>Segment debt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5457"/>
        <w:gridCol w:w="160"/>
        <w:gridCol w:w="168"/>
        <w:gridCol w:w="1104"/>
        <w:gridCol w:w="200"/>
        <w:gridCol w:w="160"/>
        <w:gridCol w:w="1057"/>
      </w:tblGrid>
      <w:tr w:rsidR="00000000">
        <w:trPr>
          <w:divId w:val="2083094033"/>
          <w:trHeight w:val="20"/>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divId w:val="157581817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48251375"/>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10946188"/>
              <w:rPr>
                <w:sz w:val="20"/>
                <w:szCs w:val="20"/>
              </w:rPr>
            </w:pPr>
            <w:r>
              <w:rPr>
                <w:sz w:val="2"/>
                <w:szCs w:val="2"/>
              </w:rPr>
              <w:t>​</w:t>
            </w:r>
          </w:p>
        </w:tc>
        <w:tc>
          <w:tcPr>
            <w:tcW w:w="56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1946532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9211934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525902346"/>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02494753"/>
              <w:rPr>
                <w:sz w:val="20"/>
                <w:szCs w:val="20"/>
              </w:rPr>
            </w:pPr>
            <w:r>
              <w:rPr>
                <w:sz w:val="2"/>
                <w:szCs w:val="2"/>
              </w:rPr>
              <w:t>​</w:t>
            </w:r>
          </w:p>
        </w:tc>
      </w:tr>
      <w:tr w:rsidR="00000000">
        <w:trPr>
          <w:divId w:val="20830940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655"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September 30, </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December 31, </w:t>
            </w:r>
          </w:p>
        </w:tc>
      </w:tr>
      <w:tr w:rsidR="00000000">
        <w:trPr>
          <w:divId w:val="20830940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2020</w:t>
            </w:r>
          </w:p>
        </w:tc>
      </w:tr>
      <w:tr w:rsidR="00000000">
        <w:trPr>
          <w:divId w:val="2083094033"/>
        </w:trPr>
        <w:tc>
          <w:tcPr>
            <w:tcW w:w="0" w:type="auto"/>
            <w:gridSpan w:val="7"/>
            <w:tcMar>
              <w:top w:w="0" w:type="dxa"/>
              <w:left w:w="0" w:type="dxa"/>
              <w:bottom w:w="0" w:type="dxa"/>
              <w:right w:w="0" w:type="dxa"/>
            </w:tcMar>
            <w:vAlign w:val="center"/>
            <w:hideMark/>
          </w:tcPr>
          <w:p w:rsidR="00000000" w:rsidRDefault="00DB7886">
            <w:pPr>
              <w:rPr>
                <w:sz w:val="20"/>
                <w:szCs w:val="20"/>
              </w:rPr>
            </w:pPr>
          </w:p>
        </w:tc>
      </w:tr>
      <w:tr w:rsidR="00000000">
        <w:trPr>
          <w:divId w:val="20830940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sz w:val="16"/>
                <w:szCs w:val="16"/>
              </w:rPr>
              <w:t>​</w:t>
            </w:r>
          </w:p>
        </w:tc>
        <w:tc>
          <w:tcPr>
            <w:tcW w:w="1385" w:type="pct"/>
            <w:gridSpan w:val="5"/>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2083094033"/>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Energy</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1,67</w:t>
            </w: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1,69</w:t>
            </w:r>
            <w:r>
              <w:rPr>
                <w:sz w:val="20"/>
                <w:szCs w:val="20"/>
              </w:rPr>
              <w:t>1</w:t>
            </w:r>
          </w:p>
        </w:tc>
      </w:tr>
      <w:tr w:rsidR="00000000">
        <w:trPr>
          <w:divId w:val="20830940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Automotive</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r>
              <w:rPr>
                <w:sz w:val="20"/>
                <w:szCs w:val="20"/>
              </w:rPr>
              <w:t>6</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36</w:t>
            </w:r>
            <w:r>
              <w:rPr>
                <w:sz w:val="20"/>
                <w:szCs w:val="20"/>
              </w:rPr>
              <w:t>8</w:t>
            </w:r>
          </w:p>
        </w:tc>
      </w:tr>
      <w:tr w:rsidR="00000000">
        <w:trPr>
          <w:divId w:val="2083094033"/>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Food Packaging</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w:t>
            </w: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15</w:t>
            </w:r>
            <w:r>
              <w:rPr>
                <w:sz w:val="20"/>
                <w:szCs w:val="20"/>
              </w:rPr>
              <w:t>1</w:t>
            </w:r>
          </w:p>
        </w:tc>
      </w:tr>
      <w:tr w:rsidR="00000000">
        <w:trPr>
          <w:divId w:val="20830940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Metals</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r>
              <w:rPr>
                <w:sz w:val="20"/>
                <w:szCs w:val="20"/>
              </w:rPr>
              <w:t>8</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r>
              <w:rPr>
                <w:sz w:val="20"/>
                <w:szCs w:val="20"/>
              </w:rPr>
              <w:t>6</w:t>
            </w:r>
          </w:p>
        </w:tc>
      </w:tr>
      <w:tr w:rsidR="00000000">
        <w:trPr>
          <w:divId w:val="2083094033"/>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Real Estate</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r>
      <w:tr w:rsidR="00000000">
        <w:trPr>
          <w:divId w:val="2083094033"/>
        </w:trPr>
        <w:tc>
          <w:tcPr>
            <w:tcW w:w="3532"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Home Fashion</w:t>
            </w:r>
          </w:p>
        </w:tc>
        <w:tc>
          <w:tcPr>
            <w:tcW w:w="8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6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w:t>
            </w:r>
            <w:r>
              <w:rPr>
                <w:sz w:val="20"/>
                <w:szCs w:val="20"/>
              </w:rPr>
              <w:t>6</w:t>
            </w:r>
          </w:p>
        </w:tc>
        <w:tc>
          <w:tcPr>
            <w:tcW w:w="10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544"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w:t>
            </w:r>
            <w:r>
              <w:rPr>
                <w:sz w:val="20"/>
                <w:szCs w:val="20"/>
              </w:rPr>
              <w:t>1</w:t>
            </w:r>
          </w:p>
        </w:tc>
      </w:tr>
      <w:tr w:rsidR="00000000">
        <w:trPr>
          <w:divId w:val="2083094033"/>
        </w:trPr>
        <w:tc>
          <w:tcPr>
            <w:tcW w:w="3532"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1,90</w:t>
            </w: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2,24</w:t>
            </w:r>
            <w:r>
              <w:rPr>
                <w:sz w:val="20"/>
                <w:szCs w:val="20"/>
              </w:rPr>
              <w:t>8</w:t>
            </w:r>
          </w:p>
        </w:tc>
      </w:tr>
    </w:tbl>
    <w:p w:rsidR="00000000" w:rsidRDefault="00DB7886">
      <w:pPr>
        <w:pStyle w:val="a3"/>
        <w:spacing w:before="0" w:beforeAutospacing="0" w:after="0" w:afterAutospacing="0"/>
        <w:divId w:val="2083094033"/>
        <w:rPr>
          <w:sz w:val="20"/>
          <w:szCs w:val="20"/>
        </w:rPr>
      </w:pPr>
      <w:r>
        <w:rPr>
          <w:sz w:val="20"/>
          <w:szCs w:val="20"/>
        </w:rPr>
        <w:t>​</w:t>
      </w:r>
    </w:p>
    <w:p w:rsidR="00000000" w:rsidRDefault="00DB7886">
      <w:pPr>
        <w:pStyle w:val="a3"/>
        <w:spacing w:before="0" w:beforeAutospacing="0" w:after="240" w:afterAutospacing="0"/>
        <w:ind w:firstLine="360"/>
        <w:divId w:val="2083094033"/>
        <w:rPr>
          <w:sz w:val="20"/>
          <w:szCs w:val="20"/>
        </w:rPr>
      </w:pPr>
      <w:r>
        <w:rPr>
          <w:sz w:val="20"/>
          <w:szCs w:val="20"/>
        </w:rPr>
        <w:t>Refer to our Annual Report on Form 10-K for the year ended December </w:t>
      </w:r>
      <w:r>
        <w:rPr>
          <w:sz w:val="20"/>
          <w:szCs w:val="20"/>
        </w:rPr>
        <w:t>31, 2020 for information concerning terms, restrictions and covenants pertaining to our subsidiaries’ debt. As of September 30, 2021, all of our subsidiaries were in compliance with all debt covenants.</w:t>
      </w:r>
    </w:p>
    <w:p w:rsidR="00000000" w:rsidRDefault="00DB7886">
      <w:pPr>
        <w:pStyle w:val="a3"/>
        <w:spacing w:before="0" w:beforeAutospacing="0" w:after="240" w:afterAutospacing="0"/>
        <w:ind w:firstLine="360"/>
        <w:divId w:val="2083094033"/>
        <w:rPr>
          <w:sz w:val="20"/>
          <w:szCs w:val="20"/>
        </w:rPr>
      </w:pPr>
      <w:r>
        <w:rPr>
          <w:sz w:val="20"/>
          <w:szCs w:val="20"/>
        </w:rPr>
        <w:t>Our segments have additional borrowing availability under certain revolving credit facilities as summarized below:</w:t>
      </w:r>
    </w:p>
    <w:tbl>
      <w:tblPr>
        <w:tblW w:w="5000" w:type="pct"/>
        <w:tblCellMar>
          <w:top w:w="15" w:type="dxa"/>
          <w:left w:w="0" w:type="dxa"/>
          <w:bottom w:w="15" w:type="dxa"/>
          <w:right w:w="0" w:type="dxa"/>
        </w:tblCellMar>
        <w:tblLook w:val="04A0" w:firstRow="1" w:lastRow="0" w:firstColumn="1" w:lastColumn="0" w:noHBand="0" w:noVBand="1"/>
      </w:tblPr>
      <w:tblGrid>
        <w:gridCol w:w="6874"/>
        <w:gridCol w:w="160"/>
        <w:gridCol w:w="167"/>
        <w:gridCol w:w="1105"/>
      </w:tblGrid>
      <w:tr w:rsidR="00000000">
        <w:trPr>
          <w:divId w:val="2083094033"/>
          <w:trHeight w:val="20"/>
        </w:trPr>
        <w:tc>
          <w:tcPr>
            <w:tcW w:w="4195" w:type="pct"/>
            <w:tcMar>
              <w:top w:w="0" w:type="dxa"/>
              <w:left w:w="0" w:type="dxa"/>
              <w:bottom w:w="0" w:type="dxa"/>
              <w:right w:w="0" w:type="dxa"/>
            </w:tcMar>
            <w:vAlign w:val="bottom"/>
            <w:hideMark/>
          </w:tcPr>
          <w:p w:rsidR="00000000" w:rsidRDefault="00DB7886">
            <w:pPr>
              <w:pStyle w:val="a3"/>
              <w:spacing w:before="0" w:beforeAutospacing="0" w:after="0" w:afterAutospacing="0"/>
              <w:divId w:val="1425345498"/>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621150629"/>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32000219"/>
              <w:rPr>
                <w:sz w:val="20"/>
                <w:szCs w:val="20"/>
              </w:rPr>
            </w:pPr>
            <w:r>
              <w:rPr>
                <w:sz w:val="2"/>
                <w:szCs w:val="2"/>
              </w:rPr>
              <w:t>​</w:t>
            </w:r>
          </w:p>
        </w:tc>
        <w:tc>
          <w:tcPr>
            <w:tcW w:w="579"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4858069"/>
              <w:rPr>
                <w:sz w:val="20"/>
                <w:szCs w:val="20"/>
              </w:rPr>
            </w:pPr>
            <w:r>
              <w:rPr>
                <w:sz w:val="2"/>
                <w:szCs w:val="2"/>
              </w:rPr>
              <w:t>​</w:t>
            </w:r>
          </w:p>
        </w:tc>
      </w:tr>
      <w:tr w:rsidR="00000000">
        <w:trPr>
          <w:divId w:val="2083094033"/>
        </w:trPr>
        <w:tc>
          <w:tcPr>
            <w:tcW w:w="419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66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September 30, </w:t>
            </w:r>
          </w:p>
        </w:tc>
      </w:tr>
      <w:tr w:rsidR="00000000">
        <w:trPr>
          <w:divId w:val="2083094033"/>
        </w:trPr>
        <w:tc>
          <w:tcPr>
            <w:tcW w:w="419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20"/>
                <w:szCs w:val="20"/>
              </w:rPr>
            </w:pPr>
            <w:r>
              <w:rPr>
                <w:b/>
                <w:bCs/>
                <w:sz w:val="20"/>
                <w:szCs w:val="20"/>
              </w:rPr>
              <w:t>2021</w:t>
            </w:r>
          </w:p>
        </w:tc>
      </w:tr>
      <w:tr w:rsidR="00000000">
        <w:trPr>
          <w:divId w:val="2083094033"/>
        </w:trPr>
        <w:tc>
          <w:tcPr>
            <w:tcW w:w="419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666"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2083094033"/>
        </w:trPr>
        <w:tc>
          <w:tcPr>
            <w:tcW w:w="419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Energy</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40</w:t>
            </w:r>
            <w:r>
              <w:rPr>
                <w:sz w:val="20"/>
                <w:szCs w:val="20"/>
              </w:rPr>
              <w:t>6</w:t>
            </w:r>
          </w:p>
        </w:tc>
      </w:tr>
      <w:tr w:rsidR="00000000">
        <w:trPr>
          <w:divId w:val="2083094033"/>
        </w:trPr>
        <w:tc>
          <w:tcPr>
            <w:tcW w:w="419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Food Packaging</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87"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9"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r>
              <w:rPr>
                <w:sz w:val="20"/>
                <w:szCs w:val="20"/>
              </w:rPr>
              <w:t>9</w:t>
            </w:r>
          </w:p>
        </w:tc>
      </w:tr>
      <w:tr w:rsidR="00000000">
        <w:trPr>
          <w:divId w:val="2083094033"/>
        </w:trPr>
        <w:tc>
          <w:tcPr>
            <w:tcW w:w="419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Metals</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87"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9"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5</w:t>
            </w:r>
            <w:r>
              <w:rPr>
                <w:sz w:val="20"/>
                <w:szCs w:val="20"/>
              </w:rPr>
              <w:t>0</w:t>
            </w:r>
          </w:p>
        </w:tc>
      </w:tr>
      <w:tr w:rsidR="00000000">
        <w:trPr>
          <w:divId w:val="2083094033"/>
        </w:trPr>
        <w:tc>
          <w:tcPr>
            <w:tcW w:w="4195"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Home Fashion</w:t>
            </w:r>
          </w:p>
        </w:tc>
        <w:tc>
          <w:tcPr>
            <w:tcW w:w="13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87"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9"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w:t>
            </w:r>
          </w:p>
        </w:tc>
      </w:tr>
      <w:tr w:rsidR="00000000">
        <w:trPr>
          <w:divId w:val="2083094033"/>
        </w:trPr>
        <w:tc>
          <w:tcPr>
            <w:tcW w:w="4195"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5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48</w:t>
            </w:r>
            <w:r>
              <w:rPr>
                <w:sz w:val="20"/>
                <w:szCs w:val="20"/>
              </w:rPr>
              <w:t>3</w:t>
            </w:r>
          </w:p>
        </w:tc>
      </w:tr>
    </w:tbl>
    <w:p w:rsidR="00000000" w:rsidRDefault="00DB7886">
      <w:pPr>
        <w:pStyle w:val="a3"/>
        <w:spacing w:before="0" w:beforeAutospacing="0" w:after="0" w:afterAutospacing="0"/>
        <w:divId w:val="2083094033"/>
        <w:rPr>
          <w:sz w:val="20"/>
          <w:szCs w:val="20"/>
        </w:rPr>
      </w:pPr>
      <w:r>
        <w:rPr>
          <w:sz w:val="20"/>
          <w:szCs w:val="20"/>
        </w:rPr>
        <w:t>​</w:t>
      </w:r>
    </w:p>
    <w:p w:rsidR="00000000" w:rsidRDefault="00DB7886">
      <w:pPr>
        <w:pStyle w:val="a3"/>
        <w:spacing w:before="0" w:beforeAutospacing="0" w:after="240" w:afterAutospacing="0"/>
        <w:ind w:firstLine="360"/>
        <w:divId w:val="2083094033"/>
        <w:rPr>
          <w:sz w:val="20"/>
          <w:szCs w:val="20"/>
        </w:rPr>
      </w:pPr>
      <w:r>
        <w:rPr>
          <w:sz w:val="20"/>
          <w:szCs w:val="20"/>
        </w:rPr>
        <w:t>The above outstanding debt and borrowing availability with respect to each of our continuing operating segments reflects third-party obligations.</w:t>
      </w:r>
    </w:p>
    <w:p w:rsidR="00000000" w:rsidRDefault="00DB7886">
      <w:pPr>
        <w:pStyle w:val="a3"/>
        <w:spacing w:before="0" w:beforeAutospacing="0" w:after="240" w:afterAutospacing="0"/>
        <w:ind w:firstLine="360"/>
        <w:divId w:val="2083094033"/>
        <w:rPr>
          <w:sz w:val="20"/>
          <w:szCs w:val="20"/>
        </w:rPr>
      </w:pPr>
      <w:r>
        <w:rPr>
          <w:sz w:val="20"/>
          <w:szCs w:val="20"/>
        </w:rPr>
        <w:t>In June 2021, CVR Partners issued $550 million in aggregate principal amount of 6.125% senior secured notes du</w:t>
      </w:r>
      <w:r>
        <w:rPr>
          <w:sz w:val="20"/>
          <w:szCs w:val="20"/>
        </w:rPr>
        <w:t>e 2028. Proceeds from these notes were used to fund a partial redemption of its existing 9.25% senior secured notes due 2023. These senior secured notes issued by CVR Partners are guaranteed on a senior secured basis by all of CVR Partners’ existing domest</w:t>
      </w:r>
      <w:r>
        <w:rPr>
          <w:sz w:val="20"/>
          <w:szCs w:val="20"/>
        </w:rPr>
        <w:t>ic subsidiaries, excluding CVR Nitrogen Finance Corporation. The indenture governing these notes contain certain covenants that restrict the ability of the issuers and their restricted subsidiaries from incurring additional debt or issuing certain disquali</w:t>
      </w:r>
      <w:r>
        <w:rPr>
          <w:sz w:val="20"/>
          <w:szCs w:val="20"/>
        </w:rPr>
        <w:t xml:space="preserve">fied equity, create liens on certain assets to secure debt, pay dividends/distributions or make other equity distributions, purchase or redeem capital stock/common units, make certain investments, transfer and sell assets, agree to certain restrictions on </w:t>
      </w:r>
      <w:r>
        <w:rPr>
          <w:sz w:val="20"/>
          <w:szCs w:val="20"/>
        </w:rPr>
        <w:t>the ability of restricted subsidiaries to make distributions, loans, or other asset transfers to the issuers, consolidate, merge, sell, or otherwise dispose of all or substantially all of their assets, engage in transactions with affiliates and designate r</w:t>
      </w:r>
      <w:r>
        <w:rPr>
          <w:sz w:val="20"/>
          <w:szCs w:val="20"/>
        </w:rPr>
        <w:t>estricted subsidiaries as unrestricted subsidiaries.</w:t>
      </w:r>
    </w:p>
    <w:p w:rsidR="00000000" w:rsidRDefault="00DB7886">
      <w:pPr>
        <w:pStyle w:val="a3"/>
        <w:spacing w:before="0" w:beforeAutospacing="0" w:after="240" w:afterAutospacing="0"/>
        <w:ind w:firstLine="360"/>
        <w:divId w:val="2083094033"/>
        <w:rPr>
          <w:sz w:val="20"/>
          <w:szCs w:val="20"/>
        </w:rPr>
      </w:pPr>
      <w:r>
        <w:rPr>
          <w:sz w:val="20"/>
          <w:szCs w:val="20"/>
        </w:rPr>
        <w:t xml:space="preserve">In August 2021, all of our Automotive segment’s outstanding credit facility was repaid in full in the amount of $350 million. </w:t>
      </w:r>
    </w:p>
    <w:p w:rsidR="00000000" w:rsidRDefault="00DB7886">
      <w:pPr>
        <w:pStyle w:val="a3"/>
        <w:spacing w:before="0" w:beforeAutospacing="0" w:after="240" w:afterAutospacing="0"/>
        <w:divId w:val="2083094033"/>
        <w:rPr>
          <w:i/>
          <w:iCs/>
          <w:sz w:val="20"/>
          <w:szCs w:val="20"/>
        </w:rPr>
      </w:pPr>
      <w:r>
        <w:rPr>
          <w:i/>
          <w:iCs/>
          <w:sz w:val="20"/>
          <w:szCs w:val="20"/>
        </w:rPr>
        <w:t>Subsidiary Dividends</w:t>
      </w:r>
    </w:p>
    <w:p w:rsidR="00000000" w:rsidRDefault="00DB7886">
      <w:pPr>
        <w:pStyle w:val="a3"/>
        <w:spacing w:before="0" w:beforeAutospacing="0" w:after="0" w:afterAutospacing="0"/>
        <w:ind w:firstLine="360"/>
        <w:divId w:val="2083094033"/>
        <w:rPr>
          <w:sz w:val="20"/>
          <w:szCs w:val="20"/>
        </w:rPr>
      </w:pPr>
      <w:r>
        <w:rPr>
          <w:sz w:val="20"/>
          <w:szCs w:val="20"/>
        </w:rPr>
        <w:t xml:space="preserve">In the second quarter of 2021, our Energy segment paid </w:t>
      </w:r>
      <w:r>
        <w:rPr>
          <w:sz w:val="20"/>
          <w:szCs w:val="20"/>
        </w:rPr>
        <w:t>a special dividend, which was comprised of $241 million in cash as well as the common stock of an equity investment with a fair value of $251 million. Our portion of the dividend included $171 million in cash and the common stock of an equity investment wi</w:t>
      </w:r>
      <w:r>
        <w:rPr>
          <w:sz w:val="20"/>
          <w:szCs w:val="20"/>
        </w:rPr>
        <w:t xml:space="preserve">th a fair value of $177 million. In </w:t>
      </w:r>
    </w:p>
    <w:p w:rsidR="00000000" w:rsidRDefault="00DB7886">
      <w:pPr>
        <w:pStyle w:val="a3"/>
        <w:spacing w:before="480" w:beforeAutospacing="0" w:after="0" w:afterAutospacing="0"/>
        <w:jc w:val="center"/>
        <w:divId w:val="2106681894"/>
        <w:rPr>
          <w:sz w:val="20"/>
          <w:szCs w:val="20"/>
        </w:rPr>
      </w:pPr>
      <w:r>
        <w:rPr>
          <w:sz w:val="20"/>
          <w:szCs w:val="20"/>
        </w:rPr>
        <w:t>55</w:t>
      </w:r>
    </w:p>
    <w:p w:rsidR="00000000" w:rsidRDefault="00DB7886">
      <w:pPr>
        <w:pStyle w:val="a3"/>
        <w:spacing w:before="0" w:beforeAutospacing="0" w:after="600" w:afterAutospacing="0"/>
        <w:divId w:val="431517904"/>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divId w:val="1656690451"/>
        <w:rPr>
          <w:sz w:val="20"/>
          <w:szCs w:val="20"/>
        </w:rPr>
      </w:pPr>
      <w:r>
        <w:rPr>
          <w:sz w:val="20"/>
          <w:szCs w:val="20"/>
        </w:rPr>
        <w:t xml:space="preserve">addition, in the third quarter of 2021, our Energy segment had distributions to non-controlling interests of $11 million as a result of a distribution paid by CVR Partners to its common unit holders. </w:t>
      </w:r>
    </w:p>
    <w:p w:rsidR="00000000" w:rsidRDefault="00DB7886">
      <w:pPr>
        <w:pStyle w:val="a3"/>
        <w:spacing w:before="0" w:beforeAutospacing="0" w:after="240" w:afterAutospacing="0"/>
        <w:divId w:val="1656690451"/>
        <w:rPr>
          <w:i/>
          <w:iCs/>
          <w:sz w:val="20"/>
          <w:szCs w:val="20"/>
        </w:rPr>
      </w:pPr>
      <w:r>
        <w:rPr>
          <w:i/>
          <w:iCs/>
          <w:sz w:val="20"/>
          <w:szCs w:val="20"/>
        </w:rPr>
        <w:t>Subsidiary Stock Repurchase Program</w:t>
      </w:r>
    </w:p>
    <w:p w:rsidR="00000000" w:rsidRDefault="00DB7886">
      <w:pPr>
        <w:pStyle w:val="a3"/>
        <w:spacing w:before="0" w:beforeAutospacing="0" w:after="240" w:afterAutospacing="0"/>
        <w:ind w:firstLine="360"/>
        <w:divId w:val="1656690451"/>
        <w:rPr>
          <w:sz w:val="20"/>
          <w:szCs w:val="20"/>
        </w:rPr>
      </w:pPr>
      <w:r>
        <w:rPr>
          <w:sz w:val="20"/>
          <w:szCs w:val="20"/>
        </w:rPr>
        <w:t>On October 23, 2019</w:t>
      </w:r>
      <w:r>
        <w:rPr>
          <w:sz w:val="20"/>
          <w:szCs w:val="20"/>
        </w:rPr>
        <w:t>, the Board of Directors of CVR Energy approved a stock repurchase program which would enable it to repurchase up to $300 million of its common stock from time to time through open market transactions, block trades, privately negotiated transactions or oth</w:t>
      </w:r>
      <w:r>
        <w:rPr>
          <w:sz w:val="20"/>
          <w:szCs w:val="20"/>
        </w:rPr>
        <w:t>erwise in accordance with applicable securities laws. The stock repurchase program has a duration of four years, which may be terminated by the Board of Directors of CVR Energy at any time. Repurchases, if any, including the timing, price and amount, may b</w:t>
      </w:r>
      <w:r>
        <w:rPr>
          <w:sz w:val="20"/>
          <w:szCs w:val="20"/>
        </w:rPr>
        <w:t xml:space="preserve">e made at the discretion of CVR Energy management and CVR Energy is not obligated to make any repurchases. CVR Energy did not repurchase any shares of its common stock as of September 30, 2021. </w:t>
      </w:r>
    </w:p>
    <w:p w:rsidR="00000000" w:rsidRDefault="00DB7886">
      <w:pPr>
        <w:pStyle w:val="a3"/>
        <w:spacing w:before="0" w:beforeAutospacing="0" w:after="240" w:afterAutospacing="0"/>
        <w:ind w:firstLine="360"/>
        <w:divId w:val="1656690451"/>
        <w:rPr>
          <w:sz w:val="20"/>
          <w:szCs w:val="20"/>
        </w:rPr>
      </w:pPr>
      <w:r>
        <w:rPr>
          <w:sz w:val="20"/>
          <w:szCs w:val="20"/>
        </w:rPr>
        <w:t>On May 6, 2020, the Board of Directors of CVR Partners’ gener</w:t>
      </w:r>
      <w:r>
        <w:rPr>
          <w:sz w:val="20"/>
          <w:szCs w:val="20"/>
        </w:rPr>
        <w:t>al partner approved a unit repurchase program which would enable it to repurchase up to $10 million of its common units from time to time through open market transactions, block trades, privately negotiated transactions or otherwise in accordance with appl</w:t>
      </w:r>
      <w:r>
        <w:rPr>
          <w:sz w:val="20"/>
          <w:szCs w:val="20"/>
        </w:rPr>
        <w:t>icable securities laws. On February 22, 2021, the Board of Directors of CVR Partners authorized an additional $10 million under the unit repurchase program. During 2021, CVR Partners repurchased common units on the open market at a cost of $1 million. As o</w:t>
      </w:r>
      <w:r>
        <w:rPr>
          <w:sz w:val="20"/>
          <w:szCs w:val="20"/>
        </w:rPr>
        <w:t xml:space="preserve">f September 30, 2021, CVR Partners has $12 million remaining under its unit repurchase program. </w:t>
      </w:r>
    </w:p>
    <w:p w:rsidR="00000000" w:rsidRDefault="00DB7886">
      <w:pPr>
        <w:pStyle w:val="a3"/>
        <w:spacing w:before="0" w:beforeAutospacing="0" w:after="240" w:afterAutospacing="0"/>
        <w:divId w:val="1656690451"/>
        <w:rPr>
          <w:b/>
          <w:bCs/>
          <w:i/>
          <w:iCs/>
          <w:sz w:val="20"/>
          <w:szCs w:val="20"/>
        </w:rPr>
      </w:pPr>
      <w:r>
        <w:rPr>
          <w:b/>
          <w:bCs/>
          <w:i/>
          <w:iCs/>
          <w:sz w:val="20"/>
          <w:szCs w:val="20"/>
        </w:rPr>
        <w:t>Consolidated Cash Flows</w:t>
      </w:r>
    </w:p>
    <w:p w:rsidR="00000000" w:rsidRDefault="00DB7886">
      <w:pPr>
        <w:pStyle w:val="a3"/>
        <w:spacing w:before="0" w:beforeAutospacing="0" w:after="240" w:afterAutospacing="0"/>
        <w:ind w:firstLine="360"/>
        <w:divId w:val="1656690451"/>
        <w:rPr>
          <w:sz w:val="20"/>
          <w:szCs w:val="20"/>
        </w:rPr>
      </w:pPr>
      <w:r>
        <w:rPr>
          <w:sz w:val="20"/>
          <w:szCs w:val="20"/>
        </w:rPr>
        <w:t>Our Holding Company’s cash flows are generally driven by payments and proceeds associated with our senior unsecured debt obligations an</w:t>
      </w:r>
      <w:r>
        <w:rPr>
          <w:sz w:val="20"/>
          <w:szCs w:val="20"/>
        </w:rPr>
        <w:t>d payments and proceeds associated with issuances of equity by Icahn Enterprises. Additionally, our Holding Company’s cash flows include transactions with our Investment and other operating segments. Our Investment segment’s cash flows are primarily driven</w:t>
      </w:r>
      <w:r>
        <w:rPr>
          <w:sz w:val="20"/>
          <w:szCs w:val="20"/>
        </w:rPr>
        <w:t xml:space="preserve"> by investment transactions, which are included in net cash flows from operating activities due to the nature of its business, as well as contributions to and distributions from Mr. Icahn and his affiliates (including Icahn Enterprises and Icahn Enterprise</w:t>
      </w:r>
      <w:r>
        <w:rPr>
          <w:sz w:val="20"/>
          <w:szCs w:val="20"/>
        </w:rPr>
        <w:t>s Holdings) and Brett Icahn, which are included in net cash flows from financing activities. Our other operating segments’ cash flows are driven by the activities and performance of each business as well as transactions with our Holding Company, as discuss</w:t>
      </w:r>
      <w:r>
        <w:rPr>
          <w:sz w:val="20"/>
          <w:szCs w:val="20"/>
        </w:rPr>
        <w:t>ed below.</w:t>
      </w:r>
    </w:p>
    <w:p w:rsidR="00000000" w:rsidRDefault="00DB7886">
      <w:pPr>
        <w:pStyle w:val="a3"/>
        <w:spacing w:before="0" w:beforeAutospacing="0" w:after="240" w:afterAutospacing="0"/>
        <w:ind w:firstLine="360"/>
        <w:divId w:val="1656690451"/>
        <w:rPr>
          <w:sz w:val="20"/>
          <w:szCs w:val="20"/>
        </w:rPr>
      </w:pPr>
      <w:r>
        <w:rPr>
          <w:sz w:val="20"/>
          <w:szCs w:val="20"/>
        </w:rPr>
        <w:t xml:space="preserve">The following table summarizes cash flow information for Icahn Enterprises’ reporting segments and our Holding Company: </w:t>
      </w:r>
    </w:p>
    <w:tbl>
      <w:tblPr>
        <w:tblW w:w="5000" w:type="pct"/>
        <w:tblCellMar>
          <w:top w:w="15" w:type="dxa"/>
          <w:left w:w="0" w:type="dxa"/>
          <w:bottom w:w="15" w:type="dxa"/>
          <w:right w:w="0" w:type="dxa"/>
        </w:tblCellMar>
        <w:tblLook w:val="04A0" w:firstRow="1" w:lastRow="0" w:firstColumn="1" w:lastColumn="0" w:noHBand="0" w:noVBand="1"/>
      </w:tblPr>
      <w:tblGrid>
        <w:gridCol w:w="2492"/>
        <w:gridCol w:w="160"/>
        <w:gridCol w:w="110"/>
        <w:gridCol w:w="689"/>
        <w:gridCol w:w="173"/>
        <w:gridCol w:w="109"/>
        <w:gridCol w:w="688"/>
        <w:gridCol w:w="172"/>
        <w:gridCol w:w="109"/>
        <w:gridCol w:w="697"/>
        <w:gridCol w:w="160"/>
        <w:gridCol w:w="110"/>
        <w:gridCol w:w="689"/>
        <w:gridCol w:w="173"/>
        <w:gridCol w:w="109"/>
        <w:gridCol w:w="688"/>
        <w:gridCol w:w="172"/>
        <w:gridCol w:w="109"/>
        <w:gridCol w:w="697"/>
      </w:tblGrid>
      <w:tr w:rsidR="00000000">
        <w:trPr>
          <w:divId w:val="1656690451"/>
          <w:trHeight w:val="20"/>
        </w:trPr>
        <w:tc>
          <w:tcPr>
            <w:tcW w:w="1670" w:type="pct"/>
            <w:tcMar>
              <w:top w:w="0" w:type="dxa"/>
              <w:left w:w="0" w:type="dxa"/>
              <w:bottom w:w="0" w:type="dxa"/>
              <w:right w:w="0" w:type="dxa"/>
            </w:tcMar>
            <w:vAlign w:val="bottom"/>
            <w:hideMark/>
          </w:tcPr>
          <w:p w:rsidR="00000000" w:rsidRDefault="00DB7886">
            <w:pPr>
              <w:pStyle w:val="a3"/>
              <w:spacing w:before="0" w:beforeAutospacing="0" w:after="0" w:afterAutospacing="0"/>
              <w:divId w:val="2089496858"/>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78057485"/>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61960000"/>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91742782"/>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87774199"/>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14444907"/>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89506544"/>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453720669"/>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62956632"/>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459489807"/>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4158782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31498254"/>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40094343"/>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58662086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42223791"/>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26892201"/>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68482644"/>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91403572"/>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852066083"/>
              <w:rPr>
                <w:sz w:val="20"/>
                <w:szCs w:val="20"/>
              </w:rPr>
            </w:pPr>
            <w:r>
              <w:rPr>
                <w:sz w:val="2"/>
                <w:szCs w:val="2"/>
              </w:rPr>
              <w:t>​</w:t>
            </w:r>
          </w:p>
        </w:tc>
      </w:tr>
      <w:tr w:rsidR="00000000">
        <w:trPr>
          <w:divId w:val="1656690451"/>
        </w:trPr>
        <w:tc>
          <w:tcPr>
            <w:tcW w:w="167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1560" w:type="pct"/>
            <w:gridSpan w:val="8"/>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Nine Months Ended September 30, 2021</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559" w:type="pct"/>
            <w:gridSpan w:val="8"/>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Nine Months Ended September 30, 2020</w:t>
            </w:r>
          </w:p>
        </w:tc>
      </w:tr>
      <w:tr w:rsidR="00000000">
        <w:trPr>
          <w:divId w:val="1656690451"/>
        </w:trPr>
        <w:tc>
          <w:tcPr>
            <w:tcW w:w="167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1560" w:type="pct"/>
            <w:gridSpan w:val="8"/>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Net Cash Provided By (Used In)</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559" w:type="pct"/>
            <w:gridSpan w:val="8"/>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Net Cash Provided By (Used In)</w:t>
            </w:r>
          </w:p>
        </w:tc>
      </w:tr>
      <w:tr w:rsidR="00000000">
        <w:trPr>
          <w:divId w:val="1656690451"/>
        </w:trPr>
        <w:tc>
          <w:tcPr>
            <w:tcW w:w="167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Operating</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Investing</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454"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Financing</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Operating</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Investing</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Financing</w:t>
            </w:r>
          </w:p>
        </w:tc>
      </w:tr>
      <w:tr w:rsidR="00000000">
        <w:trPr>
          <w:divId w:val="1656690451"/>
        </w:trPr>
        <w:tc>
          <w:tcPr>
            <w:tcW w:w="167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454"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b/>
                <w:bCs/>
                <w:sz w:val="16"/>
                <w:szCs w:val="16"/>
              </w:rPr>
              <w:t>Activities</w:t>
            </w:r>
          </w:p>
        </w:tc>
      </w:tr>
      <w:tr w:rsidR="00000000">
        <w:trPr>
          <w:divId w:val="1656690451"/>
        </w:trPr>
        <w:tc>
          <w:tcPr>
            <w:tcW w:w="0" w:type="auto"/>
            <w:gridSpan w:val="19"/>
            <w:tcMar>
              <w:top w:w="0" w:type="dxa"/>
              <w:left w:w="0" w:type="dxa"/>
              <w:bottom w:w="0" w:type="dxa"/>
              <w:right w:w="0" w:type="dxa"/>
            </w:tcMar>
            <w:vAlign w:val="center"/>
            <w:hideMark/>
          </w:tcPr>
          <w:p w:rsidR="00000000" w:rsidRDefault="00DB7886">
            <w:pPr>
              <w:rPr>
                <w:sz w:val="16"/>
                <w:szCs w:val="16"/>
              </w:rPr>
            </w:pPr>
          </w:p>
        </w:tc>
      </w:tr>
      <w:tr w:rsidR="00000000">
        <w:trPr>
          <w:divId w:val="1656690451"/>
        </w:trPr>
        <w:tc>
          <w:tcPr>
            <w:tcW w:w="167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6"/>
                <w:szCs w:val="16"/>
              </w:rPr>
              <w:t>​</w:t>
            </w:r>
          </w:p>
        </w:tc>
        <w:tc>
          <w:tcPr>
            <w:tcW w:w="3218" w:type="pct"/>
            <w:gridSpan w:val="17"/>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6"/>
                <w:szCs w:val="16"/>
              </w:rPr>
            </w:pPr>
            <w:r>
              <w:rPr>
                <w:sz w:val="16"/>
                <w:szCs w:val="16"/>
              </w:rPr>
              <w:t>(in millions)</w:t>
            </w:r>
          </w:p>
        </w:tc>
      </w:tr>
      <w:tr w:rsidR="00000000">
        <w:trPr>
          <w:divId w:val="1656690451"/>
        </w:trPr>
        <w:tc>
          <w:tcPr>
            <w:tcW w:w="167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Holding Company</w:t>
            </w:r>
          </w:p>
        </w:tc>
        <w:tc>
          <w:tcPr>
            <w:tcW w:w="11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(262</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16</w:t>
            </w:r>
            <w:r>
              <w:rPr>
                <w:sz w:val="20"/>
                <w:szCs w:val="20"/>
              </w:rPr>
              <w:t>1</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49</w:t>
            </w:r>
            <w:r>
              <w:rPr>
                <w:sz w:val="20"/>
                <w:szCs w:val="20"/>
              </w:rPr>
              <w:t>7</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(266</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(867</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(919</w:t>
            </w:r>
            <w:r>
              <w:rPr>
                <w:sz w:val="20"/>
                <w:szCs w:val="20"/>
              </w:rPr>
              <w:t>)</w:t>
            </w:r>
          </w:p>
        </w:tc>
      </w:tr>
      <w:tr w:rsidR="00000000">
        <w:trPr>
          <w:divId w:val="1656690451"/>
        </w:trPr>
        <w:tc>
          <w:tcPr>
            <w:tcW w:w="167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Investment</w:t>
            </w:r>
          </w:p>
        </w:tc>
        <w:tc>
          <w:tcPr>
            <w:tcW w:w="11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w:t>
            </w:r>
            <w:r>
              <w:rPr>
                <w:sz w:val="20"/>
                <w:szCs w:val="20"/>
              </w:rPr>
              <w:t>1</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w:t>
            </w:r>
            <w:r>
              <w:rPr>
                <w:sz w:val="20"/>
                <w:szCs w:val="20"/>
              </w:rPr>
              <w:t>2</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91</w:t>
            </w:r>
            <w:r>
              <w:rPr>
                <w:sz w:val="20"/>
                <w:szCs w:val="20"/>
              </w:rPr>
              <w:t>2</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75</w:t>
            </w:r>
            <w:r>
              <w:rPr>
                <w:sz w:val="20"/>
                <w:szCs w:val="20"/>
              </w:rPr>
              <w:t>1</w:t>
            </w:r>
          </w:p>
        </w:tc>
      </w:tr>
      <w:tr w:rsidR="00000000">
        <w:trPr>
          <w:divId w:val="1656690451"/>
        </w:trPr>
        <w:tc>
          <w:tcPr>
            <w:tcW w:w="167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1656690451"/>
        </w:trPr>
        <w:tc>
          <w:tcPr>
            <w:tcW w:w="167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u w:val="single"/>
              </w:rPr>
              <w:t>Other Operating Segments</w:t>
            </w:r>
            <w:r>
              <w:rPr>
                <w:sz w:val="20"/>
                <w:szCs w:val="20"/>
                <w:u w:val="single"/>
              </w:rPr>
              <w:t>:</w:t>
            </w:r>
          </w:p>
        </w:tc>
        <w:tc>
          <w:tcPr>
            <w:tcW w:w="11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w:t>
            </w:r>
          </w:p>
        </w:tc>
      </w:tr>
      <w:tr w:rsidR="00000000">
        <w:trPr>
          <w:divId w:val="1656690451"/>
        </w:trPr>
        <w:tc>
          <w:tcPr>
            <w:tcW w:w="167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Energy</w:t>
            </w:r>
          </w:p>
        </w:tc>
        <w:tc>
          <w:tcPr>
            <w:tcW w:w="11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38</w:t>
            </w:r>
            <w:r>
              <w:rPr>
                <w:sz w:val="20"/>
                <w:szCs w:val="20"/>
              </w:rPr>
              <w:t>2</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(204</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(279</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w:t>
            </w:r>
            <w:r>
              <w:rPr>
                <w:sz w:val="20"/>
                <w:szCs w:val="20"/>
              </w:rPr>
              <w:t>2</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(396</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36</w:t>
            </w:r>
            <w:r>
              <w:rPr>
                <w:sz w:val="20"/>
                <w:szCs w:val="20"/>
              </w:rPr>
              <w:t>1</w:t>
            </w:r>
          </w:p>
        </w:tc>
      </w:tr>
      <w:tr w:rsidR="00000000">
        <w:trPr>
          <w:divId w:val="1656690451"/>
        </w:trPr>
        <w:tc>
          <w:tcPr>
            <w:tcW w:w="1670"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Automotive</w:t>
            </w:r>
          </w:p>
        </w:tc>
        <w:tc>
          <w:tcPr>
            <w:tcW w:w="11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(71</w:t>
            </w: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w:t>
            </w:r>
            <w:r>
              <w:rPr>
                <w:sz w:val="20"/>
                <w:szCs w:val="20"/>
              </w:rPr>
              <w:t>5</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w:t>
            </w:r>
            <w:r>
              <w:rPr>
                <w:sz w:val="20"/>
                <w:szCs w:val="20"/>
              </w:rPr>
              <w:t>8</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r>
              <w:rPr>
                <w:sz w:val="20"/>
                <w:szCs w:val="20"/>
              </w:rPr>
              <w:t>9</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4</w:t>
            </w:r>
            <w:r>
              <w:rPr>
                <w:sz w:val="20"/>
                <w:szCs w:val="20"/>
              </w:rPr>
              <w:t>1</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(51</w:t>
            </w:r>
            <w:r>
              <w:rPr>
                <w:sz w:val="20"/>
                <w:szCs w:val="20"/>
              </w:rPr>
              <w:t>)</w:t>
            </w:r>
          </w:p>
        </w:tc>
      </w:tr>
      <w:tr w:rsidR="00000000">
        <w:trPr>
          <w:divId w:val="1656690451"/>
        </w:trPr>
        <w:tc>
          <w:tcPr>
            <w:tcW w:w="167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Food Packaging</w:t>
            </w:r>
          </w:p>
        </w:tc>
        <w:tc>
          <w:tcPr>
            <w:tcW w:w="11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(9</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8</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(10</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(7</w:t>
            </w:r>
            <w:r>
              <w:rPr>
                <w:sz w:val="20"/>
                <w:szCs w:val="20"/>
              </w:rPr>
              <w:t>)</w:t>
            </w:r>
          </w:p>
        </w:tc>
      </w:tr>
      <w:tr w:rsidR="00000000">
        <w:trPr>
          <w:divId w:val="1656690451"/>
        </w:trPr>
        <w:tc>
          <w:tcPr>
            <w:tcW w:w="1670"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Metals</w:t>
            </w:r>
          </w:p>
        </w:tc>
        <w:tc>
          <w:tcPr>
            <w:tcW w:w="11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w:t>
            </w: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(20</w:t>
            </w: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w:t>
            </w: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r>
              <w:rPr>
                <w:sz w:val="20"/>
                <w:szCs w:val="20"/>
              </w:rPr>
              <w:t>6</w:t>
            </w:r>
          </w:p>
        </w:tc>
      </w:tr>
      <w:tr w:rsidR="00000000">
        <w:trPr>
          <w:divId w:val="1656690451"/>
        </w:trPr>
        <w:tc>
          <w:tcPr>
            <w:tcW w:w="167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Real Estate</w:t>
            </w:r>
          </w:p>
        </w:tc>
        <w:tc>
          <w:tcPr>
            <w:tcW w:w="11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r>
              <w:rPr>
                <w:sz w:val="20"/>
                <w:szCs w:val="20"/>
              </w:rPr>
              <w:t>4</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(5</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r>
              <w:rPr>
                <w:sz w:val="20"/>
                <w:szCs w:val="20"/>
              </w:rPr>
              <w:t>4</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(39</w:t>
            </w:r>
            <w:r>
              <w:rPr>
                <w:sz w:val="20"/>
                <w:szCs w:val="20"/>
              </w:rPr>
              <w:t>)</w:t>
            </w:r>
          </w:p>
        </w:tc>
      </w:tr>
      <w:tr w:rsidR="00000000">
        <w:trPr>
          <w:divId w:val="1656690451"/>
        </w:trPr>
        <w:tc>
          <w:tcPr>
            <w:tcW w:w="1670"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Home Fashion</w:t>
            </w:r>
          </w:p>
        </w:tc>
        <w:tc>
          <w:tcPr>
            <w:tcW w:w="11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(18</w:t>
            </w: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w:t>
            </w: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w:t>
            </w:r>
            <w:r>
              <w:rPr>
                <w:sz w:val="20"/>
                <w:szCs w:val="20"/>
              </w:rPr>
              <w:t>4</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(5</w:t>
            </w: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(4</w:t>
            </w: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9</w:t>
            </w:r>
          </w:p>
        </w:tc>
      </w:tr>
      <w:tr w:rsidR="00000000">
        <w:trPr>
          <w:divId w:val="1656690451"/>
        </w:trPr>
        <w:tc>
          <w:tcPr>
            <w:tcW w:w="167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Pharma</w:t>
            </w:r>
          </w:p>
        </w:tc>
        <w:tc>
          <w:tcPr>
            <w:tcW w:w="11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r>
      <w:tr w:rsidR="00000000">
        <w:trPr>
          <w:divId w:val="1656690451"/>
        </w:trPr>
        <w:tc>
          <w:tcPr>
            <w:tcW w:w="1670" w:type="pct"/>
            <w:tcMar>
              <w:top w:w="0" w:type="dxa"/>
              <w:left w:w="0" w:type="dxa"/>
              <w:bottom w:w="0" w:type="dxa"/>
              <w:right w:w="0" w:type="dxa"/>
            </w:tcMar>
            <w:vAlign w:val="bottom"/>
            <w:hideMark/>
          </w:tcPr>
          <w:p w:rsidR="00000000" w:rsidRDefault="00DB7886">
            <w:pPr>
              <w:pStyle w:val="a3"/>
              <w:spacing w:before="0" w:beforeAutospacing="0" w:after="0" w:afterAutospacing="0"/>
              <w:ind w:left="120"/>
              <w:rPr>
                <w:sz w:val="20"/>
                <w:szCs w:val="20"/>
              </w:rPr>
            </w:pPr>
            <w:r>
              <w:rPr>
                <w:sz w:val="20"/>
                <w:szCs w:val="20"/>
              </w:rPr>
              <w:t>Other operating segments</w:t>
            </w:r>
          </w:p>
        </w:tc>
        <w:tc>
          <w:tcPr>
            <w:tcW w:w="11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30</w:t>
            </w:r>
            <w:r>
              <w:rPr>
                <w:sz w:val="20"/>
                <w:szCs w:val="20"/>
              </w:rPr>
              <w:t>7</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(176</w:t>
            </w: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(214</w:t>
            </w: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w:t>
            </w:r>
            <w:r>
              <w:rPr>
                <w:sz w:val="20"/>
                <w:szCs w:val="20"/>
              </w:rPr>
              <w:t>8</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(373</w:t>
            </w: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28</w:t>
            </w:r>
            <w:r>
              <w:rPr>
                <w:sz w:val="20"/>
                <w:szCs w:val="20"/>
              </w:rPr>
              <w:t>9</w:t>
            </w:r>
          </w:p>
        </w:tc>
      </w:tr>
      <w:tr w:rsidR="00000000">
        <w:trPr>
          <w:divId w:val="1656690451"/>
        </w:trPr>
        <w:tc>
          <w:tcPr>
            <w:tcW w:w="167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Total before eliminations</w:t>
            </w:r>
          </w:p>
        </w:tc>
        <w:tc>
          <w:tcPr>
            <w:tcW w:w="11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w:t>
            </w:r>
            <w:r>
              <w:rPr>
                <w:sz w:val="20"/>
                <w:szCs w:val="20"/>
              </w:rPr>
              <w:t>6</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(15</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34</w:t>
            </w:r>
            <w:r>
              <w:rPr>
                <w:sz w:val="20"/>
                <w:szCs w:val="20"/>
              </w:rPr>
              <w:t>5</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72</w:t>
            </w:r>
            <w:r>
              <w:rPr>
                <w:sz w:val="20"/>
                <w:szCs w:val="20"/>
              </w:rPr>
              <w:t>4</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(1,240</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12</w:t>
            </w:r>
            <w:r>
              <w:rPr>
                <w:sz w:val="20"/>
                <w:szCs w:val="20"/>
              </w:rPr>
              <w:t>1</w:t>
            </w:r>
          </w:p>
        </w:tc>
      </w:tr>
      <w:tr w:rsidR="00000000">
        <w:trPr>
          <w:divId w:val="1656690451"/>
        </w:trPr>
        <w:tc>
          <w:tcPr>
            <w:tcW w:w="1670"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Eliminations</w:t>
            </w:r>
          </w:p>
        </w:tc>
        <w:tc>
          <w:tcPr>
            <w:tcW w:w="11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23</w:t>
            </w:r>
            <w:r>
              <w:rPr>
                <w:sz w:val="20"/>
                <w:szCs w:val="20"/>
              </w:rPr>
              <w:t>5</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(235</w:t>
            </w: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68</w:t>
            </w:r>
            <w:r>
              <w:rPr>
                <w:sz w:val="20"/>
                <w:szCs w:val="20"/>
              </w:rPr>
              <w:t>9</w:t>
            </w:r>
          </w:p>
        </w:tc>
        <w:tc>
          <w:tcPr>
            <w:tcW w:w="9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(689</w:t>
            </w:r>
            <w:r>
              <w:rPr>
                <w:sz w:val="20"/>
                <w:szCs w:val="20"/>
              </w:rPr>
              <w:t>)</w:t>
            </w:r>
          </w:p>
        </w:tc>
      </w:tr>
      <w:tr w:rsidR="00000000">
        <w:trPr>
          <w:divId w:val="1656690451"/>
        </w:trPr>
        <w:tc>
          <w:tcPr>
            <w:tcW w:w="1670" w:type="pct"/>
            <w:shd w:val="clear" w:color="auto" w:fill="CCEEFF"/>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Consolidated</w:t>
            </w:r>
          </w:p>
        </w:tc>
        <w:tc>
          <w:tcPr>
            <w:tcW w:w="11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6</w:t>
            </w:r>
            <w:r>
              <w:rPr>
                <w:sz w:val="20"/>
                <w:szCs w:val="20"/>
              </w:rPr>
              <w:t>6</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22</w:t>
            </w:r>
            <w:r>
              <w:rPr>
                <w:sz w:val="20"/>
                <w:szCs w:val="20"/>
              </w:rPr>
              <w:t>0</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11</w:t>
            </w:r>
            <w:r>
              <w:rPr>
                <w:sz w:val="20"/>
                <w:szCs w:val="20"/>
              </w:rPr>
              <w:t>0</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20"/>
                <w:szCs w:val="20"/>
              </w:rPr>
            </w:pPr>
            <w:r>
              <w:rPr>
                <w:sz w:val="20"/>
                <w:szCs w:val="20"/>
              </w:rPr>
              <w:t>72</w:t>
            </w:r>
            <w:r>
              <w:rPr>
                <w:sz w:val="20"/>
                <w:szCs w:val="20"/>
              </w:rPr>
              <w:t>4</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(551</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jc w:val="right"/>
              <w:rPr>
                <w:sz w:val="20"/>
                <w:szCs w:val="20"/>
              </w:rPr>
            </w:pPr>
            <w:r>
              <w:rPr>
                <w:sz w:val="20"/>
                <w:szCs w:val="20"/>
              </w:rPr>
              <w:t>(568</w:t>
            </w:r>
            <w:r>
              <w:rPr>
                <w:sz w:val="20"/>
                <w:szCs w:val="20"/>
              </w:rPr>
              <w:t>)</w:t>
            </w:r>
          </w:p>
        </w:tc>
      </w:tr>
    </w:tbl>
    <w:p w:rsidR="00000000" w:rsidRDefault="00DB7886">
      <w:pPr>
        <w:pStyle w:val="a3"/>
        <w:spacing w:before="480" w:beforeAutospacing="0" w:after="0" w:afterAutospacing="0"/>
        <w:jc w:val="center"/>
        <w:divId w:val="1103650506"/>
        <w:rPr>
          <w:sz w:val="20"/>
          <w:szCs w:val="20"/>
        </w:rPr>
      </w:pPr>
      <w:r>
        <w:rPr>
          <w:sz w:val="20"/>
          <w:szCs w:val="20"/>
        </w:rPr>
        <w:t>56</w:t>
      </w:r>
    </w:p>
    <w:p w:rsidR="00000000" w:rsidRDefault="00DB7886">
      <w:pPr>
        <w:pStyle w:val="a3"/>
        <w:spacing w:before="0" w:beforeAutospacing="0" w:after="600" w:afterAutospacing="0"/>
        <w:divId w:val="2002007052"/>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divId w:val="942801917"/>
        <w:rPr>
          <w:i/>
          <w:iCs/>
          <w:sz w:val="20"/>
          <w:szCs w:val="20"/>
        </w:rPr>
      </w:pPr>
      <w:r>
        <w:rPr>
          <w:i/>
          <w:iCs/>
          <w:sz w:val="20"/>
          <w:szCs w:val="20"/>
        </w:rPr>
        <w:t>Eliminations</w:t>
      </w:r>
    </w:p>
    <w:p w:rsidR="00000000" w:rsidRDefault="00DB7886">
      <w:pPr>
        <w:pStyle w:val="a3"/>
        <w:spacing w:before="0" w:beforeAutospacing="0" w:after="240" w:afterAutospacing="0"/>
        <w:ind w:firstLine="360"/>
        <w:divId w:val="942801917"/>
        <w:rPr>
          <w:sz w:val="20"/>
          <w:szCs w:val="20"/>
        </w:rPr>
      </w:pPr>
      <w:r>
        <w:rPr>
          <w:sz w:val="20"/>
          <w:szCs w:val="20"/>
        </w:rPr>
        <w:t>Eliminations in the table above relate to certain of our Holding Company’</w:t>
      </w:r>
      <w:r>
        <w:rPr>
          <w:sz w:val="20"/>
          <w:szCs w:val="20"/>
        </w:rPr>
        <w:t>s transactions with our Investment and other operating segments. Our Holding Company’s net (investments in) distributions from the Investments Funds, when applicable, are included in cash flows from investing activities for our Holding Company and cash flo</w:t>
      </w:r>
      <w:r>
        <w:rPr>
          <w:sz w:val="20"/>
          <w:szCs w:val="20"/>
        </w:rPr>
        <w:t xml:space="preserve">ws from financing activities for our Investment segment. Similarly, our Holding Company’s net distributions from (investments in) our other operating segments are included in cash flows from investing activities for our Holding Company and cash flows from </w:t>
      </w:r>
      <w:r>
        <w:rPr>
          <w:sz w:val="20"/>
          <w:szCs w:val="20"/>
        </w:rPr>
        <w:t xml:space="preserve">financing activities for our other operating segments. </w:t>
      </w:r>
    </w:p>
    <w:p w:rsidR="00000000" w:rsidRDefault="00DB7886">
      <w:pPr>
        <w:pStyle w:val="a3"/>
        <w:spacing w:before="0" w:beforeAutospacing="0" w:after="240" w:afterAutospacing="0"/>
        <w:divId w:val="942801917"/>
        <w:rPr>
          <w:i/>
          <w:iCs/>
          <w:sz w:val="20"/>
          <w:szCs w:val="20"/>
        </w:rPr>
      </w:pPr>
      <w:r>
        <w:rPr>
          <w:i/>
          <w:iCs/>
          <w:sz w:val="20"/>
          <w:szCs w:val="20"/>
        </w:rPr>
        <w:t>Holding Company</w:t>
      </w:r>
    </w:p>
    <w:p w:rsidR="00000000" w:rsidRDefault="00DB7886">
      <w:pPr>
        <w:pStyle w:val="a3"/>
        <w:spacing w:before="0" w:beforeAutospacing="0" w:after="240" w:afterAutospacing="0"/>
        <w:ind w:firstLine="360"/>
        <w:jc w:val="both"/>
        <w:divId w:val="942801917"/>
        <w:rPr>
          <w:sz w:val="20"/>
          <w:szCs w:val="20"/>
        </w:rPr>
      </w:pPr>
      <w:r>
        <w:rPr>
          <w:sz w:val="20"/>
          <w:szCs w:val="20"/>
        </w:rPr>
        <w:t>Our Holding Company’s cash flows from operating activities for each of the nine months ended September 30, 2021 and 2020 were primarily attributable to our semi-annual interest payment</w:t>
      </w:r>
      <w:r>
        <w:rPr>
          <w:sz w:val="20"/>
          <w:szCs w:val="20"/>
        </w:rPr>
        <w:t xml:space="preserve">s on our senior unsecured notes. The decrease in interest payments over the comparable periods is primarily due to our recent debt transactions, which resulted in a lower weighted average interest rate over the comparable periods. Our Holding Company also </w:t>
      </w:r>
      <w:r>
        <w:rPr>
          <w:sz w:val="20"/>
          <w:szCs w:val="20"/>
        </w:rPr>
        <w:t xml:space="preserve">had lower interest income and tax receipts during the nine months ended September 30, 2021 compared to the comparable prior year period. </w:t>
      </w:r>
    </w:p>
    <w:p w:rsidR="00000000" w:rsidRDefault="00DB7886">
      <w:pPr>
        <w:pStyle w:val="a3"/>
        <w:spacing w:before="0" w:beforeAutospacing="0" w:after="240" w:afterAutospacing="0"/>
        <w:ind w:firstLine="360"/>
        <w:jc w:val="both"/>
        <w:divId w:val="942801917"/>
        <w:rPr>
          <w:sz w:val="20"/>
          <w:szCs w:val="20"/>
        </w:rPr>
      </w:pPr>
      <w:r>
        <w:rPr>
          <w:sz w:val="20"/>
          <w:szCs w:val="20"/>
        </w:rPr>
        <w:t>Our Holding Company’s cash flows from investing activities for the nine months ended September 30, 2021 were primarily</w:t>
      </w:r>
      <w:r>
        <w:rPr>
          <w:sz w:val="20"/>
          <w:szCs w:val="20"/>
        </w:rPr>
        <w:t xml:space="preserve"> attributable to proceeds from the sale of equity investments and debt securities aggregating $396 million and dividends from our Energy segment of $171 million offset in part by a net investment in our Automotive segment of $405 million. Our Holding Compa</w:t>
      </w:r>
      <w:r>
        <w:rPr>
          <w:sz w:val="20"/>
          <w:szCs w:val="20"/>
        </w:rPr>
        <w:t>ny’s cash flows from investing activities for the nine months ended September 30, 2020 were primarily driven by an investment in the Investment Funds of $750 million (net of redemptions), our purchase of investments aggregating $177 million and net contrib</w:t>
      </w:r>
      <w:r>
        <w:rPr>
          <w:sz w:val="20"/>
          <w:szCs w:val="20"/>
        </w:rPr>
        <w:t>utions and loans to our operating subsidiaries aggregating $63 million, including a net investment in our Automotive segment of $60 million. This was offset in part by net cash dividends and distributions from our Energy and Real Estate segments aggregatin</w:t>
      </w:r>
      <w:r>
        <w:rPr>
          <w:sz w:val="20"/>
          <w:szCs w:val="20"/>
        </w:rPr>
        <w:t>g $124 million.</w:t>
      </w:r>
    </w:p>
    <w:p w:rsidR="00000000" w:rsidRDefault="00DB7886">
      <w:pPr>
        <w:pStyle w:val="a3"/>
        <w:spacing w:before="0" w:beforeAutospacing="0" w:after="240" w:afterAutospacing="0"/>
        <w:ind w:firstLine="360"/>
        <w:jc w:val="both"/>
        <w:divId w:val="942801917"/>
        <w:rPr>
          <w:sz w:val="20"/>
          <w:szCs w:val="20"/>
        </w:rPr>
      </w:pPr>
      <w:r>
        <w:rPr>
          <w:sz w:val="20"/>
          <w:szCs w:val="20"/>
        </w:rPr>
        <w:t xml:space="preserve">Our Holding Company’s cash flows from financing activities for the nine months ended September 30, 2021 were due to proceeds from our “at-the-market” offering offset in part by aggregate payments on our quarterly distributions. Our Holding </w:t>
      </w:r>
      <w:r>
        <w:rPr>
          <w:sz w:val="20"/>
          <w:szCs w:val="20"/>
        </w:rPr>
        <w:t>Company’s cash flows from financing activities for the nine months ended September 30, 2020 were primarily due to aggregate payments on our quarterly distributions and the effects of certain debt refinancing transactions, which included the repayment of ce</w:t>
      </w:r>
      <w:r>
        <w:rPr>
          <w:sz w:val="20"/>
          <w:szCs w:val="20"/>
        </w:rPr>
        <w:t xml:space="preserve">rtain senior unsecured notes in January 2020 using proceeds from senior unsecured note issuances in December 2019. This was offset in part by proceeds from our “at-the-market” offering. </w:t>
      </w:r>
    </w:p>
    <w:p w:rsidR="00000000" w:rsidRDefault="00DB7886">
      <w:pPr>
        <w:pStyle w:val="a3"/>
        <w:spacing w:before="0" w:beforeAutospacing="0" w:after="240" w:afterAutospacing="0"/>
        <w:divId w:val="942801917"/>
        <w:rPr>
          <w:i/>
          <w:iCs/>
          <w:sz w:val="20"/>
          <w:szCs w:val="20"/>
        </w:rPr>
      </w:pPr>
      <w:r>
        <w:rPr>
          <w:i/>
          <w:iCs/>
          <w:sz w:val="20"/>
          <w:szCs w:val="20"/>
        </w:rPr>
        <w:t>Investment Segment</w:t>
      </w:r>
    </w:p>
    <w:p w:rsidR="00000000" w:rsidRDefault="00DB7886">
      <w:pPr>
        <w:pStyle w:val="a3"/>
        <w:spacing w:before="0" w:beforeAutospacing="0" w:after="240" w:afterAutospacing="0"/>
        <w:ind w:firstLine="360"/>
        <w:divId w:val="942801917"/>
        <w:rPr>
          <w:sz w:val="20"/>
          <w:szCs w:val="20"/>
        </w:rPr>
      </w:pPr>
      <w:r>
        <w:rPr>
          <w:sz w:val="20"/>
          <w:szCs w:val="20"/>
        </w:rPr>
        <w:t>Our Investment segment’s cash flows from operating</w:t>
      </w:r>
      <w:r>
        <w:rPr>
          <w:sz w:val="20"/>
          <w:szCs w:val="20"/>
        </w:rPr>
        <w:t xml:space="preserve"> activities for the comparable periods were attributable to its net investment transactions.</w:t>
      </w:r>
    </w:p>
    <w:p w:rsidR="00000000" w:rsidRDefault="00DB7886">
      <w:pPr>
        <w:pStyle w:val="a3"/>
        <w:spacing w:before="0" w:beforeAutospacing="0" w:after="240" w:afterAutospacing="0"/>
        <w:ind w:firstLine="360"/>
        <w:divId w:val="942801917"/>
        <w:rPr>
          <w:sz w:val="20"/>
          <w:szCs w:val="20"/>
        </w:rPr>
      </w:pPr>
      <w:r>
        <w:rPr>
          <w:sz w:val="20"/>
          <w:szCs w:val="20"/>
        </w:rPr>
        <w:t>Our Investment segment’s cash flows from financing activities for the nine months ended September 30, 2021 were attributable to Brett Icahn’s contribution to the F</w:t>
      </w:r>
      <w:r>
        <w:rPr>
          <w:sz w:val="20"/>
          <w:szCs w:val="20"/>
        </w:rPr>
        <w:t>unds of $62 million. Our Investment segment’s cash flows from financing activities for the nine months ended September 30, 2020 were attributable to our investment in the Investment Funds of $750 million, net of redemptions, and $1 million from Mr. Icahn a</w:t>
      </w:r>
      <w:r>
        <w:rPr>
          <w:sz w:val="20"/>
          <w:szCs w:val="20"/>
        </w:rPr>
        <w:t>nd his affiliates (excluding us).</w:t>
      </w:r>
    </w:p>
    <w:p w:rsidR="00000000" w:rsidRDefault="00DB7886">
      <w:pPr>
        <w:pStyle w:val="a3"/>
        <w:spacing w:before="0" w:beforeAutospacing="0" w:after="240" w:afterAutospacing="0"/>
        <w:divId w:val="942801917"/>
        <w:rPr>
          <w:i/>
          <w:iCs/>
          <w:sz w:val="20"/>
          <w:szCs w:val="20"/>
        </w:rPr>
      </w:pPr>
      <w:r>
        <w:rPr>
          <w:i/>
          <w:iCs/>
          <w:sz w:val="20"/>
          <w:szCs w:val="20"/>
        </w:rPr>
        <w:t>Other Operating Segments</w:t>
      </w:r>
    </w:p>
    <w:p w:rsidR="00000000" w:rsidRDefault="00DB7886">
      <w:pPr>
        <w:pStyle w:val="a3"/>
        <w:spacing w:before="0" w:beforeAutospacing="0" w:after="240" w:afterAutospacing="0"/>
        <w:ind w:firstLine="360"/>
        <w:divId w:val="942801917"/>
        <w:rPr>
          <w:sz w:val="20"/>
          <w:szCs w:val="20"/>
        </w:rPr>
      </w:pPr>
      <w:r>
        <w:rPr>
          <w:sz w:val="20"/>
          <w:szCs w:val="20"/>
        </w:rPr>
        <w:t>Our other operating segments’ cash flows from operating activities included net cash flows from operating activities before changes in operating assets and liabilities of $137 million and $6 millio</w:t>
      </w:r>
      <w:r>
        <w:rPr>
          <w:sz w:val="20"/>
          <w:szCs w:val="20"/>
        </w:rPr>
        <w:t>n for the nine months ended September 30, 2021 and 2020, respectively, primarily due to the results of our Energy and Automotive segments for each period. Changes in working capital for each period was $170 million and $72 million, with the improvement pri</w:t>
      </w:r>
      <w:r>
        <w:rPr>
          <w:sz w:val="20"/>
          <w:szCs w:val="20"/>
        </w:rPr>
        <w:t xml:space="preserve">marily attributable to our Energy segment. Our Energy segment’s working capital improved over the comparable periods primarily due to the increase in crude oil prices during 2021 and increases in its open RFS position. </w:t>
      </w:r>
    </w:p>
    <w:p w:rsidR="00000000" w:rsidRDefault="00DB7886">
      <w:pPr>
        <w:pStyle w:val="a3"/>
        <w:spacing w:before="0" w:beforeAutospacing="0" w:after="0" w:afterAutospacing="0"/>
        <w:ind w:firstLine="360"/>
        <w:divId w:val="942801917"/>
        <w:rPr>
          <w:sz w:val="20"/>
          <w:szCs w:val="20"/>
        </w:rPr>
      </w:pPr>
      <w:r>
        <w:rPr>
          <w:sz w:val="20"/>
          <w:szCs w:val="20"/>
        </w:rPr>
        <w:t>Our other operating segments’ cash f</w:t>
      </w:r>
      <w:r>
        <w:rPr>
          <w:sz w:val="20"/>
          <w:szCs w:val="20"/>
        </w:rPr>
        <w:t xml:space="preserve">lows from investing activities were primarily due to the purchase of investments of zero in 2021 compared to $140 million in 2020 and due to capital expenditures of $239 million in 2021, </w:t>
      </w:r>
    </w:p>
    <w:p w:rsidR="00000000" w:rsidRDefault="00DB7886">
      <w:pPr>
        <w:pStyle w:val="a3"/>
        <w:spacing w:before="480" w:beforeAutospacing="0" w:after="0" w:afterAutospacing="0"/>
        <w:jc w:val="center"/>
        <w:divId w:val="108206791"/>
        <w:rPr>
          <w:sz w:val="20"/>
          <w:szCs w:val="20"/>
        </w:rPr>
      </w:pPr>
      <w:r>
        <w:rPr>
          <w:sz w:val="20"/>
          <w:szCs w:val="20"/>
        </w:rPr>
        <w:t>57</w:t>
      </w:r>
    </w:p>
    <w:p w:rsidR="00000000" w:rsidRDefault="00DB7886">
      <w:pPr>
        <w:pStyle w:val="a3"/>
        <w:spacing w:before="0" w:beforeAutospacing="0" w:after="600" w:afterAutospacing="0"/>
        <w:divId w:val="772096575"/>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divId w:val="407505599"/>
        <w:rPr>
          <w:sz w:val="20"/>
          <w:szCs w:val="20"/>
        </w:rPr>
      </w:pPr>
      <w:r>
        <w:rPr>
          <w:sz w:val="20"/>
          <w:szCs w:val="20"/>
        </w:rPr>
        <w:t>primarily for our Energy segment’s RDU project, and $153 million in 2020, primarily within our Energy and Automotive segments for both periods. In addition, our Energy segment acquired a pipeline for cash consideration of $20 million in the first quarter o</w:t>
      </w:r>
      <w:r>
        <w:rPr>
          <w:sz w:val="20"/>
          <w:szCs w:val="20"/>
        </w:rPr>
        <w:t xml:space="preserve">f 2021. </w:t>
      </w:r>
    </w:p>
    <w:p w:rsidR="00000000" w:rsidRDefault="00DB7886">
      <w:pPr>
        <w:pStyle w:val="a3"/>
        <w:spacing w:before="0" w:beforeAutospacing="0" w:after="240" w:afterAutospacing="0"/>
        <w:ind w:firstLine="360"/>
        <w:divId w:val="407505599"/>
        <w:rPr>
          <w:sz w:val="20"/>
          <w:szCs w:val="20"/>
        </w:rPr>
      </w:pPr>
      <w:r>
        <w:rPr>
          <w:sz w:val="20"/>
          <w:szCs w:val="20"/>
        </w:rPr>
        <w:t>Our other operating segments’ cash flows from financing activities were primarily due to net debt transactions. In 2020, our Energy segment had net proceeds from senior debt transactions of $500 million. In addition, our other operating segments a</w:t>
      </w:r>
      <w:r>
        <w:rPr>
          <w:sz w:val="20"/>
          <w:szCs w:val="20"/>
        </w:rPr>
        <w:t>lso had net contributions from our Holding Company aggregating $235 million for the nine months ended September 30, 2021 compared to net distributions aggregating $61 million for the nine months ended September 30, 2020, as described above. For the nine mo</w:t>
      </w:r>
      <w:r>
        <w:rPr>
          <w:sz w:val="20"/>
          <w:szCs w:val="20"/>
        </w:rPr>
        <w:t xml:space="preserve">nths ended September 30, 2021 and 2020, our Energy segment had distributions to non-controlling interests of $81 million and $36 million, respectively. </w:t>
      </w:r>
    </w:p>
    <w:p w:rsidR="00000000" w:rsidRDefault="00DB7886">
      <w:pPr>
        <w:pStyle w:val="a3"/>
        <w:spacing w:before="0" w:beforeAutospacing="0" w:after="240" w:afterAutospacing="0"/>
        <w:divId w:val="407505599"/>
        <w:rPr>
          <w:b/>
          <w:bCs/>
          <w:i/>
          <w:iCs/>
          <w:sz w:val="20"/>
          <w:szCs w:val="20"/>
        </w:rPr>
      </w:pPr>
      <w:r>
        <w:rPr>
          <w:b/>
          <w:bCs/>
          <w:i/>
          <w:iCs/>
          <w:sz w:val="20"/>
          <w:szCs w:val="20"/>
        </w:rPr>
        <w:t>Consolidated Capital Expenditures</w:t>
      </w:r>
    </w:p>
    <w:p w:rsidR="00000000" w:rsidRDefault="00DB7886">
      <w:pPr>
        <w:pStyle w:val="a3"/>
        <w:spacing w:before="0" w:beforeAutospacing="0" w:after="240" w:afterAutospacing="0"/>
        <w:ind w:firstLine="360"/>
        <w:divId w:val="407505599"/>
        <w:rPr>
          <w:sz w:val="20"/>
          <w:szCs w:val="20"/>
        </w:rPr>
      </w:pPr>
      <w:r>
        <w:rPr>
          <w:sz w:val="20"/>
          <w:szCs w:val="20"/>
        </w:rPr>
        <w:t>There have been no material changes to our planned capital expenditur</w:t>
      </w:r>
      <w:r>
        <w:rPr>
          <w:sz w:val="20"/>
          <w:szCs w:val="20"/>
        </w:rPr>
        <w:t>es as compared to the estimated capital expenditures for 2021 reported in our Annual Report on Form 10-K for the year ended December 31, 2020.</w:t>
      </w:r>
    </w:p>
    <w:p w:rsidR="00000000" w:rsidRDefault="00DB7886">
      <w:pPr>
        <w:pStyle w:val="a3"/>
        <w:spacing w:before="0" w:beforeAutospacing="0" w:after="240" w:afterAutospacing="0"/>
        <w:divId w:val="407505599"/>
        <w:rPr>
          <w:b/>
          <w:bCs/>
          <w:sz w:val="20"/>
          <w:szCs w:val="20"/>
        </w:rPr>
      </w:pPr>
      <w:r>
        <w:rPr>
          <w:b/>
          <w:bCs/>
          <w:sz w:val="20"/>
          <w:szCs w:val="20"/>
        </w:rPr>
        <w:t>Critical Accounting Estimates</w:t>
      </w:r>
    </w:p>
    <w:p w:rsidR="00000000" w:rsidRDefault="00DB7886">
      <w:pPr>
        <w:pStyle w:val="a3"/>
        <w:spacing w:before="0" w:beforeAutospacing="0" w:after="240" w:afterAutospacing="0"/>
        <w:ind w:firstLine="360"/>
        <w:divId w:val="407505599"/>
        <w:rPr>
          <w:sz w:val="20"/>
          <w:szCs w:val="20"/>
        </w:rPr>
      </w:pPr>
      <w:r>
        <w:rPr>
          <w:sz w:val="20"/>
          <w:szCs w:val="20"/>
        </w:rPr>
        <w:t>The critical accounting estimates used in the preparation of our condensed consolid</w:t>
      </w:r>
      <w:r>
        <w:rPr>
          <w:sz w:val="20"/>
          <w:szCs w:val="20"/>
        </w:rPr>
        <w:t>ated financial statements that we believe affect our more significant judgments and estimates used in the preparation of our condensed consolidated financial statements presented in this Report are described in Management’s Discussion and Analysis of Finan</w:t>
      </w:r>
      <w:r>
        <w:rPr>
          <w:sz w:val="20"/>
          <w:szCs w:val="20"/>
        </w:rPr>
        <w:t>cial Condition and Results of Operations and in the Notes to the consolidated financial statements included in our Annual Report on Form 10-K for the year ended December 31, 2020.</w:t>
      </w:r>
    </w:p>
    <w:p w:rsidR="00000000" w:rsidRDefault="00DB7886">
      <w:pPr>
        <w:pStyle w:val="a3"/>
        <w:spacing w:before="0" w:beforeAutospacing="0" w:after="240" w:afterAutospacing="0"/>
        <w:ind w:firstLine="360"/>
        <w:divId w:val="407505599"/>
        <w:rPr>
          <w:sz w:val="20"/>
          <w:szCs w:val="20"/>
        </w:rPr>
      </w:pPr>
      <w:r>
        <w:rPr>
          <w:sz w:val="20"/>
          <w:szCs w:val="20"/>
        </w:rPr>
        <w:t xml:space="preserve">There have been no material changes to our critical accounting policies and </w:t>
      </w:r>
      <w:r>
        <w:rPr>
          <w:sz w:val="20"/>
          <w:szCs w:val="20"/>
        </w:rPr>
        <w:t>estimates during the nine months ended September 30, 2021 as compared to those reported in our Annual Report on Form 10-K for the year ended December 31, 2020.</w:t>
      </w:r>
    </w:p>
    <w:p w:rsidR="00000000" w:rsidRDefault="00DB7886">
      <w:pPr>
        <w:pStyle w:val="a3"/>
        <w:spacing w:before="0" w:beforeAutospacing="0" w:after="240" w:afterAutospacing="0"/>
        <w:divId w:val="407505599"/>
        <w:rPr>
          <w:b/>
          <w:bCs/>
          <w:sz w:val="20"/>
          <w:szCs w:val="20"/>
        </w:rPr>
      </w:pPr>
      <w:r>
        <w:rPr>
          <w:b/>
          <w:bCs/>
          <w:sz w:val="20"/>
          <w:szCs w:val="20"/>
        </w:rPr>
        <w:t>Recently Issued Accounting Standards</w:t>
      </w:r>
    </w:p>
    <w:p w:rsidR="00000000" w:rsidRDefault="00DB7886">
      <w:pPr>
        <w:pStyle w:val="a3"/>
        <w:spacing w:before="0" w:beforeAutospacing="0" w:after="240" w:afterAutospacing="0"/>
        <w:ind w:firstLine="360"/>
        <w:divId w:val="407505599"/>
        <w:rPr>
          <w:sz w:val="20"/>
          <w:szCs w:val="20"/>
        </w:rPr>
      </w:pPr>
      <w:r>
        <w:rPr>
          <w:sz w:val="20"/>
          <w:szCs w:val="20"/>
        </w:rPr>
        <w:t>Refer to Note 2, “Basis of Presentation and Summary of Sign</w:t>
      </w:r>
      <w:r>
        <w:rPr>
          <w:sz w:val="20"/>
          <w:szCs w:val="20"/>
        </w:rPr>
        <w:t>ificant Accounting Policies,” to the condensed consolidated financial statements for a discussion of recent accounting pronouncements applicable to us.</w:t>
      </w:r>
    </w:p>
    <w:p w:rsidR="00000000" w:rsidRDefault="00DB7886">
      <w:pPr>
        <w:pStyle w:val="a3"/>
        <w:spacing w:before="0" w:beforeAutospacing="0" w:after="0" w:afterAutospacing="0"/>
        <w:divId w:val="407505599"/>
        <w:rPr>
          <w:sz w:val="20"/>
          <w:szCs w:val="20"/>
        </w:rPr>
      </w:pPr>
      <w:r>
        <w:rPr>
          <w:sz w:val="20"/>
          <w:szCs w:val="20"/>
        </w:rPr>
        <w:t>​</w:t>
      </w:r>
    </w:p>
    <w:p w:rsidR="00000000" w:rsidRDefault="00DB7886">
      <w:pPr>
        <w:pStyle w:val="a3"/>
        <w:spacing w:before="0" w:beforeAutospacing="0" w:after="240" w:afterAutospacing="0"/>
        <w:divId w:val="407505599"/>
        <w:rPr>
          <w:b/>
          <w:bCs/>
          <w:sz w:val="20"/>
          <w:szCs w:val="20"/>
        </w:rPr>
      </w:pPr>
      <w:r>
        <w:rPr>
          <w:b/>
          <w:bCs/>
          <w:sz w:val="20"/>
          <w:szCs w:val="20"/>
        </w:rPr>
        <w:t>Item 3. Quantitative and Qualitative Disclosures About Market Risk</w:t>
      </w:r>
    </w:p>
    <w:p w:rsidR="00000000" w:rsidRDefault="00DB7886">
      <w:pPr>
        <w:pStyle w:val="a3"/>
        <w:spacing w:before="0" w:beforeAutospacing="0" w:after="240" w:afterAutospacing="0"/>
        <w:ind w:firstLine="360"/>
        <w:divId w:val="407505599"/>
        <w:rPr>
          <w:sz w:val="20"/>
          <w:szCs w:val="20"/>
        </w:rPr>
      </w:pPr>
      <w:r>
        <w:rPr>
          <w:sz w:val="20"/>
          <w:szCs w:val="20"/>
        </w:rPr>
        <w:t>Except as discussed below, informat</w:t>
      </w:r>
      <w:r>
        <w:rPr>
          <w:sz w:val="20"/>
          <w:szCs w:val="20"/>
        </w:rPr>
        <w:t>ion about our quantitative and qualitative disclosures about market risk did not differ materially from those disclosed in our Annual Report on Form 10-K for the year ended December 31, 2020.</w:t>
      </w:r>
    </w:p>
    <w:p w:rsidR="00000000" w:rsidRDefault="00DB7886">
      <w:pPr>
        <w:pStyle w:val="a3"/>
        <w:spacing w:before="0" w:beforeAutospacing="0" w:after="240" w:afterAutospacing="0"/>
        <w:divId w:val="407505599"/>
        <w:rPr>
          <w:b/>
          <w:bCs/>
          <w:i/>
          <w:iCs/>
          <w:sz w:val="20"/>
          <w:szCs w:val="20"/>
        </w:rPr>
      </w:pPr>
      <w:r>
        <w:rPr>
          <w:b/>
          <w:bCs/>
          <w:i/>
          <w:iCs/>
          <w:sz w:val="20"/>
          <w:szCs w:val="20"/>
        </w:rPr>
        <w:t>Market Risk</w:t>
      </w:r>
    </w:p>
    <w:p w:rsidR="00000000" w:rsidRDefault="00DB7886">
      <w:pPr>
        <w:pStyle w:val="a3"/>
        <w:spacing w:before="0" w:beforeAutospacing="0" w:after="240" w:afterAutospacing="0"/>
        <w:ind w:firstLine="360"/>
        <w:divId w:val="407505599"/>
        <w:rPr>
          <w:sz w:val="20"/>
          <w:szCs w:val="20"/>
        </w:rPr>
      </w:pPr>
      <w:r>
        <w:rPr>
          <w:sz w:val="20"/>
          <w:szCs w:val="20"/>
        </w:rPr>
        <w:t>Our predominant exposure to market risk is related t</w:t>
      </w:r>
      <w:r>
        <w:rPr>
          <w:sz w:val="20"/>
          <w:szCs w:val="20"/>
        </w:rPr>
        <w:t>o our Investment segment and the sensitivities to movements in the fair value of the Investment Funds’ investments.</w:t>
      </w:r>
    </w:p>
    <w:p w:rsidR="00000000" w:rsidRDefault="00DB7886">
      <w:pPr>
        <w:pStyle w:val="a3"/>
        <w:spacing w:before="0" w:beforeAutospacing="0" w:after="240" w:afterAutospacing="0"/>
        <w:divId w:val="407505599"/>
        <w:rPr>
          <w:i/>
          <w:iCs/>
          <w:sz w:val="20"/>
          <w:szCs w:val="20"/>
        </w:rPr>
      </w:pPr>
      <w:r>
        <w:rPr>
          <w:i/>
          <w:iCs/>
          <w:sz w:val="20"/>
          <w:szCs w:val="20"/>
        </w:rPr>
        <w:t>Investment</w:t>
      </w:r>
    </w:p>
    <w:p w:rsidR="00000000" w:rsidRDefault="00DB7886">
      <w:pPr>
        <w:pStyle w:val="a3"/>
        <w:spacing w:before="0" w:beforeAutospacing="0" w:after="240" w:afterAutospacing="0"/>
        <w:ind w:firstLine="360"/>
        <w:divId w:val="407505599"/>
        <w:rPr>
          <w:sz w:val="20"/>
          <w:szCs w:val="20"/>
        </w:rPr>
      </w:pPr>
      <w:r>
        <w:rPr>
          <w:sz w:val="20"/>
          <w:szCs w:val="20"/>
        </w:rPr>
        <w:t>The fair value of the financial assets and liabilities of the Investment Funds primarily fluctuates in response to changes in the</w:t>
      </w:r>
      <w:r>
        <w:rPr>
          <w:sz w:val="20"/>
          <w:szCs w:val="20"/>
        </w:rPr>
        <w:t xml:space="preserve"> value of securities. The net effect of these fair value changes impacts the net gains from investment activities in our condensed consolidated statements of operations. The Investment Funds’ risk is regularly evaluated and is managed on a position basis a</w:t>
      </w:r>
      <w:r>
        <w:rPr>
          <w:sz w:val="20"/>
          <w:szCs w:val="20"/>
        </w:rPr>
        <w:t>s well as on a portfolio basis. Senior members of our investment team meet on a regular basis to assess and review certain risks, including concentration risk, correlation risk and credit risk for significant positions. Certain risk metrics and other analy</w:t>
      </w:r>
      <w:r>
        <w:rPr>
          <w:sz w:val="20"/>
          <w:szCs w:val="20"/>
        </w:rPr>
        <w:t>tical tools are used in the normal course of business by the Investment segment.</w:t>
      </w:r>
    </w:p>
    <w:p w:rsidR="00000000" w:rsidRDefault="00DB7886">
      <w:pPr>
        <w:pStyle w:val="a3"/>
        <w:spacing w:before="480" w:beforeAutospacing="0" w:after="0" w:afterAutospacing="0"/>
        <w:jc w:val="center"/>
        <w:divId w:val="1493258538"/>
        <w:rPr>
          <w:sz w:val="20"/>
          <w:szCs w:val="20"/>
        </w:rPr>
      </w:pPr>
      <w:r>
        <w:rPr>
          <w:sz w:val="20"/>
          <w:szCs w:val="20"/>
        </w:rPr>
        <w:t>58</w:t>
      </w:r>
    </w:p>
    <w:p w:rsidR="00000000" w:rsidRDefault="00DB7886">
      <w:pPr>
        <w:pStyle w:val="a3"/>
        <w:spacing w:before="0" w:beforeAutospacing="0" w:after="600" w:afterAutospacing="0"/>
        <w:divId w:val="838614887"/>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ind w:firstLine="360"/>
        <w:divId w:val="1912613616"/>
        <w:rPr>
          <w:sz w:val="20"/>
          <w:szCs w:val="20"/>
        </w:rPr>
      </w:pPr>
      <w:r>
        <w:rPr>
          <w:sz w:val="20"/>
          <w:szCs w:val="20"/>
        </w:rPr>
        <w:t xml:space="preserve">The Investment Funds hold investments that are reported at fair value as of the reporting date, which include securities owned, </w:t>
      </w:r>
      <w:r>
        <w:rPr>
          <w:sz w:val="20"/>
          <w:szCs w:val="20"/>
        </w:rPr>
        <w:t>securities sold, not yet purchased and derivatives as reported on our condensed consolidated balance sheets. Based on their respective balances as of September 30, 2021, we estimate that in the event of a 10% adverse change in the fair value of these inves</w:t>
      </w:r>
      <w:r>
        <w:rPr>
          <w:sz w:val="20"/>
          <w:szCs w:val="20"/>
        </w:rPr>
        <w:t>tments, the fair values of securities owned, securities sold, not yet purchased and derivatives would be negatively impacted by approximately $965 million, $496 million and $505 million, respectively. However, as of September 30, 2021, we estimate that the</w:t>
      </w:r>
      <w:r>
        <w:rPr>
          <w:sz w:val="20"/>
          <w:szCs w:val="20"/>
        </w:rPr>
        <w:t xml:space="preserve"> impact to our share of the net gain (loss) from investment activities reported in our condensed consolidated statement of operations would be less than the change in fair value since we have an interest of approximately 45% in the Investment Funds.</w:t>
      </w:r>
    </w:p>
    <w:p w:rsidR="00000000" w:rsidRDefault="00DB7886">
      <w:pPr>
        <w:pStyle w:val="a3"/>
        <w:spacing w:before="0" w:beforeAutospacing="0" w:after="240" w:afterAutospacing="0"/>
        <w:divId w:val="1912613616"/>
        <w:rPr>
          <w:b/>
          <w:bCs/>
          <w:sz w:val="20"/>
          <w:szCs w:val="20"/>
        </w:rPr>
      </w:pPr>
      <w:r>
        <w:rPr>
          <w:b/>
          <w:bCs/>
          <w:sz w:val="20"/>
          <w:szCs w:val="20"/>
        </w:rPr>
        <w:t>Item 4</w:t>
      </w:r>
      <w:r>
        <w:rPr>
          <w:b/>
          <w:bCs/>
          <w:sz w:val="20"/>
          <w:szCs w:val="20"/>
        </w:rPr>
        <w:t>. Controls and Procedures</w:t>
      </w:r>
    </w:p>
    <w:p w:rsidR="00000000" w:rsidRDefault="00DB7886">
      <w:pPr>
        <w:pStyle w:val="a3"/>
        <w:spacing w:before="0" w:beforeAutospacing="0" w:after="240" w:afterAutospacing="0"/>
        <w:ind w:firstLine="360"/>
        <w:divId w:val="1912613616"/>
        <w:rPr>
          <w:sz w:val="20"/>
          <w:szCs w:val="20"/>
        </w:rPr>
      </w:pPr>
      <w:r>
        <w:rPr>
          <w:sz w:val="20"/>
          <w:szCs w:val="20"/>
        </w:rPr>
        <w:t>As of September 30, </w:t>
      </w:r>
      <w:r>
        <w:rPr>
          <w:sz w:val="20"/>
          <w:szCs w:val="20"/>
        </w:rPr>
        <w:t>2021, our management, including our Chief Executive Officer and Chief Financial Officer, evaluated the effectiveness of the design and operation of Icahn Enterprises’ and Icahn Enterprises Holdings’ and subsidiaries’ disclosure controls and procedures purs</w:t>
      </w:r>
      <w:r>
        <w:rPr>
          <w:sz w:val="20"/>
          <w:szCs w:val="20"/>
        </w:rPr>
        <w:t xml:space="preserve">uant to the Rule 13a-15(e) and 15d-15(e) promulgated under the Exchange Act. Based upon that evaluation, our Chief Executive Officer and Chief Financial Officer concluded that our disclosure controls and procedures are effective to ensure that information </w:t>
      </w:r>
      <w:r>
        <w:rPr>
          <w:sz w:val="20"/>
          <w:szCs w:val="20"/>
        </w:rPr>
        <w:t>required to be disclosed by us in reports that we file or submit under the Exchange Act is recorded, processed, summarized and reported within the time periods specified in Securities and Exchange Commission rules and forms, and include controls and proced</w:t>
      </w:r>
      <w:r>
        <w:rPr>
          <w:sz w:val="20"/>
          <w:szCs w:val="20"/>
        </w:rPr>
        <w:t>ures designed to ensure that information required to be disclosed by us in such reports is accumulated and communicated to our management, including our Chief Executive Officer and Chief Financial Officer, as appropriate to allow timely decisions regarding</w:t>
      </w:r>
      <w:r>
        <w:rPr>
          <w:sz w:val="20"/>
          <w:szCs w:val="20"/>
        </w:rPr>
        <w:t xml:space="preserve"> required disclosure.</w:t>
      </w:r>
    </w:p>
    <w:p w:rsidR="00000000" w:rsidRDefault="00DB7886">
      <w:pPr>
        <w:pStyle w:val="a3"/>
        <w:spacing w:before="0" w:beforeAutospacing="0" w:after="240" w:afterAutospacing="0"/>
        <w:divId w:val="1912613616"/>
        <w:rPr>
          <w:sz w:val="20"/>
          <w:szCs w:val="20"/>
        </w:rPr>
      </w:pPr>
      <w:r>
        <w:rPr>
          <w:b/>
          <w:bCs/>
          <w:sz w:val="20"/>
          <w:szCs w:val="20"/>
        </w:rPr>
        <w:t>Changes in Internal Control Over Financial Reporting</w:t>
      </w:r>
    </w:p>
    <w:p w:rsidR="00000000" w:rsidRDefault="00DB7886">
      <w:pPr>
        <w:pStyle w:val="a3"/>
        <w:spacing w:before="0" w:beforeAutospacing="0" w:after="240" w:afterAutospacing="0"/>
        <w:ind w:firstLine="360"/>
        <w:divId w:val="1912613616"/>
        <w:rPr>
          <w:sz w:val="20"/>
          <w:szCs w:val="20"/>
        </w:rPr>
      </w:pPr>
      <w:r>
        <w:rPr>
          <w:sz w:val="20"/>
          <w:szCs w:val="20"/>
        </w:rPr>
        <w:t>There have been no changes in our internal control over financial reporting during the quarter ended September 30, 2021 that have materially affected, or are reasonably likely to ma</w:t>
      </w:r>
      <w:r>
        <w:rPr>
          <w:sz w:val="20"/>
          <w:szCs w:val="20"/>
        </w:rPr>
        <w:t>terially affect, our internal control over financial reporting.</w:t>
      </w:r>
    </w:p>
    <w:p w:rsidR="00000000" w:rsidRDefault="00DB7886">
      <w:pPr>
        <w:pStyle w:val="a3"/>
        <w:spacing w:before="0" w:beforeAutospacing="0" w:after="0" w:afterAutospacing="0"/>
        <w:divId w:val="1912613616"/>
        <w:rPr>
          <w:sz w:val="20"/>
          <w:szCs w:val="20"/>
        </w:rPr>
      </w:pPr>
      <w:r>
        <w:rPr>
          <w:sz w:val="20"/>
          <w:szCs w:val="20"/>
        </w:rPr>
        <w:t>​</w:t>
      </w:r>
    </w:p>
    <w:p w:rsidR="00000000" w:rsidRDefault="00DB7886">
      <w:pPr>
        <w:pStyle w:val="a3"/>
        <w:spacing w:before="480" w:beforeAutospacing="0" w:after="0" w:afterAutospacing="0"/>
        <w:jc w:val="center"/>
        <w:divId w:val="1576546201"/>
        <w:rPr>
          <w:sz w:val="20"/>
          <w:szCs w:val="20"/>
        </w:rPr>
      </w:pPr>
      <w:r>
        <w:rPr>
          <w:sz w:val="20"/>
          <w:szCs w:val="20"/>
        </w:rPr>
        <w:t>59</w:t>
      </w:r>
    </w:p>
    <w:p w:rsidR="00000000" w:rsidRDefault="00DB7886">
      <w:pPr>
        <w:pStyle w:val="a3"/>
        <w:spacing w:before="0" w:beforeAutospacing="0" w:after="600" w:afterAutospacing="0"/>
        <w:divId w:val="874392982"/>
        <w:rPr>
          <w:sz w:val="20"/>
          <w:szCs w:val="20"/>
        </w:rPr>
      </w:pPr>
      <w:hyperlink w:anchor="TOC" w:history="1">
        <w:r>
          <w:rPr>
            <w:rStyle w:val="a4"/>
            <w:sz w:val="20"/>
            <w:szCs w:val="20"/>
          </w:rPr>
          <w:t>Table of Contents</w:t>
        </w:r>
      </w:hyperlink>
    </w:p>
    <w:p w:rsidR="00000000" w:rsidRDefault="00DB7886">
      <w:pPr>
        <w:pStyle w:val="a3"/>
        <w:spacing w:before="0" w:beforeAutospacing="0" w:after="0" w:afterAutospacing="0"/>
        <w:jc w:val="center"/>
        <w:divId w:val="2011985376"/>
        <w:rPr>
          <w:b/>
          <w:bCs/>
          <w:sz w:val="20"/>
          <w:szCs w:val="20"/>
        </w:rPr>
      </w:pPr>
      <w:r>
        <w:rPr>
          <w:b/>
          <w:bCs/>
          <w:sz w:val="20"/>
          <w:szCs w:val="20"/>
        </w:rPr>
        <w:t>PART II. OTHER INFORMATION</w:t>
      </w:r>
    </w:p>
    <w:p w:rsidR="00000000" w:rsidRDefault="00DB7886">
      <w:pPr>
        <w:pStyle w:val="a3"/>
        <w:spacing w:before="0" w:beforeAutospacing="0" w:after="240" w:afterAutospacing="0"/>
        <w:divId w:val="2011985376"/>
        <w:rPr>
          <w:b/>
          <w:bCs/>
          <w:sz w:val="20"/>
          <w:szCs w:val="20"/>
        </w:rPr>
      </w:pPr>
      <w:r>
        <w:rPr>
          <w:b/>
          <w:bCs/>
          <w:sz w:val="20"/>
          <w:szCs w:val="20"/>
        </w:rPr>
        <w:t>​</w:t>
      </w:r>
    </w:p>
    <w:p w:rsidR="00000000" w:rsidRDefault="00DB7886">
      <w:pPr>
        <w:pStyle w:val="a3"/>
        <w:spacing w:before="0" w:beforeAutospacing="0" w:after="240" w:afterAutospacing="0"/>
        <w:divId w:val="2011985376"/>
        <w:rPr>
          <w:b/>
          <w:bCs/>
          <w:sz w:val="20"/>
          <w:szCs w:val="20"/>
        </w:rPr>
      </w:pPr>
      <w:r>
        <w:rPr>
          <w:b/>
          <w:bCs/>
          <w:sz w:val="20"/>
          <w:szCs w:val="20"/>
        </w:rPr>
        <w:t>Item 1. Legal Proceedings</w:t>
      </w:r>
    </w:p>
    <w:p w:rsidR="00000000" w:rsidRDefault="00DB7886">
      <w:pPr>
        <w:pStyle w:val="a3"/>
        <w:spacing w:before="0" w:beforeAutospacing="0" w:after="240" w:afterAutospacing="0"/>
        <w:ind w:firstLine="360"/>
        <w:divId w:val="2011985376"/>
        <w:rPr>
          <w:sz w:val="20"/>
          <w:szCs w:val="20"/>
        </w:rPr>
      </w:pPr>
      <w:r>
        <w:rPr>
          <w:sz w:val="20"/>
          <w:szCs w:val="20"/>
        </w:rPr>
        <w:t>We are, and will continue to be, subject to litigation from time to time in the ordinary</w:t>
      </w:r>
      <w:r>
        <w:rPr>
          <w:sz w:val="20"/>
          <w:szCs w:val="20"/>
        </w:rPr>
        <w:t xml:space="preserve"> course of business. Refer to Note 16, “Commitments and Contingencies” to the condensed consolidated financial statements, which is incorporated by reference into this Part II, Item 1 of this Report, for information regarding our lawsuits and proceedings. </w:t>
      </w:r>
      <w:r>
        <w:rPr>
          <w:sz w:val="20"/>
          <w:szCs w:val="20"/>
        </w:rPr>
        <w:t>Except for the lawsuits and proceedings disclosed in Note 16, there were no material changes to our lawsuits and proceedings as compared to those reported in our Annual Report on Form 10-K for the year ended December 31, 2020.</w:t>
      </w:r>
    </w:p>
    <w:p w:rsidR="00000000" w:rsidRDefault="00DB7886">
      <w:pPr>
        <w:pStyle w:val="a3"/>
        <w:spacing w:before="0" w:beforeAutospacing="0" w:after="240" w:afterAutospacing="0"/>
        <w:divId w:val="2011985376"/>
        <w:rPr>
          <w:b/>
          <w:bCs/>
          <w:sz w:val="20"/>
          <w:szCs w:val="20"/>
        </w:rPr>
      </w:pPr>
      <w:r>
        <w:rPr>
          <w:b/>
          <w:bCs/>
          <w:sz w:val="20"/>
          <w:szCs w:val="20"/>
        </w:rPr>
        <w:t>Item 1A. Risk Factors</w:t>
      </w:r>
    </w:p>
    <w:p w:rsidR="00000000" w:rsidRDefault="00DB7886">
      <w:pPr>
        <w:pStyle w:val="a3"/>
        <w:spacing w:before="0" w:beforeAutospacing="0" w:after="240" w:afterAutospacing="0"/>
        <w:ind w:firstLine="360"/>
        <w:divId w:val="2011985376"/>
        <w:rPr>
          <w:sz w:val="20"/>
          <w:szCs w:val="20"/>
        </w:rPr>
      </w:pPr>
      <w:r>
        <w:rPr>
          <w:sz w:val="20"/>
          <w:szCs w:val="20"/>
        </w:rPr>
        <w:t>There w</w:t>
      </w:r>
      <w:r>
        <w:rPr>
          <w:sz w:val="20"/>
          <w:szCs w:val="20"/>
        </w:rPr>
        <w:t xml:space="preserve">ere no material changes to our risk factors during the nine months ended September 30, 2021 as compared to those reported in our Annual Report on Form 10-K for the year ended December 31, 2020. </w:t>
      </w:r>
    </w:p>
    <w:p w:rsidR="00000000" w:rsidRDefault="00DB7886">
      <w:pPr>
        <w:pStyle w:val="a3"/>
        <w:spacing w:before="0" w:beforeAutospacing="0" w:after="240" w:afterAutospacing="0"/>
        <w:divId w:val="2011985376"/>
        <w:rPr>
          <w:b/>
          <w:bCs/>
          <w:sz w:val="20"/>
          <w:szCs w:val="20"/>
        </w:rPr>
      </w:pPr>
      <w:r>
        <w:rPr>
          <w:b/>
          <w:bCs/>
          <w:sz w:val="20"/>
          <w:szCs w:val="20"/>
        </w:rPr>
        <w:t>Item 2. Unregistered Sales of Equity Securities and Use or Pr</w:t>
      </w:r>
      <w:r>
        <w:rPr>
          <w:b/>
          <w:bCs/>
          <w:sz w:val="20"/>
          <w:szCs w:val="20"/>
        </w:rPr>
        <w:t>oceeds</w:t>
      </w:r>
    </w:p>
    <w:p w:rsidR="00000000" w:rsidRDefault="00DB7886">
      <w:pPr>
        <w:pStyle w:val="a3"/>
        <w:spacing w:before="0" w:beforeAutospacing="0" w:after="240" w:afterAutospacing="0"/>
        <w:divId w:val="2011985376"/>
        <w:rPr>
          <w:sz w:val="20"/>
          <w:szCs w:val="20"/>
        </w:rPr>
      </w:pPr>
      <w:r>
        <w:rPr>
          <w:b/>
          <w:bCs/>
          <w:sz w:val="20"/>
          <w:szCs w:val="20"/>
        </w:rPr>
        <w:t>Purchases of Equity Securities by the Issuer and Affiliated Purchasers</w:t>
      </w:r>
    </w:p>
    <w:p w:rsidR="00000000" w:rsidRDefault="00DB7886">
      <w:pPr>
        <w:pStyle w:val="a3"/>
        <w:spacing w:before="0" w:beforeAutospacing="0" w:after="240" w:afterAutospacing="0"/>
        <w:ind w:firstLine="360"/>
        <w:divId w:val="2011985376"/>
        <w:rPr>
          <w:sz w:val="20"/>
          <w:szCs w:val="20"/>
        </w:rPr>
      </w:pPr>
      <w:r>
        <w:rPr>
          <w:sz w:val="20"/>
          <w:szCs w:val="20"/>
        </w:rPr>
        <w:t>We do not have a publicly announced repurchase plan or program in effect. The table below summarizes other repurchases of our depositary units during the quarter ended September 30, 2021, all of which represent units withheld to pay taxes on the vesting of</w:t>
      </w:r>
      <w:r>
        <w:rPr>
          <w:sz w:val="20"/>
          <w:szCs w:val="20"/>
        </w:rPr>
        <w:t xml:space="preserve"> restricted depositary units.</w:t>
      </w:r>
    </w:p>
    <w:tbl>
      <w:tblPr>
        <w:tblW w:w="5000" w:type="pct"/>
        <w:tblCellMar>
          <w:top w:w="15" w:type="dxa"/>
          <w:left w:w="0" w:type="dxa"/>
          <w:bottom w:w="15" w:type="dxa"/>
          <w:right w:w="0" w:type="dxa"/>
        </w:tblCellMar>
        <w:tblLook w:val="04A0" w:firstRow="1" w:lastRow="0" w:firstColumn="1" w:lastColumn="0" w:noHBand="0" w:noVBand="1"/>
      </w:tblPr>
      <w:tblGrid>
        <w:gridCol w:w="2550"/>
        <w:gridCol w:w="136"/>
        <w:gridCol w:w="1154"/>
        <w:gridCol w:w="180"/>
        <w:gridCol w:w="102"/>
        <w:gridCol w:w="983"/>
        <w:gridCol w:w="180"/>
        <w:gridCol w:w="108"/>
        <w:gridCol w:w="1637"/>
        <w:gridCol w:w="180"/>
        <w:gridCol w:w="128"/>
        <w:gridCol w:w="1782"/>
      </w:tblGrid>
      <w:tr w:rsidR="00000000">
        <w:trPr>
          <w:divId w:val="2011985376"/>
          <w:trHeight w:val="20"/>
        </w:trPr>
        <w:tc>
          <w:tcPr>
            <w:tcW w:w="131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2244315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689217856"/>
              <w:rPr>
                <w:sz w:val="20"/>
                <w:szCs w:val="20"/>
              </w:rPr>
            </w:pPr>
            <w:r>
              <w:rPr>
                <w:sz w:val="2"/>
                <w:szCs w:val="2"/>
              </w:rPr>
              <w:t>​</w:t>
            </w:r>
          </w:p>
        </w:tc>
        <w:tc>
          <w:tcPr>
            <w:tcW w:w="59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96778316"/>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72263096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758675041"/>
              <w:rPr>
                <w:sz w:val="20"/>
                <w:szCs w:val="20"/>
              </w:rPr>
            </w:pPr>
            <w:r>
              <w:rPr>
                <w:sz w:val="2"/>
                <w:szCs w:val="2"/>
              </w:rPr>
              <w:t>​</w:t>
            </w:r>
          </w:p>
        </w:tc>
        <w:tc>
          <w:tcPr>
            <w:tcW w:w="600"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04047688"/>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6165924"/>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2055275223"/>
              <w:rPr>
                <w:sz w:val="20"/>
                <w:szCs w:val="20"/>
              </w:rPr>
            </w:pPr>
            <w:r>
              <w:rPr>
                <w:sz w:val="2"/>
                <w:szCs w:val="2"/>
              </w:rPr>
              <w:t>​</w:t>
            </w:r>
          </w:p>
        </w:tc>
        <w:tc>
          <w:tcPr>
            <w:tcW w:w="95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311060472"/>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96569859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1277905554"/>
              <w:rPr>
                <w:sz w:val="20"/>
                <w:szCs w:val="20"/>
              </w:rPr>
            </w:pPr>
            <w:r>
              <w:rPr>
                <w:sz w:val="2"/>
                <w:szCs w:val="2"/>
              </w:rPr>
              <w:t>​</w:t>
            </w:r>
          </w:p>
        </w:tc>
        <w:tc>
          <w:tcPr>
            <w:tcW w:w="952" w:type="pct"/>
            <w:noWrap/>
            <w:tcMar>
              <w:top w:w="0" w:type="dxa"/>
              <w:left w:w="0" w:type="dxa"/>
              <w:bottom w:w="0" w:type="dxa"/>
              <w:right w:w="0" w:type="dxa"/>
            </w:tcMar>
            <w:vAlign w:val="bottom"/>
            <w:hideMark/>
          </w:tcPr>
          <w:p w:rsidR="00000000" w:rsidRDefault="00DB7886">
            <w:pPr>
              <w:pStyle w:val="a3"/>
              <w:spacing w:before="0" w:beforeAutospacing="0" w:after="0" w:afterAutospacing="0"/>
              <w:divId w:val="303202024"/>
              <w:rPr>
                <w:sz w:val="20"/>
                <w:szCs w:val="20"/>
              </w:rPr>
            </w:pPr>
            <w:r>
              <w:rPr>
                <w:sz w:val="2"/>
                <w:szCs w:val="2"/>
              </w:rPr>
              <w:t>​</w:t>
            </w:r>
          </w:p>
        </w:tc>
      </w:tr>
      <w:tr w:rsidR="00000000">
        <w:trPr>
          <w:divId w:val="2011985376"/>
        </w:trPr>
        <w:tc>
          <w:tcPr>
            <w:tcW w:w="131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Calibri" w:hAnsi="Calibri" w:cs="Calibri"/>
                <w:sz w:val="18"/>
                <w:szCs w:val="18"/>
              </w:rPr>
              <w:t>​</w:t>
            </w:r>
          </w:p>
        </w:tc>
        <w:tc>
          <w:tcPr>
            <w:tcW w:w="7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59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Calibri" w:hAnsi="Calibri" w:cs="Calibri"/>
                <w:sz w:val="18"/>
                <w:szCs w:val="18"/>
              </w:rPr>
              <w:t>​</w:t>
            </w:r>
          </w:p>
        </w:tc>
        <w:tc>
          <w:tcPr>
            <w:tcW w:w="10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60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Calibri" w:hAnsi="Calibri" w:cs="Calibri"/>
                <w:sz w:val="18"/>
                <w:szCs w:val="18"/>
              </w:rPr>
              <w:t>​</w:t>
            </w:r>
          </w:p>
        </w:tc>
        <w:tc>
          <w:tcPr>
            <w:tcW w:w="10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6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95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Calibri" w:hAnsi="Calibri" w:cs="Calibri"/>
                <w:sz w:val="18"/>
                <w:szCs w:val="18"/>
              </w:rPr>
              <w:t>​</w:t>
            </w:r>
          </w:p>
        </w:tc>
        <w:tc>
          <w:tcPr>
            <w:tcW w:w="10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1020"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8"/>
                <w:szCs w:val="18"/>
              </w:rPr>
            </w:pPr>
            <w:r>
              <w:rPr>
                <w:b/>
                <w:bCs/>
                <w:sz w:val="18"/>
                <w:szCs w:val="18"/>
              </w:rPr>
              <w:t>Maximum Number</w:t>
            </w:r>
          </w:p>
        </w:tc>
      </w:tr>
      <w:tr w:rsidR="00000000">
        <w:trPr>
          <w:divId w:val="2011985376"/>
        </w:trPr>
        <w:tc>
          <w:tcPr>
            <w:tcW w:w="131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Calibri" w:hAnsi="Calibri" w:cs="Calibri"/>
                <w:sz w:val="18"/>
                <w:szCs w:val="18"/>
              </w:rPr>
              <w:t>​</w:t>
            </w:r>
          </w:p>
        </w:tc>
        <w:tc>
          <w:tcPr>
            <w:tcW w:w="7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59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10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60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10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1021"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8"/>
                <w:szCs w:val="18"/>
              </w:rPr>
            </w:pPr>
            <w:r>
              <w:rPr>
                <w:b/>
                <w:bCs/>
                <w:sz w:val="18"/>
                <w:szCs w:val="18"/>
              </w:rPr>
              <w:t>Total Number of Units</w:t>
            </w:r>
          </w:p>
        </w:tc>
        <w:tc>
          <w:tcPr>
            <w:tcW w:w="10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1020"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8"/>
                <w:szCs w:val="18"/>
              </w:rPr>
            </w:pPr>
            <w:r>
              <w:rPr>
                <w:b/>
                <w:bCs/>
                <w:sz w:val="18"/>
                <w:szCs w:val="18"/>
              </w:rPr>
              <w:t>(or Approximate Dollar</w:t>
            </w:r>
          </w:p>
        </w:tc>
      </w:tr>
      <w:tr w:rsidR="00000000">
        <w:trPr>
          <w:divId w:val="2011985376"/>
        </w:trPr>
        <w:tc>
          <w:tcPr>
            <w:tcW w:w="131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Calibri" w:hAnsi="Calibri" w:cs="Calibri"/>
                <w:sz w:val="18"/>
                <w:szCs w:val="18"/>
              </w:rPr>
              <w:t>​</w:t>
            </w:r>
          </w:p>
        </w:tc>
        <w:tc>
          <w:tcPr>
            <w:tcW w:w="7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59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10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60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10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1021"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8"/>
                <w:szCs w:val="18"/>
              </w:rPr>
            </w:pPr>
            <w:r>
              <w:rPr>
                <w:b/>
                <w:bCs/>
                <w:sz w:val="18"/>
                <w:szCs w:val="18"/>
              </w:rPr>
              <w:t>Purchased as Part of</w:t>
            </w:r>
          </w:p>
        </w:tc>
        <w:tc>
          <w:tcPr>
            <w:tcW w:w="10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1020"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8"/>
                <w:szCs w:val="18"/>
              </w:rPr>
            </w:pPr>
            <w:r>
              <w:rPr>
                <w:b/>
                <w:bCs/>
                <w:sz w:val="18"/>
                <w:szCs w:val="18"/>
              </w:rPr>
              <w:t xml:space="preserve">Value) of Units that May </w:t>
            </w:r>
          </w:p>
        </w:tc>
      </w:tr>
      <w:tr w:rsidR="00000000">
        <w:trPr>
          <w:divId w:val="2011985376"/>
        </w:trPr>
        <w:tc>
          <w:tcPr>
            <w:tcW w:w="131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Calibri" w:hAnsi="Calibri" w:cs="Calibri"/>
                <w:sz w:val="18"/>
                <w:szCs w:val="18"/>
              </w:rPr>
              <w:t>​</w:t>
            </w:r>
          </w:p>
        </w:tc>
        <w:tc>
          <w:tcPr>
            <w:tcW w:w="664"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8"/>
                <w:szCs w:val="18"/>
              </w:rPr>
            </w:pPr>
            <w:r>
              <w:rPr>
                <w:b/>
                <w:bCs/>
                <w:sz w:val="18"/>
                <w:szCs w:val="18"/>
              </w:rPr>
              <w:t>Number of Units</w:t>
            </w:r>
          </w:p>
        </w:tc>
        <w:tc>
          <w:tcPr>
            <w:tcW w:w="10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8"/>
                <w:szCs w:val="18"/>
              </w:rPr>
              <w:t>​</w:t>
            </w:r>
          </w:p>
        </w:tc>
        <w:tc>
          <w:tcPr>
            <w:tcW w:w="663"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8"/>
                <w:szCs w:val="18"/>
              </w:rPr>
            </w:pPr>
            <w:r>
              <w:rPr>
                <w:b/>
                <w:bCs/>
                <w:sz w:val="18"/>
                <w:szCs w:val="18"/>
              </w:rPr>
              <w:t>Average Price</w:t>
            </w:r>
          </w:p>
        </w:tc>
        <w:tc>
          <w:tcPr>
            <w:tcW w:w="10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8"/>
                <w:szCs w:val="18"/>
              </w:rPr>
              <w:t>​</w:t>
            </w:r>
          </w:p>
        </w:tc>
        <w:tc>
          <w:tcPr>
            <w:tcW w:w="1021"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8"/>
                <w:szCs w:val="18"/>
              </w:rPr>
            </w:pPr>
            <w:r>
              <w:rPr>
                <w:b/>
                <w:bCs/>
                <w:sz w:val="18"/>
                <w:szCs w:val="18"/>
              </w:rPr>
              <w:t>Publicly Announced</w:t>
            </w:r>
          </w:p>
        </w:tc>
        <w:tc>
          <w:tcPr>
            <w:tcW w:w="10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b/>
                <w:bCs/>
                <w:sz w:val="18"/>
                <w:szCs w:val="18"/>
              </w:rPr>
              <w:t>​</w:t>
            </w:r>
          </w:p>
        </w:tc>
        <w:tc>
          <w:tcPr>
            <w:tcW w:w="1020" w:type="pct"/>
            <w:gridSpan w:val="2"/>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8"/>
                <w:szCs w:val="18"/>
              </w:rPr>
            </w:pPr>
            <w:r>
              <w:rPr>
                <w:b/>
                <w:bCs/>
                <w:sz w:val="18"/>
                <w:szCs w:val="18"/>
              </w:rPr>
              <w:t>be Purchased Under the</w:t>
            </w:r>
          </w:p>
        </w:tc>
      </w:tr>
      <w:tr w:rsidR="00000000">
        <w:trPr>
          <w:divId w:val="2011985376"/>
        </w:trPr>
        <w:tc>
          <w:tcPr>
            <w:tcW w:w="131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rFonts w:ascii="Calibri" w:hAnsi="Calibri" w:cs="Calibri"/>
                <w:sz w:val="18"/>
                <w:szCs w:val="18"/>
              </w:rPr>
              <w:t>​</w:t>
            </w:r>
          </w:p>
        </w:tc>
        <w:tc>
          <w:tcPr>
            <w:tcW w:w="664"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8"/>
                <w:szCs w:val="18"/>
              </w:rPr>
            </w:pPr>
            <w:r>
              <w:rPr>
                <w:b/>
                <w:bCs/>
                <w:sz w:val="18"/>
                <w:szCs w:val="18"/>
              </w:rPr>
              <w:t>Repurchased</w:t>
            </w:r>
          </w:p>
        </w:tc>
        <w:tc>
          <w:tcPr>
            <w:tcW w:w="10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8"/>
                <w:szCs w:val="18"/>
              </w:rPr>
            </w:pPr>
            <w:r>
              <w:rPr>
                <w:b/>
                <w:bCs/>
                <w:sz w:val="18"/>
                <w:szCs w:val="18"/>
              </w:rPr>
              <w:t>    </w:t>
            </w:r>
          </w:p>
        </w:tc>
        <w:tc>
          <w:tcPr>
            <w:tcW w:w="663"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8"/>
                <w:szCs w:val="18"/>
              </w:rPr>
            </w:pPr>
            <w:r>
              <w:rPr>
                <w:b/>
                <w:bCs/>
                <w:sz w:val="18"/>
                <w:szCs w:val="18"/>
              </w:rPr>
              <w:t>Per Unit</w:t>
            </w:r>
          </w:p>
        </w:tc>
        <w:tc>
          <w:tcPr>
            <w:tcW w:w="10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8"/>
                <w:szCs w:val="18"/>
              </w:rPr>
            </w:pPr>
            <w:r>
              <w:rPr>
                <w:b/>
                <w:bCs/>
                <w:sz w:val="18"/>
                <w:szCs w:val="18"/>
              </w:rPr>
              <w:t>    </w:t>
            </w:r>
          </w:p>
        </w:tc>
        <w:tc>
          <w:tcPr>
            <w:tcW w:w="1021"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8"/>
                <w:szCs w:val="18"/>
              </w:rPr>
            </w:pPr>
            <w:r>
              <w:rPr>
                <w:b/>
                <w:bCs/>
                <w:sz w:val="18"/>
                <w:szCs w:val="18"/>
              </w:rPr>
              <w:t>Plans or Programs</w:t>
            </w:r>
          </w:p>
        </w:tc>
        <w:tc>
          <w:tcPr>
            <w:tcW w:w="10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8"/>
                <w:szCs w:val="18"/>
              </w:rPr>
            </w:pPr>
            <w:r>
              <w:rPr>
                <w:b/>
                <w:bCs/>
                <w:sz w:val="18"/>
                <w:szCs w:val="18"/>
              </w:rPr>
              <w:t>    </w:t>
            </w:r>
          </w:p>
        </w:tc>
        <w:tc>
          <w:tcPr>
            <w:tcW w:w="1020" w:type="pct"/>
            <w:gridSpan w:val="2"/>
            <w:tcBorders>
              <w:bottom w:val="single" w:sz="6" w:space="0" w:color="000000"/>
            </w:tcBorders>
            <w:noWrap/>
            <w:tcMar>
              <w:top w:w="0" w:type="dxa"/>
              <w:left w:w="0" w:type="dxa"/>
              <w:bottom w:w="0" w:type="dxa"/>
              <w:right w:w="0" w:type="dxa"/>
            </w:tcMar>
            <w:vAlign w:val="bottom"/>
            <w:hideMark/>
          </w:tcPr>
          <w:p w:rsidR="00000000" w:rsidRDefault="00DB7886">
            <w:pPr>
              <w:pStyle w:val="a3"/>
              <w:spacing w:before="0" w:beforeAutospacing="0" w:after="0" w:afterAutospacing="0"/>
              <w:jc w:val="center"/>
              <w:rPr>
                <w:sz w:val="18"/>
                <w:szCs w:val="18"/>
              </w:rPr>
            </w:pPr>
            <w:r>
              <w:rPr>
                <w:b/>
                <w:bCs/>
                <w:sz w:val="18"/>
                <w:szCs w:val="18"/>
              </w:rPr>
              <w:t>Plans or Programs</w:t>
            </w:r>
          </w:p>
        </w:tc>
      </w:tr>
      <w:tr w:rsidR="00000000">
        <w:trPr>
          <w:divId w:val="2011985376"/>
        </w:trPr>
        <w:tc>
          <w:tcPr>
            <w:tcW w:w="131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8"/>
                <w:szCs w:val="18"/>
              </w:rPr>
            </w:pPr>
            <w:r>
              <w:rPr>
                <w:sz w:val="18"/>
                <w:szCs w:val="18"/>
              </w:rPr>
              <w:t>July 1 through July 31</w:t>
            </w:r>
          </w:p>
        </w:tc>
        <w:tc>
          <w:tcPr>
            <w:tcW w:w="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5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8"/>
                <w:szCs w:val="18"/>
              </w:rPr>
            </w:pPr>
            <w:r>
              <w:rPr>
                <w:sz w:val="18"/>
                <w:szCs w:val="18"/>
              </w:rPr>
              <w:t>—</w:t>
            </w:r>
          </w:p>
        </w:tc>
        <w:tc>
          <w:tcPr>
            <w:tcW w:w="10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8"/>
                <w:szCs w:val="18"/>
              </w:rPr>
            </w:pPr>
            <w:r>
              <w:rPr>
                <w:sz w:val="18"/>
                <w:szCs w:val="18"/>
              </w:rPr>
              <w:t>$</w:t>
            </w:r>
          </w:p>
        </w:tc>
        <w:tc>
          <w:tcPr>
            <w:tcW w:w="60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8"/>
                <w:szCs w:val="18"/>
              </w:rPr>
            </w:pPr>
            <w:r>
              <w:rPr>
                <w:sz w:val="18"/>
                <w:szCs w:val="18"/>
              </w:rPr>
              <w:t>—</w:t>
            </w:r>
          </w:p>
        </w:tc>
        <w:tc>
          <w:tcPr>
            <w:tcW w:w="1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95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8"/>
                <w:szCs w:val="18"/>
              </w:rPr>
            </w:pPr>
            <w:r>
              <w:rPr>
                <w:sz w:val="18"/>
                <w:szCs w:val="18"/>
              </w:rPr>
              <w:t>—</w:t>
            </w:r>
          </w:p>
        </w:tc>
        <w:tc>
          <w:tcPr>
            <w:tcW w:w="10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9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8"/>
                <w:szCs w:val="18"/>
              </w:rPr>
            </w:pPr>
            <w:r>
              <w:rPr>
                <w:sz w:val="18"/>
                <w:szCs w:val="18"/>
              </w:rPr>
              <w:t>—</w:t>
            </w:r>
          </w:p>
        </w:tc>
      </w:tr>
      <w:tr w:rsidR="00000000">
        <w:trPr>
          <w:divId w:val="2011985376"/>
        </w:trPr>
        <w:tc>
          <w:tcPr>
            <w:tcW w:w="131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8"/>
                <w:szCs w:val="18"/>
              </w:rPr>
            </w:pPr>
            <w:r>
              <w:rPr>
                <w:sz w:val="18"/>
                <w:szCs w:val="18"/>
              </w:rPr>
              <w:t>August 1 through August 31</w:t>
            </w:r>
          </w:p>
        </w:tc>
        <w:tc>
          <w:tcPr>
            <w:tcW w:w="70"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593"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8"/>
                <w:szCs w:val="18"/>
              </w:rPr>
            </w:pPr>
            <w:r>
              <w:rPr>
                <w:sz w:val="18"/>
                <w:szCs w:val="18"/>
              </w:rPr>
              <w:t>—</w:t>
            </w:r>
          </w:p>
        </w:tc>
        <w:tc>
          <w:tcPr>
            <w:tcW w:w="104"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18"/>
                <w:szCs w:val="18"/>
              </w:rPr>
            </w:pPr>
            <w:r>
              <w:rPr>
                <w:sz w:val="18"/>
                <w:szCs w:val="18"/>
              </w:rPr>
              <w:t>$</w:t>
            </w:r>
          </w:p>
        </w:tc>
        <w:tc>
          <w:tcPr>
            <w:tcW w:w="600"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8"/>
                <w:szCs w:val="18"/>
              </w:rPr>
            </w:pPr>
            <w:r>
              <w:rPr>
                <w:sz w:val="18"/>
                <w:szCs w:val="18"/>
              </w:rPr>
              <w:t>—</w:t>
            </w:r>
          </w:p>
        </w:tc>
        <w:tc>
          <w:tcPr>
            <w:tcW w:w="105"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63"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958"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8"/>
                <w:szCs w:val="18"/>
              </w:rPr>
            </w:pPr>
            <w:r>
              <w:rPr>
                <w:sz w:val="18"/>
                <w:szCs w:val="18"/>
              </w:rPr>
              <w:t>—</w:t>
            </w:r>
          </w:p>
        </w:tc>
        <w:tc>
          <w:tcPr>
            <w:tcW w:w="106"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952" w:type="pct"/>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8"/>
                <w:szCs w:val="18"/>
              </w:rPr>
            </w:pPr>
            <w:r>
              <w:rPr>
                <w:sz w:val="18"/>
                <w:szCs w:val="18"/>
              </w:rPr>
              <w:t>—</w:t>
            </w:r>
          </w:p>
        </w:tc>
      </w:tr>
      <w:tr w:rsidR="00000000">
        <w:trPr>
          <w:divId w:val="2011985376"/>
        </w:trPr>
        <w:tc>
          <w:tcPr>
            <w:tcW w:w="131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8"/>
                <w:szCs w:val="18"/>
              </w:rPr>
            </w:pPr>
            <w:r>
              <w:rPr>
                <w:sz w:val="18"/>
                <w:szCs w:val="18"/>
              </w:rPr>
              <w:t>September 1 through September 30</w:t>
            </w:r>
          </w:p>
        </w:tc>
        <w:tc>
          <w:tcPr>
            <w:tcW w:w="7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59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8"/>
                <w:szCs w:val="18"/>
              </w:rPr>
            </w:pPr>
            <w:r>
              <w:rPr>
                <w:sz w:val="18"/>
                <w:szCs w:val="18"/>
              </w:rPr>
              <w:t>15,68</w:t>
            </w:r>
            <w:r>
              <w:rPr>
                <w:sz w:val="18"/>
                <w:szCs w:val="18"/>
              </w:rPr>
              <w:t>8</w:t>
            </w:r>
          </w:p>
        </w:tc>
        <w:tc>
          <w:tcPr>
            <w:tcW w:w="104"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18"/>
                <w:szCs w:val="18"/>
              </w:rPr>
            </w:pPr>
            <w:r>
              <w:rPr>
                <w:sz w:val="18"/>
                <w:szCs w:val="18"/>
              </w:rPr>
              <w:t>$</w:t>
            </w:r>
          </w:p>
        </w:tc>
        <w:tc>
          <w:tcPr>
            <w:tcW w:w="600"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8"/>
                <w:szCs w:val="18"/>
              </w:rPr>
            </w:pPr>
            <w:r>
              <w:rPr>
                <w:sz w:val="18"/>
                <w:szCs w:val="18"/>
              </w:rPr>
              <w:t>50.0</w:t>
            </w:r>
            <w:r>
              <w:rPr>
                <w:sz w:val="18"/>
                <w:szCs w:val="18"/>
              </w:rPr>
              <w:t>5</w:t>
            </w:r>
          </w:p>
        </w:tc>
        <w:tc>
          <w:tcPr>
            <w:tcW w:w="105"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95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8"/>
                <w:szCs w:val="18"/>
              </w:rPr>
            </w:pPr>
            <w:r>
              <w:rPr>
                <w:sz w:val="18"/>
                <w:szCs w:val="18"/>
              </w:rPr>
              <w:t>—</w:t>
            </w:r>
          </w:p>
        </w:tc>
        <w:tc>
          <w:tcPr>
            <w:tcW w:w="106"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18"/>
                <w:szCs w:val="18"/>
              </w:rPr>
              <w:t>​</w:t>
            </w:r>
          </w:p>
        </w:tc>
        <w:tc>
          <w:tcPr>
            <w:tcW w:w="952" w:type="pct"/>
            <w:shd w:val="clear" w:color="auto" w:fill="CCEEFF"/>
            <w:noWrap/>
            <w:tcMar>
              <w:top w:w="0" w:type="dxa"/>
              <w:left w:w="0" w:type="dxa"/>
              <w:bottom w:w="0" w:type="dxa"/>
              <w:right w:w="0" w:type="dxa"/>
            </w:tcMar>
            <w:vAlign w:val="bottom"/>
            <w:hideMark/>
          </w:tcPr>
          <w:p w:rsidR="00000000" w:rsidRDefault="00DB7886">
            <w:pPr>
              <w:pStyle w:val="a3"/>
              <w:spacing w:before="0" w:beforeAutospacing="0" w:after="0" w:afterAutospacing="0"/>
              <w:ind w:right="60"/>
              <w:jc w:val="right"/>
              <w:rPr>
                <w:sz w:val="18"/>
                <w:szCs w:val="18"/>
              </w:rPr>
            </w:pPr>
            <w:r>
              <w:rPr>
                <w:sz w:val="18"/>
                <w:szCs w:val="18"/>
              </w:rPr>
              <w:t>—</w:t>
            </w:r>
          </w:p>
        </w:tc>
      </w:tr>
    </w:tbl>
    <w:p w:rsidR="00000000" w:rsidRDefault="00DB7886">
      <w:pPr>
        <w:pStyle w:val="a3"/>
        <w:spacing w:before="0" w:beforeAutospacing="0" w:after="0" w:afterAutospacing="0"/>
        <w:divId w:val="2011985376"/>
        <w:rPr>
          <w:sz w:val="20"/>
          <w:szCs w:val="20"/>
        </w:rPr>
      </w:pPr>
      <w:r>
        <w:rPr>
          <w:sz w:val="20"/>
          <w:szCs w:val="20"/>
        </w:rPr>
        <w:t>​</w:t>
      </w:r>
    </w:p>
    <w:p w:rsidR="00000000" w:rsidRDefault="00DB7886">
      <w:pPr>
        <w:pStyle w:val="a3"/>
        <w:spacing w:before="480" w:beforeAutospacing="0" w:after="0" w:afterAutospacing="0"/>
        <w:jc w:val="center"/>
        <w:divId w:val="1039276888"/>
        <w:rPr>
          <w:sz w:val="20"/>
          <w:szCs w:val="20"/>
        </w:rPr>
      </w:pPr>
      <w:r>
        <w:rPr>
          <w:sz w:val="20"/>
          <w:szCs w:val="20"/>
        </w:rPr>
        <w:t>60</w:t>
      </w:r>
    </w:p>
    <w:p w:rsidR="00000000" w:rsidRDefault="00DB7886">
      <w:pPr>
        <w:pStyle w:val="a3"/>
        <w:spacing w:before="0" w:beforeAutospacing="0" w:after="600" w:afterAutospacing="0"/>
        <w:divId w:val="1682318733"/>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divId w:val="232157643"/>
        <w:rPr>
          <w:b/>
          <w:bCs/>
          <w:sz w:val="20"/>
          <w:szCs w:val="20"/>
        </w:rPr>
      </w:pPr>
      <w:r>
        <w:rPr>
          <w:b/>
          <w:bCs/>
          <w:sz w:val="20"/>
          <w:szCs w:val="20"/>
        </w:rPr>
        <w:t xml:space="preserve">Item 6. Exhibits </w:t>
      </w:r>
    </w:p>
    <w:tbl>
      <w:tblPr>
        <w:tblW w:w="5000" w:type="pct"/>
        <w:tblCellMar>
          <w:top w:w="15" w:type="dxa"/>
          <w:left w:w="15" w:type="dxa"/>
          <w:bottom w:w="15" w:type="dxa"/>
          <w:right w:w="15" w:type="dxa"/>
        </w:tblCellMar>
        <w:tblLook w:val="04A0" w:firstRow="1" w:lastRow="0" w:firstColumn="1" w:lastColumn="0" w:noHBand="0" w:noVBand="1"/>
      </w:tblPr>
      <w:tblGrid>
        <w:gridCol w:w="1085"/>
        <w:gridCol w:w="240"/>
        <w:gridCol w:w="6981"/>
      </w:tblGrid>
      <w:tr w:rsidR="00000000">
        <w:trPr>
          <w:divId w:val="232157643"/>
          <w:trHeight w:val="20"/>
        </w:trPr>
        <w:tc>
          <w:tcPr>
            <w:tcW w:w="563" w:type="pct"/>
            <w:tcMar>
              <w:top w:w="0" w:type="dxa"/>
              <w:left w:w="53" w:type="dxa"/>
              <w:bottom w:w="0" w:type="dxa"/>
              <w:right w:w="53" w:type="dxa"/>
            </w:tcMar>
            <w:vAlign w:val="bottom"/>
            <w:hideMark/>
          </w:tcPr>
          <w:p w:rsidR="00000000" w:rsidRDefault="00DB7886">
            <w:pPr>
              <w:pStyle w:val="a3"/>
              <w:spacing w:before="0" w:beforeAutospacing="0" w:after="0" w:afterAutospacing="0"/>
              <w:divId w:val="502862246"/>
              <w:rPr>
                <w:sz w:val="20"/>
                <w:szCs w:val="20"/>
              </w:rPr>
            </w:pPr>
            <w:r>
              <w:rPr>
                <w:sz w:val="2"/>
                <w:szCs w:val="2"/>
              </w:rPr>
              <w:t>​</w:t>
            </w:r>
          </w:p>
        </w:tc>
        <w:tc>
          <w:tcPr>
            <w:tcW w:w="131" w:type="pct"/>
            <w:tcMar>
              <w:top w:w="0" w:type="dxa"/>
              <w:left w:w="0" w:type="dxa"/>
              <w:bottom w:w="0" w:type="dxa"/>
              <w:right w:w="0" w:type="dxa"/>
            </w:tcMar>
            <w:vAlign w:val="bottom"/>
            <w:hideMark/>
          </w:tcPr>
          <w:p w:rsidR="00000000" w:rsidRDefault="00DB7886">
            <w:pPr>
              <w:pStyle w:val="a3"/>
              <w:spacing w:before="0" w:beforeAutospacing="0" w:after="0" w:afterAutospacing="0"/>
              <w:divId w:val="1067532503"/>
              <w:rPr>
                <w:sz w:val="20"/>
                <w:szCs w:val="20"/>
              </w:rPr>
            </w:pPr>
            <w:r>
              <w:rPr>
                <w:sz w:val="2"/>
                <w:szCs w:val="2"/>
              </w:rPr>
              <w:t>​</w:t>
            </w:r>
          </w:p>
        </w:tc>
        <w:tc>
          <w:tcPr>
            <w:tcW w:w="4304" w:type="pct"/>
            <w:tcMar>
              <w:top w:w="0" w:type="dxa"/>
              <w:left w:w="53" w:type="dxa"/>
              <w:bottom w:w="0" w:type="dxa"/>
              <w:right w:w="53" w:type="dxa"/>
            </w:tcMar>
            <w:hideMark/>
          </w:tcPr>
          <w:p w:rsidR="00000000" w:rsidRDefault="00DB7886">
            <w:pPr>
              <w:pStyle w:val="a3"/>
              <w:spacing w:before="0" w:beforeAutospacing="0" w:after="0" w:afterAutospacing="0"/>
              <w:divId w:val="534654263"/>
              <w:rPr>
                <w:sz w:val="20"/>
                <w:szCs w:val="20"/>
              </w:rPr>
            </w:pPr>
            <w:r>
              <w:rPr>
                <w:sz w:val="2"/>
                <w:szCs w:val="2"/>
              </w:rPr>
              <w:t>​</w:t>
            </w:r>
          </w:p>
        </w:tc>
      </w:tr>
      <w:tr w:rsidR="00000000">
        <w:trPr>
          <w:divId w:val="232157643"/>
          <w:trHeight w:val="300"/>
        </w:trPr>
        <w:tc>
          <w:tcPr>
            <w:tcW w:w="563" w:type="pct"/>
            <w:tcBorders>
              <w:bottom w:val="single" w:sz="6" w:space="0" w:color="000000"/>
            </w:tcBorders>
            <w:tcMar>
              <w:top w:w="0" w:type="dxa"/>
              <w:left w:w="53" w:type="dxa"/>
              <w:bottom w:w="0" w:type="dxa"/>
              <w:right w:w="53" w:type="dxa"/>
            </w:tcMar>
            <w:vAlign w:val="bottom"/>
            <w:hideMark/>
          </w:tcPr>
          <w:p w:rsidR="00000000" w:rsidRDefault="00DB7886">
            <w:pPr>
              <w:pStyle w:val="a3"/>
              <w:spacing w:before="0" w:beforeAutospacing="0" w:after="30" w:afterAutospacing="0"/>
              <w:jc w:val="center"/>
              <w:divId w:val="418216396"/>
              <w:rPr>
                <w:sz w:val="20"/>
                <w:szCs w:val="20"/>
              </w:rPr>
            </w:pPr>
            <w:r>
              <w:rPr>
                <w:b/>
                <w:bCs/>
                <w:sz w:val="20"/>
                <w:szCs w:val="20"/>
              </w:rPr>
              <w:t>Exhibit No.</w:t>
            </w:r>
          </w:p>
        </w:tc>
        <w:tc>
          <w:tcPr>
            <w:tcW w:w="131" w:type="pct"/>
            <w:tcMar>
              <w:top w:w="0" w:type="dxa"/>
              <w:left w:w="0" w:type="dxa"/>
              <w:bottom w:w="0" w:type="dxa"/>
              <w:right w:w="0" w:type="dxa"/>
            </w:tcMar>
            <w:vAlign w:val="bottom"/>
            <w:hideMark/>
          </w:tcPr>
          <w:p w:rsidR="00000000" w:rsidRDefault="00DB7886">
            <w:pPr>
              <w:pStyle w:val="a3"/>
              <w:spacing w:before="0" w:beforeAutospacing="0" w:after="0" w:afterAutospacing="0"/>
              <w:divId w:val="2028366501"/>
              <w:rPr>
                <w:sz w:val="20"/>
                <w:szCs w:val="20"/>
              </w:rPr>
            </w:pPr>
            <w:r>
              <w:t>    </w:t>
            </w:r>
          </w:p>
        </w:tc>
        <w:tc>
          <w:tcPr>
            <w:tcW w:w="4304" w:type="pct"/>
            <w:tcBorders>
              <w:bottom w:val="single" w:sz="6" w:space="0" w:color="000000"/>
            </w:tcBorders>
            <w:tcMar>
              <w:top w:w="0" w:type="dxa"/>
              <w:left w:w="53" w:type="dxa"/>
              <w:bottom w:w="0" w:type="dxa"/>
              <w:right w:w="53" w:type="dxa"/>
            </w:tcMar>
            <w:hideMark/>
          </w:tcPr>
          <w:p w:rsidR="00000000" w:rsidRDefault="00DB7886">
            <w:pPr>
              <w:pStyle w:val="a3"/>
              <w:spacing w:before="0" w:beforeAutospacing="0" w:after="30" w:afterAutospacing="0"/>
              <w:jc w:val="center"/>
              <w:divId w:val="1264221900"/>
              <w:rPr>
                <w:sz w:val="20"/>
                <w:szCs w:val="20"/>
              </w:rPr>
            </w:pPr>
            <w:r>
              <w:rPr>
                <w:b/>
                <w:bCs/>
                <w:sz w:val="20"/>
                <w:szCs w:val="20"/>
              </w:rPr>
              <w:t>Description</w:t>
            </w:r>
          </w:p>
        </w:tc>
      </w:tr>
      <w:tr w:rsidR="00000000">
        <w:trPr>
          <w:divId w:val="232157643"/>
          <w:trHeight w:val="495"/>
        </w:trPr>
        <w:tc>
          <w:tcPr>
            <w:tcW w:w="563" w:type="pct"/>
            <w:tcMar>
              <w:top w:w="0" w:type="dxa"/>
              <w:left w:w="53" w:type="dxa"/>
              <w:bottom w:w="0" w:type="dxa"/>
              <w:right w:w="53" w:type="dxa"/>
            </w:tcMar>
            <w:hideMark/>
          </w:tcPr>
          <w:p w:rsidR="00000000" w:rsidRDefault="00DB7886">
            <w:pPr>
              <w:pStyle w:val="a3"/>
              <w:spacing w:before="0" w:beforeAutospacing="0" w:after="30" w:afterAutospacing="0"/>
              <w:jc w:val="center"/>
              <w:divId w:val="1942642286"/>
              <w:rPr>
                <w:sz w:val="20"/>
                <w:szCs w:val="20"/>
              </w:rPr>
            </w:pPr>
            <w:r>
              <w:rPr>
                <w:sz w:val="20"/>
                <w:szCs w:val="20"/>
              </w:rPr>
              <w:t>31.1</w:t>
            </w:r>
          </w:p>
        </w:tc>
        <w:tc>
          <w:tcPr>
            <w:tcW w:w="131" w:type="pct"/>
            <w:tcMar>
              <w:top w:w="0" w:type="dxa"/>
              <w:left w:w="0" w:type="dxa"/>
              <w:bottom w:w="0" w:type="dxa"/>
              <w:right w:w="0" w:type="dxa"/>
            </w:tcMar>
            <w:vAlign w:val="bottom"/>
            <w:hideMark/>
          </w:tcPr>
          <w:p w:rsidR="00000000" w:rsidRDefault="00DB7886">
            <w:pPr>
              <w:pStyle w:val="a3"/>
              <w:spacing w:before="0" w:beforeAutospacing="0" w:after="0" w:afterAutospacing="0"/>
              <w:divId w:val="816603379"/>
              <w:rPr>
                <w:sz w:val="20"/>
                <w:szCs w:val="20"/>
              </w:rPr>
            </w:pPr>
            <w:r>
              <w:t>​</w:t>
            </w:r>
          </w:p>
        </w:tc>
        <w:tc>
          <w:tcPr>
            <w:tcW w:w="4304" w:type="pct"/>
            <w:tcMar>
              <w:top w:w="0" w:type="dxa"/>
              <w:left w:w="53" w:type="dxa"/>
              <w:bottom w:w="0" w:type="dxa"/>
              <w:right w:w="53" w:type="dxa"/>
            </w:tcMar>
            <w:hideMark/>
          </w:tcPr>
          <w:p w:rsidR="00000000" w:rsidRDefault="00DB7886">
            <w:pPr>
              <w:pStyle w:val="a3"/>
              <w:spacing w:before="0" w:beforeAutospacing="0" w:after="30" w:afterAutospacing="0"/>
              <w:divId w:val="241840876"/>
              <w:rPr>
                <w:sz w:val="20"/>
                <w:szCs w:val="20"/>
              </w:rPr>
            </w:pPr>
            <w:hyperlink r:id="rId4" w:history="1">
              <w:r>
                <w:rPr>
                  <w:rStyle w:val="a4"/>
                  <w:sz w:val="20"/>
                  <w:szCs w:val="20"/>
                </w:rPr>
                <w:t>Certification of Chief Executive Officer pursuant to Section 302(a) of the Sarbanes-Oxley Act of 2002 and Rule 13a-14(a) of the Securities Exchange Act of 1934.</w:t>
              </w:r>
            </w:hyperlink>
          </w:p>
        </w:tc>
      </w:tr>
      <w:tr w:rsidR="00000000">
        <w:trPr>
          <w:divId w:val="232157643"/>
          <w:trHeight w:val="495"/>
        </w:trPr>
        <w:tc>
          <w:tcPr>
            <w:tcW w:w="563" w:type="pct"/>
            <w:tcMar>
              <w:top w:w="0" w:type="dxa"/>
              <w:left w:w="53" w:type="dxa"/>
              <w:bottom w:w="0" w:type="dxa"/>
              <w:right w:w="53" w:type="dxa"/>
            </w:tcMar>
            <w:hideMark/>
          </w:tcPr>
          <w:p w:rsidR="00000000" w:rsidRDefault="00DB7886">
            <w:pPr>
              <w:pStyle w:val="a3"/>
              <w:spacing w:before="0" w:beforeAutospacing="0" w:after="30" w:afterAutospacing="0"/>
              <w:jc w:val="center"/>
              <w:divId w:val="1815756938"/>
              <w:rPr>
                <w:sz w:val="20"/>
                <w:szCs w:val="20"/>
              </w:rPr>
            </w:pPr>
            <w:r>
              <w:rPr>
                <w:sz w:val="20"/>
                <w:szCs w:val="20"/>
              </w:rPr>
              <w:t>31.2</w:t>
            </w:r>
          </w:p>
        </w:tc>
        <w:tc>
          <w:tcPr>
            <w:tcW w:w="131" w:type="pct"/>
            <w:tcMar>
              <w:top w:w="0" w:type="dxa"/>
              <w:left w:w="0" w:type="dxa"/>
              <w:bottom w:w="0" w:type="dxa"/>
              <w:right w:w="0" w:type="dxa"/>
            </w:tcMar>
            <w:vAlign w:val="bottom"/>
            <w:hideMark/>
          </w:tcPr>
          <w:p w:rsidR="00000000" w:rsidRDefault="00DB7886">
            <w:pPr>
              <w:pStyle w:val="a3"/>
              <w:spacing w:before="0" w:beforeAutospacing="0" w:after="0" w:afterAutospacing="0"/>
              <w:divId w:val="1064764372"/>
              <w:rPr>
                <w:sz w:val="20"/>
                <w:szCs w:val="20"/>
              </w:rPr>
            </w:pPr>
            <w:r>
              <w:t>​</w:t>
            </w:r>
          </w:p>
        </w:tc>
        <w:tc>
          <w:tcPr>
            <w:tcW w:w="4304" w:type="pct"/>
            <w:tcMar>
              <w:top w:w="0" w:type="dxa"/>
              <w:left w:w="53" w:type="dxa"/>
              <w:bottom w:w="0" w:type="dxa"/>
              <w:right w:w="53" w:type="dxa"/>
            </w:tcMar>
            <w:hideMark/>
          </w:tcPr>
          <w:p w:rsidR="00000000" w:rsidRDefault="00DB7886">
            <w:pPr>
              <w:pStyle w:val="a3"/>
              <w:spacing w:before="0" w:beforeAutospacing="0" w:after="30" w:afterAutospacing="0"/>
              <w:divId w:val="573930640"/>
              <w:rPr>
                <w:sz w:val="20"/>
                <w:szCs w:val="20"/>
              </w:rPr>
            </w:pPr>
            <w:hyperlink r:id="rId5" w:history="1">
              <w:r>
                <w:rPr>
                  <w:rStyle w:val="a4"/>
                  <w:sz w:val="20"/>
                  <w:szCs w:val="20"/>
                </w:rPr>
                <w:t>Certification of Chief Financial Officer pursua</w:t>
              </w:r>
              <w:r>
                <w:rPr>
                  <w:rStyle w:val="a4"/>
                  <w:sz w:val="20"/>
                  <w:szCs w:val="20"/>
                </w:rPr>
                <w:t>nt to Section 302(a) of the Sarbanes-Oxley Act of 2002 and Rule 13a-14(a) of the Securities Exchange Act of 1934.</w:t>
              </w:r>
            </w:hyperlink>
          </w:p>
        </w:tc>
      </w:tr>
      <w:tr w:rsidR="00000000">
        <w:trPr>
          <w:divId w:val="232157643"/>
          <w:trHeight w:val="731"/>
        </w:trPr>
        <w:tc>
          <w:tcPr>
            <w:tcW w:w="563" w:type="pct"/>
            <w:tcMar>
              <w:top w:w="0" w:type="dxa"/>
              <w:left w:w="53" w:type="dxa"/>
              <w:bottom w:w="0" w:type="dxa"/>
              <w:right w:w="53" w:type="dxa"/>
            </w:tcMar>
            <w:hideMark/>
          </w:tcPr>
          <w:p w:rsidR="00000000" w:rsidRDefault="00DB7886">
            <w:pPr>
              <w:pStyle w:val="a3"/>
              <w:spacing w:before="0" w:beforeAutospacing="0" w:after="30" w:afterAutospacing="0"/>
              <w:jc w:val="center"/>
              <w:divId w:val="1149520884"/>
              <w:rPr>
                <w:sz w:val="20"/>
                <w:szCs w:val="20"/>
              </w:rPr>
            </w:pPr>
            <w:r>
              <w:rPr>
                <w:sz w:val="20"/>
                <w:szCs w:val="20"/>
              </w:rPr>
              <w:t>32.1</w:t>
            </w:r>
          </w:p>
        </w:tc>
        <w:tc>
          <w:tcPr>
            <w:tcW w:w="131" w:type="pct"/>
            <w:tcMar>
              <w:top w:w="0" w:type="dxa"/>
              <w:left w:w="0" w:type="dxa"/>
              <w:bottom w:w="0" w:type="dxa"/>
              <w:right w:w="0" w:type="dxa"/>
            </w:tcMar>
            <w:vAlign w:val="bottom"/>
            <w:hideMark/>
          </w:tcPr>
          <w:p w:rsidR="00000000" w:rsidRDefault="00DB7886">
            <w:pPr>
              <w:pStyle w:val="a3"/>
              <w:spacing w:before="0" w:beforeAutospacing="0" w:after="0" w:afterAutospacing="0"/>
              <w:divId w:val="103888250"/>
              <w:rPr>
                <w:sz w:val="20"/>
                <w:szCs w:val="20"/>
              </w:rPr>
            </w:pPr>
            <w:r>
              <w:t>​</w:t>
            </w:r>
          </w:p>
        </w:tc>
        <w:tc>
          <w:tcPr>
            <w:tcW w:w="4304" w:type="pct"/>
            <w:tcMar>
              <w:top w:w="0" w:type="dxa"/>
              <w:left w:w="53" w:type="dxa"/>
              <w:bottom w:w="0" w:type="dxa"/>
              <w:right w:w="53" w:type="dxa"/>
            </w:tcMar>
            <w:hideMark/>
          </w:tcPr>
          <w:p w:rsidR="00000000" w:rsidRDefault="00DB7886">
            <w:pPr>
              <w:pStyle w:val="a3"/>
              <w:spacing w:before="0" w:beforeAutospacing="0" w:after="30" w:afterAutospacing="0"/>
              <w:divId w:val="518859086"/>
              <w:rPr>
                <w:sz w:val="20"/>
                <w:szCs w:val="20"/>
              </w:rPr>
            </w:pPr>
            <w:hyperlink r:id="rId6" w:history="1">
              <w:r>
                <w:rPr>
                  <w:rStyle w:val="a4"/>
                  <w:sz w:val="20"/>
                  <w:szCs w:val="20"/>
                </w:rPr>
                <w:t>Certification of Chief Executive Officer and Chief Financial Officer pursuant to Section 906 o</w:t>
              </w:r>
              <w:r>
                <w:rPr>
                  <w:rStyle w:val="a4"/>
                  <w:sz w:val="20"/>
                  <w:szCs w:val="20"/>
                </w:rPr>
                <w:t>f the Sarbanes-Oxley Act of 2002 (18 U.S.C. 1350) and Rule 13a-14(b) of the Securities Exchange Act of 1934.</w:t>
              </w:r>
            </w:hyperlink>
          </w:p>
        </w:tc>
      </w:tr>
      <w:tr w:rsidR="00000000">
        <w:trPr>
          <w:divId w:val="232157643"/>
          <w:trHeight w:val="300"/>
        </w:trPr>
        <w:tc>
          <w:tcPr>
            <w:tcW w:w="563" w:type="pct"/>
            <w:tcMar>
              <w:top w:w="0" w:type="dxa"/>
              <w:left w:w="53" w:type="dxa"/>
              <w:bottom w:w="0" w:type="dxa"/>
              <w:right w:w="15" w:type="dxa"/>
            </w:tcMar>
            <w:hideMark/>
          </w:tcPr>
          <w:p w:rsidR="00000000" w:rsidRDefault="00DB7886">
            <w:pPr>
              <w:pStyle w:val="a3"/>
              <w:spacing w:before="0" w:beforeAutospacing="0" w:after="30" w:afterAutospacing="0"/>
              <w:jc w:val="center"/>
              <w:divId w:val="1300769341"/>
              <w:rPr>
                <w:sz w:val="20"/>
                <w:szCs w:val="20"/>
              </w:rPr>
            </w:pPr>
            <w:r>
              <w:rPr>
                <w:sz w:val="20"/>
                <w:szCs w:val="20"/>
              </w:rPr>
              <w:t>101.SCH</w:t>
            </w:r>
          </w:p>
        </w:tc>
        <w:tc>
          <w:tcPr>
            <w:tcW w:w="131" w:type="pct"/>
            <w:tcMar>
              <w:top w:w="0" w:type="dxa"/>
              <w:left w:w="0" w:type="dxa"/>
              <w:bottom w:w="0" w:type="dxa"/>
              <w:right w:w="0" w:type="dxa"/>
            </w:tcMar>
            <w:vAlign w:val="bottom"/>
            <w:hideMark/>
          </w:tcPr>
          <w:p w:rsidR="00000000" w:rsidRDefault="00DB7886">
            <w:pPr>
              <w:pStyle w:val="a3"/>
              <w:spacing w:before="0" w:beforeAutospacing="0" w:after="0" w:afterAutospacing="0"/>
              <w:divId w:val="818690908"/>
              <w:rPr>
                <w:sz w:val="20"/>
                <w:szCs w:val="20"/>
              </w:rPr>
            </w:pPr>
            <w:r>
              <w:t>​</w:t>
            </w:r>
          </w:p>
        </w:tc>
        <w:tc>
          <w:tcPr>
            <w:tcW w:w="4304" w:type="pct"/>
            <w:tcMar>
              <w:top w:w="0" w:type="dxa"/>
              <w:left w:w="53" w:type="dxa"/>
              <w:bottom w:w="0" w:type="dxa"/>
              <w:right w:w="53" w:type="dxa"/>
            </w:tcMar>
            <w:hideMark/>
          </w:tcPr>
          <w:p w:rsidR="00000000" w:rsidRDefault="00DB7886">
            <w:pPr>
              <w:pStyle w:val="a3"/>
              <w:spacing w:before="0" w:beforeAutospacing="0" w:after="30" w:afterAutospacing="0"/>
              <w:divId w:val="1550607587"/>
              <w:rPr>
                <w:sz w:val="20"/>
                <w:szCs w:val="20"/>
              </w:rPr>
            </w:pPr>
            <w:r>
              <w:rPr>
                <w:sz w:val="20"/>
                <w:szCs w:val="20"/>
              </w:rPr>
              <w:t>Inline XBRL Taxonomy Extension Schema Document.</w:t>
            </w:r>
          </w:p>
        </w:tc>
      </w:tr>
      <w:tr w:rsidR="00000000">
        <w:trPr>
          <w:divId w:val="232157643"/>
          <w:trHeight w:val="300"/>
        </w:trPr>
        <w:tc>
          <w:tcPr>
            <w:tcW w:w="563" w:type="pct"/>
            <w:tcMar>
              <w:top w:w="0" w:type="dxa"/>
              <w:left w:w="53" w:type="dxa"/>
              <w:bottom w:w="0" w:type="dxa"/>
              <w:right w:w="15" w:type="dxa"/>
            </w:tcMar>
            <w:hideMark/>
          </w:tcPr>
          <w:p w:rsidR="00000000" w:rsidRDefault="00DB7886">
            <w:pPr>
              <w:pStyle w:val="a3"/>
              <w:spacing w:before="0" w:beforeAutospacing="0" w:after="30" w:afterAutospacing="0"/>
              <w:jc w:val="center"/>
              <w:divId w:val="2068608294"/>
              <w:rPr>
                <w:sz w:val="20"/>
                <w:szCs w:val="20"/>
              </w:rPr>
            </w:pPr>
            <w:r>
              <w:rPr>
                <w:sz w:val="20"/>
                <w:szCs w:val="20"/>
              </w:rPr>
              <w:t>101.CAL</w:t>
            </w:r>
          </w:p>
        </w:tc>
        <w:tc>
          <w:tcPr>
            <w:tcW w:w="131" w:type="pct"/>
            <w:tcMar>
              <w:top w:w="0" w:type="dxa"/>
              <w:left w:w="0" w:type="dxa"/>
              <w:bottom w:w="0" w:type="dxa"/>
              <w:right w:w="0" w:type="dxa"/>
            </w:tcMar>
            <w:vAlign w:val="bottom"/>
            <w:hideMark/>
          </w:tcPr>
          <w:p w:rsidR="00000000" w:rsidRDefault="00DB7886">
            <w:pPr>
              <w:pStyle w:val="a3"/>
              <w:spacing w:before="0" w:beforeAutospacing="0" w:after="0" w:afterAutospacing="0"/>
              <w:divId w:val="778647587"/>
              <w:rPr>
                <w:sz w:val="20"/>
                <w:szCs w:val="20"/>
              </w:rPr>
            </w:pPr>
            <w:r>
              <w:t>​</w:t>
            </w:r>
          </w:p>
        </w:tc>
        <w:tc>
          <w:tcPr>
            <w:tcW w:w="4304" w:type="pct"/>
            <w:tcMar>
              <w:top w:w="0" w:type="dxa"/>
              <w:left w:w="53" w:type="dxa"/>
              <w:bottom w:w="0" w:type="dxa"/>
              <w:right w:w="53" w:type="dxa"/>
            </w:tcMar>
            <w:hideMark/>
          </w:tcPr>
          <w:p w:rsidR="00000000" w:rsidRDefault="00DB7886">
            <w:pPr>
              <w:pStyle w:val="a3"/>
              <w:spacing w:before="0" w:beforeAutospacing="0" w:after="30" w:afterAutospacing="0"/>
              <w:divId w:val="742144600"/>
              <w:rPr>
                <w:sz w:val="20"/>
                <w:szCs w:val="20"/>
              </w:rPr>
            </w:pPr>
            <w:r>
              <w:rPr>
                <w:sz w:val="20"/>
                <w:szCs w:val="20"/>
              </w:rPr>
              <w:t>Inline XBRL Taxonomy Extension Calculation Linkbase Document.</w:t>
            </w:r>
          </w:p>
        </w:tc>
      </w:tr>
      <w:tr w:rsidR="00000000">
        <w:trPr>
          <w:divId w:val="232157643"/>
          <w:trHeight w:val="300"/>
        </w:trPr>
        <w:tc>
          <w:tcPr>
            <w:tcW w:w="563" w:type="pct"/>
            <w:tcMar>
              <w:top w:w="0" w:type="dxa"/>
              <w:left w:w="53" w:type="dxa"/>
              <w:bottom w:w="0" w:type="dxa"/>
              <w:right w:w="15" w:type="dxa"/>
            </w:tcMar>
            <w:hideMark/>
          </w:tcPr>
          <w:p w:rsidR="00000000" w:rsidRDefault="00DB7886">
            <w:pPr>
              <w:pStyle w:val="a3"/>
              <w:spacing w:before="0" w:beforeAutospacing="0" w:after="30" w:afterAutospacing="0"/>
              <w:jc w:val="center"/>
              <w:divId w:val="2055883462"/>
              <w:rPr>
                <w:sz w:val="20"/>
                <w:szCs w:val="20"/>
              </w:rPr>
            </w:pPr>
            <w:r>
              <w:rPr>
                <w:sz w:val="20"/>
                <w:szCs w:val="20"/>
              </w:rPr>
              <w:t>101.LAB</w:t>
            </w:r>
          </w:p>
        </w:tc>
        <w:tc>
          <w:tcPr>
            <w:tcW w:w="131" w:type="pct"/>
            <w:tcMar>
              <w:top w:w="0" w:type="dxa"/>
              <w:left w:w="0" w:type="dxa"/>
              <w:bottom w:w="0" w:type="dxa"/>
              <w:right w:w="0" w:type="dxa"/>
            </w:tcMar>
            <w:vAlign w:val="bottom"/>
            <w:hideMark/>
          </w:tcPr>
          <w:p w:rsidR="00000000" w:rsidRDefault="00DB7886">
            <w:pPr>
              <w:pStyle w:val="a3"/>
              <w:spacing w:before="0" w:beforeAutospacing="0" w:after="0" w:afterAutospacing="0"/>
              <w:divId w:val="249513493"/>
              <w:rPr>
                <w:sz w:val="20"/>
                <w:szCs w:val="20"/>
              </w:rPr>
            </w:pPr>
            <w:r>
              <w:t>​</w:t>
            </w:r>
          </w:p>
        </w:tc>
        <w:tc>
          <w:tcPr>
            <w:tcW w:w="4304" w:type="pct"/>
            <w:tcMar>
              <w:top w:w="0" w:type="dxa"/>
              <w:left w:w="53" w:type="dxa"/>
              <w:bottom w:w="0" w:type="dxa"/>
              <w:right w:w="53" w:type="dxa"/>
            </w:tcMar>
            <w:hideMark/>
          </w:tcPr>
          <w:p w:rsidR="00000000" w:rsidRDefault="00DB7886">
            <w:pPr>
              <w:pStyle w:val="a3"/>
              <w:spacing w:before="0" w:beforeAutospacing="0" w:after="30" w:afterAutospacing="0"/>
              <w:divId w:val="125399068"/>
              <w:rPr>
                <w:sz w:val="20"/>
                <w:szCs w:val="20"/>
              </w:rPr>
            </w:pPr>
            <w:r>
              <w:rPr>
                <w:sz w:val="20"/>
                <w:szCs w:val="20"/>
              </w:rPr>
              <w:t>Inline XBRL Taxonomy Extension Label Linkbase Document.</w:t>
            </w:r>
          </w:p>
        </w:tc>
      </w:tr>
      <w:tr w:rsidR="00000000">
        <w:trPr>
          <w:divId w:val="232157643"/>
          <w:trHeight w:val="300"/>
        </w:trPr>
        <w:tc>
          <w:tcPr>
            <w:tcW w:w="563" w:type="pct"/>
            <w:tcMar>
              <w:top w:w="0" w:type="dxa"/>
              <w:left w:w="53" w:type="dxa"/>
              <w:bottom w:w="0" w:type="dxa"/>
              <w:right w:w="15" w:type="dxa"/>
            </w:tcMar>
            <w:hideMark/>
          </w:tcPr>
          <w:p w:rsidR="00000000" w:rsidRDefault="00DB7886">
            <w:pPr>
              <w:pStyle w:val="a3"/>
              <w:spacing w:before="0" w:beforeAutospacing="0" w:after="30" w:afterAutospacing="0"/>
              <w:jc w:val="center"/>
              <w:divId w:val="844054087"/>
              <w:rPr>
                <w:sz w:val="20"/>
                <w:szCs w:val="20"/>
              </w:rPr>
            </w:pPr>
            <w:r>
              <w:rPr>
                <w:sz w:val="20"/>
                <w:szCs w:val="20"/>
              </w:rPr>
              <w:t>101.PRE</w:t>
            </w:r>
          </w:p>
        </w:tc>
        <w:tc>
          <w:tcPr>
            <w:tcW w:w="131" w:type="pct"/>
            <w:tcMar>
              <w:top w:w="0" w:type="dxa"/>
              <w:left w:w="0" w:type="dxa"/>
              <w:bottom w:w="0" w:type="dxa"/>
              <w:right w:w="0" w:type="dxa"/>
            </w:tcMar>
            <w:vAlign w:val="bottom"/>
            <w:hideMark/>
          </w:tcPr>
          <w:p w:rsidR="00000000" w:rsidRDefault="00DB7886">
            <w:pPr>
              <w:pStyle w:val="a3"/>
              <w:spacing w:before="0" w:beforeAutospacing="0" w:after="0" w:afterAutospacing="0"/>
              <w:divId w:val="2061391915"/>
              <w:rPr>
                <w:sz w:val="20"/>
                <w:szCs w:val="20"/>
              </w:rPr>
            </w:pPr>
            <w:r>
              <w:t>​</w:t>
            </w:r>
          </w:p>
        </w:tc>
        <w:tc>
          <w:tcPr>
            <w:tcW w:w="4304" w:type="pct"/>
            <w:tcMar>
              <w:top w:w="0" w:type="dxa"/>
              <w:left w:w="53" w:type="dxa"/>
              <w:bottom w:w="0" w:type="dxa"/>
              <w:right w:w="53" w:type="dxa"/>
            </w:tcMar>
            <w:hideMark/>
          </w:tcPr>
          <w:p w:rsidR="00000000" w:rsidRDefault="00DB7886">
            <w:pPr>
              <w:pStyle w:val="a3"/>
              <w:spacing w:before="0" w:beforeAutospacing="0" w:after="30" w:afterAutospacing="0"/>
              <w:divId w:val="936255201"/>
              <w:rPr>
                <w:sz w:val="20"/>
                <w:szCs w:val="20"/>
              </w:rPr>
            </w:pPr>
            <w:r>
              <w:rPr>
                <w:sz w:val="20"/>
                <w:szCs w:val="20"/>
              </w:rPr>
              <w:t>Inline XBRL Taxonomy Extension Presentation Linkbase Document.</w:t>
            </w:r>
          </w:p>
        </w:tc>
      </w:tr>
      <w:tr w:rsidR="00000000">
        <w:trPr>
          <w:divId w:val="232157643"/>
          <w:trHeight w:val="300"/>
        </w:trPr>
        <w:tc>
          <w:tcPr>
            <w:tcW w:w="563" w:type="pct"/>
            <w:tcMar>
              <w:top w:w="0" w:type="dxa"/>
              <w:left w:w="53" w:type="dxa"/>
              <w:bottom w:w="0" w:type="dxa"/>
              <w:right w:w="15" w:type="dxa"/>
            </w:tcMar>
            <w:hideMark/>
          </w:tcPr>
          <w:p w:rsidR="00000000" w:rsidRDefault="00DB7886">
            <w:pPr>
              <w:pStyle w:val="a3"/>
              <w:spacing w:before="0" w:beforeAutospacing="0" w:after="30" w:afterAutospacing="0"/>
              <w:jc w:val="center"/>
              <w:divId w:val="1579171726"/>
              <w:rPr>
                <w:sz w:val="20"/>
                <w:szCs w:val="20"/>
              </w:rPr>
            </w:pPr>
            <w:r>
              <w:rPr>
                <w:sz w:val="20"/>
                <w:szCs w:val="20"/>
              </w:rPr>
              <w:t>101.DEF</w:t>
            </w:r>
          </w:p>
        </w:tc>
        <w:tc>
          <w:tcPr>
            <w:tcW w:w="131" w:type="pct"/>
            <w:tcMar>
              <w:top w:w="0" w:type="dxa"/>
              <w:left w:w="0" w:type="dxa"/>
              <w:bottom w:w="0" w:type="dxa"/>
              <w:right w:w="0" w:type="dxa"/>
            </w:tcMar>
            <w:vAlign w:val="bottom"/>
            <w:hideMark/>
          </w:tcPr>
          <w:p w:rsidR="00000000" w:rsidRDefault="00DB7886">
            <w:pPr>
              <w:pStyle w:val="a3"/>
              <w:spacing w:before="0" w:beforeAutospacing="0" w:after="0" w:afterAutospacing="0"/>
              <w:divId w:val="1680501348"/>
              <w:rPr>
                <w:sz w:val="20"/>
                <w:szCs w:val="20"/>
              </w:rPr>
            </w:pPr>
            <w:r>
              <w:t>​</w:t>
            </w:r>
          </w:p>
        </w:tc>
        <w:tc>
          <w:tcPr>
            <w:tcW w:w="4304" w:type="pct"/>
            <w:tcMar>
              <w:top w:w="0" w:type="dxa"/>
              <w:left w:w="53" w:type="dxa"/>
              <w:bottom w:w="0" w:type="dxa"/>
              <w:right w:w="53" w:type="dxa"/>
            </w:tcMar>
            <w:hideMark/>
          </w:tcPr>
          <w:p w:rsidR="00000000" w:rsidRDefault="00DB7886">
            <w:pPr>
              <w:pStyle w:val="a3"/>
              <w:spacing w:before="0" w:beforeAutospacing="0" w:after="30" w:afterAutospacing="0"/>
              <w:divId w:val="1340230319"/>
              <w:rPr>
                <w:sz w:val="20"/>
                <w:szCs w:val="20"/>
              </w:rPr>
            </w:pPr>
            <w:r>
              <w:rPr>
                <w:sz w:val="20"/>
                <w:szCs w:val="20"/>
              </w:rPr>
              <w:t xml:space="preserve">Inline XBRL Taxonomy Extension Definition </w:t>
            </w:r>
            <w:r>
              <w:rPr>
                <w:sz w:val="20"/>
                <w:szCs w:val="20"/>
              </w:rPr>
              <w:t>Linkbase Document.</w:t>
            </w:r>
          </w:p>
        </w:tc>
      </w:tr>
      <w:tr w:rsidR="00000000">
        <w:trPr>
          <w:divId w:val="232157643"/>
          <w:trHeight w:val="300"/>
        </w:trPr>
        <w:tc>
          <w:tcPr>
            <w:tcW w:w="563" w:type="pct"/>
            <w:tcMar>
              <w:top w:w="0" w:type="dxa"/>
              <w:left w:w="53" w:type="dxa"/>
              <w:bottom w:w="0" w:type="dxa"/>
              <w:right w:w="53" w:type="dxa"/>
            </w:tcMar>
            <w:hideMark/>
          </w:tcPr>
          <w:p w:rsidR="00000000" w:rsidRDefault="00DB7886">
            <w:pPr>
              <w:pStyle w:val="a3"/>
              <w:spacing w:before="0" w:beforeAutospacing="0" w:after="30" w:afterAutospacing="0"/>
              <w:jc w:val="center"/>
              <w:divId w:val="218825969"/>
              <w:rPr>
                <w:sz w:val="20"/>
                <w:szCs w:val="20"/>
              </w:rPr>
            </w:pPr>
            <w:r>
              <w:rPr>
                <w:sz w:val="20"/>
                <w:szCs w:val="20"/>
              </w:rPr>
              <w:t>104</w:t>
            </w:r>
          </w:p>
        </w:tc>
        <w:tc>
          <w:tcPr>
            <w:tcW w:w="131" w:type="pct"/>
            <w:tcMar>
              <w:top w:w="0" w:type="dxa"/>
              <w:left w:w="0" w:type="dxa"/>
              <w:bottom w:w="0" w:type="dxa"/>
              <w:right w:w="0" w:type="dxa"/>
            </w:tcMar>
            <w:vAlign w:val="bottom"/>
            <w:hideMark/>
          </w:tcPr>
          <w:p w:rsidR="00000000" w:rsidRDefault="00DB7886">
            <w:pPr>
              <w:pStyle w:val="a3"/>
              <w:spacing w:before="0" w:beforeAutospacing="0" w:after="0" w:afterAutospacing="0"/>
              <w:divId w:val="2103798221"/>
              <w:rPr>
                <w:sz w:val="20"/>
                <w:szCs w:val="20"/>
              </w:rPr>
            </w:pPr>
            <w:r>
              <w:t>​</w:t>
            </w:r>
          </w:p>
        </w:tc>
        <w:tc>
          <w:tcPr>
            <w:tcW w:w="4304" w:type="pct"/>
            <w:tcMar>
              <w:top w:w="0" w:type="dxa"/>
              <w:left w:w="53" w:type="dxa"/>
              <w:bottom w:w="0" w:type="dxa"/>
              <w:right w:w="53" w:type="dxa"/>
            </w:tcMar>
            <w:hideMark/>
          </w:tcPr>
          <w:p w:rsidR="00000000" w:rsidRDefault="00DB7886">
            <w:pPr>
              <w:pStyle w:val="a3"/>
              <w:spacing w:before="0" w:beforeAutospacing="0" w:after="30" w:afterAutospacing="0"/>
              <w:divId w:val="1169715715"/>
              <w:rPr>
                <w:sz w:val="20"/>
                <w:szCs w:val="20"/>
              </w:rPr>
            </w:pPr>
            <w:r>
              <w:rPr>
                <w:sz w:val="20"/>
                <w:szCs w:val="20"/>
              </w:rPr>
              <w:t>Cover Page Interactive Data File (formatted in Inline XBRL in Exhibit 101).</w:t>
            </w:r>
          </w:p>
        </w:tc>
      </w:tr>
    </w:tbl>
    <w:p w:rsidR="00000000" w:rsidRDefault="00DB7886">
      <w:pPr>
        <w:pStyle w:val="a3"/>
        <w:spacing w:before="0" w:beforeAutospacing="0" w:after="0" w:afterAutospacing="0"/>
        <w:divId w:val="232157643"/>
        <w:rPr>
          <w:sz w:val="20"/>
          <w:szCs w:val="20"/>
        </w:rPr>
      </w:pPr>
      <w:r>
        <w:rPr>
          <w:sz w:val="2"/>
          <w:szCs w:val="2"/>
        </w:rPr>
        <w:t>​</w:t>
      </w:r>
    </w:p>
    <w:p w:rsidR="00000000" w:rsidRDefault="00DB7886">
      <w:pPr>
        <w:pStyle w:val="a3"/>
        <w:spacing w:before="0" w:beforeAutospacing="0" w:after="0" w:afterAutospacing="0"/>
        <w:divId w:val="232157643"/>
        <w:rPr>
          <w:sz w:val="20"/>
          <w:szCs w:val="20"/>
        </w:rPr>
      </w:pPr>
      <w:r>
        <w:rPr>
          <w:sz w:val="20"/>
          <w:szCs w:val="20"/>
        </w:rPr>
        <w:t>​</w:t>
      </w:r>
    </w:p>
    <w:p w:rsidR="00000000" w:rsidRDefault="00DB7886">
      <w:pPr>
        <w:pStyle w:val="a3"/>
        <w:spacing w:before="0" w:beforeAutospacing="0" w:after="0" w:afterAutospacing="0"/>
        <w:divId w:val="232157643"/>
        <w:rPr>
          <w:sz w:val="20"/>
          <w:szCs w:val="20"/>
        </w:rPr>
      </w:pPr>
      <w:r>
        <w:rPr>
          <w:sz w:val="20"/>
          <w:szCs w:val="20"/>
        </w:rPr>
        <w:t>​</w:t>
      </w:r>
    </w:p>
    <w:p w:rsidR="00000000" w:rsidRDefault="00DB7886">
      <w:pPr>
        <w:pStyle w:val="a3"/>
        <w:spacing w:before="480" w:beforeAutospacing="0" w:after="0" w:afterAutospacing="0"/>
        <w:jc w:val="center"/>
        <w:divId w:val="785777891"/>
        <w:rPr>
          <w:sz w:val="20"/>
          <w:szCs w:val="20"/>
        </w:rPr>
      </w:pPr>
      <w:r>
        <w:rPr>
          <w:sz w:val="20"/>
          <w:szCs w:val="20"/>
        </w:rPr>
        <w:t>61</w:t>
      </w:r>
    </w:p>
    <w:p w:rsidR="00000000" w:rsidRDefault="00DB7886">
      <w:pPr>
        <w:pStyle w:val="a3"/>
        <w:spacing w:before="0" w:beforeAutospacing="0" w:after="600" w:afterAutospacing="0"/>
        <w:divId w:val="283123473"/>
        <w:rPr>
          <w:sz w:val="20"/>
          <w:szCs w:val="20"/>
        </w:rPr>
      </w:pPr>
      <w:hyperlink w:anchor="TOC" w:history="1">
        <w:r>
          <w:rPr>
            <w:rStyle w:val="a4"/>
            <w:sz w:val="20"/>
            <w:szCs w:val="20"/>
          </w:rPr>
          <w:t>Table of Contents</w:t>
        </w:r>
      </w:hyperlink>
    </w:p>
    <w:p w:rsidR="00000000" w:rsidRDefault="00DB7886">
      <w:pPr>
        <w:pStyle w:val="a3"/>
        <w:spacing w:before="0" w:beforeAutospacing="0" w:after="240" w:afterAutospacing="0"/>
        <w:jc w:val="center"/>
        <w:divId w:val="185407831"/>
        <w:rPr>
          <w:b/>
          <w:bCs/>
          <w:sz w:val="20"/>
          <w:szCs w:val="20"/>
        </w:rPr>
      </w:pPr>
      <w:r>
        <w:rPr>
          <w:b/>
          <w:bCs/>
          <w:sz w:val="20"/>
          <w:szCs w:val="20"/>
        </w:rPr>
        <w:t>SIGNATURES</w:t>
      </w:r>
    </w:p>
    <w:p w:rsidR="00000000" w:rsidRDefault="00DB7886">
      <w:pPr>
        <w:pStyle w:val="a3"/>
        <w:spacing w:before="0" w:beforeAutospacing="0" w:after="240" w:afterAutospacing="0"/>
        <w:ind w:firstLine="360"/>
        <w:divId w:val="185407831"/>
        <w:rPr>
          <w:sz w:val="20"/>
          <w:szCs w:val="20"/>
        </w:rPr>
      </w:pPr>
      <w:r>
        <w:rPr>
          <w:sz w:val="20"/>
          <w:szCs w:val="20"/>
        </w:rPr>
        <w:t>Pursuant to the requirements of Section 13 or 15(d) </w:t>
      </w:r>
      <w:r>
        <w:rPr>
          <w:sz w:val="20"/>
          <w:szCs w:val="20"/>
        </w:rPr>
        <w:t>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4422"/>
        <w:gridCol w:w="417"/>
        <w:gridCol w:w="3467"/>
      </w:tblGrid>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b/>
                <w:bCs/>
                <w:sz w:val="20"/>
                <w:szCs w:val="20"/>
              </w:rPr>
              <w:t>Icahn Enterprises L.P.</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b/>
                <w:bCs/>
                <w:sz w:val="20"/>
                <w:szCs w:val="20"/>
              </w:rPr>
              <w:t>​</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b/>
                <w:bCs/>
                <w:sz w:val="20"/>
                <w:szCs w:val="20"/>
              </w:rPr>
              <w:t>​</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Icahn Enterprises G.P. Inc., its</w:t>
            </w:r>
          </w:p>
          <w:p w:rsidR="00000000" w:rsidRDefault="00DB7886">
            <w:pPr>
              <w:pStyle w:val="a3"/>
              <w:spacing w:before="0" w:beforeAutospacing="0" w:after="0" w:afterAutospacing="0"/>
              <w:rPr>
                <w:sz w:val="20"/>
                <w:szCs w:val="20"/>
              </w:rPr>
            </w:pPr>
            <w:r>
              <w:rPr>
                <w:sz w:val="20"/>
                <w:szCs w:val="20"/>
              </w:rPr>
              <w:t xml:space="preserve">general partner </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/s/David Willetts</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David Willetts,</w:t>
            </w:r>
          </w:p>
          <w:p w:rsidR="00000000" w:rsidRDefault="00DB7886">
            <w:pPr>
              <w:pStyle w:val="a3"/>
              <w:spacing w:before="0" w:beforeAutospacing="0" w:after="0" w:afterAutospacing="0"/>
              <w:rPr>
                <w:sz w:val="20"/>
                <w:szCs w:val="20"/>
              </w:rPr>
            </w:pPr>
            <w:r>
              <w:rPr>
                <w:sz w:val="20"/>
                <w:szCs w:val="20"/>
              </w:rPr>
              <w:t>Chief Financial Officer and Director</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Icahn Enterprises G.P. Inc., its</w:t>
            </w:r>
          </w:p>
          <w:p w:rsidR="00000000" w:rsidRDefault="00DB7886">
            <w:pPr>
              <w:pStyle w:val="a3"/>
              <w:spacing w:before="0" w:beforeAutospacing="0" w:after="0" w:afterAutospacing="0"/>
              <w:rPr>
                <w:sz w:val="20"/>
                <w:szCs w:val="20"/>
              </w:rPr>
            </w:pPr>
            <w:r>
              <w:rPr>
                <w:sz w:val="20"/>
                <w:szCs w:val="20"/>
              </w:rPr>
              <w:t>general partner</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/s/Ted Papapostolou</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Ted Papapostolou,</w:t>
            </w:r>
          </w:p>
          <w:p w:rsidR="00000000" w:rsidRDefault="00DB7886">
            <w:pPr>
              <w:pStyle w:val="a3"/>
              <w:spacing w:before="0" w:beforeAutospacing="0" w:after="0" w:afterAutospacing="0"/>
              <w:rPr>
                <w:sz w:val="20"/>
                <w:szCs w:val="20"/>
              </w:rPr>
            </w:pPr>
            <w:r>
              <w:rPr>
                <w:sz w:val="20"/>
                <w:szCs w:val="20"/>
              </w:rPr>
              <w:t>Chief Accounting Officer</w:t>
            </w:r>
          </w:p>
        </w:tc>
      </w:tr>
    </w:tbl>
    <w:p w:rsidR="00000000" w:rsidRDefault="00DB7886">
      <w:pPr>
        <w:pStyle w:val="a3"/>
        <w:spacing w:before="0" w:beforeAutospacing="0" w:after="0" w:afterAutospacing="0"/>
        <w:divId w:val="185407831"/>
        <w:rPr>
          <w:sz w:val="20"/>
          <w:szCs w:val="20"/>
        </w:rPr>
      </w:pPr>
      <w:r>
        <w:rPr>
          <w:sz w:val="20"/>
          <w:szCs w:val="20"/>
        </w:rPr>
        <w:t>​</w:t>
      </w:r>
    </w:p>
    <w:p w:rsidR="00000000" w:rsidRDefault="00DB7886">
      <w:pPr>
        <w:pStyle w:val="a3"/>
        <w:spacing w:before="0" w:beforeAutospacing="0" w:after="240" w:afterAutospacing="0"/>
        <w:divId w:val="185407831"/>
        <w:rPr>
          <w:sz w:val="20"/>
          <w:szCs w:val="20"/>
        </w:rPr>
      </w:pPr>
      <w:r>
        <w:rPr>
          <w:sz w:val="20"/>
          <w:szCs w:val="20"/>
        </w:rPr>
        <w:t>Date: November 2, 2021</w:t>
      </w:r>
    </w:p>
    <w:tbl>
      <w:tblPr>
        <w:tblW w:w="5000" w:type="pct"/>
        <w:tblCellMar>
          <w:top w:w="15" w:type="dxa"/>
          <w:left w:w="15" w:type="dxa"/>
          <w:bottom w:w="15" w:type="dxa"/>
          <w:right w:w="15" w:type="dxa"/>
        </w:tblCellMar>
        <w:tblLook w:val="04A0" w:firstRow="1" w:lastRow="0" w:firstColumn="1" w:lastColumn="0" w:noHBand="0" w:noVBand="1"/>
      </w:tblPr>
      <w:tblGrid>
        <w:gridCol w:w="4422"/>
        <w:gridCol w:w="417"/>
        <w:gridCol w:w="3467"/>
      </w:tblGrid>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divId w:val="404034850"/>
              <w:rPr>
                <w:sz w:val="20"/>
                <w:szCs w:val="20"/>
              </w:rPr>
            </w:pPr>
            <w:r>
              <w:rPr>
                <w:sz w:val="2"/>
                <w:szCs w:val="2"/>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divId w:val="2079741723"/>
              <w:rPr>
                <w:sz w:val="20"/>
                <w:szCs w:val="20"/>
              </w:rPr>
            </w:pPr>
            <w:r>
              <w:rPr>
                <w:sz w:val="2"/>
                <w:szCs w:val="2"/>
              </w:rPr>
              <w:t>​</w:t>
            </w:r>
          </w:p>
        </w:tc>
        <w:tc>
          <w:tcPr>
            <w:tcW w:w="2086" w:type="pct"/>
            <w:tcMar>
              <w:top w:w="0" w:type="dxa"/>
              <w:left w:w="53" w:type="dxa"/>
              <w:bottom w:w="0" w:type="dxa"/>
              <w:right w:w="53" w:type="dxa"/>
            </w:tcMar>
            <w:vAlign w:val="bottom"/>
            <w:hideMark/>
          </w:tcPr>
          <w:p w:rsidR="00000000" w:rsidRDefault="00DB7886">
            <w:pPr>
              <w:pStyle w:val="a3"/>
              <w:spacing w:before="0" w:beforeAutospacing="0" w:after="0" w:afterAutospacing="0"/>
              <w:divId w:val="1871840198"/>
              <w:rPr>
                <w:sz w:val="20"/>
                <w:szCs w:val="20"/>
              </w:rPr>
            </w:pPr>
            <w:r>
              <w:rPr>
                <w:sz w:val="20"/>
                <w:szCs w:val="20"/>
              </w:rPr>
              <w:t>​</w:t>
            </w:r>
          </w:p>
          <w:p w:rsidR="00000000" w:rsidRDefault="00DB7886">
            <w:pPr>
              <w:pStyle w:val="a3"/>
              <w:spacing w:before="0" w:beforeAutospacing="0" w:after="0" w:afterAutospacing="0"/>
              <w:divId w:val="1871840198"/>
              <w:rPr>
                <w:sz w:val="20"/>
                <w:szCs w:val="20"/>
              </w:rPr>
            </w:pPr>
            <w:r>
              <w:rPr>
                <w:sz w:val="2"/>
                <w:szCs w:val="2"/>
              </w:rPr>
              <w:t>​</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b/>
                <w:bCs/>
                <w:sz w:val="20"/>
                <w:szCs w:val="20"/>
              </w:rPr>
              <w:t>Icahn Enterprises Holdings L.P.</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b/>
                <w:bCs/>
                <w:sz w:val="20"/>
                <w:szCs w:val="20"/>
              </w:rPr>
              <w:t>​</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b/>
                <w:bCs/>
                <w:sz w:val="20"/>
                <w:szCs w:val="20"/>
              </w:rPr>
              <w:t>​</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Icahn Enterprises G.P. Inc., its</w:t>
            </w:r>
          </w:p>
          <w:p w:rsidR="00000000" w:rsidRDefault="00DB7886">
            <w:pPr>
              <w:pStyle w:val="a3"/>
              <w:spacing w:before="0" w:beforeAutospacing="0" w:after="0" w:afterAutospacing="0"/>
              <w:rPr>
                <w:sz w:val="20"/>
                <w:szCs w:val="20"/>
              </w:rPr>
            </w:pPr>
            <w:r>
              <w:rPr>
                <w:sz w:val="20"/>
                <w:szCs w:val="20"/>
              </w:rPr>
              <w:t>general partner</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/s/David Willetts</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David Willetts,</w:t>
            </w:r>
          </w:p>
          <w:p w:rsidR="00000000" w:rsidRDefault="00DB7886">
            <w:pPr>
              <w:pStyle w:val="a3"/>
              <w:spacing w:before="0" w:beforeAutospacing="0" w:after="0" w:afterAutospacing="0"/>
              <w:rPr>
                <w:sz w:val="20"/>
                <w:szCs w:val="20"/>
              </w:rPr>
            </w:pPr>
            <w:r>
              <w:rPr>
                <w:sz w:val="20"/>
                <w:szCs w:val="20"/>
              </w:rPr>
              <w:t>Chief Financial Officer and Director</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Icahn Enterprises G.P. Inc., its</w:t>
            </w:r>
          </w:p>
          <w:p w:rsidR="00000000" w:rsidRDefault="00DB7886">
            <w:pPr>
              <w:pStyle w:val="a3"/>
              <w:spacing w:before="0" w:beforeAutospacing="0" w:after="0" w:afterAutospacing="0"/>
              <w:rPr>
                <w:sz w:val="20"/>
                <w:szCs w:val="20"/>
              </w:rPr>
            </w:pPr>
            <w:r>
              <w:rPr>
                <w:sz w:val="20"/>
                <w:szCs w:val="20"/>
              </w:rPr>
              <w:t>general partner</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/s/Ted Papapostolou</w:t>
            </w:r>
          </w:p>
        </w:tc>
      </w:tr>
      <w:tr w:rsidR="00000000">
        <w:trPr>
          <w:divId w:val="185407831"/>
          <w:trHeight w:val="20"/>
        </w:trPr>
        <w:tc>
          <w:tcPr>
            <w:tcW w:w="2661" w:type="pct"/>
            <w:tcMar>
              <w:top w:w="0" w:type="dxa"/>
              <w:left w:w="0" w:type="dxa"/>
              <w:bottom w:w="0" w:type="dxa"/>
              <w:right w:w="0" w:type="dxa"/>
            </w:tcMar>
            <w:vAlign w:val="bottom"/>
            <w:hideMark/>
          </w:tcPr>
          <w:p w:rsidR="00000000" w:rsidRDefault="00DB7886">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DB7886">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DB7886">
            <w:pPr>
              <w:pStyle w:val="a3"/>
              <w:spacing w:before="0" w:beforeAutospacing="0" w:after="0" w:afterAutospacing="0"/>
              <w:rPr>
                <w:sz w:val="20"/>
                <w:szCs w:val="20"/>
              </w:rPr>
            </w:pPr>
            <w:r>
              <w:rPr>
                <w:sz w:val="20"/>
                <w:szCs w:val="20"/>
              </w:rPr>
              <w:t>Ted Papapostolou,</w:t>
            </w:r>
          </w:p>
          <w:p w:rsidR="00000000" w:rsidRDefault="00DB7886">
            <w:pPr>
              <w:pStyle w:val="a3"/>
              <w:spacing w:before="0" w:beforeAutospacing="0" w:after="0" w:afterAutospacing="0"/>
              <w:rPr>
                <w:sz w:val="20"/>
                <w:szCs w:val="20"/>
              </w:rPr>
            </w:pPr>
            <w:r>
              <w:rPr>
                <w:sz w:val="20"/>
                <w:szCs w:val="20"/>
              </w:rPr>
              <w:t>Chief Accounting Officer</w:t>
            </w:r>
          </w:p>
        </w:tc>
      </w:tr>
    </w:tbl>
    <w:p w:rsidR="00000000" w:rsidRDefault="00DB7886">
      <w:pPr>
        <w:pStyle w:val="a3"/>
        <w:spacing w:before="0" w:beforeAutospacing="0" w:after="0" w:afterAutospacing="0"/>
        <w:divId w:val="185407831"/>
        <w:rPr>
          <w:sz w:val="20"/>
          <w:szCs w:val="20"/>
        </w:rPr>
      </w:pPr>
      <w:r>
        <w:rPr>
          <w:sz w:val="20"/>
          <w:szCs w:val="20"/>
        </w:rPr>
        <w:t>​</w:t>
      </w:r>
    </w:p>
    <w:p w:rsidR="00000000" w:rsidRDefault="00DB7886">
      <w:pPr>
        <w:pStyle w:val="a3"/>
        <w:spacing w:before="0" w:beforeAutospacing="0" w:after="240" w:afterAutospacing="0"/>
        <w:divId w:val="185407831"/>
        <w:rPr>
          <w:sz w:val="20"/>
          <w:szCs w:val="20"/>
        </w:rPr>
      </w:pPr>
      <w:r>
        <w:rPr>
          <w:sz w:val="20"/>
          <w:szCs w:val="20"/>
        </w:rPr>
        <w:t>Date: November 2, 2021</w:t>
      </w:r>
    </w:p>
    <w:p w:rsidR="00000000" w:rsidRDefault="00DB7886">
      <w:pPr>
        <w:pStyle w:val="a3"/>
        <w:spacing w:before="0" w:beforeAutospacing="0" w:after="0" w:afterAutospacing="0"/>
        <w:divId w:val="185407831"/>
        <w:rPr>
          <w:sz w:val="20"/>
          <w:szCs w:val="20"/>
        </w:rPr>
      </w:pPr>
      <w:r>
        <w:rPr>
          <w:sz w:val="20"/>
          <w:szCs w:val="20"/>
        </w:rPr>
        <w:t>​</w:t>
      </w:r>
    </w:p>
    <w:p w:rsidR="00000000" w:rsidRDefault="00DB7886">
      <w:pPr>
        <w:pStyle w:val="a3"/>
        <w:spacing w:before="0" w:beforeAutospacing="0" w:after="0" w:afterAutospacing="0"/>
        <w:divId w:val="185407831"/>
        <w:rPr>
          <w:sz w:val="20"/>
          <w:szCs w:val="20"/>
        </w:rPr>
      </w:pPr>
      <w:r>
        <w:rPr>
          <w:sz w:val="20"/>
          <w:szCs w:val="20"/>
        </w:rPr>
        <w:t>​</w:t>
      </w:r>
    </w:p>
    <w:p w:rsidR="00DB7886" w:rsidRDefault="00DB7886">
      <w:pPr>
        <w:pStyle w:val="a3"/>
        <w:spacing w:before="480" w:beforeAutospacing="0" w:after="0" w:afterAutospacing="0"/>
        <w:jc w:val="center"/>
        <w:divId w:val="741484071"/>
        <w:rPr>
          <w:sz w:val="20"/>
          <w:szCs w:val="20"/>
        </w:rPr>
      </w:pPr>
      <w:r>
        <w:rPr>
          <w:sz w:val="20"/>
          <w:szCs w:val="20"/>
        </w:rPr>
        <w:t>62</w:t>
      </w:r>
    </w:p>
    <w:sectPr w:rsidR="00DB788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B7886"/>
    <w:rsid w:val="00DB7886"/>
  </w:rsids>
  <m:mathPr>
    <m:mathFont m:val="Cambria Math"/>
    <m:brkBin m:val="before"/>
    <m:brkBinSub m:val="--"/>
    <m:smallFrac m:val="0"/>
    <m:dispDef/>
    <m:lMargin m:val="0"/>
    <m:rMargin m:val="0"/>
    <m:defJc m:val="centerGroup"/>
    <m:wrapIndent m:val="1440"/>
    <m:intLim m:val="subSup"/>
    <m:naryLim m:val="undOvr"/>
  </m:mathPr>
  <w:attachedSchema w:val="http://fasb.org/us-gaap/2020-01-31"/>
  <w:attachedSchema w:val="http://www.xbrl.org/2003/linkbase"/>
  <w:attachedSchema w:val="http://xbrl.org/2005/xbrldt"/>
  <w:attachedSchema w:val="http://www.ielp.com/20210930"/>
  <w:attachedSchema w:val="http://www.sec.gov/inlineXBRL/transformation/2015-08-31"/>
  <w:attachedSchema w:val="http://fasb.org/srt/2020-01-31"/>
  <w:attachedSchema w:val="http://www.xbrl.org/2013/inlineXBRL"/>
  <w:attachedSchema w:val="http://www.xbrl.org/2006/ref"/>
  <w:attachedSchema w:val="http://www.xbrl.org/2009/utr"/>
  <w:attachedSchema w:val="http://www.xbrl.org/2003/instance"/>
  <w:attachedSchema w:val="http://xbrl.sec.gov/dei/2020-01-31"/>
  <w:attachedSchema w:val="http://www.xbrl.org/2003/iso4217"/>
  <w:attachedSchema w:val="http://xbrl.sec.gov/sic/2020-01-31"/>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7966">
      <w:marLeft w:val="0"/>
      <w:marRight w:val="0"/>
      <w:marTop w:val="0"/>
      <w:marBottom w:val="0"/>
      <w:divBdr>
        <w:top w:val="none" w:sz="0" w:space="0" w:color="auto"/>
        <w:left w:val="none" w:sz="0" w:space="0" w:color="auto"/>
        <w:bottom w:val="none" w:sz="0" w:space="0" w:color="auto"/>
        <w:right w:val="none" w:sz="0" w:space="0" w:color="auto"/>
      </w:divBdr>
      <w:divsChild>
        <w:div w:id="1481657724">
          <w:marLeft w:val="0"/>
          <w:marRight w:val="0"/>
          <w:marTop w:val="432"/>
          <w:marBottom w:val="0"/>
          <w:divBdr>
            <w:top w:val="none" w:sz="0" w:space="0" w:color="auto"/>
            <w:left w:val="none" w:sz="0" w:space="0" w:color="auto"/>
            <w:bottom w:val="none" w:sz="0" w:space="0" w:color="auto"/>
            <w:right w:val="none" w:sz="0" w:space="0" w:color="auto"/>
          </w:divBdr>
        </w:div>
        <w:div w:id="600649843">
          <w:marLeft w:val="0"/>
          <w:marRight w:val="0"/>
          <w:marTop w:val="0"/>
          <w:marBottom w:val="0"/>
          <w:divBdr>
            <w:top w:val="none" w:sz="0" w:space="0" w:color="auto"/>
            <w:left w:val="none" w:sz="0" w:space="0" w:color="auto"/>
            <w:bottom w:val="none" w:sz="0" w:space="0" w:color="auto"/>
            <w:right w:val="none" w:sz="0" w:space="0" w:color="auto"/>
          </w:divBdr>
        </w:div>
        <w:div w:id="1337003743">
          <w:marLeft w:val="0"/>
          <w:marRight w:val="0"/>
          <w:marTop w:val="0"/>
          <w:marBottom w:val="600"/>
          <w:divBdr>
            <w:top w:val="none" w:sz="0" w:space="0" w:color="auto"/>
            <w:left w:val="none" w:sz="0" w:space="0" w:color="auto"/>
            <w:bottom w:val="none" w:sz="0" w:space="0" w:color="auto"/>
            <w:right w:val="none" w:sz="0" w:space="0" w:color="auto"/>
          </w:divBdr>
        </w:div>
      </w:divsChild>
    </w:div>
    <w:div w:id="89161727">
      <w:marLeft w:val="0"/>
      <w:marRight w:val="0"/>
      <w:marTop w:val="0"/>
      <w:marBottom w:val="0"/>
      <w:divBdr>
        <w:top w:val="none" w:sz="0" w:space="0" w:color="auto"/>
        <w:left w:val="none" w:sz="0" w:space="0" w:color="auto"/>
        <w:bottom w:val="none" w:sz="0" w:space="0" w:color="auto"/>
        <w:right w:val="none" w:sz="0" w:space="0" w:color="auto"/>
      </w:divBdr>
      <w:divsChild>
        <w:div w:id="431517904">
          <w:marLeft w:val="0"/>
          <w:marRight w:val="0"/>
          <w:marTop w:val="432"/>
          <w:marBottom w:val="0"/>
          <w:divBdr>
            <w:top w:val="none" w:sz="0" w:space="0" w:color="auto"/>
            <w:left w:val="none" w:sz="0" w:space="0" w:color="auto"/>
            <w:bottom w:val="none" w:sz="0" w:space="0" w:color="auto"/>
            <w:right w:val="none" w:sz="0" w:space="0" w:color="auto"/>
          </w:divBdr>
        </w:div>
        <w:div w:id="1656690451">
          <w:marLeft w:val="0"/>
          <w:marRight w:val="0"/>
          <w:marTop w:val="0"/>
          <w:marBottom w:val="0"/>
          <w:divBdr>
            <w:top w:val="none" w:sz="0" w:space="0" w:color="auto"/>
            <w:left w:val="none" w:sz="0" w:space="0" w:color="auto"/>
            <w:bottom w:val="none" w:sz="0" w:space="0" w:color="auto"/>
            <w:right w:val="none" w:sz="0" w:space="0" w:color="auto"/>
          </w:divBdr>
          <w:divsChild>
            <w:div w:id="909388515">
              <w:marLeft w:val="0"/>
              <w:marRight w:val="0"/>
              <w:marTop w:val="0"/>
              <w:marBottom w:val="0"/>
              <w:divBdr>
                <w:top w:val="none" w:sz="0" w:space="0" w:color="auto"/>
                <w:left w:val="none" w:sz="0" w:space="0" w:color="auto"/>
                <w:bottom w:val="none" w:sz="0" w:space="0" w:color="auto"/>
                <w:right w:val="none" w:sz="0" w:space="0" w:color="auto"/>
              </w:divBdr>
              <w:divsChild>
                <w:div w:id="2089496858">
                  <w:marLeft w:val="0"/>
                  <w:marRight w:val="0"/>
                  <w:marTop w:val="0"/>
                  <w:marBottom w:val="0"/>
                  <w:divBdr>
                    <w:top w:val="none" w:sz="0" w:space="0" w:color="auto"/>
                    <w:left w:val="none" w:sz="0" w:space="0" w:color="auto"/>
                    <w:bottom w:val="none" w:sz="0" w:space="0" w:color="auto"/>
                    <w:right w:val="none" w:sz="0" w:space="0" w:color="auto"/>
                  </w:divBdr>
                </w:div>
              </w:divsChild>
            </w:div>
            <w:div w:id="1643073187">
              <w:marLeft w:val="0"/>
              <w:marRight w:val="0"/>
              <w:marTop w:val="0"/>
              <w:marBottom w:val="0"/>
              <w:divBdr>
                <w:top w:val="none" w:sz="0" w:space="0" w:color="auto"/>
                <w:left w:val="none" w:sz="0" w:space="0" w:color="auto"/>
                <w:bottom w:val="none" w:sz="0" w:space="0" w:color="auto"/>
                <w:right w:val="none" w:sz="0" w:space="0" w:color="auto"/>
              </w:divBdr>
              <w:divsChild>
                <w:div w:id="1778057485">
                  <w:marLeft w:val="0"/>
                  <w:marRight w:val="0"/>
                  <w:marTop w:val="0"/>
                  <w:marBottom w:val="0"/>
                  <w:divBdr>
                    <w:top w:val="none" w:sz="0" w:space="0" w:color="auto"/>
                    <w:left w:val="none" w:sz="0" w:space="0" w:color="auto"/>
                    <w:bottom w:val="none" w:sz="0" w:space="0" w:color="auto"/>
                    <w:right w:val="none" w:sz="0" w:space="0" w:color="auto"/>
                  </w:divBdr>
                </w:div>
              </w:divsChild>
            </w:div>
            <w:div w:id="2000844286">
              <w:marLeft w:val="0"/>
              <w:marRight w:val="0"/>
              <w:marTop w:val="0"/>
              <w:marBottom w:val="0"/>
              <w:divBdr>
                <w:top w:val="none" w:sz="0" w:space="0" w:color="auto"/>
                <w:left w:val="none" w:sz="0" w:space="0" w:color="auto"/>
                <w:bottom w:val="none" w:sz="0" w:space="0" w:color="auto"/>
                <w:right w:val="none" w:sz="0" w:space="0" w:color="auto"/>
              </w:divBdr>
              <w:divsChild>
                <w:div w:id="1961960000">
                  <w:marLeft w:val="0"/>
                  <w:marRight w:val="0"/>
                  <w:marTop w:val="0"/>
                  <w:marBottom w:val="0"/>
                  <w:divBdr>
                    <w:top w:val="none" w:sz="0" w:space="0" w:color="auto"/>
                    <w:left w:val="none" w:sz="0" w:space="0" w:color="auto"/>
                    <w:bottom w:val="none" w:sz="0" w:space="0" w:color="auto"/>
                    <w:right w:val="none" w:sz="0" w:space="0" w:color="auto"/>
                  </w:divBdr>
                </w:div>
              </w:divsChild>
            </w:div>
            <w:div w:id="1448424187">
              <w:marLeft w:val="0"/>
              <w:marRight w:val="0"/>
              <w:marTop w:val="0"/>
              <w:marBottom w:val="0"/>
              <w:divBdr>
                <w:top w:val="none" w:sz="0" w:space="0" w:color="auto"/>
                <w:left w:val="none" w:sz="0" w:space="0" w:color="auto"/>
                <w:bottom w:val="none" w:sz="0" w:space="0" w:color="auto"/>
                <w:right w:val="none" w:sz="0" w:space="0" w:color="auto"/>
              </w:divBdr>
              <w:divsChild>
                <w:div w:id="1291742782">
                  <w:marLeft w:val="0"/>
                  <w:marRight w:val="0"/>
                  <w:marTop w:val="0"/>
                  <w:marBottom w:val="0"/>
                  <w:divBdr>
                    <w:top w:val="none" w:sz="0" w:space="0" w:color="auto"/>
                    <w:left w:val="none" w:sz="0" w:space="0" w:color="auto"/>
                    <w:bottom w:val="none" w:sz="0" w:space="0" w:color="auto"/>
                    <w:right w:val="none" w:sz="0" w:space="0" w:color="auto"/>
                  </w:divBdr>
                </w:div>
              </w:divsChild>
            </w:div>
            <w:div w:id="1410687443">
              <w:marLeft w:val="0"/>
              <w:marRight w:val="0"/>
              <w:marTop w:val="0"/>
              <w:marBottom w:val="0"/>
              <w:divBdr>
                <w:top w:val="none" w:sz="0" w:space="0" w:color="auto"/>
                <w:left w:val="none" w:sz="0" w:space="0" w:color="auto"/>
                <w:bottom w:val="none" w:sz="0" w:space="0" w:color="auto"/>
                <w:right w:val="none" w:sz="0" w:space="0" w:color="auto"/>
              </w:divBdr>
              <w:divsChild>
                <w:div w:id="1787774199">
                  <w:marLeft w:val="0"/>
                  <w:marRight w:val="0"/>
                  <w:marTop w:val="0"/>
                  <w:marBottom w:val="0"/>
                  <w:divBdr>
                    <w:top w:val="none" w:sz="0" w:space="0" w:color="auto"/>
                    <w:left w:val="none" w:sz="0" w:space="0" w:color="auto"/>
                    <w:bottom w:val="none" w:sz="0" w:space="0" w:color="auto"/>
                    <w:right w:val="none" w:sz="0" w:space="0" w:color="auto"/>
                  </w:divBdr>
                </w:div>
              </w:divsChild>
            </w:div>
            <w:div w:id="339236563">
              <w:marLeft w:val="0"/>
              <w:marRight w:val="0"/>
              <w:marTop w:val="0"/>
              <w:marBottom w:val="0"/>
              <w:divBdr>
                <w:top w:val="none" w:sz="0" w:space="0" w:color="auto"/>
                <w:left w:val="none" w:sz="0" w:space="0" w:color="auto"/>
                <w:bottom w:val="none" w:sz="0" w:space="0" w:color="auto"/>
                <w:right w:val="none" w:sz="0" w:space="0" w:color="auto"/>
              </w:divBdr>
              <w:divsChild>
                <w:div w:id="114444907">
                  <w:marLeft w:val="0"/>
                  <w:marRight w:val="0"/>
                  <w:marTop w:val="0"/>
                  <w:marBottom w:val="0"/>
                  <w:divBdr>
                    <w:top w:val="none" w:sz="0" w:space="0" w:color="auto"/>
                    <w:left w:val="none" w:sz="0" w:space="0" w:color="auto"/>
                    <w:bottom w:val="none" w:sz="0" w:space="0" w:color="auto"/>
                    <w:right w:val="none" w:sz="0" w:space="0" w:color="auto"/>
                  </w:divBdr>
                </w:div>
              </w:divsChild>
            </w:div>
            <w:div w:id="493180154">
              <w:marLeft w:val="0"/>
              <w:marRight w:val="0"/>
              <w:marTop w:val="0"/>
              <w:marBottom w:val="0"/>
              <w:divBdr>
                <w:top w:val="none" w:sz="0" w:space="0" w:color="auto"/>
                <w:left w:val="none" w:sz="0" w:space="0" w:color="auto"/>
                <w:bottom w:val="none" w:sz="0" w:space="0" w:color="auto"/>
                <w:right w:val="none" w:sz="0" w:space="0" w:color="auto"/>
              </w:divBdr>
              <w:divsChild>
                <w:div w:id="1989506544">
                  <w:marLeft w:val="0"/>
                  <w:marRight w:val="0"/>
                  <w:marTop w:val="0"/>
                  <w:marBottom w:val="0"/>
                  <w:divBdr>
                    <w:top w:val="none" w:sz="0" w:space="0" w:color="auto"/>
                    <w:left w:val="none" w:sz="0" w:space="0" w:color="auto"/>
                    <w:bottom w:val="none" w:sz="0" w:space="0" w:color="auto"/>
                    <w:right w:val="none" w:sz="0" w:space="0" w:color="auto"/>
                  </w:divBdr>
                </w:div>
              </w:divsChild>
            </w:div>
            <w:div w:id="719406502">
              <w:marLeft w:val="0"/>
              <w:marRight w:val="0"/>
              <w:marTop w:val="0"/>
              <w:marBottom w:val="0"/>
              <w:divBdr>
                <w:top w:val="none" w:sz="0" w:space="0" w:color="auto"/>
                <w:left w:val="none" w:sz="0" w:space="0" w:color="auto"/>
                <w:bottom w:val="none" w:sz="0" w:space="0" w:color="auto"/>
                <w:right w:val="none" w:sz="0" w:space="0" w:color="auto"/>
              </w:divBdr>
              <w:divsChild>
                <w:div w:id="453720669">
                  <w:marLeft w:val="0"/>
                  <w:marRight w:val="0"/>
                  <w:marTop w:val="0"/>
                  <w:marBottom w:val="0"/>
                  <w:divBdr>
                    <w:top w:val="none" w:sz="0" w:space="0" w:color="auto"/>
                    <w:left w:val="none" w:sz="0" w:space="0" w:color="auto"/>
                    <w:bottom w:val="none" w:sz="0" w:space="0" w:color="auto"/>
                    <w:right w:val="none" w:sz="0" w:space="0" w:color="auto"/>
                  </w:divBdr>
                </w:div>
              </w:divsChild>
            </w:div>
            <w:div w:id="1375429441">
              <w:marLeft w:val="0"/>
              <w:marRight w:val="0"/>
              <w:marTop w:val="0"/>
              <w:marBottom w:val="0"/>
              <w:divBdr>
                <w:top w:val="none" w:sz="0" w:space="0" w:color="auto"/>
                <w:left w:val="none" w:sz="0" w:space="0" w:color="auto"/>
                <w:bottom w:val="none" w:sz="0" w:space="0" w:color="auto"/>
                <w:right w:val="none" w:sz="0" w:space="0" w:color="auto"/>
              </w:divBdr>
              <w:divsChild>
                <w:div w:id="262956632">
                  <w:marLeft w:val="0"/>
                  <w:marRight w:val="0"/>
                  <w:marTop w:val="0"/>
                  <w:marBottom w:val="0"/>
                  <w:divBdr>
                    <w:top w:val="none" w:sz="0" w:space="0" w:color="auto"/>
                    <w:left w:val="none" w:sz="0" w:space="0" w:color="auto"/>
                    <w:bottom w:val="none" w:sz="0" w:space="0" w:color="auto"/>
                    <w:right w:val="none" w:sz="0" w:space="0" w:color="auto"/>
                  </w:divBdr>
                </w:div>
              </w:divsChild>
            </w:div>
            <w:div w:id="887228595">
              <w:marLeft w:val="0"/>
              <w:marRight w:val="0"/>
              <w:marTop w:val="0"/>
              <w:marBottom w:val="0"/>
              <w:divBdr>
                <w:top w:val="none" w:sz="0" w:space="0" w:color="auto"/>
                <w:left w:val="none" w:sz="0" w:space="0" w:color="auto"/>
                <w:bottom w:val="none" w:sz="0" w:space="0" w:color="auto"/>
                <w:right w:val="none" w:sz="0" w:space="0" w:color="auto"/>
              </w:divBdr>
              <w:divsChild>
                <w:div w:id="1459489807">
                  <w:marLeft w:val="0"/>
                  <w:marRight w:val="0"/>
                  <w:marTop w:val="0"/>
                  <w:marBottom w:val="0"/>
                  <w:divBdr>
                    <w:top w:val="none" w:sz="0" w:space="0" w:color="auto"/>
                    <w:left w:val="none" w:sz="0" w:space="0" w:color="auto"/>
                    <w:bottom w:val="none" w:sz="0" w:space="0" w:color="auto"/>
                    <w:right w:val="none" w:sz="0" w:space="0" w:color="auto"/>
                  </w:divBdr>
                </w:div>
              </w:divsChild>
            </w:div>
            <w:div w:id="1320038020">
              <w:marLeft w:val="0"/>
              <w:marRight w:val="0"/>
              <w:marTop w:val="0"/>
              <w:marBottom w:val="0"/>
              <w:divBdr>
                <w:top w:val="none" w:sz="0" w:space="0" w:color="auto"/>
                <w:left w:val="none" w:sz="0" w:space="0" w:color="auto"/>
                <w:bottom w:val="none" w:sz="0" w:space="0" w:color="auto"/>
                <w:right w:val="none" w:sz="0" w:space="0" w:color="auto"/>
              </w:divBdr>
              <w:divsChild>
                <w:div w:id="1341587822">
                  <w:marLeft w:val="0"/>
                  <w:marRight w:val="0"/>
                  <w:marTop w:val="0"/>
                  <w:marBottom w:val="0"/>
                  <w:divBdr>
                    <w:top w:val="none" w:sz="0" w:space="0" w:color="auto"/>
                    <w:left w:val="none" w:sz="0" w:space="0" w:color="auto"/>
                    <w:bottom w:val="none" w:sz="0" w:space="0" w:color="auto"/>
                    <w:right w:val="none" w:sz="0" w:space="0" w:color="auto"/>
                  </w:divBdr>
                </w:div>
              </w:divsChild>
            </w:div>
            <w:div w:id="2070380237">
              <w:marLeft w:val="0"/>
              <w:marRight w:val="0"/>
              <w:marTop w:val="0"/>
              <w:marBottom w:val="0"/>
              <w:divBdr>
                <w:top w:val="none" w:sz="0" w:space="0" w:color="auto"/>
                <w:left w:val="none" w:sz="0" w:space="0" w:color="auto"/>
                <w:bottom w:val="none" w:sz="0" w:space="0" w:color="auto"/>
                <w:right w:val="none" w:sz="0" w:space="0" w:color="auto"/>
              </w:divBdr>
              <w:divsChild>
                <w:div w:id="531498254">
                  <w:marLeft w:val="0"/>
                  <w:marRight w:val="0"/>
                  <w:marTop w:val="0"/>
                  <w:marBottom w:val="0"/>
                  <w:divBdr>
                    <w:top w:val="none" w:sz="0" w:space="0" w:color="auto"/>
                    <w:left w:val="none" w:sz="0" w:space="0" w:color="auto"/>
                    <w:bottom w:val="none" w:sz="0" w:space="0" w:color="auto"/>
                    <w:right w:val="none" w:sz="0" w:space="0" w:color="auto"/>
                  </w:divBdr>
                </w:div>
              </w:divsChild>
            </w:div>
            <w:div w:id="1794637968">
              <w:marLeft w:val="0"/>
              <w:marRight w:val="0"/>
              <w:marTop w:val="0"/>
              <w:marBottom w:val="0"/>
              <w:divBdr>
                <w:top w:val="none" w:sz="0" w:space="0" w:color="auto"/>
                <w:left w:val="none" w:sz="0" w:space="0" w:color="auto"/>
                <w:bottom w:val="none" w:sz="0" w:space="0" w:color="auto"/>
                <w:right w:val="none" w:sz="0" w:space="0" w:color="auto"/>
              </w:divBdr>
              <w:divsChild>
                <w:div w:id="540094343">
                  <w:marLeft w:val="0"/>
                  <w:marRight w:val="0"/>
                  <w:marTop w:val="0"/>
                  <w:marBottom w:val="0"/>
                  <w:divBdr>
                    <w:top w:val="none" w:sz="0" w:space="0" w:color="auto"/>
                    <w:left w:val="none" w:sz="0" w:space="0" w:color="auto"/>
                    <w:bottom w:val="none" w:sz="0" w:space="0" w:color="auto"/>
                    <w:right w:val="none" w:sz="0" w:space="0" w:color="auto"/>
                  </w:divBdr>
                </w:div>
              </w:divsChild>
            </w:div>
            <w:div w:id="2052264381">
              <w:marLeft w:val="0"/>
              <w:marRight w:val="0"/>
              <w:marTop w:val="0"/>
              <w:marBottom w:val="0"/>
              <w:divBdr>
                <w:top w:val="none" w:sz="0" w:space="0" w:color="auto"/>
                <w:left w:val="none" w:sz="0" w:space="0" w:color="auto"/>
                <w:bottom w:val="none" w:sz="0" w:space="0" w:color="auto"/>
                <w:right w:val="none" w:sz="0" w:space="0" w:color="auto"/>
              </w:divBdr>
              <w:divsChild>
                <w:div w:id="586620863">
                  <w:marLeft w:val="0"/>
                  <w:marRight w:val="0"/>
                  <w:marTop w:val="0"/>
                  <w:marBottom w:val="0"/>
                  <w:divBdr>
                    <w:top w:val="none" w:sz="0" w:space="0" w:color="auto"/>
                    <w:left w:val="none" w:sz="0" w:space="0" w:color="auto"/>
                    <w:bottom w:val="none" w:sz="0" w:space="0" w:color="auto"/>
                    <w:right w:val="none" w:sz="0" w:space="0" w:color="auto"/>
                  </w:divBdr>
                </w:div>
              </w:divsChild>
            </w:div>
            <w:div w:id="1621915038">
              <w:marLeft w:val="0"/>
              <w:marRight w:val="0"/>
              <w:marTop w:val="0"/>
              <w:marBottom w:val="0"/>
              <w:divBdr>
                <w:top w:val="none" w:sz="0" w:space="0" w:color="auto"/>
                <w:left w:val="none" w:sz="0" w:space="0" w:color="auto"/>
                <w:bottom w:val="none" w:sz="0" w:space="0" w:color="auto"/>
                <w:right w:val="none" w:sz="0" w:space="0" w:color="auto"/>
              </w:divBdr>
              <w:divsChild>
                <w:div w:id="242223791">
                  <w:marLeft w:val="0"/>
                  <w:marRight w:val="0"/>
                  <w:marTop w:val="0"/>
                  <w:marBottom w:val="0"/>
                  <w:divBdr>
                    <w:top w:val="none" w:sz="0" w:space="0" w:color="auto"/>
                    <w:left w:val="none" w:sz="0" w:space="0" w:color="auto"/>
                    <w:bottom w:val="none" w:sz="0" w:space="0" w:color="auto"/>
                    <w:right w:val="none" w:sz="0" w:space="0" w:color="auto"/>
                  </w:divBdr>
                </w:div>
              </w:divsChild>
            </w:div>
            <w:div w:id="1759787711">
              <w:marLeft w:val="0"/>
              <w:marRight w:val="0"/>
              <w:marTop w:val="0"/>
              <w:marBottom w:val="0"/>
              <w:divBdr>
                <w:top w:val="none" w:sz="0" w:space="0" w:color="auto"/>
                <w:left w:val="none" w:sz="0" w:space="0" w:color="auto"/>
                <w:bottom w:val="none" w:sz="0" w:space="0" w:color="auto"/>
                <w:right w:val="none" w:sz="0" w:space="0" w:color="auto"/>
              </w:divBdr>
              <w:divsChild>
                <w:div w:id="1626892201">
                  <w:marLeft w:val="0"/>
                  <w:marRight w:val="0"/>
                  <w:marTop w:val="0"/>
                  <w:marBottom w:val="0"/>
                  <w:divBdr>
                    <w:top w:val="none" w:sz="0" w:space="0" w:color="auto"/>
                    <w:left w:val="none" w:sz="0" w:space="0" w:color="auto"/>
                    <w:bottom w:val="none" w:sz="0" w:space="0" w:color="auto"/>
                    <w:right w:val="none" w:sz="0" w:space="0" w:color="auto"/>
                  </w:divBdr>
                </w:div>
              </w:divsChild>
            </w:div>
            <w:div w:id="544950574">
              <w:marLeft w:val="0"/>
              <w:marRight w:val="0"/>
              <w:marTop w:val="0"/>
              <w:marBottom w:val="0"/>
              <w:divBdr>
                <w:top w:val="none" w:sz="0" w:space="0" w:color="auto"/>
                <w:left w:val="none" w:sz="0" w:space="0" w:color="auto"/>
                <w:bottom w:val="none" w:sz="0" w:space="0" w:color="auto"/>
                <w:right w:val="none" w:sz="0" w:space="0" w:color="auto"/>
              </w:divBdr>
              <w:divsChild>
                <w:div w:id="1368482644">
                  <w:marLeft w:val="0"/>
                  <w:marRight w:val="0"/>
                  <w:marTop w:val="0"/>
                  <w:marBottom w:val="0"/>
                  <w:divBdr>
                    <w:top w:val="none" w:sz="0" w:space="0" w:color="auto"/>
                    <w:left w:val="none" w:sz="0" w:space="0" w:color="auto"/>
                    <w:bottom w:val="none" w:sz="0" w:space="0" w:color="auto"/>
                    <w:right w:val="none" w:sz="0" w:space="0" w:color="auto"/>
                  </w:divBdr>
                </w:div>
              </w:divsChild>
            </w:div>
            <w:div w:id="967399910">
              <w:marLeft w:val="0"/>
              <w:marRight w:val="0"/>
              <w:marTop w:val="0"/>
              <w:marBottom w:val="0"/>
              <w:divBdr>
                <w:top w:val="none" w:sz="0" w:space="0" w:color="auto"/>
                <w:left w:val="none" w:sz="0" w:space="0" w:color="auto"/>
                <w:bottom w:val="none" w:sz="0" w:space="0" w:color="auto"/>
                <w:right w:val="none" w:sz="0" w:space="0" w:color="auto"/>
              </w:divBdr>
              <w:divsChild>
                <w:div w:id="1991403572">
                  <w:marLeft w:val="0"/>
                  <w:marRight w:val="0"/>
                  <w:marTop w:val="0"/>
                  <w:marBottom w:val="0"/>
                  <w:divBdr>
                    <w:top w:val="none" w:sz="0" w:space="0" w:color="auto"/>
                    <w:left w:val="none" w:sz="0" w:space="0" w:color="auto"/>
                    <w:bottom w:val="none" w:sz="0" w:space="0" w:color="auto"/>
                    <w:right w:val="none" w:sz="0" w:space="0" w:color="auto"/>
                  </w:divBdr>
                </w:div>
              </w:divsChild>
            </w:div>
            <w:div w:id="1345595997">
              <w:marLeft w:val="0"/>
              <w:marRight w:val="0"/>
              <w:marTop w:val="0"/>
              <w:marBottom w:val="0"/>
              <w:divBdr>
                <w:top w:val="none" w:sz="0" w:space="0" w:color="auto"/>
                <w:left w:val="none" w:sz="0" w:space="0" w:color="auto"/>
                <w:bottom w:val="none" w:sz="0" w:space="0" w:color="auto"/>
                <w:right w:val="none" w:sz="0" w:space="0" w:color="auto"/>
              </w:divBdr>
              <w:divsChild>
                <w:div w:id="18520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0506">
          <w:marLeft w:val="0"/>
          <w:marRight w:val="0"/>
          <w:marTop w:val="0"/>
          <w:marBottom w:val="600"/>
          <w:divBdr>
            <w:top w:val="none" w:sz="0" w:space="0" w:color="auto"/>
            <w:left w:val="none" w:sz="0" w:space="0" w:color="auto"/>
            <w:bottom w:val="none" w:sz="0" w:space="0" w:color="auto"/>
            <w:right w:val="none" w:sz="0" w:space="0" w:color="auto"/>
          </w:divBdr>
        </w:div>
      </w:divsChild>
    </w:div>
    <w:div w:id="109708214">
      <w:marLeft w:val="0"/>
      <w:marRight w:val="0"/>
      <w:marTop w:val="0"/>
      <w:marBottom w:val="0"/>
      <w:divBdr>
        <w:top w:val="none" w:sz="0" w:space="0" w:color="auto"/>
        <w:left w:val="none" w:sz="0" w:space="0" w:color="auto"/>
        <w:bottom w:val="none" w:sz="0" w:space="0" w:color="auto"/>
        <w:right w:val="none" w:sz="0" w:space="0" w:color="auto"/>
      </w:divBdr>
      <w:divsChild>
        <w:div w:id="1790010381">
          <w:marLeft w:val="0"/>
          <w:marRight w:val="0"/>
          <w:marTop w:val="432"/>
          <w:marBottom w:val="0"/>
          <w:divBdr>
            <w:top w:val="none" w:sz="0" w:space="0" w:color="auto"/>
            <w:left w:val="none" w:sz="0" w:space="0" w:color="auto"/>
            <w:bottom w:val="none" w:sz="0" w:space="0" w:color="auto"/>
            <w:right w:val="none" w:sz="0" w:space="0" w:color="auto"/>
          </w:divBdr>
        </w:div>
        <w:div w:id="1301418079">
          <w:marLeft w:val="0"/>
          <w:marRight w:val="0"/>
          <w:marTop w:val="0"/>
          <w:marBottom w:val="0"/>
          <w:divBdr>
            <w:top w:val="none" w:sz="0" w:space="0" w:color="auto"/>
            <w:left w:val="none" w:sz="0" w:space="0" w:color="auto"/>
            <w:bottom w:val="none" w:sz="0" w:space="0" w:color="auto"/>
            <w:right w:val="none" w:sz="0" w:space="0" w:color="auto"/>
          </w:divBdr>
          <w:divsChild>
            <w:div w:id="1115834657">
              <w:marLeft w:val="0"/>
              <w:marRight w:val="0"/>
              <w:marTop w:val="0"/>
              <w:marBottom w:val="0"/>
              <w:divBdr>
                <w:top w:val="none" w:sz="0" w:space="0" w:color="auto"/>
                <w:left w:val="none" w:sz="0" w:space="0" w:color="auto"/>
                <w:bottom w:val="none" w:sz="0" w:space="0" w:color="auto"/>
                <w:right w:val="none" w:sz="0" w:space="0" w:color="auto"/>
              </w:divBdr>
              <w:divsChild>
                <w:div w:id="1955862338">
                  <w:marLeft w:val="0"/>
                  <w:marRight w:val="0"/>
                  <w:marTop w:val="0"/>
                  <w:marBottom w:val="0"/>
                  <w:divBdr>
                    <w:top w:val="none" w:sz="0" w:space="0" w:color="auto"/>
                    <w:left w:val="none" w:sz="0" w:space="0" w:color="auto"/>
                    <w:bottom w:val="none" w:sz="0" w:space="0" w:color="auto"/>
                    <w:right w:val="none" w:sz="0" w:space="0" w:color="auto"/>
                  </w:divBdr>
                </w:div>
              </w:divsChild>
            </w:div>
            <w:div w:id="1476218830">
              <w:marLeft w:val="0"/>
              <w:marRight w:val="0"/>
              <w:marTop w:val="0"/>
              <w:marBottom w:val="0"/>
              <w:divBdr>
                <w:top w:val="none" w:sz="0" w:space="0" w:color="auto"/>
                <w:left w:val="none" w:sz="0" w:space="0" w:color="auto"/>
                <w:bottom w:val="none" w:sz="0" w:space="0" w:color="auto"/>
                <w:right w:val="none" w:sz="0" w:space="0" w:color="auto"/>
              </w:divBdr>
              <w:divsChild>
                <w:div w:id="639111942">
                  <w:marLeft w:val="0"/>
                  <w:marRight w:val="0"/>
                  <w:marTop w:val="0"/>
                  <w:marBottom w:val="0"/>
                  <w:divBdr>
                    <w:top w:val="none" w:sz="0" w:space="0" w:color="auto"/>
                    <w:left w:val="none" w:sz="0" w:space="0" w:color="auto"/>
                    <w:bottom w:val="none" w:sz="0" w:space="0" w:color="auto"/>
                    <w:right w:val="none" w:sz="0" w:space="0" w:color="auto"/>
                  </w:divBdr>
                </w:div>
              </w:divsChild>
            </w:div>
            <w:div w:id="1305743539">
              <w:marLeft w:val="0"/>
              <w:marRight w:val="0"/>
              <w:marTop w:val="0"/>
              <w:marBottom w:val="0"/>
              <w:divBdr>
                <w:top w:val="none" w:sz="0" w:space="0" w:color="auto"/>
                <w:left w:val="none" w:sz="0" w:space="0" w:color="auto"/>
                <w:bottom w:val="none" w:sz="0" w:space="0" w:color="auto"/>
                <w:right w:val="none" w:sz="0" w:space="0" w:color="auto"/>
              </w:divBdr>
              <w:divsChild>
                <w:div w:id="687952734">
                  <w:marLeft w:val="0"/>
                  <w:marRight w:val="0"/>
                  <w:marTop w:val="0"/>
                  <w:marBottom w:val="0"/>
                  <w:divBdr>
                    <w:top w:val="none" w:sz="0" w:space="0" w:color="auto"/>
                    <w:left w:val="none" w:sz="0" w:space="0" w:color="auto"/>
                    <w:bottom w:val="none" w:sz="0" w:space="0" w:color="auto"/>
                    <w:right w:val="none" w:sz="0" w:space="0" w:color="auto"/>
                  </w:divBdr>
                </w:div>
              </w:divsChild>
            </w:div>
            <w:div w:id="1938906464">
              <w:marLeft w:val="0"/>
              <w:marRight w:val="0"/>
              <w:marTop w:val="0"/>
              <w:marBottom w:val="0"/>
              <w:divBdr>
                <w:top w:val="none" w:sz="0" w:space="0" w:color="auto"/>
                <w:left w:val="none" w:sz="0" w:space="0" w:color="auto"/>
                <w:bottom w:val="none" w:sz="0" w:space="0" w:color="auto"/>
                <w:right w:val="none" w:sz="0" w:space="0" w:color="auto"/>
              </w:divBdr>
              <w:divsChild>
                <w:div w:id="962616353">
                  <w:marLeft w:val="0"/>
                  <w:marRight w:val="0"/>
                  <w:marTop w:val="0"/>
                  <w:marBottom w:val="0"/>
                  <w:divBdr>
                    <w:top w:val="none" w:sz="0" w:space="0" w:color="auto"/>
                    <w:left w:val="none" w:sz="0" w:space="0" w:color="auto"/>
                    <w:bottom w:val="none" w:sz="0" w:space="0" w:color="auto"/>
                    <w:right w:val="none" w:sz="0" w:space="0" w:color="auto"/>
                  </w:divBdr>
                </w:div>
              </w:divsChild>
            </w:div>
            <w:div w:id="352149400">
              <w:marLeft w:val="0"/>
              <w:marRight w:val="0"/>
              <w:marTop w:val="0"/>
              <w:marBottom w:val="0"/>
              <w:divBdr>
                <w:top w:val="none" w:sz="0" w:space="0" w:color="auto"/>
                <w:left w:val="none" w:sz="0" w:space="0" w:color="auto"/>
                <w:bottom w:val="none" w:sz="0" w:space="0" w:color="auto"/>
                <w:right w:val="none" w:sz="0" w:space="0" w:color="auto"/>
              </w:divBdr>
              <w:divsChild>
                <w:div w:id="1559121729">
                  <w:marLeft w:val="0"/>
                  <w:marRight w:val="0"/>
                  <w:marTop w:val="0"/>
                  <w:marBottom w:val="0"/>
                  <w:divBdr>
                    <w:top w:val="none" w:sz="0" w:space="0" w:color="auto"/>
                    <w:left w:val="none" w:sz="0" w:space="0" w:color="auto"/>
                    <w:bottom w:val="none" w:sz="0" w:space="0" w:color="auto"/>
                    <w:right w:val="none" w:sz="0" w:space="0" w:color="auto"/>
                  </w:divBdr>
                </w:div>
              </w:divsChild>
            </w:div>
            <w:div w:id="1459488374">
              <w:marLeft w:val="0"/>
              <w:marRight w:val="0"/>
              <w:marTop w:val="0"/>
              <w:marBottom w:val="0"/>
              <w:divBdr>
                <w:top w:val="none" w:sz="0" w:space="0" w:color="auto"/>
                <w:left w:val="none" w:sz="0" w:space="0" w:color="auto"/>
                <w:bottom w:val="none" w:sz="0" w:space="0" w:color="auto"/>
                <w:right w:val="none" w:sz="0" w:space="0" w:color="auto"/>
              </w:divBdr>
              <w:divsChild>
                <w:div w:id="1630625784">
                  <w:marLeft w:val="0"/>
                  <w:marRight w:val="0"/>
                  <w:marTop w:val="0"/>
                  <w:marBottom w:val="0"/>
                  <w:divBdr>
                    <w:top w:val="none" w:sz="0" w:space="0" w:color="auto"/>
                    <w:left w:val="none" w:sz="0" w:space="0" w:color="auto"/>
                    <w:bottom w:val="none" w:sz="0" w:space="0" w:color="auto"/>
                    <w:right w:val="none" w:sz="0" w:space="0" w:color="auto"/>
                  </w:divBdr>
                </w:div>
              </w:divsChild>
            </w:div>
            <w:div w:id="419837021">
              <w:marLeft w:val="0"/>
              <w:marRight w:val="0"/>
              <w:marTop w:val="0"/>
              <w:marBottom w:val="0"/>
              <w:divBdr>
                <w:top w:val="none" w:sz="0" w:space="0" w:color="auto"/>
                <w:left w:val="none" w:sz="0" w:space="0" w:color="auto"/>
                <w:bottom w:val="none" w:sz="0" w:space="0" w:color="auto"/>
                <w:right w:val="none" w:sz="0" w:space="0" w:color="auto"/>
              </w:divBdr>
              <w:divsChild>
                <w:div w:id="1718241286">
                  <w:marLeft w:val="0"/>
                  <w:marRight w:val="0"/>
                  <w:marTop w:val="0"/>
                  <w:marBottom w:val="0"/>
                  <w:divBdr>
                    <w:top w:val="none" w:sz="0" w:space="0" w:color="auto"/>
                    <w:left w:val="none" w:sz="0" w:space="0" w:color="auto"/>
                    <w:bottom w:val="none" w:sz="0" w:space="0" w:color="auto"/>
                    <w:right w:val="none" w:sz="0" w:space="0" w:color="auto"/>
                  </w:divBdr>
                </w:div>
              </w:divsChild>
            </w:div>
            <w:div w:id="791896755">
              <w:marLeft w:val="0"/>
              <w:marRight w:val="0"/>
              <w:marTop w:val="0"/>
              <w:marBottom w:val="0"/>
              <w:divBdr>
                <w:top w:val="none" w:sz="0" w:space="0" w:color="auto"/>
                <w:left w:val="none" w:sz="0" w:space="0" w:color="auto"/>
                <w:bottom w:val="none" w:sz="0" w:space="0" w:color="auto"/>
                <w:right w:val="none" w:sz="0" w:space="0" w:color="auto"/>
              </w:divBdr>
              <w:divsChild>
                <w:div w:id="1641770113">
                  <w:marLeft w:val="0"/>
                  <w:marRight w:val="0"/>
                  <w:marTop w:val="0"/>
                  <w:marBottom w:val="0"/>
                  <w:divBdr>
                    <w:top w:val="none" w:sz="0" w:space="0" w:color="auto"/>
                    <w:left w:val="none" w:sz="0" w:space="0" w:color="auto"/>
                    <w:bottom w:val="none" w:sz="0" w:space="0" w:color="auto"/>
                    <w:right w:val="none" w:sz="0" w:space="0" w:color="auto"/>
                  </w:divBdr>
                </w:div>
              </w:divsChild>
            </w:div>
            <w:div w:id="299455426">
              <w:marLeft w:val="0"/>
              <w:marRight w:val="0"/>
              <w:marTop w:val="0"/>
              <w:marBottom w:val="0"/>
              <w:divBdr>
                <w:top w:val="none" w:sz="0" w:space="0" w:color="auto"/>
                <w:left w:val="none" w:sz="0" w:space="0" w:color="auto"/>
                <w:bottom w:val="none" w:sz="0" w:space="0" w:color="auto"/>
                <w:right w:val="none" w:sz="0" w:space="0" w:color="auto"/>
              </w:divBdr>
              <w:divsChild>
                <w:div w:id="184292781">
                  <w:marLeft w:val="0"/>
                  <w:marRight w:val="0"/>
                  <w:marTop w:val="0"/>
                  <w:marBottom w:val="0"/>
                  <w:divBdr>
                    <w:top w:val="none" w:sz="0" w:space="0" w:color="auto"/>
                    <w:left w:val="none" w:sz="0" w:space="0" w:color="auto"/>
                    <w:bottom w:val="none" w:sz="0" w:space="0" w:color="auto"/>
                    <w:right w:val="none" w:sz="0" w:space="0" w:color="auto"/>
                  </w:divBdr>
                </w:div>
              </w:divsChild>
            </w:div>
            <w:div w:id="518278404">
              <w:marLeft w:val="0"/>
              <w:marRight w:val="0"/>
              <w:marTop w:val="0"/>
              <w:marBottom w:val="0"/>
              <w:divBdr>
                <w:top w:val="none" w:sz="0" w:space="0" w:color="auto"/>
                <w:left w:val="none" w:sz="0" w:space="0" w:color="auto"/>
                <w:bottom w:val="none" w:sz="0" w:space="0" w:color="auto"/>
                <w:right w:val="none" w:sz="0" w:space="0" w:color="auto"/>
              </w:divBdr>
              <w:divsChild>
                <w:div w:id="1435402153">
                  <w:marLeft w:val="0"/>
                  <w:marRight w:val="0"/>
                  <w:marTop w:val="0"/>
                  <w:marBottom w:val="0"/>
                  <w:divBdr>
                    <w:top w:val="none" w:sz="0" w:space="0" w:color="auto"/>
                    <w:left w:val="none" w:sz="0" w:space="0" w:color="auto"/>
                    <w:bottom w:val="none" w:sz="0" w:space="0" w:color="auto"/>
                    <w:right w:val="none" w:sz="0" w:space="0" w:color="auto"/>
                  </w:divBdr>
                </w:div>
              </w:divsChild>
            </w:div>
            <w:div w:id="1777940685">
              <w:marLeft w:val="0"/>
              <w:marRight w:val="0"/>
              <w:marTop w:val="0"/>
              <w:marBottom w:val="0"/>
              <w:divBdr>
                <w:top w:val="none" w:sz="0" w:space="0" w:color="auto"/>
                <w:left w:val="none" w:sz="0" w:space="0" w:color="auto"/>
                <w:bottom w:val="none" w:sz="0" w:space="0" w:color="auto"/>
                <w:right w:val="none" w:sz="0" w:space="0" w:color="auto"/>
              </w:divBdr>
              <w:divsChild>
                <w:div w:id="1002590320">
                  <w:marLeft w:val="0"/>
                  <w:marRight w:val="0"/>
                  <w:marTop w:val="0"/>
                  <w:marBottom w:val="0"/>
                  <w:divBdr>
                    <w:top w:val="none" w:sz="0" w:space="0" w:color="auto"/>
                    <w:left w:val="none" w:sz="0" w:space="0" w:color="auto"/>
                    <w:bottom w:val="none" w:sz="0" w:space="0" w:color="auto"/>
                    <w:right w:val="none" w:sz="0" w:space="0" w:color="auto"/>
                  </w:divBdr>
                </w:div>
              </w:divsChild>
            </w:div>
            <w:div w:id="678502621">
              <w:marLeft w:val="0"/>
              <w:marRight w:val="0"/>
              <w:marTop w:val="0"/>
              <w:marBottom w:val="0"/>
              <w:divBdr>
                <w:top w:val="none" w:sz="0" w:space="0" w:color="auto"/>
                <w:left w:val="none" w:sz="0" w:space="0" w:color="auto"/>
                <w:bottom w:val="none" w:sz="0" w:space="0" w:color="auto"/>
                <w:right w:val="none" w:sz="0" w:space="0" w:color="auto"/>
              </w:divBdr>
              <w:divsChild>
                <w:div w:id="835269810">
                  <w:marLeft w:val="0"/>
                  <w:marRight w:val="0"/>
                  <w:marTop w:val="0"/>
                  <w:marBottom w:val="0"/>
                  <w:divBdr>
                    <w:top w:val="none" w:sz="0" w:space="0" w:color="auto"/>
                    <w:left w:val="none" w:sz="0" w:space="0" w:color="auto"/>
                    <w:bottom w:val="none" w:sz="0" w:space="0" w:color="auto"/>
                    <w:right w:val="none" w:sz="0" w:space="0" w:color="auto"/>
                  </w:divBdr>
                </w:div>
              </w:divsChild>
            </w:div>
            <w:div w:id="2068453271">
              <w:marLeft w:val="0"/>
              <w:marRight w:val="0"/>
              <w:marTop w:val="0"/>
              <w:marBottom w:val="0"/>
              <w:divBdr>
                <w:top w:val="none" w:sz="0" w:space="0" w:color="auto"/>
                <w:left w:val="none" w:sz="0" w:space="0" w:color="auto"/>
                <w:bottom w:val="none" w:sz="0" w:space="0" w:color="auto"/>
                <w:right w:val="none" w:sz="0" w:space="0" w:color="auto"/>
              </w:divBdr>
              <w:divsChild>
                <w:div w:id="1632445422">
                  <w:marLeft w:val="0"/>
                  <w:marRight w:val="0"/>
                  <w:marTop w:val="0"/>
                  <w:marBottom w:val="0"/>
                  <w:divBdr>
                    <w:top w:val="none" w:sz="0" w:space="0" w:color="auto"/>
                    <w:left w:val="none" w:sz="0" w:space="0" w:color="auto"/>
                    <w:bottom w:val="none" w:sz="0" w:space="0" w:color="auto"/>
                    <w:right w:val="none" w:sz="0" w:space="0" w:color="auto"/>
                  </w:divBdr>
                </w:div>
              </w:divsChild>
            </w:div>
            <w:div w:id="1525368209">
              <w:marLeft w:val="0"/>
              <w:marRight w:val="0"/>
              <w:marTop w:val="0"/>
              <w:marBottom w:val="0"/>
              <w:divBdr>
                <w:top w:val="none" w:sz="0" w:space="0" w:color="auto"/>
                <w:left w:val="none" w:sz="0" w:space="0" w:color="auto"/>
                <w:bottom w:val="none" w:sz="0" w:space="0" w:color="auto"/>
                <w:right w:val="none" w:sz="0" w:space="0" w:color="auto"/>
              </w:divBdr>
              <w:divsChild>
                <w:div w:id="233318235">
                  <w:marLeft w:val="0"/>
                  <w:marRight w:val="0"/>
                  <w:marTop w:val="0"/>
                  <w:marBottom w:val="0"/>
                  <w:divBdr>
                    <w:top w:val="none" w:sz="0" w:space="0" w:color="auto"/>
                    <w:left w:val="none" w:sz="0" w:space="0" w:color="auto"/>
                    <w:bottom w:val="none" w:sz="0" w:space="0" w:color="auto"/>
                    <w:right w:val="none" w:sz="0" w:space="0" w:color="auto"/>
                  </w:divBdr>
                </w:div>
              </w:divsChild>
            </w:div>
            <w:div w:id="1530341148">
              <w:marLeft w:val="0"/>
              <w:marRight w:val="0"/>
              <w:marTop w:val="0"/>
              <w:marBottom w:val="0"/>
              <w:divBdr>
                <w:top w:val="none" w:sz="0" w:space="0" w:color="auto"/>
                <w:left w:val="none" w:sz="0" w:space="0" w:color="auto"/>
                <w:bottom w:val="none" w:sz="0" w:space="0" w:color="auto"/>
                <w:right w:val="none" w:sz="0" w:space="0" w:color="auto"/>
              </w:divBdr>
              <w:divsChild>
                <w:div w:id="1705984874">
                  <w:marLeft w:val="0"/>
                  <w:marRight w:val="0"/>
                  <w:marTop w:val="0"/>
                  <w:marBottom w:val="0"/>
                  <w:divBdr>
                    <w:top w:val="none" w:sz="0" w:space="0" w:color="auto"/>
                    <w:left w:val="none" w:sz="0" w:space="0" w:color="auto"/>
                    <w:bottom w:val="none" w:sz="0" w:space="0" w:color="auto"/>
                    <w:right w:val="none" w:sz="0" w:space="0" w:color="auto"/>
                  </w:divBdr>
                </w:div>
              </w:divsChild>
            </w:div>
            <w:div w:id="1646663156">
              <w:marLeft w:val="0"/>
              <w:marRight w:val="0"/>
              <w:marTop w:val="0"/>
              <w:marBottom w:val="0"/>
              <w:divBdr>
                <w:top w:val="none" w:sz="0" w:space="0" w:color="auto"/>
                <w:left w:val="none" w:sz="0" w:space="0" w:color="auto"/>
                <w:bottom w:val="none" w:sz="0" w:space="0" w:color="auto"/>
                <w:right w:val="none" w:sz="0" w:space="0" w:color="auto"/>
              </w:divBdr>
              <w:divsChild>
                <w:div w:id="1971203411">
                  <w:marLeft w:val="0"/>
                  <w:marRight w:val="0"/>
                  <w:marTop w:val="0"/>
                  <w:marBottom w:val="0"/>
                  <w:divBdr>
                    <w:top w:val="none" w:sz="0" w:space="0" w:color="auto"/>
                    <w:left w:val="none" w:sz="0" w:space="0" w:color="auto"/>
                    <w:bottom w:val="none" w:sz="0" w:space="0" w:color="auto"/>
                    <w:right w:val="none" w:sz="0" w:space="0" w:color="auto"/>
                  </w:divBdr>
                </w:div>
              </w:divsChild>
            </w:div>
            <w:div w:id="63380488">
              <w:marLeft w:val="0"/>
              <w:marRight w:val="0"/>
              <w:marTop w:val="0"/>
              <w:marBottom w:val="0"/>
              <w:divBdr>
                <w:top w:val="none" w:sz="0" w:space="0" w:color="auto"/>
                <w:left w:val="none" w:sz="0" w:space="0" w:color="auto"/>
                <w:bottom w:val="none" w:sz="0" w:space="0" w:color="auto"/>
                <w:right w:val="none" w:sz="0" w:space="0" w:color="auto"/>
              </w:divBdr>
              <w:divsChild>
                <w:div w:id="1201354996">
                  <w:marLeft w:val="0"/>
                  <w:marRight w:val="0"/>
                  <w:marTop w:val="0"/>
                  <w:marBottom w:val="0"/>
                  <w:divBdr>
                    <w:top w:val="none" w:sz="0" w:space="0" w:color="auto"/>
                    <w:left w:val="none" w:sz="0" w:space="0" w:color="auto"/>
                    <w:bottom w:val="none" w:sz="0" w:space="0" w:color="auto"/>
                    <w:right w:val="none" w:sz="0" w:space="0" w:color="auto"/>
                  </w:divBdr>
                </w:div>
              </w:divsChild>
            </w:div>
            <w:div w:id="274362026">
              <w:marLeft w:val="0"/>
              <w:marRight w:val="0"/>
              <w:marTop w:val="0"/>
              <w:marBottom w:val="0"/>
              <w:divBdr>
                <w:top w:val="none" w:sz="0" w:space="0" w:color="auto"/>
                <w:left w:val="none" w:sz="0" w:space="0" w:color="auto"/>
                <w:bottom w:val="none" w:sz="0" w:space="0" w:color="auto"/>
                <w:right w:val="none" w:sz="0" w:space="0" w:color="auto"/>
              </w:divBdr>
              <w:divsChild>
                <w:div w:id="1772703319">
                  <w:marLeft w:val="0"/>
                  <w:marRight w:val="0"/>
                  <w:marTop w:val="0"/>
                  <w:marBottom w:val="0"/>
                  <w:divBdr>
                    <w:top w:val="none" w:sz="0" w:space="0" w:color="auto"/>
                    <w:left w:val="none" w:sz="0" w:space="0" w:color="auto"/>
                    <w:bottom w:val="none" w:sz="0" w:space="0" w:color="auto"/>
                    <w:right w:val="none" w:sz="0" w:space="0" w:color="auto"/>
                  </w:divBdr>
                </w:div>
              </w:divsChild>
            </w:div>
            <w:div w:id="1060204556">
              <w:marLeft w:val="0"/>
              <w:marRight w:val="0"/>
              <w:marTop w:val="0"/>
              <w:marBottom w:val="0"/>
              <w:divBdr>
                <w:top w:val="none" w:sz="0" w:space="0" w:color="auto"/>
                <w:left w:val="none" w:sz="0" w:space="0" w:color="auto"/>
                <w:bottom w:val="none" w:sz="0" w:space="0" w:color="auto"/>
                <w:right w:val="none" w:sz="0" w:space="0" w:color="auto"/>
              </w:divBdr>
              <w:divsChild>
                <w:div w:id="582645777">
                  <w:marLeft w:val="0"/>
                  <w:marRight w:val="0"/>
                  <w:marTop w:val="0"/>
                  <w:marBottom w:val="0"/>
                  <w:divBdr>
                    <w:top w:val="none" w:sz="0" w:space="0" w:color="auto"/>
                    <w:left w:val="none" w:sz="0" w:space="0" w:color="auto"/>
                    <w:bottom w:val="none" w:sz="0" w:space="0" w:color="auto"/>
                    <w:right w:val="none" w:sz="0" w:space="0" w:color="auto"/>
                  </w:divBdr>
                </w:div>
              </w:divsChild>
            </w:div>
            <w:div w:id="1141113316">
              <w:marLeft w:val="0"/>
              <w:marRight w:val="0"/>
              <w:marTop w:val="0"/>
              <w:marBottom w:val="0"/>
              <w:divBdr>
                <w:top w:val="none" w:sz="0" w:space="0" w:color="auto"/>
                <w:left w:val="none" w:sz="0" w:space="0" w:color="auto"/>
                <w:bottom w:val="none" w:sz="0" w:space="0" w:color="auto"/>
                <w:right w:val="none" w:sz="0" w:space="0" w:color="auto"/>
              </w:divBdr>
              <w:divsChild>
                <w:div w:id="613637288">
                  <w:marLeft w:val="0"/>
                  <w:marRight w:val="0"/>
                  <w:marTop w:val="0"/>
                  <w:marBottom w:val="0"/>
                  <w:divBdr>
                    <w:top w:val="none" w:sz="0" w:space="0" w:color="auto"/>
                    <w:left w:val="none" w:sz="0" w:space="0" w:color="auto"/>
                    <w:bottom w:val="none" w:sz="0" w:space="0" w:color="auto"/>
                    <w:right w:val="none" w:sz="0" w:space="0" w:color="auto"/>
                  </w:divBdr>
                </w:div>
              </w:divsChild>
            </w:div>
            <w:div w:id="2144762667">
              <w:marLeft w:val="0"/>
              <w:marRight w:val="0"/>
              <w:marTop w:val="0"/>
              <w:marBottom w:val="0"/>
              <w:divBdr>
                <w:top w:val="none" w:sz="0" w:space="0" w:color="auto"/>
                <w:left w:val="none" w:sz="0" w:space="0" w:color="auto"/>
                <w:bottom w:val="none" w:sz="0" w:space="0" w:color="auto"/>
                <w:right w:val="none" w:sz="0" w:space="0" w:color="auto"/>
              </w:divBdr>
              <w:divsChild>
                <w:div w:id="431242714">
                  <w:marLeft w:val="0"/>
                  <w:marRight w:val="0"/>
                  <w:marTop w:val="0"/>
                  <w:marBottom w:val="0"/>
                  <w:divBdr>
                    <w:top w:val="none" w:sz="0" w:space="0" w:color="auto"/>
                    <w:left w:val="none" w:sz="0" w:space="0" w:color="auto"/>
                    <w:bottom w:val="none" w:sz="0" w:space="0" w:color="auto"/>
                    <w:right w:val="none" w:sz="0" w:space="0" w:color="auto"/>
                  </w:divBdr>
                </w:div>
              </w:divsChild>
            </w:div>
            <w:div w:id="1091510412">
              <w:marLeft w:val="0"/>
              <w:marRight w:val="0"/>
              <w:marTop w:val="0"/>
              <w:marBottom w:val="0"/>
              <w:divBdr>
                <w:top w:val="none" w:sz="0" w:space="0" w:color="auto"/>
                <w:left w:val="none" w:sz="0" w:space="0" w:color="auto"/>
                <w:bottom w:val="none" w:sz="0" w:space="0" w:color="auto"/>
                <w:right w:val="none" w:sz="0" w:space="0" w:color="auto"/>
              </w:divBdr>
              <w:divsChild>
                <w:div w:id="1071393193">
                  <w:marLeft w:val="0"/>
                  <w:marRight w:val="0"/>
                  <w:marTop w:val="0"/>
                  <w:marBottom w:val="0"/>
                  <w:divBdr>
                    <w:top w:val="none" w:sz="0" w:space="0" w:color="auto"/>
                    <w:left w:val="none" w:sz="0" w:space="0" w:color="auto"/>
                    <w:bottom w:val="none" w:sz="0" w:space="0" w:color="auto"/>
                    <w:right w:val="none" w:sz="0" w:space="0" w:color="auto"/>
                  </w:divBdr>
                </w:div>
              </w:divsChild>
            </w:div>
            <w:div w:id="1262761782">
              <w:marLeft w:val="0"/>
              <w:marRight w:val="0"/>
              <w:marTop w:val="0"/>
              <w:marBottom w:val="0"/>
              <w:divBdr>
                <w:top w:val="none" w:sz="0" w:space="0" w:color="auto"/>
                <w:left w:val="none" w:sz="0" w:space="0" w:color="auto"/>
                <w:bottom w:val="none" w:sz="0" w:space="0" w:color="auto"/>
                <w:right w:val="none" w:sz="0" w:space="0" w:color="auto"/>
              </w:divBdr>
              <w:divsChild>
                <w:div w:id="679896577">
                  <w:marLeft w:val="0"/>
                  <w:marRight w:val="0"/>
                  <w:marTop w:val="0"/>
                  <w:marBottom w:val="0"/>
                  <w:divBdr>
                    <w:top w:val="none" w:sz="0" w:space="0" w:color="auto"/>
                    <w:left w:val="none" w:sz="0" w:space="0" w:color="auto"/>
                    <w:bottom w:val="none" w:sz="0" w:space="0" w:color="auto"/>
                    <w:right w:val="none" w:sz="0" w:space="0" w:color="auto"/>
                  </w:divBdr>
                </w:div>
              </w:divsChild>
            </w:div>
            <w:div w:id="802387906">
              <w:marLeft w:val="0"/>
              <w:marRight w:val="0"/>
              <w:marTop w:val="0"/>
              <w:marBottom w:val="0"/>
              <w:divBdr>
                <w:top w:val="none" w:sz="0" w:space="0" w:color="auto"/>
                <w:left w:val="none" w:sz="0" w:space="0" w:color="auto"/>
                <w:bottom w:val="none" w:sz="0" w:space="0" w:color="auto"/>
                <w:right w:val="none" w:sz="0" w:space="0" w:color="auto"/>
              </w:divBdr>
              <w:divsChild>
                <w:div w:id="601882682">
                  <w:marLeft w:val="0"/>
                  <w:marRight w:val="0"/>
                  <w:marTop w:val="0"/>
                  <w:marBottom w:val="0"/>
                  <w:divBdr>
                    <w:top w:val="none" w:sz="0" w:space="0" w:color="auto"/>
                    <w:left w:val="none" w:sz="0" w:space="0" w:color="auto"/>
                    <w:bottom w:val="none" w:sz="0" w:space="0" w:color="auto"/>
                    <w:right w:val="none" w:sz="0" w:space="0" w:color="auto"/>
                  </w:divBdr>
                </w:div>
              </w:divsChild>
            </w:div>
            <w:div w:id="1422603409">
              <w:marLeft w:val="0"/>
              <w:marRight w:val="0"/>
              <w:marTop w:val="0"/>
              <w:marBottom w:val="0"/>
              <w:divBdr>
                <w:top w:val="none" w:sz="0" w:space="0" w:color="auto"/>
                <w:left w:val="none" w:sz="0" w:space="0" w:color="auto"/>
                <w:bottom w:val="none" w:sz="0" w:space="0" w:color="auto"/>
                <w:right w:val="none" w:sz="0" w:space="0" w:color="auto"/>
              </w:divBdr>
              <w:divsChild>
                <w:div w:id="2018001373">
                  <w:marLeft w:val="0"/>
                  <w:marRight w:val="0"/>
                  <w:marTop w:val="0"/>
                  <w:marBottom w:val="0"/>
                  <w:divBdr>
                    <w:top w:val="none" w:sz="0" w:space="0" w:color="auto"/>
                    <w:left w:val="none" w:sz="0" w:space="0" w:color="auto"/>
                    <w:bottom w:val="none" w:sz="0" w:space="0" w:color="auto"/>
                    <w:right w:val="none" w:sz="0" w:space="0" w:color="auto"/>
                  </w:divBdr>
                </w:div>
              </w:divsChild>
            </w:div>
            <w:div w:id="307512157">
              <w:marLeft w:val="0"/>
              <w:marRight w:val="0"/>
              <w:marTop w:val="0"/>
              <w:marBottom w:val="0"/>
              <w:divBdr>
                <w:top w:val="none" w:sz="0" w:space="0" w:color="auto"/>
                <w:left w:val="none" w:sz="0" w:space="0" w:color="auto"/>
                <w:bottom w:val="none" w:sz="0" w:space="0" w:color="auto"/>
                <w:right w:val="none" w:sz="0" w:space="0" w:color="auto"/>
              </w:divBdr>
              <w:divsChild>
                <w:div w:id="647829399">
                  <w:marLeft w:val="0"/>
                  <w:marRight w:val="0"/>
                  <w:marTop w:val="0"/>
                  <w:marBottom w:val="0"/>
                  <w:divBdr>
                    <w:top w:val="none" w:sz="0" w:space="0" w:color="auto"/>
                    <w:left w:val="none" w:sz="0" w:space="0" w:color="auto"/>
                    <w:bottom w:val="none" w:sz="0" w:space="0" w:color="auto"/>
                    <w:right w:val="none" w:sz="0" w:space="0" w:color="auto"/>
                  </w:divBdr>
                </w:div>
              </w:divsChild>
            </w:div>
            <w:div w:id="1812287570">
              <w:marLeft w:val="0"/>
              <w:marRight w:val="0"/>
              <w:marTop w:val="0"/>
              <w:marBottom w:val="0"/>
              <w:divBdr>
                <w:top w:val="none" w:sz="0" w:space="0" w:color="auto"/>
                <w:left w:val="none" w:sz="0" w:space="0" w:color="auto"/>
                <w:bottom w:val="none" w:sz="0" w:space="0" w:color="auto"/>
                <w:right w:val="none" w:sz="0" w:space="0" w:color="auto"/>
              </w:divBdr>
              <w:divsChild>
                <w:div w:id="1402367517">
                  <w:marLeft w:val="0"/>
                  <w:marRight w:val="0"/>
                  <w:marTop w:val="0"/>
                  <w:marBottom w:val="0"/>
                  <w:divBdr>
                    <w:top w:val="none" w:sz="0" w:space="0" w:color="auto"/>
                    <w:left w:val="none" w:sz="0" w:space="0" w:color="auto"/>
                    <w:bottom w:val="none" w:sz="0" w:space="0" w:color="auto"/>
                    <w:right w:val="none" w:sz="0" w:space="0" w:color="auto"/>
                  </w:divBdr>
                </w:div>
              </w:divsChild>
            </w:div>
            <w:div w:id="850803068">
              <w:marLeft w:val="0"/>
              <w:marRight w:val="0"/>
              <w:marTop w:val="0"/>
              <w:marBottom w:val="0"/>
              <w:divBdr>
                <w:top w:val="none" w:sz="0" w:space="0" w:color="auto"/>
                <w:left w:val="none" w:sz="0" w:space="0" w:color="auto"/>
                <w:bottom w:val="none" w:sz="0" w:space="0" w:color="auto"/>
                <w:right w:val="none" w:sz="0" w:space="0" w:color="auto"/>
              </w:divBdr>
              <w:divsChild>
                <w:div w:id="1788506034">
                  <w:marLeft w:val="0"/>
                  <w:marRight w:val="0"/>
                  <w:marTop w:val="0"/>
                  <w:marBottom w:val="0"/>
                  <w:divBdr>
                    <w:top w:val="none" w:sz="0" w:space="0" w:color="auto"/>
                    <w:left w:val="none" w:sz="0" w:space="0" w:color="auto"/>
                    <w:bottom w:val="none" w:sz="0" w:space="0" w:color="auto"/>
                    <w:right w:val="none" w:sz="0" w:space="0" w:color="auto"/>
                  </w:divBdr>
                </w:div>
              </w:divsChild>
            </w:div>
            <w:div w:id="1161312488">
              <w:marLeft w:val="0"/>
              <w:marRight w:val="0"/>
              <w:marTop w:val="0"/>
              <w:marBottom w:val="0"/>
              <w:divBdr>
                <w:top w:val="none" w:sz="0" w:space="0" w:color="auto"/>
                <w:left w:val="none" w:sz="0" w:space="0" w:color="auto"/>
                <w:bottom w:val="none" w:sz="0" w:space="0" w:color="auto"/>
                <w:right w:val="none" w:sz="0" w:space="0" w:color="auto"/>
              </w:divBdr>
              <w:divsChild>
                <w:div w:id="1367952851">
                  <w:marLeft w:val="0"/>
                  <w:marRight w:val="0"/>
                  <w:marTop w:val="0"/>
                  <w:marBottom w:val="0"/>
                  <w:divBdr>
                    <w:top w:val="none" w:sz="0" w:space="0" w:color="auto"/>
                    <w:left w:val="none" w:sz="0" w:space="0" w:color="auto"/>
                    <w:bottom w:val="none" w:sz="0" w:space="0" w:color="auto"/>
                    <w:right w:val="none" w:sz="0" w:space="0" w:color="auto"/>
                  </w:divBdr>
                </w:div>
              </w:divsChild>
            </w:div>
            <w:div w:id="1873952021">
              <w:marLeft w:val="0"/>
              <w:marRight w:val="0"/>
              <w:marTop w:val="0"/>
              <w:marBottom w:val="0"/>
              <w:divBdr>
                <w:top w:val="none" w:sz="0" w:space="0" w:color="auto"/>
                <w:left w:val="none" w:sz="0" w:space="0" w:color="auto"/>
                <w:bottom w:val="none" w:sz="0" w:space="0" w:color="auto"/>
                <w:right w:val="none" w:sz="0" w:space="0" w:color="auto"/>
              </w:divBdr>
              <w:divsChild>
                <w:div w:id="1055349446">
                  <w:marLeft w:val="0"/>
                  <w:marRight w:val="0"/>
                  <w:marTop w:val="0"/>
                  <w:marBottom w:val="0"/>
                  <w:divBdr>
                    <w:top w:val="none" w:sz="0" w:space="0" w:color="auto"/>
                    <w:left w:val="none" w:sz="0" w:space="0" w:color="auto"/>
                    <w:bottom w:val="none" w:sz="0" w:space="0" w:color="auto"/>
                    <w:right w:val="none" w:sz="0" w:space="0" w:color="auto"/>
                  </w:divBdr>
                </w:div>
              </w:divsChild>
            </w:div>
            <w:div w:id="1893728474">
              <w:marLeft w:val="0"/>
              <w:marRight w:val="0"/>
              <w:marTop w:val="0"/>
              <w:marBottom w:val="0"/>
              <w:divBdr>
                <w:top w:val="none" w:sz="0" w:space="0" w:color="auto"/>
                <w:left w:val="none" w:sz="0" w:space="0" w:color="auto"/>
                <w:bottom w:val="none" w:sz="0" w:space="0" w:color="auto"/>
                <w:right w:val="none" w:sz="0" w:space="0" w:color="auto"/>
              </w:divBdr>
              <w:divsChild>
                <w:div w:id="1697317160">
                  <w:marLeft w:val="0"/>
                  <w:marRight w:val="0"/>
                  <w:marTop w:val="0"/>
                  <w:marBottom w:val="0"/>
                  <w:divBdr>
                    <w:top w:val="none" w:sz="0" w:space="0" w:color="auto"/>
                    <w:left w:val="none" w:sz="0" w:space="0" w:color="auto"/>
                    <w:bottom w:val="none" w:sz="0" w:space="0" w:color="auto"/>
                    <w:right w:val="none" w:sz="0" w:space="0" w:color="auto"/>
                  </w:divBdr>
                </w:div>
              </w:divsChild>
            </w:div>
            <w:div w:id="1313413185">
              <w:marLeft w:val="0"/>
              <w:marRight w:val="0"/>
              <w:marTop w:val="0"/>
              <w:marBottom w:val="0"/>
              <w:divBdr>
                <w:top w:val="none" w:sz="0" w:space="0" w:color="auto"/>
                <w:left w:val="none" w:sz="0" w:space="0" w:color="auto"/>
                <w:bottom w:val="none" w:sz="0" w:space="0" w:color="auto"/>
                <w:right w:val="none" w:sz="0" w:space="0" w:color="auto"/>
              </w:divBdr>
              <w:divsChild>
                <w:div w:id="214630625">
                  <w:marLeft w:val="0"/>
                  <w:marRight w:val="0"/>
                  <w:marTop w:val="0"/>
                  <w:marBottom w:val="0"/>
                  <w:divBdr>
                    <w:top w:val="none" w:sz="0" w:space="0" w:color="auto"/>
                    <w:left w:val="none" w:sz="0" w:space="0" w:color="auto"/>
                    <w:bottom w:val="none" w:sz="0" w:space="0" w:color="auto"/>
                    <w:right w:val="none" w:sz="0" w:space="0" w:color="auto"/>
                  </w:divBdr>
                </w:div>
              </w:divsChild>
            </w:div>
            <w:div w:id="143284259">
              <w:marLeft w:val="0"/>
              <w:marRight w:val="0"/>
              <w:marTop w:val="0"/>
              <w:marBottom w:val="0"/>
              <w:divBdr>
                <w:top w:val="none" w:sz="0" w:space="0" w:color="auto"/>
                <w:left w:val="none" w:sz="0" w:space="0" w:color="auto"/>
                <w:bottom w:val="none" w:sz="0" w:space="0" w:color="auto"/>
                <w:right w:val="none" w:sz="0" w:space="0" w:color="auto"/>
              </w:divBdr>
              <w:divsChild>
                <w:div w:id="2008827952">
                  <w:marLeft w:val="0"/>
                  <w:marRight w:val="0"/>
                  <w:marTop w:val="0"/>
                  <w:marBottom w:val="0"/>
                  <w:divBdr>
                    <w:top w:val="none" w:sz="0" w:space="0" w:color="auto"/>
                    <w:left w:val="none" w:sz="0" w:space="0" w:color="auto"/>
                    <w:bottom w:val="none" w:sz="0" w:space="0" w:color="auto"/>
                    <w:right w:val="none" w:sz="0" w:space="0" w:color="auto"/>
                  </w:divBdr>
                </w:div>
              </w:divsChild>
            </w:div>
            <w:div w:id="1635990281">
              <w:marLeft w:val="0"/>
              <w:marRight w:val="0"/>
              <w:marTop w:val="0"/>
              <w:marBottom w:val="0"/>
              <w:divBdr>
                <w:top w:val="none" w:sz="0" w:space="0" w:color="auto"/>
                <w:left w:val="none" w:sz="0" w:space="0" w:color="auto"/>
                <w:bottom w:val="none" w:sz="0" w:space="0" w:color="auto"/>
                <w:right w:val="none" w:sz="0" w:space="0" w:color="auto"/>
              </w:divBdr>
              <w:divsChild>
                <w:div w:id="1260025260">
                  <w:marLeft w:val="0"/>
                  <w:marRight w:val="0"/>
                  <w:marTop w:val="0"/>
                  <w:marBottom w:val="0"/>
                  <w:divBdr>
                    <w:top w:val="none" w:sz="0" w:space="0" w:color="auto"/>
                    <w:left w:val="none" w:sz="0" w:space="0" w:color="auto"/>
                    <w:bottom w:val="none" w:sz="0" w:space="0" w:color="auto"/>
                    <w:right w:val="none" w:sz="0" w:space="0" w:color="auto"/>
                  </w:divBdr>
                </w:div>
              </w:divsChild>
            </w:div>
            <w:div w:id="1954242243">
              <w:marLeft w:val="0"/>
              <w:marRight w:val="0"/>
              <w:marTop w:val="0"/>
              <w:marBottom w:val="0"/>
              <w:divBdr>
                <w:top w:val="none" w:sz="0" w:space="0" w:color="auto"/>
                <w:left w:val="none" w:sz="0" w:space="0" w:color="auto"/>
                <w:bottom w:val="none" w:sz="0" w:space="0" w:color="auto"/>
                <w:right w:val="none" w:sz="0" w:space="0" w:color="auto"/>
              </w:divBdr>
              <w:divsChild>
                <w:div w:id="1590194313">
                  <w:marLeft w:val="0"/>
                  <w:marRight w:val="0"/>
                  <w:marTop w:val="0"/>
                  <w:marBottom w:val="0"/>
                  <w:divBdr>
                    <w:top w:val="none" w:sz="0" w:space="0" w:color="auto"/>
                    <w:left w:val="none" w:sz="0" w:space="0" w:color="auto"/>
                    <w:bottom w:val="none" w:sz="0" w:space="0" w:color="auto"/>
                    <w:right w:val="none" w:sz="0" w:space="0" w:color="auto"/>
                  </w:divBdr>
                </w:div>
              </w:divsChild>
            </w:div>
            <w:div w:id="1965653240">
              <w:marLeft w:val="0"/>
              <w:marRight w:val="0"/>
              <w:marTop w:val="0"/>
              <w:marBottom w:val="0"/>
              <w:divBdr>
                <w:top w:val="none" w:sz="0" w:space="0" w:color="auto"/>
                <w:left w:val="none" w:sz="0" w:space="0" w:color="auto"/>
                <w:bottom w:val="none" w:sz="0" w:space="0" w:color="auto"/>
                <w:right w:val="none" w:sz="0" w:space="0" w:color="auto"/>
              </w:divBdr>
              <w:divsChild>
                <w:div w:id="142284721">
                  <w:marLeft w:val="0"/>
                  <w:marRight w:val="0"/>
                  <w:marTop w:val="0"/>
                  <w:marBottom w:val="0"/>
                  <w:divBdr>
                    <w:top w:val="none" w:sz="0" w:space="0" w:color="auto"/>
                    <w:left w:val="none" w:sz="0" w:space="0" w:color="auto"/>
                    <w:bottom w:val="none" w:sz="0" w:space="0" w:color="auto"/>
                    <w:right w:val="none" w:sz="0" w:space="0" w:color="auto"/>
                  </w:divBdr>
                </w:div>
              </w:divsChild>
            </w:div>
            <w:div w:id="624041712">
              <w:marLeft w:val="0"/>
              <w:marRight w:val="0"/>
              <w:marTop w:val="0"/>
              <w:marBottom w:val="0"/>
              <w:divBdr>
                <w:top w:val="none" w:sz="0" w:space="0" w:color="auto"/>
                <w:left w:val="none" w:sz="0" w:space="0" w:color="auto"/>
                <w:bottom w:val="none" w:sz="0" w:space="0" w:color="auto"/>
                <w:right w:val="none" w:sz="0" w:space="0" w:color="auto"/>
              </w:divBdr>
              <w:divsChild>
                <w:div w:id="1824469987">
                  <w:marLeft w:val="0"/>
                  <w:marRight w:val="0"/>
                  <w:marTop w:val="0"/>
                  <w:marBottom w:val="0"/>
                  <w:divBdr>
                    <w:top w:val="none" w:sz="0" w:space="0" w:color="auto"/>
                    <w:left w:val="none" w:sz="0" w:space="0" w:color="auto"/>
                    <w:bottom w:val="none" w:sz="0" w:space="0" w:color="auto"/>
                    <w:right w:val="none" w:sz="0" w:space="0" w:color="auto"/>
                  </w:divBdr>
                </w:div>
              </w:divsChild>
            </w:div>
            <w:div w:id="1421179466">
              <w:marLeft w:val="0"/>
              <w:marRight w:val="0"/>
              <w:marTop w:val="0"/>
              <w:marBottom w:val="0"/>
              <w:divBdr>
                <w:top w:val="none" w:sz="0" w:space="0" w:color="auto"/>
                <w:left w:val="none" w:sz="0" w:space="0" w:color="auto"/>
                <w:bottom w:val="none" w:sz="0" w:space="0" w:color="auto"/>
                <w:right w:val="none" w:sz="0" w:space="0" w:color="auto"/>
              </w:divBdr>
              <w:divsChild>
                <w:div w:id="2060281702">
                  <w:marLeft w:val="0"/>
                  <w:marRight w:val="0"/>
                  <w:marTop w:val="0"/>
                  <w:marBottom w:val="0"/>
                  <w:divBdr>
                    <w:top w:val="none" w:sz="0" w:space="0" w:color="auto"/>
                    <w:left w:val="none" w:sz="0" w:space="0" w:color="auto"/>
                    <w:bottom w:val="none" w:sz="0" w:space="0" w:color="auto"/>
                    <w:right w:val="none" w:sz="0" w:space="0" w:color="auto"/>
                  </w:divBdr>
                </w:div>
              </w:divsChild>
            </w:div>
            <w:div w:id="1319193291">
              <w:marLeft w:val="0"/>
              <w:marRight w:val="0"/>
              <w:marTop w:val="0"/>
              <w:marBottom w:val="0"/>
              <w:divBdr>
                <w:top w:val="none" w:sz="0" w:space="0" w:color="auto"/>
                <w:left w:val="none" w:sz="0" w:space="0" w:color="auto"/>
                <w:bottom w:val="none" w:sz="0" w:space="0" w:color="auto"/>
                <w:right w:val="none" w:sz="0" w:space="0" w:color="auto"/>
              </w:divBdr>
              <w:divsChild>
                <w:div w:id="297225700">
                  <w:marLeft w:val="0"/>
                  <w:marRight w:val="0"/>
                  <w:marTop w:val="0"/>
                  <w:marBottom w:val="0"/>
                  <w:divBdr>
                    <w:top w:val="none" w:sz="0" w:space="0" w:color="auto"/>
                    <w:left w:val="none" w:sz="0" w:space="0" w:color="auto"/>
                    <w:bottom w:val="none" w:sz="0" w:space="0" w:color="auto"/>
                    <w:right w:val="none" w:sz="0" w:space="0" w:color="auto"/>
                  </w:divBdr>
                </w:div>
              </w:divsChild>
            </w:div>
            <w:div w:id="759182137">
              <w:marLeft w:val="0"/>
              <w:marRight w:val="0"/>
              <w:marTop w:val="0"/>
              <w:marBottom w:val="0"/>
              <w:divBdr>
                <w:top w:val="none" w:sz="0" w:space="0" w:color="auto"/>
                <w:left w:val="none" w:sz="0" w:space="0" w:color="auto"/>
                <w:bottom w:val="none" w:sz="0" w:space="0" w:color="auto"/>
                <w:right w:val="none" w:sz="0" w:space="0" w:color="auto"/>
              </w:divBdr>
              <w:divsChild>
                <w:div w:id="1886067491">
                  <w:marLeft w:val="0"/>
                  <w:marRight w:val="0"/>
                  <w:marTop w:val="0"/>
                  <w:marBottom w:val="0"/>
                  <w:divBdr>
                    <w:top w:val="none" w:sz="0" w:space="0" w:color="auto"/>
                    <w:left w:val="none" w:sz="0" w:space="0" w:color="auto"/>
                    <w:bottom w:val="none" w:sz="0" w:space="0" w:color="auto"/>
                    <w:right w:val="none" w:sz="0" w:space="0" w:color="auto"/>
                  </w:divBdr>
                </w:div>
              </w:divsChild>
            </w:div>
            <w:div w:id="1433548834">
              <w:marLeft w:val="0"/>
              <w:marRight w:val="0"/>
              <w:marTop w:val="0"/>
              <w:marBottom w:val="0"/>
              <w:divBdr>
                <w:top w:val="none" w:sz="0" w:space="0" w:color="auto"/>
                <w:left w:val="none" w:sz="0" w:space="0" w:color="auto"/>
                <w:bottom w:val="none" w:sz="0" w:space="0" w:color="auto"/>
                <w:right w:val="none" w:sz="0" w:space="0" w:color="auto"/>
              </w:divBdr>
              <w:divsChild>
                <w:div w:id="830757443">
                  <w:marLeft w:val="0"/>
                  <w:marRight w:val="0"/>
                  <w:marTop w:val="0"/>
                  <w:marBottom w:val="0"/>
                  <w:divBdr>
                    <w:top w:val="none" w:sz="0" w:space="0" w:color="auto"/>
                    <w:left w:val="none" w:sz="0" w:space="0" w:color="auto"/>
                    <w:bottom w:val="none" w:sz="0" w:space="0" w:color="auto"/>
                    <w:right w:val="none" w:sz="0" w:space="0" w:color="auto"/>
                  </w:divBdr>
                </w:div>
              </w:divsChild>
            </w:div>
            <w:div w:id="1528834480">
              <w:marLeft w:val="0"/>
              <w:marRight w:val="0"/>
              <w:marTop w:val="0"/>
              <w:marBottom w:val="0"/>
              <w:divBdr>
                <w:top w:val="none" w:sz="0" w:space="0" w:color="auto"/>
                <w:left w:val="none" w:sz="0" w:space="0" w:color="auto"/>
                <w:bottom w:val="none" w:sz="0" w:space="0" w:color="auto"/>
                <w:right w:val="none" w:sz="0" w:space="0" w:color="auto"/>
              </w:divBdr>
              <w:divsChild>
                <w:div w:id="2125612196">
                  <w:marLeft w:val="0"/>
                  <w:marRight w:val="0"/>
                  <w:marTop w:val="0"/>
                  <w:marBottom w:val="0"/>
                  <w:divBdr>
                    <w:top w:val="none" w:sz="0" w:space="0" w:color="auto"/>
                    <w:left w:val="none" w:sz="0" w:space="0" w:color="auto"/>
                    <w:bottom w:val="none" w:sz="0" w:space="0" w:color="auto"/>
                    <w:right w:val="none" w:sz="0" w:space="0" w:color="auto"/>
                  </w:divBdr>
                </w:div>
              </w:divsChild>
            </w:div>
            <w:div w:id="1230116864">
              <w:marLeft w:val="0"/>
              <w:marRight w:val="0"/>
              <w:marTop w:val="0"/>
              <w:marBottom w:val="0"/>
              <w:divBdr>
                <w:top w:val="none" w:sz="0" w:space="0" w:color="auto"/>
                <w:left w:val="none" w:sz="0" w:space="0" w:color="auto"/>
                <w:bottom w:val="none" w:sz="0" w:space="0" w:color="auto"/>
                <w:right w:val="none" w:sz="0" w:space="0" w:color="auto"/>
              </w:divBdr>
              <w:divsChild>
                <w:div w:id="1230578095">
                  <w:marLeft w:val="0"/>
                  <w:marRight w:val="0"/>
                  <w:marTop w:val="0"/>
                  <w:marBottom w:val="0"/>
                  <w:divBdr>
                    <w:top w:val="none" w:sz="0" w:space="0" w:color="auto"/>
                    <w:left w:val="none" w:sz="0" w:space="0" w:color="auto"/>
                    <w:bottom w:val="none" w:sz="0" w:space="0" w:color="auto"/>
                    <w:right w:val="none" w:sz="0" w:space="0" w:color="auto"/>
                  </w:divBdr>
                </w:div>
              </w:divsChild>
            </w:div>
            <w:div w:id="1536428055">
              <w:marLeft w:val="0"/>
              <w:marRight w:val="0"/>
              <w:marTop w:val="0"/>
              <w:marBottom w:val="0"/>
              <w:divBdr>
                <w:top w:val="none" w:sz="0" w:space="0" w:color="auto"/>
                <w:left w:val="none" w:sz="0" w:space="0" w:color="auto"/>
                <w:bottom w:val="none" w:sz="0" w:space="0" w:color="auto"/>
                <w:right w:val="none" w:sz="0" w:space="0" w:color="auto"/>
              </w:divBdr>
              <w:divsChild>
                <w:div w:id="1394696208">
                  <w:marLeft w:val="0"/>
                  <w:marRight w:val="0"/>
                  <w:marTop w:val="0"/>
                  <w:marBottom w:val="0"/>
                  <w:divBdr>
                    <w:top w:val="none" w:sz="0" w:space="0" w:color="auto"/>
                    <w:left w:val="none" w:sz="0" w:space="0" w:color="auto"/>
                    <w:bottom w:val="none" w:sz="0" w:space="0" w:color="auto"/>
                    <w:right w:val="none" w:sz="0" w:space="0" w:color="auto"/>
                  </w:divBdr>
                </w:div>
              </w:divsChild>
            </w:div>
            <w:div w:id="564486426">
              <w:marLeft w:val="0"/>
              <w:marRight w:val="0"/>
              <w:marTop w:val="0"/>
              <w:marBottom w:val="0"/>
              <w:divBdr>
                <w:top w:val="none" w:sz="0" w:space="0" w:color="auto"/>
                <w:left w:val="none" w:sz="0" w:space="0" w:color="auto"/>
                <w:bottom w:val="none" w:sz="0" w:space="0" w:color="auto"/>
                <w:right w:val="none" w:sz="0" w:space="0" w:color="auto"/>
              </w:divBdr>
              <w:divsChild>
                <w:div w:id="1463038146">
                  <w:marLeft w:val="0"/>
                  <w:marRight w:val="0"/>
                  <w:marTop w:val="0"/>
                  <w:marBottom w:val="0"/>
                  <w:divBdr>
                    <w:top w:val="none" w:sz="0" w:space="0" w:color="auto"/>
                    <w:left w:val="none" w:sz="0" w:space="0" w:color="auto"/>
                    <w:bottom w:val="none" w:sz="0" w:space="0" w:color="auto"/>
                    <w:right w:val="none" w:sz="0" w:space="0" w:color="auto"/>
                  </w:divBdr>
                </w:div>
              </w:divsChild>
            </w:div>
            <w:div w:id="12001227">
              <w:marLeft w:val="0"/>
              <w:marRight w:val="0"/>
              <w:marTop w:val="0"/>
              <w:marBottom w:val="0"/>
              <w:divBdr>
                <w:top w:val="none" w:sz="0" w:space="0" w:color="auto"/>
                <w:left w:val="none" w:sz="0" w:space="0" w:color="auto"/>
                <w:bottom w:val="none" w:sz="0" w:space="0" w:color="auto"/>
                <w:right w:val="none" w:sz="0" w:space="0" w:color="auto"/>
              </w:divBdr>
              <w:divsChild>
                <w:div w:id="1504079836">
                  <w:marLeft w:val="0"/>
                  <w:marRight w:val="0"/>
                  <w:marTop w:val="0"/>
                  <w:marBottom w:val="0"/>
                  <w:divBdr>
                    <w:top w:val="none" w:sz="0" w:space="0" w:color="auto"/>
                    <w:left w:val="none" w:sz="0" w:space="0" w:color="auto"/>
                    <w:bottom w:val="none" w:sz="0" w:space="0" w:color="auto"/>
                    <w:right w:val="none" w:sz="0" w:space="0" w:color="auto"/>
                  </w:divBdr>
                </w:div>
              </w:divsChild>
            </w:div>
            <w:div w:id="97604319">
              <w:marLeft w:val="0"/>
              <w:marRight w:val="0"/>
              <w:marTop w:val="0"/>
              <w:marBottom w:val="0"/>
              <w:divBdr>
                <w:top w:val="none" w:sz="0" w:space="0" w:color="auto"/>
                <w:left w:val="none" w:sz="0" w:space="0" w:color="auto"/>
                <w:bottom w:val="none" w:sz="0" w:space="0" w:color="auto"/>
                <w:right w:val="none" w:sz="0" w:space="0" w:color="auto"/>
              </w:divBdr>
              <w:divsChild>
                <w:div w:id="1146506549">
                  <w:marLeft w:val="0"/>
                  <w:marRight w:val="0"/>
                  <w:marTop w:val="0"/>
                  <w:marBottom w:val="0"/>
                  <w:divBdr>
                    <w:top w:val="none" w:sz="0" w:space="0" w:color="auto"/>
                    <w:left w:val="none" w:sz="0" w:space="0" w:color="auto"/>
                    <w:bottom w:val="none" w:sz="0" w:space="0" w:color="auto"/>
                    <w:right w:val="none" w:sz="0" w:space="0" w:color="auto"/>
                  </w:divBdr>
                </w:div>
              </w:divsChild>
            </w:div>
            <w:div w:id="1915434971">
              <w:marLeft w:val="0"/>
              <w:marRight w:val="0"/>
              <w:marTop w:val="0"/>
              <w:marBottom w:val="0"/>
              <w:divBdr>
                <w:top w:val="none" w:sz="0" w:space="0" w:color="auto"/>
                <w:left w:val="none" w:sz="0" w:space="0" w:color="auto"/>
                <w:bottom w:val="none" w:sz="0" w:space="0" w:color="auto"/>
                <w:right w:val="none" w:sz="0" w:space="0" w:color="auto"/>
              </w:divBdr>
              <w:divsChild>
                <w:div w:id="1627856424">
                  <w:marLeft w:val="0"/>
                  <w:marRight w:val="0"/>
                  <w:marTop w:val="0"/>
                  <w:marBottom w:val="0"/>
                  <w:divBdr>
                    <w:top w:val="none" w:sz="0" w:space="0" w:color="auto"/>
                    <w:left w:val="none" w:sz="0" w:space="0" w:color="auto"/>
                    <w:bottom w:val="none" w:sz="0" w:space="0" w:color="auto"/>
                    <w:right w:val="none" w:sz="0" w:space="0" w:color="auto"/>
                  </w:divBdr>
                </w:div>
              </w:divsChild>
            </w:div>
            <w:div w:id="1266882309">
              <w:marLeft w:val="0"/>
              <w:marRight w:val="0"/>
              <w:marTop w:val="0"/>
              <w:marBottom w:val="0"/>
              <w:divBdr>
                <w:top w:val="none" w:sz="0" w:space="0" w:color="auto"/>
                <w:left w:val="none" w:sz="0" w:space="0" w:color="auto"/>
                <w:bottom w:val="none" w:sz="0" w:space="0" w:color="auto"/>
                <w:right w:val="none" w:sz="0" w:space="0" w:color="auto"/>
              </w:divBdr>
              <w:divsChild>
                <w:div w:id="1817451584">
                  <w:marLeft w:val="0"/>
                  <w:marRight w:val="0"/>
                  <w:marTop w:val="0"/>
                  <w:marBottom w:val="0"/>
                  <w:divBdr>
                    <w:top w:val="none" w:sz="0" w:space="0" w:color="auto"/>
                    <w:left w:val="none" w:sz="0" w:space="0" w:color="auto"/>
                    <w:bottom w:val="none" w:sz="0" w:space="0" w:color="auto"/>
                    <w:right w:val="none" w:sz="0" w:space="0" w:color="auto"/>
                  </w:divBdr>
                </w:div>
              </w:divsChild>
            </w:div>
            <w:div w:id="842472552">
              <w:marLeft w:val="0"/>
              <w:marRight w:val="0"/>
              <w:marTop w:val="0"/>
              <w:marBottom w:val="0"/>
              <w:divBdr>
                <w:top w:val="none" w:sz="0" w:space="0" w:color="auto"/>
                <w:left w:val="none" w:sz="0" w:space="0" w:color="auto"/>
                <w:bottom w:val="none" w:sz="0" w:space="0" w:color="auto"/>
                <w:right w:val="none" w:sz="0" w:space="0" w:color="auto"/>
              </w:divBdr>
              <w:divsChild>
                <w:div w:id="851266700">
                  <w:marLeft w:val="0"/>
                  <w:marRight w:val="0"/>
                  <w:marTop w:val="0"/>
                  <w:marBottom w:val="0"/>
                  <w:divBdr>
                    <w:top w:val="none" w:sz="0" w:space="0" w:color="auto"/>
                    <w:left w:val="none" w:sz="0" w:space="0" w:color="auto"/>
                    <w:bottom w:val="none" w:sz="0" w:space="0" w:color="auto"/>
                    <w:right w:val="none" w:sz="0" w:space="0" w:color="auto"/>
                  </w:divBdr>
                </w:div>
              </w:divsChild>
            </w:div>
            <w:div w:id="341008590">
              <w:marLeft w:val="0"/>
              <w:marRight w:val="0"/>
              <w:marTop w:val="0"/>
              <w:marBottom w:val="0"/>
              <w:divBdr>
                <w:top w:val="none" w:sz="0" w:space="0" w:color="auto"/>
                <w:left w:val="none" w:sz="0" w:space="0" w:color="auto"/>
                <w:bottom w:val="none" w:sz="0" w:space="0" w:color="auto"/>
                <w:right w:val="none" w:sz="0" w:space="0" w:color="auto"/>
              </w:divBdr>
              <w:divsChild>
                <w:div w:id="1456756069">
                  <w:marLeft w:val="0"/>
                  <w:marRight w:val="0"/>
                  <w:marTop w:val="0"/>
                  <w:marBottom w:val="0"/>
                  <w:divBdr>
                    <w:top w:val="none" w:sz="0" w:space="0" w:color="auto"/>
                    <w:left w:val="none" w:sz="0" w:space="0" w:color="auto"/>
                    <w:bottom w:val="none" w:sz="0" w:space="0" w:color="auto"/>
                    <w:right w:val="none" w:sz="0" w:space="0" w:color="auto"/>
                  </w:divBdr>
                </w:div>
              </w:divsChild>
            </w:div>
            <w:div w:id="1022324147">
              <w:marLeft w:val="0"/>
              <w:marRight w:val="0"/>
              <w:marTop w:val="0"/>
              <w:marBottom w:val="0"/>
              <w:divBdr>
                <w:top w:val="none" w:sz="0" w:space="0" w:color="auto"/>
                <w:left w:val="none" w:sz="0" w:space="0" w:color="auto"/>
                <w:bottom w:val="none" w:sz="0" w:space="0" w:color="auto"/>
                <w:right w:val="none" w:sz="0" w:space="0" w:color="auto"/>
              </w:divBdr>
              <w:divsChild>
                <w:div w:id="1862238062">
                  <w:marLeft w:val="0"/>
                  <w:marRight w:val="0"/>
                  <w:marTop w:val="0"/>
                  <w:marBottom w:val="0"/>
                  <w:divBdr>
                    <w:top w:val="none" w:sz="0" w:space="0" w:color="auto"/>
                    <w:left w:val="none" w:sz="0" w:space="0" w:color="auto"/>
                    <w:bottom w:val="none" w:sz="0" w:space="0" w:color="auto"/>
                    <w:right w:val="none" w:sz="0" w:space="0" w:color="auto"/>
                  </w:divBdr>
                </w:div>
              </w:divsChild>
            </w:div>
            <w:div w:id="585070930">
              <w:marLeft w:val="0"/>
              <w:marRight w:val="0"/>
              <w:marTop w:val="0"/>
              <w:marBottom w:val="0"/>
              <w:divBdr>
                <w:top w:val="none" w:sz="0" w:space="0" w:color="auto"/>
                <w:left w:val="none" w:sz="0" w:space="0" w:color="auto"/>
                <w:bottom w:val="none" w:sz="0" w:space="0" w:color="auto"/>
                <w:right w:val="none" w:sz="0" w:space="0" w:color="auto"/>
              </w:divBdr>
              <w:divsChild>
                <w:div w:id="213391379">
                  <w:marLeft w:val="0"/>
                  <w:marRight w:val="0"/>
                  <w:marTop w:val="0"/>
                  <w:marBottom w:val="0"/>
                  <w:divBdr>
                    <w:top w:val="none" w:sz="0" w:space="0" w:color="auto"/>
                    <w:left w:val="none" w:sz="0" w:space="0" w:color="auto"/>
                    <w:bottom w:val="none" w:sz="0" w:space="0" w:color="auto"/>
                    <w:right w:val="none" w:sz="0" w:space="0" w:color="auto"/>
                  </w:divBdr>
                </w:div>
              </w:divsChild>
            </w:div>
            <w:div w:id="1351687959">
              <w:marLeft w:val="0"/>
              <w:marRight w:val="0"/>
              <w:marTop w:val="0"/>
              <w:marBottom w:val="0"/>
              <w:divBdr>
                <w:top w:val="none" w:sz="0" w:space="0" w:color="auto"/>
                <w:left w:val="none" w:sz="0" w:space="0" w:color="auto"/>
                <w:bottom w:val="none" w:sz="0" w:space="0" w:color="auto"/>
                <w:right w:val="none" w:sz="0" w:space="0" w:color="auto"/>
              </w:divBdr>
              <w:divsChild>
                <w:div w:id="1533375328">
                  <w:marLeft w:val="0"/>
                  <w:marRight w:val="0"/>
                  <w:marTop w:val="0"/>
                  <w:marBottom w:val="0"/>
                  <w:divBdr>
                    <w:top w:val="none" w:sz="0" w:space="0" w:color="auto"/>
                    <w:left w:val="none" w:sz="0" w:space="0" w:color="auto"/>
                    <w:bottom w:val="none" w:sz="0" w:space="0" w:color="auto"/>
                    <w:right w:val="none" w:sz="0" w:space="0" w:color="auto"/>
                  </w:divBdr>
                </w:div>
              </w:divsChild>
            </w:div>
            <w:div w:id="1999916694">
              <w:marLeft w:val="0"/>
              <w:marRight w:val="0"/>
              <w:marTop w:val="0"/>
              <w:marBottom w:val="0"/>
              <w:divBdr>
                <w:top w:val="none" w:sz="0" w:space="0" w:color="auto"/>
                <w:left w:val="none" w:sz="0" w:space="0" w:color="auto"/>
                <w:bottom w:val="none" w:sz="0" w:space="0" w:color="auto"/>
                <w:right w:val="none" w:sz="0" w:space="0" w:color="auto"/>
              </w:divBdr>
              <w:divsChild>
                <w:div w:id="1150515488">
                  <w:marLeft w:val="0"/>
                  <w:marRight w:val="0"/>
                  <w:marTop w:val="0"/>
                  <w:marBottom w:val="0"/>
                  <w:divBdr>
                    <w:top w:val="none" w:sz="0" w:space="0" w:color="auto"/>
                    <w:left w:val="none" w:sz="0" w:space="0" w:color="auto"/>
                    <w:bottom w:val="none" w:sz="0" w:space="0" w:color="auto"/>
                    <w:right w:val="none" w:sz="0" w:space="0" w:color="auto"/>
                  </w:divBdr>
                </w:div>
              </w:divsChild>
            </w:div>
            <w:div w:id="280308582">
              <w:marLeft w:val="0"/>
              <w:marRight w:val="0"/>
              <w:marTop w:val="0"/>
              <w:marBottom w:val="0"/>
              <w:divBdr>
                <w:top w:val="none" w:sz="0" w:space="0" w:color="auto"/>
                <w:left w:val="none" w:sz="0" w:space="0" w:color="auto"/>
                <w:bottom w:val="none" w:sz="0" w:space="0" w:color="auto"/>
                <w:right w:val="none" w:sz="0" w:space="0" w:color="auto"/>
              </w:divBdr>
              <w:divsChild>
                <w:div w:id="1704669571">
                  <w:marLeft w:val="0"/>
                  <w:marRight w:val="0"/>
                  <w:marTop w:val="0"/>
                  <w:marBottom w:val="0"/>
                  <w:divBdr>
                    <w:top w:val="none" w:sz="0" w:space="0" w:color="auto"/>
                    <w:left w:val="none" w:sz="0" w:space="0" w:color="auto"/>
                    <w:bottom w:val="none" w:sz="0" w:space="0" w:color="auto"/>
                    <w:right w:val="none" w:sz="0" w:space="0" w:color="auto"/>
                  </w:divBdr>
                </w:div>
              </w:divsChild>
            </w:div>
            <w:div w:id="1523323078">
              <w:marLeft w:val="0"/>
              <w:marRight w:val="0"/>
              <w:marTop w:val="0"/>
              <w:marBottom w:val="0"/>
              <w:divBdr>
                <w:top w:val="none" w:sz="0" w:space="0" w:color="auto"/>
                <w:left w:val="none" w:sz="0" w:space="0" w:color="auto"/>
                <w:bottom w:val="none" w:sz="0" w:space="0" w:color="auto"/>
                <w:right w:val="none" w:sz="0" w:space="0" w:color="auto"/>
              </w:divBdr>
              <w:divsChild>
                <w:div w:id="1923442240">
                  <w:marLeft w:val="0"/>
                  <w:marRight w:val="0"/>
                  <w:marTop w:val="0"/>
                  <w:marBottom w:val="0"/>
                  <w:divBdr>
                    <w:top w:val="none" w:sz="0" w:space="0" w:color="auto"/>
                    <w:left w:val="none" w:sz="0" w:space="0" w:color="auto"/>
                    <w:bottom w:val="none" w:sz="0" w:space="0" w:color="auto"/>
                    <w:right w:val="none" w:sz="0" w:space="0" w:color="auto"/>
                  </w:divBdr>
                </w:div>
              </w:divsChild>
            </w:div>
            <w:div w:id="1777288432">
              <w:marLeft w:val="0"/>
              <w:marRight w:val="0"/>
              <w:marTop w:val="0"/>
              <w:marBottom w:val="0"/>
              <w:divBdr>
                <w:top w:val="none" w:sz="0" w:space="0" w:color="auto"/>
                <w:left w:val="none" w:sz="0" w:space="0" w:color="auto"/>
                <w:bottom w:val="none" w:sz="0" w:space="0" w:color="auto"/>
                <w:right w:val="none" w:sz="0" w:space="0" w:color="auto"/>
              </w:divBdr>
              <w:divsChild>
                <w:div w:id="356272923">
                  <w:marLeft w:val="0"/>
                  <w:marRight w:val="0"/>
                  <w:marTop w:val="0"/>
                  <w:marBottom w:val="0"/>
                  <w:divBdr>
                    <w:top w:val="none" w:sz="0" w:space="0" w:color="auto"/>
                    <w:left w:val="none" w:sz="0" w:space="0" w:color="auto"/>
                    <w:bottom w:val="none" w:sz="0" w:space="0" w:color="auto"/>
                    <w:right w:val="none" w:sz="0" w:space="0" w:color="auto"/>
                  </w:divBdr>
                </w:div>
              </w:divsChild>
            </w:div>
            <w:div w:id="1609195585">
              <w:marLeft w:val="0"/>
              <w:marRight w:val="0"/>
              <w:marTop w:val="0"/>
              <w:marBottom w:val="0"/>
              <w:divBdr>
                <w:top w:val="none" w:sz="0" w:space="0" w:color="auto"/>
                <w:left w:val="none" w:sz="0" w:space="0" w:color="auto"/>
                <w:bottom w:val="none" w:sz="0" w:space="0" w:color="auto"/>
                <w:right w:val="none" w:sz="0" w:space="0" w:color="auto"/>
              </w:divBdr>
              <w:divsChild>
                <w:div w:id="893613854">
                  <w:marLeft w:val="0"/>
                  <w:marRight w:val="0"/>
                  <w:marTop w:val="0"/>
                  <w:marBottom w:val="0"/>
                  <w:divBdr>
                    <w:top w:val="none" w:sz="0" w:space="0" w:color="auto"/>
                    <w:left w:val="none" w:sz="0" w:space="0" w:color="auto"/>
                    <w:bottom w:val="none" w:sz="0" w:space="0" w:color="auto"/>
                    <w:right w:val="none" w:sz="0" w:space="0" w:color="auto"/>
                  </w:divBdr>
                </w:div>
              </w:divsChild>
            </w:div>
            <w:div w:id="1033772653">
              <w:marLeft w:val="0"/>
              <w:marRight w:val="0"/>
              <w:marTop w:val="0"/>
              <w:marBottom w:val="0"/>
              <w:divBdr>
                <w:top w:val="none" w:sz="0" w:space="0" w:color="auto"/>
                <w:left w:val="none" w:sz="0" w:space="0" w:color="auto"/>
                <w:bottom w:val="none" w:sz="0" w:space="0" w:color="auto"/>
                <w:right w:val="none" w:sz="0" w:space="0" w:color="auto"/>
              </w:divBdr>
              <w:divsChild>
                <w:div w:id="1292322662">
                  <w:marLeft w:val="0"/>
                  <w:marRight w:val="0"/>
                  <w:marTop w:val="0"/>
                  <w:marBottom w:val="0"/>
                  <w:divBdr>
                    <w:top w:val="none" w:sz="0" w:space="0" w:color="auto"/>
                    <w:left w:val="none" w:sz="0" w:space="0" w:color="auto"/>
                    <w:bottom w:val="none" w:sz="0" w:space="0" w:color="auto"/>
                    <w:right w:val="none" w:sz="0" w:space="0" w:color="auto"/>
                  </w:divBdr>
                </w:div>
              </w:divsChild>
            </w:div>
            <w:div w:id="1917132205">
              <w:marLeft w:val="0"/>
              <w:marRight w:val="0"/>
              <w:marTop w:val="0"/>
              <w:marBottom w:val="0"/>
              <w:divBdr>
                <w:top w:val="none" w:sz="0" w:space="0" w:color="auto"/>
                <w:left w:val="none" w:sz="0" w:space="0" w:color="auto"/>
                <w:bottom w:val="none" w:sz="0" w:space="0" w:color="auto"/>
                <w:right w:val="none" w:sz="0" w:space="0" w:color="auto"/>
              </w:divBdr>
              <w:divsChild>
                <w:div w:id="1062287020">
                  <w:marLeft w:val="0"/>
                  <w:marRight w:val="0"/>
                  <w:marTop w:val="0"/>
                  <w:marBottom w:val="0"/>
                  <w:divBdr>
                    <w:top w:val="none" w:sz="0" w:space="0" w:color="auto"/>
                    <w:left w:val="none" w:sz="0" w:space="0" w:color="auto"/>
                    <w:bottom w:val="none" w:sz="0" w:space="0" w:color="auto"/>
                    <w:right w:val="none" w:sz="0" w:space="0" w:color="auto"/>
                  </w:divBdr>
                </w:div>
              </w:divsChild>
            </w:div>
            <w:div w:id="1434132270">
              <w:marLeft w:val="0"/>
              <w:marRight w:val="0"/>
              <w:marTop w:val="0"/>
              <w:marBottom w:val="0"/>
              <w:divBdr>
                <w:top w:val="none" w:sz="0" w:space="0" w:color="auto"/>
                <w:left w:val="none" w:sz="0" w:space="0" w:color="auto"/>
                <w:bottom w:val="none" w:sz="0" w:space="0" w:color="auto"/>
                <w:right w:val="none" w:sz="0" w:space="0" w:color="auto"/>
              </w:divBdr>
              <w:divsChild>
                <w:div w:id="21210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8067">
          <w:marLeft w:val="0"/>
          <w:marRight w:val="0"/>
          <w:marTop w:val="0"/>
          <w:marBottom w:val="600"/>
          <w:divBdr>
            <w:top w:val="none" w:sz="0" w:space="0" w:color="auto"/>
            <w:left w:val="none" w:sz="0" w:space="0" w:color="auto"/>
            <w:bottom w:val="none" w:sz="0" w:space="0" w:color="auto"/>
            <w:right w:val="none" w:sz="0" w:space="0" w:color="auto"/>
          </w:divBdr>
        </w:div>
      </w:divsChild>
    </w:div>
    <w:div w:id="192883062">
      <w:marLeft w:val="0"/>
      <w:marRight w:val="0"/>
      <w:marTop w:val="0"/>
      <w:marBottom w:val="0"/>
      <w:divBdr>
        <w:top w:val="none" w:sz="0" w:space="0" w:color="auto"/>
        <w:left w:val="none" w:sz="0" w:space="0" w:color="auto"/>
        <w:bottom w:val="none" w:sz="0" w:space="0" w:color="auto"/>
        <w:right w:val="none" w:sz="0" w:space="0" w:color="auto"/>
      </w:divBdr>
      <w:divsChild>
        <w:div w:id="1031106689">
          <w:marLeft w:val="0"/>
          <w:marRight w:val="0"/>
          <w:marTop w:val="432"/>
          <w:marBottom w:val="0"/>
          <w:divBdr>
            <w:top w:val="none" w:sz="0" w:space="0" w:color="auto"/>
            <w:left w:val="none" w:sz="0" w:space="0" w:color="auto"/>
            <w:bottom w:val="none" w:sz="0" w:space="0" w:color="auto"/>
            <w:right w:val="none" w:sz="0" w:space="0" w:color="auto"/>
          </w:divBdr>
        </w:div>
        <w:div w:id="973103360">
          <w:marLeft w:val="0"/>
          <w:marRight w:val="0"/>
          <w:marTop w:val="0"/>
          <w:marBottom w:val="0"/>
          <w:divBdr>
            <w:top w:val="none" w:sz="0" w:space="0" w:color="auto"/>
            <w:left w:val="none" w:sz="0" w:space="0" w:color="auto"/>
            <w:bottom w:val="none" w:sz="0" w:space="0" w:color="auto"/>
            <w:right w:val="none" w:sz="0" w:space="0" w:color="auto"/>
          </w:divBdr>
        </w:div>
        <w:div w:id="1447574866">
          <w:marLeft w:val="0"/>
          <w:marRight w:val="0"/>
          <w:marTop w:val="0"/>
          <w:marBottom w:val="600"/>
          <w:divBdr>
            <w:top w:val="none" w:sz="0" w:space="0" w:color="auto"/>
            <w:left w:val="none" w:sz="0" w:space="0" w:color="auto"/>
            <w:bottom w:val="none" w:sz="0" w:space="0" w:color="auto"/>
            <w:right w:val="none" w:sz="0" w:space="0" w:color="auto"/>
          </w:divBdr>
        </w:div>
      </w:divsChild>
    </w:div>
    <w:div w:id="207186606">
      <w:marLeft w:val="0"/>
      <w:marRight w:val="0"/>
      <w:marTop w:val="0"/>
      <w:marBottom w:val="0"/>
      <w:divBdr>
        <w:top w:val="none" w:sz="0" w:space="0" w:color="auto"/>
        <w:left w:val="none" w:sz="0" w:space="0" w:color="auto"/>
        <w:bottom w:val="none" w:sz="0" w:space="0" w:color="auto"/>
        <w:right w:val="none" w:sz="0" w:space="0" w:color="auto"/>
      </w:divBdr>
      <w:divsChild>
        <w:div w:id="1354452579">
          <w:marLeft w:val="0"/>
          <w:marRight w:val="0"/>
          <w:marTop w:val="432"/>
          <w:marBottom w:val="0"/>
          <w:divBdr>
            <w:top w:val="none" w:sz="0" w:space="0" w:color="auto"/>
            <w:left w:val="none" w:sz="0" w:space="0" w:color="auto"/>
            <w:bottom w:val="none" w:sz="0" w:space="0" w:color="auto"/>
            <w:right w:val="none" w:sz="0" w:space="0" w:color="auto"/>
          </w:divBdr>
        </w:div>
        <w:div w:id="1434201764">
          <w:marLeft w:val="0"/>
          <w:marRight w:val="0"/>
          <w:marTop w:val="0"/>
          <w:marBottom w:val="0"/>
          <w:divBdr>
            <w:top w:val="none" w:sz="0" w:space="0" w:color="auto"/>
            <w:left w:val="none" w:sz="0" w:space="0" w:color="auto"/>
            <w:bottom w:val="none" w:sz="0" w:space="0" w:color="auto"/>
            <w:right w:val="none" w:sz="0" w:space="0" w:color="auto"/>
          </w:divBdr>
        </w:div>
        <w:div w:id="1493258800">
          <w:marLeft w:val="0"/>
          <w:marRight w:val="0"/>
          <w:marTop w:val="0"/>
          <w:marBottom w:val="600"/>
          <w:divBdr>
            <w:top w:val="none" w:sz="0" w:space="0" w:color="auto"/>
            <w:left w:val="none" w:sz="0" w:space="0" w:color="auto"/>
            <w:bottom w:val="none" w:sz="0" w:space="0" w:color="auto"/>
            <w:right w:val="none" w:sz="0" w:space="0" w:color="auto"/>
          </w:divBdr>
        </w:div>
      </w:divsChild>
    </w:div>
    <w:div w:id="240601718">
      <w:marLeft w:val="0"/>
      <w:marRight w:val="0"/>
      <w:marTop w:val="0"/>
      <w:marBottom w:val="0"/>
      <w:divBdr>
        <w:top w:val="none" w:sz="0" w:space="0" w:color="auto"/>
        <w:left w:val="none" w:sz="0" w:space="0" w:color="auto"/>
        <w:bottom w:val="none" w:sz="0" w:space="0" w:color="auto"/>
        <w:right w:val="none" w:sz="0" w:space="0" w:color="auto"/>
      </w:divBdr>
      <w:divsChild>
        <w:div w:id="838614887">
          <w:marLeft w:val="0"/>
          <w:marRight w:val="0"/>
          <w:marTop w:val="432"/>
          <w:marBottom w:val="0"/>
          <w:divBdr>
            <w:top w:val="none" w:sz="0" w:space="0" w:color="auto"/>
            <w:left w:val="none" w:sz="0" w:space="0" w:color="auto"/>
            <w:bottom w:val="none" w:sz="0" w:space="0" w:color="auto"/>
            <w:right w:val="none" w:sz="0" w:space="0" w:color="auto"/>
          </w:divBdr>
        </w:div>
        <w:div w:id="1912613616">
          <w:marLeft w:val="0"/>
          <w:marRight w:val="0"/>
          <w:marTop w:val="0"/>
          <w:marBottom w:val="0"/>
          <w:divBdr>
            <w:top w:val="none" w:sz="0" w:space="0" w:color="auto"/>
            <w:left w:val="none" w:sz="0" w:space="0" w:color="auto"/>
            <w:bottom w:val="none" w:sz="0" w:space="0" w:color="auto"/>
            <w:right w:val="none" w:sz="0" w:space="0" w:color="auto"/>
          </w:divBdr>
        </w:div>
        <w:div w:id="1576546201">
          <w:marLeft w:val="0"/>
          <w:marRight w:val="0"/>
          <w:marTop w:val="0"/>
          <w:marBottom w:val="600"/>
          <w:divBdr>
            <w:top w:val="none" w:sz="0" w:space="0" w:color="auto"/>
            <w:left w:val="none" w:sz="0" w:space="0" w:color="auto"/>
            <w:bottom w:val="none" w:sz="0" w:space="0" w:color="auto"/>
            <w:right w:val="none" w:sz="0" w:space="0" w:color="auto"/>
          </w:divBdr>
        </w:div>
      </w:divsChild>
    </w:div>
    <w:div w:id="265116361">
      <w:marLeft w:val="0"/>
      <w:marRight w:val="0"/>
      <w:marTop w:val="0"/>
      <w:marBottom w:val="0"/>
      <w:divBdr>
        <w:top w:val="none" w:sz="0" w:space="0" w:color="auto"/>
        <w:left w:val="none" w:sz="0" w:space="0" w:color="auto"/>
        <w:bottom w:val="none" w:sz="0" w:space="0" w:color="auto"/>
        <w:right w:val="none" w:sz="0" w:space="0" w:color="auto"/>
      </w:divBdr>
      <w:divsChild>
        <w:div w:id="301664741">
          <w:marLeft w:val="0"/>
          <w:marRight w:val="0"/>
          <w:marTop w:val="432"/>
          <w:marBottom w:val="0"/>
          <w:divBdr>
            <w:top w:val="none" w:sz="0" w:space="0" w:color="auto"/>
            <w:left w:val="none" w:sz="0" w:space="0" w:color="auto"/>
            <w:bottom w:val="none" w:sz="0" w:space="0" w:color="auto"/>
            <w:right w:val="none" w:sz="0" w:space="0" w:color="auto"/>
          </w:divBdr>
        </w:div>
        <w:div w:id="1640303034">
          <w:marLeft w:val="0"/>
          <w:marRight w:val="0"/>
          <w:marTop w:val="0"/>
          <w:marBottom w:val="0"/>
          <w:divBdr>
            <w:top w:val="none" w:sz="0" w:space="0" w:color="auto"/>
            <w:left w:val="none" w:sz="0" w:space="0" w:color="auto"/>
            <w:bottom w:val="none" w:sz="0" w:space="0" w:color="auto"/>
            <w:right w:val="none" w:sz="0" w:space="0" w:color="auto"/>
          </w:divBdr>
          <w:divsChild>
            <w:div w:id="1751809127">
              <w:marLeft w:val="0"/>
              <w:marRight w:val="0"/>
              <w:marTop w:val="0"/>
              <w:marBottom w:val="0"/>
              <w:divBdr>
                <w:top w:val="none" w:sz="0" w:space="0" w:color="auto"/>
                <w:left w:val="none" w:sz="0" w:space="0" w:color="auto"/>
                <w:bottom w:val="none" w:sz="0" w:space="0" w:color="auto"/>
                <w:right w:val="none" w:sz="0" w:space="0" w:color="auto"/>
              </w:divBdr>
              <w:divsChild>
                <w:div w:id="278345397">
                  <w:marLeft w:val="0"/>
                  <w:marRight w:val="0"/>
                  <w:marTop w:val="0"/>
                  <w:marBottom w:val="0"/>
                  <w:divBdr>
                    <w:top w:val="none" w:sz="0" w:space="0" w:color="auto"/>
                    <w:left w:val="none" w:sz="0" w:space="0" w:color="auto"/>
                    <w:bottom w:val="none" w:sz="0" w:space="0" w:color="auto"/>
                    <w:right w:val="none" w:sz="0" w:space="0" w:color="auto"/>
                  </w:divBdr>
                </w:div>
              </w:divsChild>
            </w:div>
            <w:div w:id="106658330">
              <w:marLeft w:val="0"/>
              <w:marRight w:val="0"/>
              <w:marTop w:val="0"/>
              <w:marBottom w:val="0"/>
              <w:divBdr>
                <w:top w:val="none" w:sz="0" w:space="0" w:color="auto"/>
                <w:left w:val="none" w:sz="0" w:space="0" w:color="auto"/>
                <w:bottom w:val="none" w:sz="0" w:space="0" w:color="auto"/>
                <w:right w:val="none" w:sz="0" w:space="0" w:color="auto"/>
              </w:divBdr>
              <w:divsChild>
                <w:div w:id="983852906">
                  <w:marLeft w:val="0"/>
                  <w:marRight w:val="0"/>
                  <w:marTop w:val="0"/>
                  <w:marBottom w:val="0"/>
                  <w:divBdr>
                    <w:top w:val="none" w:sz="0" w:space="0" w:color="auto"/>
                    <w:left w:val="none" w:sz="0" w:space="0" w:color="auto"/>
                    <w:bottom w:val="none" w:sz="0" w:space="0" w:color="auto"/>
                    <w:right w:val="none" w:sz="0" w:space="0" w:color="auto"/>
                  </w:divBdr>
                </w:div>
              </w:divsChild>
            </w:div>
            <w:div w:id="1582376493">
              <w:marLeft w:val="0"/>
              <w:marRight w:val="0"/>
              <w:marTop w:val="0"/>
              <w:marBottom w:val="0"/>
              <w:divBdr>
                <w:top w:val="none" w:sz="0" w:space="0" w:color="auto"/>
                <w:left w:val="none" w:sz="0" w:space="0" w:color="auto"/>
                <w:bottom w:val="none" w:sz="0" w:space="0" w:color="auto"/>
                <w:right w:val="none" w:sz="0" w:space="0" w:color="auto"/>
              </w:divBdr>
              <w:divsChild>
                <w:div w:id="1523084058">
                  <w:marLeft w:val="0"/>
                  <w:marRight w:val="0"/>
                  <w:marTop w:val="0"/>
                  <w:marBottom w:val="0"/>
                  <w:divBdr>
                    <w:top w:val="none" w:sz="0" w:space="0" w:color="auto"/>
                    <w:left w:val="none" w:sz="0" w:space="0" w:color="auto"/>
                    <w:bottom w:val="none" w:sz="0" w:space="0" w:color="auto"/>
                    <w:right w:val="none" w:sz="0" w:space="0" w:color="auto"/>
                  </w:divBdr>
                </w:div>
              </w:divsChild>
            </w:div>
            <w:div w:id="829907029">
              <w:marLeft w:val="0"/>
              <w:marRight w:val="0"/>
              <w:marTop w:val="0"/>
              <w:marBottom w:val="0"/>
              <w:divBdr>
                <w:top w:val="none" w:sz="0" w:space="0" w:color="auto"/>
                <w:left w:val="none" w:sz="0" w:space="0" w:color="auto"/>
                <w:bottom w:val="none" w:sz="0" w:space="0" w:color="auto"/>
                <w:right w:val="none" w:sz="0" w:space="0" w:color="auto"/>
              </w:divBdr>
              <w:divsChild>
                <w:div w:id="360590667">
                  <w:marLeft w:val="0"/>
                  <w:marRight w:val="0"/>
                  <w:marTop w:val="0"/>
                  <w:marBottom w:val="0"/>
                  <w:divBdr>
                    <w:top w:val="none" w:sz="0" w:space="0" w:color="auto"/>
                    <w:left w:val="none" w:sz="0" w:space="0" w:color="auto"/>
                    <w:bottom w:val="none" w:sz="0" w:space="0" w:color="auto"/>
                    <w:right w:val="none" w:sz="0" w:space="0" w:color="auto"/>
                  </w:divBdr>
                </w:div>
              </w:divsChild>
            </w:div>
            <w:div w:id="295767080">
              <w:marLeft w:val="0"/>
              <w:marRight w:val="0"/>
              <w:marTop w:val="0"/>
              <w:marBottom w:val="0"/>
              <w:divBdr>
                <w:top w:val="none" w:sz="0" w:space="0" w:color="auto"/>
                <w:left w:val="none" w:sz="0" w:space="0" w:color="auto"/>
                <w:bottom w:val="none" w:sz="0" w:space="0" w:color="auto"/>
                <w:right w:val="none" w:sz="0" w:space="0" w:color="auto"/>
              </w:divBdr>
              <w:divsChild>
                <w:div w:id="1384329046">
                  <w:marLeft w:val="0"/>
                  <w:marRight w:val="0"/>
                  <w:marTop w:val="0"/>
                  <w:marBottom w:val="0"/>
                  <w:divBdr>
                    <w:top w:val="none" w:sz="0" w:space="0" w:color="auto"/>
                    <w:left w:val="none" w:sz="0" w:space="0" w:color="auto"/>
                    <w:bottom w:val="none" w:sz="0" w:space="0" w:color="auto"/>
                    <w:right w:val="none" w:sz="0" w:space="0" w:color="auto"/>
                  </w:divBdr>
                </w:div>
              </w:divsChild>
            </w:div>
            <w:div w:id="826745152">
              <w:marLeft w:val="0"/>
              <w:marRight w:val="0"/>
              <w:marTop w:val="0"/>
              <w:marBottom w:val="0"/>
              <w:divBdr>
                <w:top w:val="none" w:sz="0" w:space="0" w:color="auto"/>
                <w:left w:val="none" w:sz="0" w:space="0" w:color="auto"/>
                <w:bottom w:val="none" w:sz="0" w:space="0" w:color="auto"/>
                <w:right w:val="none" w:sz="0" w:space="0" w:color="auto"/>
              </w:divBdr>
              <w:divsChild>
                <w:div w:id="1940333852">
                  <w:marLeft w:val="0"/>
                  <w:marRight w:val="0"/>
                  <w:marTop w:val="0"/>
                  <w:marBottom w:val="0"/>
                  <w:divBdr>
                    <w:top w:val="none" w:sz="0" w:space="0" w:color="auto"/>
                    <w:left w:val="none" w:sz="0" w:space="0" w:color="auto"/>
                    <w:bottom w:val="none" w:sz="0" w:space="0" w:color="auto"/>
                    <w:right w:val="none" w:sz="0" w:space="0" w:color="auto"/>
                  </w:divBdr>
                </w:div>
              </w:divsChild>
            </w:div>
            <w:div w:id="1908953802">
              <w:marLeft w:val="0"/>
              <w:marRight w:val="0"/>
              <w:marTop w:val="0"/>
              <w:marBottom w:val="0"/>
              <w:divBdr>
                <w:top w:val="none" w:sz="0" w:space="0" w:color="auto"/>
                <w:left w:val="none" w:sz="0" w:space="0" w:color="auto"/>
                <w:bottom w:val="none" w:sz="0" w:space="0" w:color="auto"/>
                <w:right w:val="none" w:sz="0" w:space="0" w:color="auto"/>
              </w:divBdr>
              <w:divsChild>
                <w:div w:id="3741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5327">
          <w:marLeft w:val="0"/>
          <w:marRight w:val="0"/>
          <w:marTop w:val="0"/>
          <w:marBottom w:val="600"/>
          <w:divBdr>
            <w:top w:val="none" w:sz="0" w:space="0" w:color="auto"/>
            <w:left w:val="none" w:sz="0" w:space="0" w:color="auto"/>
            <w:bottom w:val="none" w:sz="0" w:space="0" w:color="auto"/>
            <w:right w:val="none" w:sz="0" w:space="0" w:color="auto"/>
          </w:divBdr>
        </w:div>
      </w:divsChild>
    </w:div>
    <w:div w:id="278342968">
      <w:marLeft w:val="0"/>
      <w:marRight w:val="0"/>
      <w:marTop w:val="0"/>
      <w:marBottom w:val="0"/>
      <w:divBdr>
        <w:top w:val="none" w:sz="0" w:space="0" w:color="auto"/>
        <w:left w:val="none" w:sz="0" w:space="0" w:color="auto"/>
        <w:bottom w:val="none" w:sz="0" w:space="0" w:color="auto"/>
        <w:right w:val="none" w:sz="0" w:space="0" w:color="auto"/>
      </w:divBdr>
      <w:divsChild>
        <w:div w:id="1893075184">
          <w:marLeft w:val="0"/>
          <w:marRight w:val="0"/>
          <w:marTop w:val="432"/>
          <w:marBottom w:val="0"/>
          <w:divBdr>
            <w:top w:val="none" w:sz="0" w:space="0" w:color="auto"/>
            <w:left w:val="none" w:sz="0" w:space="0" w:color="auto"/>
            <w:bottom w:val="none" w:sz="0" w:space="0" w:color="auto"/>
            <w:right w:val="none" w:sz="0" w:space="0" w:color="auto"/>
          </w:divBdr>
        </w:div>
        <w:div w:id="1867480713">
          <w:marLeft w:val="0"/>
          <w:marRight w:val="0"/>
          <w:marTop w:val="0"/>
          <w:marBottom w:val="0"/>
          <w:divBdr>
            <w:top w:val="none" w:sz="0" w:space="0" w:color="auto"/>
            <w:left w:val="none" w:sz="0" w:space="0" w:color="auto"/>
            <w:bottom w:val="none" w:sz="0" w:space="0" w:color="auto"/>
            <w:right w:val="none" w:sz="0" w:space="0" w:color="auto"/>
          </w:divBdr>
        </w:div>
        <w:div w:id="1982491202">
          <w:marLeft w:val="0"/>
          <w:marRight w:val="0"/>
          <w:marTop w:val="0"/>
          <w:marBottom w:val="600"/>
          <w:divBdr>
            <w:top w:val="none" w:sz="0" w:space="0" w:color="auto"/>
            <w:left w:val="none" w:sz="0" w:space="0" w:color="auto"/>
            <w:bottom w:val="none" w:sz="0" w:space="0" w:color="auto"/>
            <w:right w:val="none" w:sz="0" w:space="0" w:color="auto"/>
          </w:divBdr>
        </w:div>
      </w:divsChild>
    </w:div>
    <w:div w:id="280193284">
      <w:marLeft w:val="0"/>
      <w:marRight w:val="0"/>
      <w:marTop w:val="0"/>
      <w:marBottom w:val="0"/>
      <w:divBdr>
        <w:top w:val="none" w:sz="0" w:space="0" w:color="auto"/>
        <w:left w:val="none" w:sz="0" w:space="0" w:color="auto"/>
        <w:bottom w:val="none" w:sz="0" w:space="0" w:color="auto"/>
        <w:right w:val="none" w:sz="0" w:space="0" w:color="auto"/>
      </w:divBdr>
      <w:divsChild>
        <w:div w:id="874392982">
          <w:marLeft w:val="0"/>
          <w:marRight w:val="0"/>
          <w:marTop w:val="432"/>
          <w:marBottom w:val="0"/>
          <w:divBdr>
            <w:top w:val="none" w:sz="0" w:space="0" w:color="auto"/>
            <w:left w:val="none" w:sz="0" w:space="0" w:color="auto"/>
            <w:bottom w:val="none" w:sz="0" w:space="0" w:color="auto"/>
            <w:right w:val="none" w:sz="0" w:space="0" w:color="auto"/>
          </w:divBdr>
        </w:div>
        <w:div w:id="2011985376">
          <w:marLeft w:val="0"/>
          <w:marRight w:val="0"/>
          <w:marTop w:val="0"/>
          <w:marBottom w:val="0"/>
          <w:divBdr>
            <w:top w:val="none" w:sz="0" w:space="0" w:color="auto"/>
            <w:left w:val="none" w:sz="0" w:space="0" w:color="auto"/>
            <w:bottom w:val="none" w:sz="0" w:space="0" w:color="auto"/>
            <w:right w:val="none" w:sz="0" w:space="0" w:color="auto"/>
          </w:divBdr>
          <w:divsChild>
            <w:div w:id="8414398">
              <w:marLeft w:val="0"/>
              <w:marRight w:val="0"/>
              <w:marTop w:val="0"/>
              <w:marBottom w:val="0"/>
              <w:divBdr>
                <w:top w:val="none" w:sz="0" w:space="0" w:color="auto"/>
                <w:left w:val="none" w:sz="0" w:space="0" w:color="auto"/>
                <w:bottom w:val="none" w:sz="0" w:space="0" w:color="auto"/>
                <w:right w:val="none" w:sz="0" w:space="0" w:color="auto"/>
              </w:divBdr>
              <w:divsChild>
                <w:div w:id="1922443150">
                  <w:marLeft w:val="0"/>
                  <w:marRight w:val="0"/>
                  <w:marTop w:val="0"/>
                  <w:marBottom w:val="0"/>
                  <w:divBdr>
                    <w:top w:val="none" w:sz="0" w:space="0" w:color="auto"/>
                    <w:left w:val="none" w:sz="0" w:space="0" w:color="auto"/>
                    <w:bottom w:val="none" w:sz="0" w:space="0" w:color="auto"/>
                    <w:right w:val="none" w:sz="0" w:space="0" w:color="auto"/>
                  </w:divBdr>
                </w:div>
              </w:divsChild>
            </w:div>
            <w:div w:id="659626803">
              <w:marLeft w:val="0"/>
              <w:marRight w:val="0"/>
              <w:marTop w:val="0"/>
              <w:marBottom w:val="0"/>
              <w:divBdr>
                <w:top w:val="none" w:sz="0" w:space="0" w:color="auto"/>
                <w:left w:val="none" w:sz="0" w:space="0" w:color="auto"/>
                <w:bottom w:val="none" w:sz="0" w:space="0" w:color="auto"/>
                <w:right w:val="none" w:sz="0" w:space="0" w:color="auto"/>
              </w:divBdr>
              <w:divsChild>
                <w:div w:id="1689217856">
                  <w:marLeft w:val="0"/>
                  <w:marRight w:val="0"/>
                  <w:marTop w:val="0"/>
                  <w:marBottom w:val="0"/>
                  <w:divBdr>
                    <w:top w:val="none" w:sz="0" w:space="0" w:color="auto"/>
                    <w:left w:val="none" w:sz="0" w:space="0" w:color="auto"/>
                    <w:bottom w:val="none" w:sz="0" w:space="0" w:color="auto"/>
                    <w:right w:val="none" w:sz="0" w:space="0" w:color="auto"/>
                  </w:divBdr>
                </w:div>
              </w:divsChild>
            </w:div>
            <w:div w:id="758720497">
              <w:marLeft w:val="0"/>
              <w:marRight w:val="0"/>
              <w:marTop w:val="0"/>
              <w:marBottom w:val="0"/>
              <w:divBdr>
                <w:top w:val="none" w:sz="0" w:space="0" w:color="auto"/>
                <w:left w:val="none" w:sz="0" w:space="0" w:color="auto"/>
                <w:bottom w:val="none" w:sz="0" w:space="0" w:color="auto"/>
                <w:right w:val="none" w:sz="0" w:space="0" w:color="auto"/>
              </w:divBdr>
              <w:divsChild>
                <w:div w:id="2096778316">
                  <w:marLeft w:val="0"/>
                  <w:marRight w:val="0"/>
                  <w:marTop w:val="0"/>
                  <w:marBottom w:val="0"/>
                  <w:divBdr>
                    <w:top w:val="none" w:sz="0" w:space="0" w:color="auto"/>
                    <w:left w:val="none" w:sz="0" w:space="0" w:color="auto"/>
                    <w:bottom w:val="none" w:sz="0" w:space="0" w:color="auto"/>
                    <w:right w:val="none" w:sz="0" w:space="0" w:color="auto"/>
                  </w:divBdr>
                </w:div>
              </w:divsChild>
            </w:div>
            <w:div w:id="2022002755">
              <w:marLeft w:val="0"/>
              <w:marRight w:val="0"/>
              <w:marTop w:val="0"/>
              <w:marBottom w:val="0"/>
              <w:divBdr>
                <w:top w:val="none" w:sz="0" w:space="0" w:color="auto"/>
                <w:left w:val="none" w:sz="0" w:space="0" w:color="auto"/>
                <w:bottom w:val="none" w:sz="0" w:space="0" w:color="auto"/>
                <w:right w:val="none" w:sz="0" w:space="0" w:color="auto"/>
              </w:divBdr>
              <w:divsChild>
                <w:div w:id="1722630962">
                  <w:marLeft w:val="0"/>
                  <w:marRight w:val="0"/>
                  <w:marTop w:val="0"/>
                  <w:marBottom w:val="0"/>
                  <w:divBdr>
                    <w:top w:val="none" w:sz="0" w:space="0" w:color="auto"/>
                    <w:left w:val="none" w:sz="0" w:space="0" w:color="auto"/>
                    <w:bottom w:val="none" w:sz="0" w:space="0" w:color="auto"/>
                    <w:right w:val="none" w:sz="0" w:space="0" w:color="auto"/>
                  </w:divBdr>
                </w:div>
              </w:divsChild>
            </w:div>
            <w:div w:id="389772794">
              <w:marLeft w:val="0"/>
              <w:marRight w:val="0"/>
              <w:marTop w:val="0"/>
              <w:marBottom w:val="0"/>
              <w:divBdr>
                <w:top w:val="none" w:sz="0" w:space="0" w:color="auto"/>
                <w:left w:val="none" w:sz="0" w:space="0" w:color="auto"/>
                <w:bottom w:val="none" w:sz="0" w:space="0" w:color="auto"/>
                <w:right w:val="none" w:sz="0" w:space="0" w:color="auto"/>
              </w:divBdr>
              <w:divsChild>
                <w:div w:id="758675041">
                  <w:marLeft w:val="0"/>
                  <w:marRight w:val="0"/>
                  <w:marTop w:val="0"/>
                  <w:marBottom w:val="0"/>
                  <w:divBdr>
                    <w:top w:val="none" w:sz="0" w:space="0" w:color="auto"/>
                    <w:left w:val="none" w:sz="0" w:space="0" w:color="auto"/>
                    <w:bottom w:val="none" w:sz="0" w:space="0" w:color="auto"/>
                    <w:right w:val="none" w:sz="0" w:space="0" w:color="auto"/>
                  </w:divBdr>
                </w:div>
              </w:divsChild>
            </w:div>
            <w:div w:id="2010406729">
              <w:marLeft w:val="0"/>
              <w:marRight w:val="0"/>
              <w:marTop w:val="0"/>
              <w:marBottom w:val="0"/>
              <w:divBdr>
                <w:top w:val="none" w:sz="0" w:space="0" w:color="auto"/>
                <w:left w:val="none" w:sz="0" w:space="0" w:color="auto"/>
                <w:bottom w:val="none" w:sz="0" w:space="0" w:color="auto"/>
                <w:right w:val="none" w:sz="0" w:space="0" w:color="auto"/>
              </w:divBdr>
              <w:divsChild>
                <w:div w:id="304047688">
                  <w:marLeft w:val="0"/>
                  <w:marRight w:val="0"/>
                  <w:marTop w:val="0"/>
                  <w:marBottom w:val="0"/>
                  <w:divBdr>
                    <w:top w:val="none" w:sz="0" w:space="0" w:color="auto"/>
                    <w:left w:val="none" w:sz="0" w:space="0" w:color="auto"/>
                    <w:bottom w:val="none" w:sz="0" w:space="0" w:color="auto"/>
                    <w:right w:val="none" w:sz="0" w:space="0" w:color="auto"/>
                  </w:divBdr>
                </w:div>
              </w:divsChild>
            </w:div>
            <w:div w:id="1767575633">
              <w:marLeft w:val="0"/>
              <w:marRight w:val="0"/>
              <w:marTop w:val="0"/>
              <w:marBottom w:val="0"/>
              <w:divBdr>
                <w:top w:val="none" w:sz="0" w:space="0" w:color="auto"/>
                <w:left w:val="none" w:sz="0" w:space="0" w:color="auto"/>
                <w:bottom w:val="none" w:sz="0" w:space="0" w:color="auto"/>
                <w:right w:val="none" w:sz="0" w:space="0" w:color="auto"/>
              </w:divBdr>
              <w:divsChild>
                <w:div w:id="126165924">
                  <w:marLeft w:val="0"/>
                  <w:marRight w:val="0"/>
                  <w:marTop w:val="0"/>
                  <w:marBottom w:val="0"/>
                  <w:divBdr>
                    <w:top w:val="none" w:sz="0" w:space="0" w:color="auto"/>
                    <w:left w:val="none" w:sz="0" w:space="0" w:color="auto"/>
                    <w:bottom w:val="none" w:sz="0" w:space="0" w:color="auto"/>
                    <w:right w:val="none" w:sz="0" w:space="0" w:color="auto"/>
                  </w:divBdr>
                </w:div>
              </w:divsChild>
            </w:div>
            <w:div w:id="192309107">
              <w:marLeft w:val="0"/>
              <w:marRight w:val="0"/>
              <w:marTop w:val="0"/>
              <w:marBottom w:val="0"/>
              <w:divBdr>
                <w:top w:val="none" w:sz="0" w:space="0" w:color="auto"/>
                <w:left w:val="none" w:sz="0" w:space="0" w:color="auto"/>
                <w:bottom w:val="none" w:sz="0" w:space="0" w:color="auto"/>
                <w:right w:val="none" w:sz="0" w:space="0" w:color="auto"/>
              </w:divBdr>
              <w:divsChild>
                <w:div w:id="2055275223">
                  <w:marLeft w:val="0"/>
                  <w:marRight w:val="0"/>
                  <w:marTop w:val="0"/>
                  <w:marBottom w:val="0"/>
                  <w:divBdr>
                    <w:top w:val="none" w:sz="0" w:space="0" w:color="auto"/>
                    <w:left w:val="none" w:sz="0" w:space="0" w:color="auto"/>
                    <w:bottom w:val="none" w:sz="0" w:space="0" w:color="auto"/>
                    <w:right w:val="none" w:sz="0" w:space="0" w:color="auto"/>
                  </w:divBdr>
                </w:div>
              </w:divsChild>
            </w:div>
            <w:div w:id="406879240">
              <w:marLeft w:val="0"/>
              <w:marRight w:val="0"/>
              <w:marTop w:val="0"/>
              <w:marBottom w:val="0"/>
              <w:divBdr>
                <w:top w:val="none" w:sz="0" w:space="0" w:color="auto"/>
                <w:left w:val="none" w:sz="0" w:space="0" w:color="auto"/>
                <w:bottom w:val="none" w:sz="0" w:space="0" w:color="auto"/>
                <w:right w:val="none" w:sz="0" w:space="0" w:color="auto"/>
              </w:divBdr>
              <w:divsChild>
                <w:div w:id="1311060472">
                  <w:marLeft w:val="0"/>
                  <w:marRight w:val="0"/>
                  <w:marTop w:val="0"/>
                  <w:marBottom w:val="0"/>
                  <w:divBdr>
                    <w:top w:val="none" w:sz="0" w:space="0" w:color="auto"/>
                    <w:left w:val="none" w:sz="0" w:space="0" w:color="auto"/>
                    <w:bottom w:val="none" w:sz="0" w:space="0" w:color="auto"/>
                    <w:right w:val="none" w:sz="0" w:space="0" w:color="auto"/>
                  </w:divBdr>
                </w:div>
              </w:divsChild>
            </w:div>
            <w:div w:id="1498769741">
              <w:marLeft w:val="0"/>
              <w:marRight w:val="0"/>
              <w:marTop w:val="0"/>
              <w:marBottom w:val="0"/>
              <w:divBdr>
                <w:top w:val="none" w:sz="0" w:space="0" w:color="auto"/>
                <w:left w:val="none" w:sz="0" w:space="0" w:color="auto"/>
                <w:bottom w:val="none" w:sz="0" w:space="0" w:color="auto"/>
                <w:right w:val="none" w:sz="0" w:space="0" w:color="auto"/>
              </w:divBdr>
              <w:divsChild>
                <w:div w:id="1965698590">
                  <w:marLeft w:val="0"/>
                  <w:marRight w:val="0"/>
                  <w:marTop w:val="0"/>
                  <w:marBottom w:val="0"/>
                  <w:divBdr>
                    <w:top w:val="none" w:sz="0" w:space="0" w:color="auto"/>
                    <w:left w:val="none" w:sz="0" w:space="0" w:color="auto"/>
                    <w:bottom w:val="none" w:sz="0" w:space="0" w:color="auto"/>
                    <w:right w:val="none" w:sz="0" w:space="0" w:color="auto"/>
                  </w:divBdr>
                </w:div>
              </w:divsChild>
            </w:div>
            <w:div w:id="1749885047">
              <w:marLeft w:val="0"/>
              <w:marRight w:val="0"/>
              <w:marTop w:val="0"/>
              <w:marBottom w:val="0"/>
              <w:divBdr>
                <w:top w:val="none" w:sz="0" w:space="0" w:color="auto"/>
                <w:left w:val="none" w:sz="0" w:space="0" w:color="auto"/>
                <w:bottom w:val="none" w:sz="0" w:space="0" w:color="auto"/>
                <w:right w:val="none" w:sz="0" w:space="0" w:color="auto"/>
              </w:divBdr>
              <w:divsChild>
                <w:div w:id="1277905554">
                  <w:marLeft w:val="0"/>
                  <w:marRight w:val="0"/>
                  <w:marTop w:val="0"/>
                  <w:marBottom w:val="0"/>
                  <w:divBdr>
                    <w:top w:val="none" w:sz="0" w:space="0" w:color="auto"/>
                    <w:left w:val="none" w:sz="0" w:space="0" w:color="auto"/>
                    <w:bottom w:val="none" w:sz="0" w:space="0" w:color="auto"/>
                    <w:right w:val="none" w:sz="0" w:space="0" w:color="auto"/>
                  </w:divBdr>
                </w:div>
              </w:divsChild>
            </w:div>
            <w:div w:id="1004749194">
              <w:marLeft w:val="0"/>
              <w:marRight w:val="0"/>
              <w:marTop w:val="0"/>
              <w:marBottom w:val="0"/>
              <w:divBdr>
                <w:top w:val="none" w:sz="0" w:space="0" w:color="auto"/>
                <w:left w:val="none" w:sz="0" w:space="0" w:color="auto"/>
                <w:bottom w:val="none" w:sz="0" w:space="0" w:color="auto"/>
                <w:right w:val="none" w:sz="0" w:space="0" w:color="auto"/>
              </w:divBdr>
              <w:divsChild>
                <w:div w:id="3032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6888">
          <w:marLeft w:val="0"/>
          <w:marRight w:val="0"/>
          <w:marTop w:val="0"/>
          <w:marBottom w:val="600"/>
          <w:divBdr>
            <w:top w:val="none" w:sz="0" w:space="0" w:color="auto"/>
            <w:left w:val="none" w:sz="0" w:space="0" w:color="auto"/>
            <w:bottom w:val="none" w:sz="0" w:space="0" w:color="auto"/>
            <w:right w:val="none" w:sz="0" w:space="0" w:color="auto"/>
          </w:divBdr>
        </w:div>
      </w:divsChild>
    </w:div>
    <w:div w:id="308367071">
      <w:marLeft w:val="0"/>
      <w:marRight w:val="0"/>
      <w:marTop w:val="0"/>
      <w:marBottom w:val="0"/>
      <w:divBdr>
        <w:top w:val="none" w:sz="0" w:space="0" w:color="auto"/>
        <w:left w:val="none" w:sz="0" w:space="0" w:color="auto"/>
        <w:bottom w:val="none" w:sz="0" w:space="0" w:color="auto"/>
        <w:right w:val="none" w:sz="0" w:space="0" w:color="auto"/>
      </w:divBdr>
      <w:divsChild>
        <w:div w:id="771316562">
          <w:marLeft w:val="0"/>
          <w:marRight w:val="0"/>
          <w:marTop w:val="432"/>
          <w:marBottom w:val="0"/>
          <w:divBdr>
            <w:top w:val="none" w:sz="0" w:space="0" w:color="auto"/>
            <w:left w:val="none" w:sz="0" w:space="0" w:color="auto"/>
            <w:bottom w:val="none" w:sz="0" w:space="0" w:color="auto"/>
            <w:right w:val="none" w:sz="0" w:space="0" w:color="auto"/>
          </w:divBdr>
        </w:div>
        <w:div w:id="2095398404">
          <w:marLeft w:val="0"/>
          <w:marRight w:val="0"/>
          <w:marTop w:val="0"/>
          <w:marBottom w:val="0"/>
          <w:divBdr>
            <w:top w:val="none" w:sz="0" w:space="0" w:color="auto"/>
            <w:left w:val="none" w:sz="0" w:space="0" w:color="auto"/>
            <w:bottom w:val="none" w:sz="0" w:space="0" w:color="auto"/>
            <w:right w:val="none" w:sz="0" w:space="0" w:color="auto"/>
          </w:divBdr>
          <w:divsChild>
            <w:div w:id="1957449408">
              <w:marLeft w:val="0"/>
              <w:marRight w:val="0"/>
              <w:marTop w:val="0"/>
              <w:marBottom w:val="0"/>
              <w:divBdr>
                <w:top w:val="none" w:sz="0" w:space="0" w:color="auto"/>
                <w:left w:val="none" w:sz="0" w:space="0" w:color="auto"/>
                <w:bottom w:val="none" w:sz="0" w:space="0" w:color="auto"/>
                <w:right w:val="none" w:sz="0" w:space="0" w:color="auto"/>
              </w:divBdr>
              <w:divsChild>
                <w:div w:id="79445219">
                  <w:marLeft w:val="0"/>
                  <w:marRight w:val="0"/>
                  <w:marTop w:val="0"/>
                  <w:marBottom w:val="0"/>
                  <w:divBdr>
                    <w:top w:val="none" w:sz="0" w:space="0" w:color="auto"/>
                    <w:left w:val="none" w:sz="0" w:space="0" w:color="auto"/>
                    <w:bottom w:val="none" w:sz="0" w:space="0" w:color="auto"/>
                    <w:right w:val="none" w:sz="0" w:space="0" w:color="auto"/>
                  </w:divBdr>
                </w:div>
              </w:divsChild>
            </w:div>
            <w:div w:id="77602843">
              <w:marLeft w:val="0"/>
              <w:marRight w:val="0"/>
              <w:marTop w:val="0"/>
              <w:marBottom w:val="0"/>
              <w:divBdr>
                <w:top w:val="none" w:sz="0" w:space="0" w:color="auto"/>
                <w:left w:val="none" w:sz="0" w:space="0" w:color="auto"/>
                <w:bottom w:val="none" w:sz="0" w:space="0" w:color="auto"/>
                <w:right w:val="none" w:sz="0" w:space="0" w:color="auto"/>
              </w:divBdr>
              <w:divsChild>
                <w:div w:id="894197833">
                  <w:marLeft w:val="0"/>
                  <w:marRight w:val="0"/>
                  <w:marTop w:val="0"/>
                  <w:marBottom w:val="0"/>
                  <w:divBdr>
                    <w:top w:val="none" w:sz="0" w:space="0" w:color="auto"/>
                    <w:left w:val="none" w:sz="0" w:space="0" w:color="auto"/>
                    <w:bottom w:val="none" w:sz="0" w:space="0" w:color="auto"/>
                    <w:right w:val="none" w:sz="0" w:space="0" w:color="auto"/>
                  </w:divBdr>
                </w:div>
              </w:divsChild>
            </w:div>
            <w:div w:id="379593497">
              <w:marLeft w:val="0"/>
              <w:marRight w:val="0"/>
              <w:marTop w:val="0"/>
              <w:marBottom w:val="0"/>
              <w:divBdr>
                <w:top w:val="none" w:sz="0" w:space="0" w:color="auto"/>
                <w:left w:val="none" w:sz="0" w:space="0" w:color="auto"/>
                <w:bottom w:val="none" w:sz="0" w:space="0" w:color="auto"/>
                <w:right w:val="none" w:sz="0" w:space="0" w:color="auto"/>
              </w:divBdr>
              <w:divsChild>
                <w:div w:id="1058357316">
                  <w:marLeft w:val="0"/>
                  <w:marRight w:val="0"/>
                  <w:marTop w:val="0"/>
                  <w:marBottom w:val="0"/>
                  <w:divBdr>
                    <w:top w:val="none" w:sz="0" w:space="0" w:color="auto"/>
                    <w:left w:val="none" w:sz="0" w:space="0" w:color="auto"/>
                    <w:bottom w:val="none" w:sz="0" w:space="0" w:color="auto"/>
                    <w:right w:val="none" w:sz="0" w:space="0" w:color="auto"/>
                  </w:divBdr>
                </w:div>
              </w:divsChild>
            </w:div>
            <w:div w:id="168524216">
              <w:marLeft w:val="0"/>
              <w:marRight w:val="0"/>
              <w:marTop w:val="0"/>
              <w:marBottom w:val="0"/>
              <w:divBdr>
                <w:top w:val="none" w:sz="0" w:space="0" w:color="auto"/>
                <w:left w:val="none" w:sz="0" w:space="0" w:color="auto"/>
                <w:bottom w:val="none" w:sz="0" w:space="0" w:color="auto"/>
                <w:right w:val="none" w:sz="0" w:space="0" w:color="auto"/>
              </w:divBdr>
              <w:divsChild>
                <w:div w:id="95372820">
                  <w:marLeft w:val="0"/>
                  <w:marRight w:val="0"/>
                  <w:marTop w:val="0"/>
                  <w:marBottom w:val="0"/>
                  <w:divBdr>
                    <w:top w:val="none" w:sz="0" w:space="0" w:color="auto"/>
                    <w:left w:val="none" w:sz="0" w:space="0" w:color="auto"/>
                    <w:bottom w:val="none" w:sz="0" w:space="0" w:color="auto"/>
                    <w:right w:val="none" w:sz="0" w:space="0" w:color="auto"/>
                  </w:divBdr>
                </w:div>
              </w:divsChild>
            </w:div>
            <w:div w:id="1336224960">
              <w:marLeft w:val="0"/>
              <w:marRight w:val="0"/>
              <w:marTop w:val="0"/>
              <w:marBottom w:val="0"/>
              <w:divBdr>
                <w:top w:val="none" w:sz="0" w:space="0" w:color="auto"/>
                <w:left w:val="none" w:sz="0" w:space="0" w:color="auto"/>
                <w:bottom w:val="none" w:sz="0" w:space="0" w:color="auto"/>
                <w:right w:val="none" w:sz="0" w:space="0" w:color="auto"/>
              </w:divBdr>
              <w:divsChild>
                <w:div w:id="876889105">
                  <w:marLeft w:val="0"/>
                  <w:marRight w:val="0"/>
                  <w:marTop w:val="0"/>
                  <w:marBottom w:val="0"/>
                  <w:divBdr>
                    <w:top w:val="none" w:sz="0" w:space="0" w:color="auto"/>
                    <w:left w:val="none" w:sz="0" w:space="0" w:color="auto"/>
                    <w:bottom w:val="none" w:sz="0" w:space="0" w:color="auto"/>
                    <w:right w:val="none" w:sz="0" w:space="0" w:color="auto"/>
                  </w:divBdr>
                </w:div>
              </w:divsChild>
            </w:div>
            <w:div w:id="339700375">
              <w:marLeft w:val="0"/>
              <w:marRight w:val="0"/>
              <w:marTop w:val="0"/>
              <w:marBottom w:val="0"/>
              <w:divBdr>
                <w:top w:val="none" w:sz="0" w:space="0" w:color="auto"/>
                <w:left w:val="none" w:sz="0" w:space="0" w:color="auto"/>
                <w:bottom w:val="none" w:sz="0" w:space="0" w:color="auto"/>
                <w:right w:val="none" w:sz="0" w:space="0" w:color="auto"/>
              </w:divBdr>
              <w:divsChild>
                <w:div w:id="1659964164">
                  <w:marLeft w:val="0"/>
                  <w:marRight w:val="0"/>
                  <w:marTop w:val="0"/>
                  <w:marBottom w:val="0"/>
                  <w:divBdr>
                    <w:top w:val="none" w:sz="0" w:space="0" w:color="auto"/>
                    <w:left w:val="none" w:sz="0" w:space="0" w:color="auto"/>
                    <w:bottom w:val="none" w:sz="0" w:space="0" w:color="auto"/>
                    <w:right w:val="none" w:sz="0" w:space="0" w:color="auto"/>
                  </w:divBdr>
                </w:div>
              </w:divsChild>
            </w:div>
            <w:div w:id="569848533">
              <w:marLeft w:val="0"/>
              <w:marRight w:val="0"/>
              <w:marTop w:val="0"/>
              <w:marBottom w:val="0"/>
              <w:divBdr>
                <w:top w:val="none" w:sz="0" w:space="0" w:color="auto"/>
                <w:left w:val="none" w:sz="0" w:space="0" w:color="auto"/>
                <w:bottom w:val="none" w:sz="0" w:space="0" w:color="auto"/>
                <w:right w:val="none" w:sz="0" w:space="0" w:color="auto"/>
              </w:divBdr>
              <w:divsChild>
                <w:div w:id="1008554471">
                  <w:marLeft w:val="0"/>
                  <w:marRight w:val="0"/>
                  <w:marTop w:val="0"/>
                  <w:marBottom w:val="0"/>
                  <w:divBdr>
                    <w:top w:val="none" w:sz="0" w:space="0" w:color="auto"/>
                    <w:left w:val="none" w:sz="0" w:space="0" w:color="auto"/>
                    <w:bottom w:val="none" w:sz="0" w:space="0" w:color="auto"/>
                    <w:right w:val="none" w:sz="0" w:space="0" w:color="auto"/>
                  </w:divBdr>
                </w:div>
              </w:divsChild>
            </w:div>
            <w:div w:id="913049853">
              <w:marLeft w:val="0"/>
              <w:marRight w:val="0"/>
              <w:marTop w:val="0"/>
              <w:marBottom w:val="0"/>
              <w:divBdr>
                <w:top w:val="none" w:sz="0" w:space="0" w:color="auto"/>
                <w:left w:val="none" w:sz="0" w:space="0" w:color="auto"/>
                <w:bottom w:val="none" w:sz="0" w:space="0" w:color="auto"/>
                <w:right w:val="none" w:sz="0" w:space="0" w:color="auto"/>
              </w:divBdr>
              <w:divsChild>
                <w:div w:id="1035153583">
                  <w:marLeft w:val="0"/>
                  <w:marRight w:val="0"/>
                  <w:marTop w:val="0"/>
                  <w:marBottom w:val="0"/>
                  <w:divBdr>
                    <w:top w:val="none" w:sz="0" w:space="0" w:color="auto"/>
                    <w:left w:val="none" w:sz="0" w:space="0" w:color="auto"/>
                    <w:bottom w:val="none" w:sz="0" w:space="0" w:color="auto"/>
                    <w:right w:val="none" w:sz="0" w:space="0" w:color="auto"/>
                  </w:divBdr>
                </w:div>
              </w:divsChild>
            </w:div>
            <w:div w:id="2096003030">
              <w:marLeft w:val="0"/>
              <w:marRight w:val="0"/>
              <w:marTop w:val="0"/>
              <w:marBottom w:val="0"/>
              <w:divBdr>
                <w:top w:val="none" w:sz="0" w:space="0" w:color="auto"/>
                <w:left w:val="none" w:sz="0" w:space="0" w:color="auto"/>
                <w:bottom w:val="none" w:sz="0" w:space="0" w:color="auto"/>
                <w:right w:val="none" w:sz="0" w:space="0" w:color="auto"/>
              </w:divBdr>
              <w:divsChild>
                <w:div w:id="1818715974">
                  <w:marLeft w:val="0"/>
                  <w:marRight w:val="0"/>
                  <w:marTop w:val="0"/>
                  <w:marBottom w:val="0"/>
                  <w:divBdr>
                    <w:top w:val="none" w:sz="0" w:space="0" w:color="auto"/>
                    <w:left w:val="none" w:sz="0" w:space="0" w:color="auto"/>
                    <w:bottom w:val="none" w:sz="0" w:space="0" w:color="auto"/>
                    <w:right w:val="none" w:sz="0" w:space="0" w:color="auto"/>
                  </w:divBdr>
                </w:div>
              </w:divsChild>
            </w:div>
            <w:div w:id="1265924263">
              <w:marLeft w:val="0"/>
              <w:marRight w:val="0"/>
              <w:marTop w:val="0"/>
              <w:marBottom w:val="0"/>
              <w:divBdr>
                <w:top w:val="none" w:sz="0" w:space="0" w:color="auto"/>
                <w:left w:val="none" w:sz="0" w:space="0" w:color="auto"/>
                <w:bottom w:val="none" w:sz="0" w:space="0" w:color="auto"/>
                <w:right w:val="none" w:sz="0" w:space="0" w:color="auto"/>
              </w:divBdr>
              <w:divsChild>
                <w:div w:id="161970416">
                  <w:marLeft w:val="0"/>
                  <w:marRight w:val="0"/>
                  <w:marTop w:val="0"/>
                  <w:marBottom w:val="0"/>
                  <w:divBdr>
                    <w:top w:val="none" w:sz="0" w:space="0" w:color="auto"/>
                    <w:left w:val="none" w:sz="0" w:space="0" w:color="auto"/>
                    <w:bottom w:val="none" w:sz="0" w:space="0" w:color="auto"/>
                    <w:right w:val="none" w:sz="0" w:space="0" w:color="auto"/>
                  </w:divBdr>
                </w:div>
              </w:divsChild>
            </w:div>
            <w:div w:id="872114773">
              <w:marLeft w:val="0"/>
              <w:marRight w:val="0"/>
              <w:marTop w:val="0"/>
              <w:marBottom w:val="0"/>
              <w:divBdr>
                <w:top w:val="none" w:sz="0" w:space="0" w:color="auto"/>
                <w:left w:val="none" w:sz="0" w:space="0" w:color="auto"/>
                <w:bottom w:val="none" w:sz="0" w:space="0" w:color="auto"/>
                <w:right w:val="none" w:sz="0" w:space="0" w:color="auto"/>
              </w:divBdr>
              <w:divsChild>
                <w:div w:id="1534687152">
                  <w:marLeft w:val="0"/>
                  <w:marRight w:val="0"/>
                  <w:marTop w:val="0"/>
                  <w:marBottom w:val="0"/>
                  <w:divBdr>
                    <w:top w:val="none" w:sz="0" w:space="0" w:color="auto"/>
                    <w:left w:val="none" w:sz="0" w:space="0" w:color="auto"/>
                    <w:bottom w:val="none" w:sz="0" w:space="0" w:color="auto"/>
                    <w:right w:val="none" w:sz="0" w:space="0" w:color="auto"/>
                  </w:divBdr>
                </w:div>
              </w:divsChild>
            </w:div>
            <w:div w:id="2145927054">
              <w:marLeft w:val="0"/>
              <w:marRight w:val="0"/>
              <w:marTop w:val="0"/>
              <w:marBottom w:val="0"/>
              <w:divBdr>
                <w:top w:val="none" w:sz="0" w:space="0" w:color="auto"/>
                <w:left w:val="none" w:sz="0" w:space="0" w:color="auto"/>
                <w:bottom w:val="none" w:sz="0" w:space="0" w:color="auto"/>
                <w:right w:val="none" w:sz="0" w:space="0" w:color="auto"/>
              </w:divBdr>
              <w:divsChild>
                <w:div w:id="1483690767">
                  <w:marLeft w:val="0"/>
                  <w:marRight w:val="0"/>
                  <w:marTop w:val="0"/>
                  <w:marBottom w:val="0"/>
                  <w:divBdr>
                    <w:top w:val="none" w:sz="0" w:space="0" w:color="auto"/>
                    <w:left w:val="none" w:sz="0" w:space="0" w:color="auto"/>
                    <w:bottom w:val="none" w:sz="0" w:space="0" w:color="auto"/>
                    <w:right w:val="none" w:sz="0" w:space="0" w:color="auto"/>
                  </w:divBdr>
                </w:div>
              </w:divsChild>
            </w:div>
            <w:div w:id="12608117">
              <w:marLeft w:val="0"/>
              <w:marRight w:val="0"/>
              <w:marTop w:val="0"/>
              <w:marBottom w:val="0"/>
              <w:divBdr>
                <w:top w:val="none" w:sz="0" w:space="0" w:color="auto"/>
                <w:left w:val="none" w:sz="0" w:space="0" w:color="auto"/>
                <w:bottom w:val="none" w:sz="0" w:space="0" w:color="auto"/>
                <w:right w:val="none" w:sz="0" w:space="0" w:color="auto"/>
              </w:divBdr>
              <w:divsChild>
                <w:div w:id="1451121323">
                  <w:marLeft w:val="0"/>
                  <w:marRight w:val="0"/>
                  <w:marTop w:val="0"/>
                  <w:marBottom w:val="0"/>
                  <w:divBdr>
                    <w:top w:val="none" w:sz="0" w:space="0" w:color="auto"/>
                    <w:left w:val="none" w:sz="0" w:space="0" w:color="auto"/>
                    <w:bottom w:val="none" w:sz="0" w:space="0" w:color="auto"/>
                    <w:right w:val="none" w:sz="0" w:space="0" w:color="auto"/>
                  </w:divBdr>
                </w:div>
              </w:divsChild>
            </w:div>
            <w:div w:id="114831998">
              <w:marLeft w:val="0"/>
              <w:marRight w:val="0"/>
              <w:marTop w:val="0"/>
              <w:marBottom w:val="0"/>
              <w:divBdr>
                <w:top w:val="none" w:sz="0" w:space="0" w:color="auto"/>
                <w:left w:val="none" w:sz="0" w:space="0" w:color="auto"/>
                <w:bottom w:val="none" w:sz="0" w:space="0" w:color="auto"/>
                <w:right w:val="none" w:sz="0" w:space="0" w:color="auto"/>
              </w:divBdr>
              <w:divsChild>
                <w:div w:id="76445965">
                  <w:marLeft w:val="0"/>
                  <w:marRight w:val="0"/>
                  <w:marTop w:val="0"/>
                  <w:marBottom w:val="0"/>
                  <w:divBdr>
                    <w:top w:val="none" w:sz="0" w:space="0" w:color="auto"/>
                    <w:left w:val="none" w:sz="0" w:space="0" w:color="auto"/>
                    <w:bottom w:val="none" w:sz="0" w:space="0" w:color="auto"/>
                    <w:right w:val="none" w:sz="0" w:space="0" w:color="auto"/>
                  </w:divBdr>
                </w:div>
              </w:divsChild>
            </w:div>
            <w:div w:id="1853839603">
              <w:marLeft w:val="0"/>
              <w:marRight w:val="0"/>
              <w:marTop w:val="0"/>
              <w:marBottom w:val="0"/>
              <w:divBdr>
                <w:top w:val="none" w:sz="0" w:space="0" w:color="auto"/>
                <w:left w:val="none" w:sz="0" w:space="0" w:color="auto"/>
                <w:bottom w:val="none" w:sz="0" w:space="0" w:color="auto"/>
                <w:right w:val="none" w:sz="0" w:space="0" w:color="auto"/>
              </w:divBdr>
              <w:divsChild>
                <w:div w:id="414784670">
                  <w:marLeft w:val="0"/>
                  <w:marRight w:val="0"/>
                  <w:marTop w:val="0"/>
                  <w:marBottom w:val="0"/>
                  <w:divBdr>
                    <w:top w:val="none" w:sz="0" w:space="0" w:color="auto"/>
                    <w:left w:val="none" w:sz="0" w:space="0" w:color="auto"/>
                    <w:bottom w:val="none" w:sz="0" w:space="0" w:color="auto"/>
                    <w:right w:val="none" w:sz="0" w:space="0" w:color="auto"/>
                  </w:divBdr>
                </w:div>
              </w:divsChild>
            </w:div>
            <w:div w:id="722606685">
              <w:marLeft w:val="0"/>
              <w:marRight w:val="0"/>
              <w:marTop w:val="0"/>
              <w:marBottom w:val="0"/>
              <w:divBdr>
                <w:top w:val="none" w:sz="0" w:space="0" w:color="auto"/>
                <w:left w:val="none" w:sz="0" w:space="0" w:color="auto"/>
                <w:bottom w:val="none" w:sz="0" w:space="0" w:color="auto"/>
                <w:right w:val="none" w:sz="0" w:space="0" w:color="auto"/>
              </w:divBdr>
              <w:divsChild>
                <w:div w:id="2125802530">
                  <w:marLeft w:val="0"/>
                  <w:marRight w:val="0"/>
                  <w:marTop w:val="0"/>
                  <w:marBottom w:val="0"/>
                  <w:divBdr>
                    <w:top w:val="none" w:sz="0" w:space="0" w:color="auto"/>
                    <w:left w:val="none" w:sz="0" w:space="0" w:color="auto"/>
                    <w:bottom w:val="none" w:sz="0" w:space="0" w:color="auto"/>
                    <w:right w:val="none" w:sz="0" w:space="0" w:color="auto"/>
                  </w:divBdr>
                </w:div>
              </w:divsChild>
            </w:div>
            <w:div w:id="766314160">
              <w:marLeft w:val="0"/>
              <w:marRight w:val="0"/>
              <w:marTop w:val="0"/>
              <w:marBottom w:val="0"/>
              <w:divBdr>
                <w:top w:val="none" w:sz="0" w:space="0" w:color="auto"/>
                <w:left w:val="none" w:sz="0" w:space="0" w:color="auto"/>
                <w:bottom w:val="none" w:sz="0" w:space="0" w:color="auto"/>
                <w:right w:val="none" w:sz="0" w:space="0" w:color="auto"/>
              </w:divBdr>
              <w:divsChild>
                <w:div w:id="1889878358">
                  <w:marLeft w:val="0"/>
                  <w:marRight w:val="0"/>
                  <w:marTop w:val="0"/>
                  <w:marBottom w:val="0"/>
                  <w:divBdr>
                    <w:top w:val="none" w:sz="0" w:space="0" w:color="auto"/>
                    <w:left w:val="none" w:sz="0" w:space="0" w:color="auto"/>
                    <w:bottom w:val="none" w:sz="0" w:space="0" w:color="auto"/>
                    <w:right w:val="none" w:sz="0" w:space="0" w:color="auto"/>
                  </w:divBdr>
                </w:div>
              </w:divsChild>
            </w:div>
            <w:div w:id="420370718">
              <w:marLeft w:val="0"/>
              <w:marRight w:val="0"/>
              <w:marTop w:val="0"/>
              <w:marBottom w:val="0"/>
              <w:divBdr>
                <w:top w:val="none" w:sz="0" w:space="0" w:color="auto"/>
                <w:left w:val="none" w:sz="0" w:space="0" w:color="auto"/>
                <w:bottom w:val="none" w:sz="0" w:space="0" w:color="auto"/>
                <w:right w:val="none" w:sz="0" w:space="0" w:color="auto"/>
              </w:divBdr>
              <w:divsChild>
                <w:div w:id="609627120">
                  <w:marLeft w:val="0"/>
                  <w:marRight w:val="0"/>
                  <w:marTop w:val="0"/>
                  <w:marBottom w:val="0"/>
                  <w:divBdr>
                    <w:top w:val="none" w:sz="0" w:space="0" w:color="auto"/>
                    <w:left w:val="none" w:sz="0" w:space="0" w:color="auto"/>
                    <w:bottom w:val="none" w:sz="0" w:space="0" w:color="auto"/>
                    <w:right w:val="none" w:sz="0" w:space="0" w:color="auto"/>
                  </w:divBdr>
                </w:div>
              </w:divsChild>
            </w:div>
            <w:div w:id="127944841">
              <w:marLeft w:val="0"/>
              <w:marRight w:val="0"/>
              <w:marTop w:val="0"/>
              <w:marBottom w:val="0"/>
              <w:divBdr>
                <w:top w:val="none" w:sz="0" w:space="0" w:color="auto"/>
                <w:left w:val="none" w:sz="0" w:space="0" w:color="auto"/>
                <w:bottom w:val="none" w:sz="0" w:space="0" w:color="auto"/>
                <w:right w:val="none" w:sz="0" w:space="0" w:color="auto"/>
              </w:divBdr>
              <w:divsChild>
                <w:div w:id="55589288">
                  <w:marLeft w:val="0"/>
                  <w:marRight w:val="0"/>
                  <w:marTop w:val="0"/>
                  <w:marBottom w:val="0"/>
                  <w:divBdr>
                    <w:top w:val="none" w:sz="0" w:space="0" w:color="auto"/>
                    <w:left w:val="none" w:sz="0" w:space="0" w:color="auto"/>
                    <w:bottom w:val="none" w:sz="0" w:space="0" w:color="auto"/>
                    <w:right w:val="none" w:sz="0" w:space="0" w:color="auto"/>
                  </w:divBdr>
                </w:div>
              </w:divsChild>
            </w:div>
            <w:div w:id="1625623149">
              <w:marLeft w:val="0"/>
              <w:marRight w:val="0"/>
              <w:marTop w:val="0"/>
              <w:marBottom w:val="0"/>
              <w:divBdr>
                <w:top w:val="none" w:sz="0" w:space="0" w:color="auto"/>
                <w:left w:val="none" w:sz="0" w:space="0" w:color="auto"/>
                <w:bottom w:val="none" w:sz="0" w:space="0" w:color="auto"/>
                <w:right w:val="none" w:sz="0" w:space="0" w:color="auto"/>
              </w:divBdr>
              <w:divsChild>
                <w:div w:id="1207336257">
                  <w:marLeft w:val="0"/>
                  <w:marRight w:val="0"/>
                  <w:marTop w:val="0"/>
                  <w:marBottom w:val="0"/>
                  <w:divBdr>
                    <w:top w:val="none" w:sz="0" w:space="0" w:color="auto"/>
                    <w:left w:val="none" w:sz="0" w:space="0" w:color="auto"/>
                    <w:bottom w:val="none" w:sz="0" w:space="0" w:color="auto"/>
                    <w:right w:val="none" w:sz="0" w:space="0" w:color="auto"/>
                  </w:divBdr>
                </w:div>
              </w:divsChild>
            </w:div>
            <w:div w:id="347145628">
              <w:marLeft w:val="0"/>
              <w:marRight w:val="0"/>
              <w:marTop w:val="0"/>
              <w:marBottom w:val="0"/>
              <w:divBdr>
                <w:top w:val="none" w:sz="0" w:space="0" w:color="auto"/>
                <w:left w:val="none" w:sz="0" w:space="0" w:color="auto"/>
                <w:bottom w:val="none" w:sz="0" w:space="0" w:color="auto"/>
                <w:right w:val="none" w:sz="0" w:space="0" w:color="auto"/>
              </w:divBdr>
              <w:divsChild>
                <w:div w:id="60755025">
                  <w:marLeft w:val="0"/>
                  <w:marRight w:val="0"/>
                  <w:marTop w:val="0"/>
                  <w:marBottom w:val="0"/>
                  <w:divBdr>
                    <w:top w:val="none" w:sz="0" w:space="0" w:color="auto"/>
                    <w:left w:val="none" w:sz="0" w:space="0" w:color="auto"/>
                    <w:bottom w:val="none" w:sz="0" w:space="0" w:color="auto"/>
                    <w:right w:val="none" w:sz="0" w:space="0" w:color="auto"/>
                  </w:divBdr>
                </w:div>
              </w:divsChild>
            </w:div>
            <w:div w:id="1318530221">
              <w:marLeft w:val="0"/>
              <w:marRight w:val="0"/>
              <w:marTop w:val="0"/>
              <w:marBottom w:val="0"/>
              <w:divBdr>
                <w:top w:val="none" w:sz="0" w:space="0" w:color="auto"/>
                <w:left w:val="none" w:sz="0" w:space="0" w:color="auto"/>
                <w:bottom w:val="none" w:sz="0" w:space="0" w:color="auto"/>
                <w:right w:val="none" w:sz="0" w:space="0" w:color="auto"/>
              </w:divBdr>
              <w:divsChild>
                <w:div w:id="1117025453">
                  <w:marLeft w:val="0"/>
                  <w:marRight w:val="0"/>
                  <w:marTop w:val="0"/>
                  <w:marBottom w:val="0"/>
                  <w:divBdr>
                    <w:top w:val="none" w:sz="0" w:space="0" w:color="auto"/>
                    <w:left w:val="none" w:sz="0" w:space="0" w:color="auto"/>
                    <w:bottom w:val="none" w:sz="0" w:space="0" w:color="auto"/>
                    <w:right w:val="none" w:sz="0" w:space="0" w:color="auto"/>
                  </w:divBdr>
                </w:div>
              </w:divsChild>
            </w:div>
            <w:div w:id="1574730181">
              <w:marLeft w:val="0"/>
              <w:marRight w:val="0"/>
              <w:marTop w:val="0"/>
              <w:marBottom w:val="0"/>
              <w:divBdr>
                <w:top w:val="none" w:sz="0" w:space="0" w:color="auto"/>
                <w:left w:val="none" w:sz="0" w:space="0" w:color="auto"/>
                <w:bottom w:val="none" w:sz="0" w:space="0" w:color="auto"/>
                <w:right w:val="none" w:sz="0" w:space="0" w:color="auto"/>
              </w:divBdr>
              <w:divsChild>
                <w:div w:id="2032031229">
                  <w:marLeft w:val="0"/>
                  <w:marRight w:val="0"/>
                  <w:marTop w:val="0"/>
                  <w:marBottom w:val="0"/>
                  <w:divBdr>
                    <w:top w:val="none" w:sz="0" w:space="0" w:color="auto"/>
                    <w:left w:val="none" w:sz="0" w:space="0" w:color="auto"/>
                    <w:bottom w:val="none" w:sz="0" w:space="0" w:color="auto"/>
                    <w:right w:val="none" w:sz="0" w:space="0" w:color="auto"/>
                  </w:divBdr>
                </w:div>
              </w:divsChild>
            </w:div>
            <w:div w:id="1469863154">
              <w:marLeft w:val="0"/>
              <w:marRight w:val="0"/>
              <w:marTop w:val="0"/>
              <w:marBottom w:val="0"/>
              <w:divBdr>
                <w:top w:val="none" w:sz="0" w:space="0" w:color="auto"/>
                <w:left w:val="none" w:sz="0" w:space="0" w:color="auto"/>
                <w:bottom w:val="none" w:sz="0" w:space="0" w:color="auto"/>
                <w:right w:val="none" w:sz="0" w:space="0" w:color="auto"/>
              </w:divBdr>
              <w:divsChild>
                <w:div w:id="514854538">
                  <w:marLeft w:val="0"/>
                  <w:marRight w:val="0"/>
                  <w:marTop w:val="0"/>
                  <w:marBottom w:val="0"/>
                  <w:divBdr>
                    <w:top w:val="none" w:sz="0" w:space="0" w:color="auto"/>
                    <w:left w:val="none" w:sz="0" w:space="0" w:color="auto"/>
                    <w:bottom w:val="none" w:sz="0" w:space="0" w:color="auto"/>
                    <w:right w:val="none" w:sz="0" w:space="0" w:color="auto"/>
                  </w:divBdr>
                </w:div>
              </w:divsChild>
            </w:div>
            <w:div w:id="1510177967">
              <w:marLeft w:val="0"/>
              <w:marRight w:val="0"/>
              <w:marTop w:val="0"/>
              <w:marBottom w:val="0"/>
              <w:divBdr>
                <w:top w:val="none" w:sz="0" w:space="0" w:color="auto"/>
                <w:left w:val="none" w:sz="0" w:space="0" w:color="auto"/>
                <w:bottom w:val="none" w:sz="0" w:space="0" w:color="auto"/>
                <w:right w:val="none" w:sz="0" w:space="0" w:color="auto"/>
              </w:divBdr>
              <w:divsChild>
                <w:div w:id="2074307570">
                  <w:marLeft w:val="0"/>
                  <w:marRight w:val="0"/>
                  <w:marTop w:val="0"/>
                  <w:marBottom w:val="0"/>
                  <w:divBdr>
                    <w:top w:val="none" w:sz="0" w:space="0" w:color="auto"/>
                    <w:left w:val="none" w:sz="0" w:space="0" w:color="auto"/>
                    <w:bottom w:val="none" w:sz="0" w:space="0" w:color="auto"/>
                    <w:right w:val="none" w:sz="0" w:space="0" w:color="auto"/>
                  </w:divBdr>
                </w:div>
              </w:divsChild>
            </w:div>
            <w:div w:id="1882552569">
              <w:marLeft w:val="0"/>
              <w:marRight w:val="0"/>
              <w:marTop w:val="0"/>
              <w:marBottom w:val="0"/>
              <w:divBdr>
                <w:top w:val="none" w:sz="0" w:space="0" w:color="auto"/>
                <w:left w:val="none" w:sz="0" w:space="0" w:color="auto"/>
                <w:bottom w:val="none" w:sz="0" w:space="0" w:color="auto"/>
                <w:right w:val="none" w:sz="0" w:space="0" w:color="auto"/>
              </w:divBdr>
              <w:divsChild>
                <w:div w:id="20991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8622">
          <w:marLeft w:val="0"/>
          <w:marRight w:val="0"/>
          <w:marTop w:val="0"/>
          <w:marBottom w:val="600"/>
          <w:divBdr>
            <w:top w:val="none" w:sz="0" w:space="0" w:color="auto"/>
            <w:left w:val="none" w:sz="0" w:space="0" w:color="auto"/>
            <w:bottom w:val="none" w:sz="0" w:space="0" w:color="auto"/>
            <w:right w:val="none" w:sz="0" w:space="0" w:color="auto"/>
          </w:divBdr>
        </w:div>
      </w:divsChild>
    </w:div>
    <w:div w:id="350885568">
      <w:marLeft w:val="0"/>
      <w:marRight w:val="0"/>
      <w:marTop w:val="0"/>
      <w:marBottom w:val="0"/>
      <w:divBdr>
        <w:top w:val="none" w:sz="0" w:space="0" w:color="auto"/>
        <w:left w:val="none" w:sz="0" w:space="0" w:color="auto"/>
        <w:bottom w:val="none" w:sz="0" w:space="0" w:color="auto"/>
        <w:right w:val="none" w:sz="0" w:space="0" w:color="auto"/>
      </w:divBdr>
      <w:divsChild>
        <w:div w:id="1509325920">
          <w:marLeft w:val="0"/>
          <w:marRight w:val="0"/>
          <w:marTop w:val="432"/>
          <w:marBottom w:val="0"/>
          <w:divBdr>
            <w:top w:val="none" w:sz="0" w:space="0" w:color="auto"/>
            <w:left w:val="none" w:sz="0" w:space="0" w:color="auto"/>
            <w:bottom w:val="none" w:sz="0" w:space="0" w:color="auto"/>
            <w:right w:val="none" w:sz="0" w:space="0" w:color="auto"/>
          </w:divBdr>
        </w:div>
        <w:div w:id="489176264">
          <w:marLeft w:val="0"/>
          <w:marRight w:val="0"/>
          <w:marTop w:val="0"/>
          <w:marBottom w:val="0"/>
          <w:divBdr>
            <w:top w:val="none" w:sz="0" w:space="0" w:color="auto"/>
            <w:left w:val="none" w:sz="0" w:space="0" w:color="auto"/>
            <w:bottom w:val="none" w:sz="0" w:space="0" w:color="auto"/>
            <w:right w:val="none" w:sz="0" w:space="0" w:color="auto"/>
          </w:divBdr>
        </w:div>
        <w:div w:id="1354377416">
          <w:marLeft w:val="0"/>
          <w:marRight w:val="0"/>
          <w:marTop w:val="0"/>
          <w:marBottom w:val="600"/>
          <w:divBdr>
            <w:top w:val="none" w:sz="0" w:space="0" w:color="auto"/>
            <w:left w:val="none" w:sz="0" w:space="0" w:color="auto"/>
            <w:bottom w:val="none" w:sz="0" w:space="0" w:color="auto"/>
            <w:right w:val="none" w:sz="0" w:space="0" w:color="auto"/>
          </w:divBdr>
        </w:div>
      </w:divsChild>
    </w:div>
    <w:div w:id="380833607">
      <w:marLeft w:val="0"/>
      <w:marRight w:val="0"/>
      <w:marTop w:val="0"/>
      <w:marBottom w:val="0"/>
      <w:divBdr>
        <w:top w:val="none" w:sz="0" w:space="0" w:color="auto"/>
        <w:left w:val="none" w:sz="0" w:space="0" w:color="auto"/>
        <w:bottom w:val="none" w:sz="0" w:space="0" w:color="auto"/>
        <w:right w:val="none" w:sz="0" w:space="0" w:color="auto"/>
      </w:divBdr>
      <w:divsChild>
        <w:div w:id="1292202946">
          <w:marLeft w:val="0"/>
          <w:marRight w:val="0"/>
          <w:marTop w:val="432"/>
          <w:marBottom w:val="0"/>
          <w:divBdr>
            <w:top w:val="none" w:sz="0" w:space="0" w:color="auto"/>
            <w:left w:val="none" w:sz="0" w:space="0" w:color="auto"/>
            <w:bottom w:val="none" w:sz="0" w:space="0" w:color="auto"/>
            <w:right w:val="none" w:sz="0" w:space="0" w:color="auto"/>
          </w:divBdr>
        </w:div>
        <w:div w:id="1530023079">
          <w:marLeft w:val="0"/>
          <w:marRight w:val="0"/>
          <w:marTop w:val="0"/>
          <w:marBottom w:val="0"/>
          <w:divBdr>
            <w:top w:val="none" w:sz="0" w:space="0" w:color="auto"/>
            <w:left w:val="none" w:sz="0" w:space="0" w:color="auto"/>
            <w:bottom w:val="none" w:sz="0" w:space="0" w:color="auto"/>
            <w:right w:val="none" w:sz="0" w:space="0" w:color="auto"/>
          </w:divBdr>
          <w:divsChild>
            <w:div w:id="1041054265">
              <w:marLeft w:val="0"/>
              <w:marRight w:val="0"/>
              <w:marTop w:val="0"/>
              <w:marBottom w:val="0"/>
              <w:divBdr>
                <w:top w:val="none" w:sz="0" w:space="0" w:color="auto"/>
                <w:left w:val="none" w:sz="0" w:space="0" w:color="auto"/>
                <w:bottom w:val="none" w:sz="0" w:space="0" w:color="auto"/>
                <w:right w:val="none" w:sz="0" w:space="0" w:color="auto"/>
              </w:divBdr>
              <w:divsChild>
                <w:div w:id="1948611954">
                  <w:marLeft w:val="0"/>
                  <w:marRight w:val="0"/>
                  <w:marTop w:val="0"/>
                  <w:marBottom w:val="0"/>
                  <w:divBdr>
                    <w:top w:val="none" w:sz="0" w:space="0" w:color="auto"/>
                    <w:left w:val="none" w:sz="0" w:space="0" w:color="auto"/>
                    <w:bottom w:val="none" w:sz="0" w:space="0" w:color="auto"/>
                    <w:right w:val="none" w:sz="0" w:space="0" w:color="auto"/>
                  </w:divBdr>
                </w:div>
              </w:divsChild>
            </w:div>
            <w:div w:id="944654856">
              <w:marLeft w:val="0"/>
              <w:marRight w:val="0"/>
              <w:marTop w:val="0"/>
              <w:marBottom w:val="0"/>
              <w:divBdr>
                <w:top w:val="none" w:sz="0" w:space="0" w:color="auto"/>
                <w:left w:val="none" w:sz="0" w:space="0" w:color="auto"/>
                <w:bottom w:val="none" w:sz="0" w:space="0" w:color="auto"/>
                <w:right w:val="none" w:sz="0" w:space="0" w:color="auto"/>
              </w:divBdr>
              <w:divsChild>
                <w:div w:id="1081103284">
                  <w:marLeft w:val="0"/>
                  <w:marRight w:val="0"/>
                  <w:marTop w:val="0"/>
                  <w:marBottom w:val="0"/>
                  <w:divBdr>
                    <w:top w:val="none" w:sz="0" w:space="0" w:color="auto"/>
                    <w:left w:val="none" w:sz="0" w:space="0" w:color="auto"/>
                    <w:bottom w:val="none" w:sz="0" w:space="0" w:color="auto"/>
                    <w:right w:val="none" w:sz="0" w:space="0" w:color="auto"/>
                  </w:divBdr>
                </w:div>
              </w:divsChild>
            </w:div>
            <w:div w:id="1671104530">
              <w:marLeft w:val="0"/>
              <w:marRight w:val="0"/>
              <w:marTop w:val="0"/>
              <w:marBottom w:val="0"/>
              <w:divBdr>
                <w:top w:val="none" w:sz="0" w:space="0" w:color="auto"/>
                <w:left w:val="none" w:sz="0" w:space="0" w:color="auto"/>
                <w:bottom w:val="none" w:sz="0" w:space="0" w:color="auto"/>
                <w:right w:val="none" w:sz="0" w:space="0" w:color="auto"/>
              </w:divBdr>
              <w:divsChild>
                <w:div w:id="948387730">
                  <w:marLeft w:val="0"/>
                  <w:marRight w:val="0"/>
                  <w:marTop w:val="0"/>
                  <w:marBottom w:val="0"/>
                  <w:divBdr>
                    <w:top w:val="none" w:sz="0" w:space="0" w:color="auto"/>
                    <w:left w:val="none" w:sz="0" w:space="0" w:color="auto"/>
                    <w:bottom w:val="none" w:sz="0" w:space="0" w:color="auto"/>
                    <w:right w:val="none" w:sz="0" w:space="0" w:color="auto"/>
                  </w:divBdr>
                </w:div>
              </w:divsChild>
            </w:div>
            <w:div w:id="1714574647">
              <w:marLeft w:val="0"/>
              <w:marRight w:val="0"/>
              <w:marTop w:val="0"/>
              <w:marBottom w:val="0"/>
              <w:divBdr>
                <w:top w:val="none" w:sz="0" w:space="0" w:color="auto"/>
                <w:left w:val="none" w:sz="0" w:space="0" w:color="auto"/>
                <w:bottom w:val="none" w:sz="0" w:space="0" w:color="auto"/>
                <w:right w:val="none" w:sz="0" w:space="0" w:color="auto"/>
              </w:divBdr>
              <w:divsChild>
                <w:div w:id="610015249">
                  <w:marLeft w:val="0"/>
                  <w:marRight w:val="0"/>
                  <w:marTop w:val="0"/>
                  <w:marBottom w:val="0"/>
                  <w:divBdr>
                    <w:top w:val="none" w:sz="0" w:space="0" w:color="auto"/>
                    <w:left w:val="none" w:sz="0" w:space="0" w:color="auto"/>
                    <w:bottom w:val="none" w:sz="0" w:space="0" w:color="auto"/>
                    <w:right w:val="none" w:sz="0" w:space="0" w:color="auto"/>
                  </w:divBdr>
                </w:div>
              </w:divsChild>
            </w:div>
            <w:div w:id="1935434197">
              <w:marLeft w:val="0"/>
              <w:marRight w:val="0"/>
              <w:marTop w:val="0"/>
              <w:marBottom w:val="0"/>
              <w:divBdr>
                <w:top w:val="none" w:sz="0" w:space="0" w:color="auto"/>
                <w:left w:val="none" w:sz="0" w:space="0" w:color="auto"/>
                <w:bottom w:val="none" w:sz="0" w:space="0" w:color="auto"/>
                <w:right w:val="none" w:sz="0" w:space="0" w:color="auto"/>
              </w:divBdr>
              <w:divsChild>
                <w:div w:id="807942401">
                  <w:marLeft w:val="0"/>
                  <w:marRight w:val="0"/>
                  <w:marTop w:val="0"/>
                  <w:marBottom w:val="0"/>
                  <w:divBdr>
                    <w:top w:val="none" w:sz="0" w:space="0" w:color="auto"/>
                    <w:left w:val="none" w:sz="0" w:space="0" w:color="auto"/>
                    <w:bottom w:val="none" w:sz="0" w:space="0" w:color="auto"/>
                    <w:right w:val="none" w:sz="0" w:space="0" w:color="auto"/>
                  </w:divBdr>
                </w:div>
              </w:divsChild>
            </w:div>
            <w:div w:id="336462713">
              <w:marLeft w:val="0"/>
              <w:marRight w:val="0"/>
              <w:marTop w:val="0"/>
              <w:marBottom w:val="0"/>
              <w:divBdr>
                <w:top w:val="none" w:sz="0" w:space="0" w:color="auto"/>
                <w:left w:val="none" w:sz="0" w:space="0" w:color="auto"/>
                <w:bottom w:val="none" w:sz="0" w:space="0" w:color="auto"/>
                <w:right w:val="none" w:sz="0" w:space="0" w:color="auto"/>
              </w:divBdr>
              <w:divsChild>
                <w:div w:id="983584711">
                  <w:marLeft w:val="0"/>
                  <w:marRight w:val="0"/>
                  <w:marTop w:val="0"/>
                  <w:marBottom w:val="0"/>
                  <w:divBdr>
                    <w:top w:val="none" w:sz="0" w:space="0" w:color="auto"/>
                    <w:left w:val="none" w:sz="0" w:space="0" w:color="auto"/>
                    <w:bottom w:val="none" w:sz="0" w:space="0" w:color="auto"/>
                    <w:right w:val="none" w:sz="0" w:space="0" w:color="auto"/>
                  </w:divBdr>
                </w:div>
              </w:divsChild>
            </w:div>
            <w:div w:id="1609386985">
              <w:marLeft w:val="0"/>
              <w:marRight w:val="0"/>
              <w:marTop w:val="0"/>
              <w:marBottom w:val="0"/>
              <w:divBdr>
                <w:top w:val="none" w:sz="0" w:space="0" w:color="auto"/>
                <w:left w:val="none" w:sz="0" w:space="0" w:color="auto"/>
                <w:bottom w:val="none" w:sz="0" w:space="0" w:color="auto"/>
                <w:right w:val="none" w:sz="0" w:space="0" w:color="auto"/>
              </w:divBdr>
              <w:divsChild>
                <w:div w:id="9808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7140">
          <w:marLeft w:val="0"/>
          <w:marRight w:val="0"/>
          <w:marTop w:val="0"/>
          <w:marBottom w:val="600"/>
          <w:divBdr>
            <w:top w:val="none" w:sz="0" w:space="0" w:color="auto"/>
            <w:left w:val="none" w:sz="0" w:space="0" w:color="auto"/>
            <w:bottom w:val="none" w:sz="0" w:space="0" w:color="auto"/>
            <w:right w:val="none" w:sz="0" w:space="0" w:color="auto"/>
          </w:divBdr>
        </w:div>
      </w:divsChild>
    </w:div>
    <w:div w:id="433867314">
      <w:marLeft w:val="0"/>
      <w:marRight w:val="0"/>
      <w:marTop w:val="0"/>
      <w:marBottom w:val="0"/>
      <w:divBdr>
        <w:top w:val="none" w:sz="0" w:space="0" w:color="auto"/>
        <w:left w:val="none" w:sz="0" w:space="0" w:color="auto"/>
        <w:bottom w:val="none" w:sz="0" w:space="0" w:color="auto"/>
        <w:right w:val="none" w:sz="0" w:space="0" w:color="auto"/>
      </w:divBdr>
      <w:divsChild>
        <w:div w:id="595677871">
          <w:marLeft w:val="0"/>
          <w:marRight w:val="0"/>
          <w:marTop w:val="432"/>
          <w:marBottom w:val="0"/>
          <w:divBdr>
            <w:top w:val="none" w:sz="0" w:space="0" w:color="auto"/>
            <w:left w:val="none" w:sz="0" w:space="0" w:color="auto"/>
            <w:bottom w:val="none" w:sz="0" w:space="0" w:color="auto"/>
            <w:right w:val="none" w:sz="0" w:space="0" w:color="auto"/>
          </w:divBdr>
        </w:div>
        <w:div w:id="1899365448">
          <w:marLeft w:val="0"/>
          <w:marRight w:val="0"/>
          <w:marTop w:val="0"/>
          <w:marBottom w:val="0"/>
          <w:divBdr>
            <w:top w:val="none" w:sz="0" w:space="0" w:color="auto"/>
            <w:left w:val="none" w:sz="0" w:space="0" w:color="auto"/>
            <w:bottom w:val="none" w:sz="0" w:space="0" w:color="auto"/>
            <w:right w:val="none" w:sz="0" w:space="0" w:color="auto"/>
          </w:divBdr>
          <w:divsChild>
            <w:div w:id="1342664996">
              <w:marLeft w:val="0"/>
              <w:marRight w:val="0"/>
              <w:marTop w:val="0"/>
              <w:marBottom w:val="0"/>
              <w:divBdr>
                <w:top w:val="none" w:sz="0" w:space="0" w:color="auto"/>
                <w:left w:val="none" w:sz="0" w:space="0" w:color="auto"/>
                <w:bottom w:val="none" w:sz="0" w:space="0" w:color="auto"/>
                <w:right w:val="none" w:sz="0" w:space="0" w:color="auto"/>
              </w:divBdr>
              <w:divsChild>
                <w:div w:id="758795655">
                  <w:marLeft w:val="0"/>
                  <w:marRight w:val="0"/>
                  <w:marTop w:val="0"/>
                  <w:marBottom w:val="0"/>
                  <w:divBdr>
                    <w:top w:val="none" w:sz="0" w:space="0" w:color="auto"/>
                    <w:left w:val="none" w:sz="0" w:space="0" w:color="auto"/>
                    <w:bottom w:val="none" w:sz="0" w:space="0" w:color="auto"/>
                    <w:right w:val="none" w:sz="0" w:space="0" w:color="auto"/>
                  </w:divBdr>
                </w:div>
              </w:divsChild>
            </w:div>
            <w:div w:id="1477407572">
              <w:marLeft w:val="0"/>
              <w:marRight w:val="0"/>
              <w:marTop w:val="0"/>
              <w:marBottom w:val="0"/>
              <w:divBdr>
                <w:top w:val="none" w:sz="0" w:space="0" w:color="auto"/>
                <w:left w:val="none" w:sz="0" w:space="0" w:color="auto"/>
                <w:bottom w:val="none" w:sz="0" w:space="0" w:color="auto"/>
                <w:right w:val="none" w:sz="0" w:space="0" w:color="auto"/>
              </w:divBdr>
              <w:divsChild>
                <w:div w:id="388119415">
                  <w:marLeft w:val="0"/>
                  <w:marRight w:val="0"/>
                  <w:marTop w:val="0"/>
                  <w:marBottom w:val="0"/>
                  <w:divBdr>
                    <w:top w:val="none" w:sz="0" w:space="0" w:color="auto"/>
                    <w:left w:val="none" w:sz="0" w:space="0" w:color="auto"/>
                    <w:bottom w:val="none" w:sz="0" w:space="0" w:color="auto"/>
                    <w:right w:val="none" w:sz="0" w:space="0" w:color="auto"/>
                  </w:divBdr>
                </w:div>
              </w:divsChild>
            </w:div>
            <w:div w:id="1121192222">
              <w:marLeft w:val="0"/>
              <w:marRight w:val="0"/>
              <w:marTop w:val="0"/>
              <w:marBottom w:val="0"/>
              <w:divBdr>
                <w:top w:val="none" w:sz="0" w:space="0" w:color="auto"/>
                <w:left w:val="none" w:sz="0" w:space="0" w:color="auto"/>
                <w:bottom w:val="none" w:sz="0" w:space="0" w:color="auto"/>
                <w:right w:val="none" w:sz="0" w:space="0" w:color="auto"/>
              </w:divBdr>
              <w:divsChild>
                <w:div w:id="2103917467">
                  <w:marLeft w:val="0"/>
                  <w:marRight w:val="0"/>
                  <w:marTop w:val="0"/>
                  <w:marBottom w:val="0"/>
                  <w:divBdr>
                    <w:top w:val="none" w:sz="0" w:space="0" w:color="auto"/>
                    <w:left w:val="none" w:sz="0" w:space="0" w:color="auto"/>
                    <w:bottom w:val="none" w:sz="0" w:space="0" w:color="auto"/>
                    <w:right w:val="none" w:sz="0" w:space="0" w:color="auto"/>
                  </w:divBdr>
                </w:div>
              </w:divsChild>
            </w:div>
            <w:div w:id="1584677148">
              <w:marLeft w:val="0"/>
              <w:marRight w:val="0"/>
              <w:marTop w:val="0"/>
              <w:marBottom w:val="0"/>
              <w:divBdr>
                <w:top w:val="none" w:sz="0" w:space="0" w:color="auto"/>
                <w:left w:val="none" w:sz="0" w:space="0" w:color="auto"/>
                <w:bottom w:val="none" w:sz="0" w:space="0" w:color="auto"/>
                <w:right w:val="none" w:sz="0" w:space="0" w:color="auto"/>
              </w:divBdr>
              <w:divsChild>
                <w:div w:id="1004865876">
                  <w:marLeft w:val="0"/>
                  <w:marRight w:val="0"/>
                  <w:marTop w:val="0"/>
                  <w:marBottom w:val="0"/>
                  <w:divBdr>
                    <w:top w:val="none" w:sz="0" w:space="0" w:color="auto"/>
                    <w:left w:val="none" w:sz="0" w:space="0" w:color="auto"/>
                    <w:bottom w:val="none" w:sz="0" w:space="0" w:color="auto"/>
                    <w:right w:val="none" w:sz="0" w:space="0" w:color="auto"/>
                  </w:divBdr>
                </w:div>
              </w:divsChild>
            </w:div>
            <w:div w:id="1608658258">
              <w:marLeft w:val="0"/>
              <w:marRight w:val="0"/>
              <w:marTop w:val="0"/>
              <w:marBottom w:val="0"/>
              <w:divBdr>
                <w:top w:val="none" w:sz="0" w:space="0" w:color="auto"/>
                <w:left w:val="none" w:sz="0" w:space="0" w:color="auto"/>
                <w:bottom w:val="none" w:sz="0" w:space="0" w:color="auto"/>
                <w:right w:val="none" w:sz="0" w:space="0" w:color="auto"/>
              </w:divBdr>
              <w:divsChild>
                <w:div w:id="1998225156">
                  <w:marLeft w:val="0"/>
                  <w:marRight w:val="0"/>
                  <w:marTop w:val="0"/>
                  <w:marBottom w:val="0"/>
                  <w:divBdr>
                    <w:top w:val="none" w:sz="0" w:space="0" w:color="auto"/>
                    <w:left w:val="none" w:sz="0" w:space="0" w:color="auto"/>
                    <w:bottom w:val="none" w:sz="0" w:space="0" w:color="auto"/>
                    <w:right w:val="none" w:sz="0" w:space="0" w:color="auto"/>
                  </w:divBdr>
                </w:div>
              </w:divsChild>
            </w:div>
            <w:div w:id="951058444">
              <w:marLeft w:val="0"/>
              <w:marRight w:val="0"/>
              <w:marTop w:val="0"/>
              <w:marBottom w:val="0"/>
              <w:divBdr>
                <w:top w:val="none" w:sz="0" w:space="0" w:color="auto"/>
                <w:left w:val="none" w:sz="0" w:space="0" w:color="auto"/>
                <w:bottom w:val="none" w:sz="0" w:space="0" w:color="auto"/>
                <w:right w:val="none" w:sz="0" w:space="0" w:color="auto"/>
              </w:divBdr>
              <w:divsChild>
                <w:div w:id="1128277683">
                  <w:marLeft w:val="0"/>
                  <w:marRight w:val="0"/>
                  <w:marTop w:val="0"/>
                  <w:marBottom w:val="0"/>
                  <w:divBdr>
                    <w:top w:val="none" w:sz="0" w:space="0" w:color="auto"/>
                    <w:left w:val="none" w:sz="0" w:space="0" w:color="auto"/>
                    <w:bottom w:val="none" w:sz="0" w:space="0" w:color="auto"/>
                    <w:right w:val="none" w:sz="0" w:space="0" w:color="auto"/>
                  </w:divBdr>
                </w:div>
              </w:divsChild>
            </w:div>
            <w:div w:id="1128206792">
              <w:marLeft w:val="0"/>
              <w:marRight w:val="0"/>
              <w:marTop w:val="0"/>
              <w:marBottom w:val="0"/>
              <w:divBdr>
                <w:top w:val="none" w:sz="0" w:space="0" w:color="auto"/>
                <w:left w:val="none" w:sz="0" w:space="0" w:color="auto"/>
                <w:bottom w:val="none" w:sz="0" w:space="0" w:color="auto"/>
                <w:right w:val="none" w:sz="0" w:space="0" w:color="auto"/>
              </w:divBdr>
              <w:divsChild>
                <w:div w:id="14933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0535">
          <w:marLeft w:val="0"/>
          <w:marRight w:val="0"/>
          <w:marTop w:val="0"/>
          <w:marBottom w:val="600"/>
          <w:divBdr>
            <w:top w:val="none" w:sz="0" w:space="0" w:color="auto"/>
            <w:left w:val="none" w:sz="0" w:space="0" w:color="auto"/>
            <w:bottom w:val="none" w:sz="0" w:space="0" w:color="auto"/>
            <w:right w:val="none" w:sz="0" w:space="0" w:color="auto"/>
          </w:divBdr>
        </w:div>
      </w:divsChild>
    </w:div>
    <w:div w:id="447892492">
      <w:marLeft w:val="0"/>
      <w:marRight w:val="0"/>
      <w:marTop w:val="0"/>
      <w:marBottom w:val="0"/>
      <w:divBdr>
        <w:top w:val="none" w:sz="0" w:space="0" w:color="auto"/>
        <w:left w:val="none" w:sz="0" w:space="0" w:color="auto"/>
        <w:bottom w:val="none" w:sz="0" w:space="0" w:color="auto"/>
        <w:right w:val="none" w:sz="0" w:space="0" w:color="auto"/>
      </w:divBdr>
      <w:divsChild>
        <w:div w:id="1468552506">
          <w:marLeft w:val="0"/>
          <w:marRight w:val="0"/>
          <w:marTop w:val="432"/>
          <w:marBottom w:val="0"/>
          <w:divBdr>
            <w:top w:val="none" w:sz="0" w:space="0" w:color="auto"/>
            <w:left w:val="none" w:sz="0" w:space="0" w:color="auto"/>
            <w:bottom w:val="none" w:sz="0" w:space="0" w:color="auto"/>
            <w:right w:val="none" w:sz="0" w:space="0" w:color="auto"/>
          </w:divBdr>
        </w:div>
        <w:div w:id="764158197">
          <w:marLeft w:val="0"/>
          <w:marRight w:val="0"/>
          <w:marTop w:val="0"/>
          <w:marBottom w:val="0"/>
          <w:divBdr>
            <w:top w:val="none" w:sz="0" w:space="0" w:color="auto"/>
            <w:left w:val="none" w:sz="0" w:space="0" w:color="auto"/>
            <w:bottom w:val="none" w:sz="0" w:space="0" w:color="auto"/>
            <w:right w:val="none" w:sz="0" w:space="0" w:color="auto"/>
          </w:divBdr>
        </w:div>
        <w:div w:id="2060009857">
          <w:marLeft w:val="0"/>
          <w:marRight w:val="0"/>
          <w:marTop w:val="0"/>
          <w:marBottom w:val="600"/>
          <w:divBdr>
            <w:top w:val="none" w:sz="0" w:space="0" w:color="auto"/>
            <w:left w:val="none" w:sz="0" w:space="0" w:color="auto"/>
            <w:bottom w:val="none" w:sz="0" w:space="0" w:color="auto"/>
            <w:right w:val="none" w:sz="0" w:space="0" w:color="auto"/>
          </w:divBdr>
        </w:div>
      </w:divsChild>
    </w:div>
    <w:div w:id="457456959">
      <w:marLeft w:val="0"/>
      <w:marRight w:val="0"/>
      <w:marTop w:val="0"/>
      <w:marBottom w:val="0"/>
      <w:divBdr>
        <w:top w:val="none" w:sz="0" w:space="0" w:color="auto"/>
        <w:left w:val="none" w:sz="0" w:space="0" w:color="auto"/>
        <w:bottom w:val="none" w:sz="0" w:space="0" w:color="auto"/>
        <w:right w:val="none" w:sz="0" w:space="0" w:color="auto"/>
      </w:divBdr>
      <w:divsChild>
        <w:div w:id="1555660337">
          <w:marLeft w:val="0"/>
          <w:marRight w:val="0"/>
          <w:marTop w:val="432"/>
          <w:marBottom w:val="0"/>
          <w:divBdr>
            <w:top w:val="none" w:sz="0" w:space="0" w:color="auto"/>
            <w:left w:val="none" w:sz="0" w:space="0" w:color="auto"/>
            <w:bottom w:val="none" w:sz="0" w:space="0" w:color="auto"/>
            <w:right w:val="none" w:sz="0" w:space="0" w:color="auto"/>
          </w:divBdr>
        </w:div>
        <w:div w:id="1386369456">
          <w:marLeft w:val="0"/>
          <w:marRight w:val="0"/>
          <w:marTop w:val="0"/>
          <w:marBottom w:val="0"/>
          <w:divBdr>
            <w:top w:val="none" w:sz="0" w:space="0" w:color="auto"/>
            <w:left w:val="none" w:sz="0" w:space="0" w:color="auto"/>
            <w:bottom w:val="none" w:sz="0" w:space="0" w:color="auto"/>
            <w:right w:val="none" w:sz="0" w:space="0" w:color="auto"/>
          </w:divBdr>
          <w:divsChild>
            <w:div w:id="960379381">
              <w:marLeft w:val="0"/>
              <w:marRight w:val="0"/>
              <w:marTop w:val="0"/>
              <w:marBottom w:val="0"/>
              <w:divBdr>
                <w:top w:val="none" w:sz="0" w:space="0" w:color="auto"/>
                <w:left w:val="none" w:sz="0" w:space="0" w:color="auto"/>
                <w:bottom w:val="none" w:sz="0" w:space="0" w:color="auto"/>
                <w:right w:val="none" w:sz="0" w:space="0" w:color="auto"/>
              </w:divBdr>
              <w:divsChild>
                <w:div w:id="1232807203">
                  <w:marLeft w:val="0"/>
                  <w:marRight w:val="0"/>
                  <w:marTop w:val="0"/>
                  <w:marBottom w:val="0"/>
                  <w:divBdr>
                    <w:top w:val="none" w:sz="0" w:space="0" w:color="auto"/>
                    <w:left w:val="none" w:sz="0" w:space="0" w:color="auto"/>
                    <w:bottom w:val="none" w:sz="0" w:space="0" w:color="auto"/>
                    <w:right w:val="none" w:sz="0" w:space="0" w:color="auto"/>
                  </w:divBdr>
                </w:div>
              </w:divsChild>
            </w:div>
            <w:div w:id="1975402717">
              <w:marLeft w:val="0"/>
              <w:marRight w:val="0"/>
              <w:marTop w:val="0"/>
              <w:marBottom w:val="0"/>
              <w:divBdr>
                <w:top w:val="none" w:sz="0" w:space="0" w:color="auto"/>
                <w:left w:val="none" w:sz="0" w:space="0" w:color="auto"/>
                <w:bottom w:val="none" w:sz="0" w:space="0" w:color="auto"/>
                <w:right w:val="none" w:sz="0" w:space="0" w:color="auto"/>
              </w:divBdr>
              <w:divsChild>
                <w:div w:id="2034722586">
                  <w:marLeft w:val="0"/>
                  <w:marRight w:val="0"/>
                  <w:marTop w:val="0"/>
                  <w:marBottom w:val="0"/>
                  <w:divBdr>
                    <w:top w:val="none" w:sz="0" w:space="0" w:color="auto"/>
                    <w:left w:val="none" w:sz="0" w:space="0" w:color="auto"/>
                    <w:bottom w:val="none" w:sz="0" w:space="0" w:color="auto"/>
                    <w:right w:val="none" w:sz="0" w:space="0" w:color="auto"/>
                  </w:divBdr>
                </w:div>
              </w:divsChild>
            </w:div>
            <w:div w:id="1705516118">
              <w:marLeft w:val="0"/>
              <w:marRight w:val="0"/>
              <w:marTop w:val="0"/>
              <w:marBottom w:val="0"/>
              <w:divBdr>
                <w:top w:val="none" w:sz="0" w:space="0" w:color="auto"/>
                <w:left w:val="none" w:sz="0" w:space="0" w:color="auto"/>
                <w:bottom w:val="none" w:sz="0" w:space="0" w:color="auto"/>
                <w:right w:val="none" w:sz="0" w:space="0" w:color="auto"/>
              </w:divBdr>
              <w:divsChild>
                <w:div w:id="117989682">
                  <w:marLeft w:val="0"/>
                  <w:marRight w:val="0"/>
                  <w:marTop w:val="0"/>
                  <w:marBottom w:val="0"/>
                  <w:divBdr>
                    <w:top w:val="none" w:sz="0" w:space="0" w:color="auto"/>
                    <w:left w:val="none" w:sz="0" w:space="0" w:color="auto"/>
                    <w:bottom w:val="none" w:sz="0" w:space="0" w:color="auto"/>
                    <w:right w:val="none" w:sz="0" w:space="0" w:color="auto"/>
                  </w:divBdr>
                </w:div>
              </w:divsChild>
            </w:div>
            <w:div w:id="497353900">
              <w:marLeft w:val="0"/>
              <w:marRight w:val="0"/>
              <w:marTop w:val="0"/>
              <w:marBottom w:val="0"/>
              <w:divBdr>
                <w:top w:val="none" w:sz="0" w:space="0" w:color="auto"/>
                <w:left w:val="none" w:sz="0" w:space="0" w:color="auto"/>
                <w:bottom w:val="none" w:sz="0" w:space="0" w:color="auto"/>
                <w:right w:val="none" w:sz="0" w:space="0" w:color="auto"/>
              </w:divBdr>
              <w:divsChild>
                <w:div w:id="334573158">
                  <w:marLeft w:val="0"/>
                  <w:marRight w:val="0"/>
                  <w:marTop w:val="0"/>
                  <w:marBottom w:val="0"/>
                  <w:divBdr>
                    <w:top w:val="none" w:sz="0" w:space="0" w:color="auto"/>
                    <w:left w:val="none" w:sz="0" w:space="0" w:color="auto"/>
                    <w:bottom w:val="none" w:sz="0" w:space="0" w:color="auto"/>
                    <w:right w:val="none" w:sz="0" w:space="0" w:color="auto"/>
                  </w:divBdr>
                </w:div>
              </w:divsChild>
            </w:div>
            <w:div w:id="1123497556">
              <w:marLeft w:val="0"/>
              <w:marRight w:val="0"/>
              <w:marTop w:val="0"/>
              <w:marBottom w:val="0"/>
              <w:divBdr>
                <w:top w:val="none" w:sz="0" w:space="0" w:color="auto"/>
                <w:left w:val="none" w:sz="0" w:space="0" w:color="auto"/>
                <w:bottom w:val="none" w:sz="0" w:space="0" w:color="auto"/>
                <w:right w:val="none" w:sz="0" w:space="0" w:color="auto"/>
              </w:divBdr>
              <w:divsChild>
                <w:div w:id="1351880376">
                  <w:marLeft w:val="0"/>
                  <w:marRight w:val="0"/>
                  <w:marTop w:val="0"/>
                  <w:marBottom w:val="0"/>
                  <w:divBdr>
                    <w:top w:val="none" w:sz="0" w:space="0" w:color="auto"/>
                    <w:left w:val="none" w:sz="0" w:space="0" w:color="auto"/>
                    <w:bottom w:val="none" w:sz="0" w:space="0" w:color="auto"/>
                    <w:right w:val="none" w:sz="0" w:space="0" w:color="auto"/>
                  </w:divBdr>
                </w:div>
              </w:divsChild>
            </w:div>
            <w:div w:id="1577398791">
              <w:marLeft w:val="0"/>
              <w:marRight w:val="0"/>
              <w:marTop w:val="0"/>
              <w:marBottom w:val="0"/>
              <w:divBdr>
                <w:top w:val="none" w:sz="0" w:space="0" w:color="auto"/>
                <w:left w:val="none" w:sz="0" w:space="0" w:color="auto"/>
                <w:bottom w:val="none" w:sz="0" w:space="0" w:color="auto"/>
                <w:right w:val="none" w:sz="0" w:space="0" w:color="auto"/>
              </w:divBdr>
              <w:divsChild>
                <w:div w:id="1541017353">
                  <w:marLeft w:val="0"/>
                  <w:marRight w:val="0"/>
                  <w:marTop w:val="0"/>
                  <w:marBottom w:val="0"/>
                  <w:divBdr>
                    <w:top w:val="none" w:sz="0" w:space="0" w:color="auto"/>
                    <w:left w:val="none" w:sz="0" w:space="0" w:color="auto"/>
                    <w:bottom w:val="none" w:sz="0" w:space="0" w:color="auto"/>
                    <w:right w:val="none" w:sz="0" w:space="0" w:color="auto"/>
                  </w:divBdr>
                </w:div>
              </w:divsChild>
            </w:div>
            <w:div w:id="1542134575">
              <w:marLeft w:val="0"/>
              <w:marRight w:val="0"/>
              <w:marTop w:val="0"/>
              <w:marBottom w:val="0"/>
              <w:divBdr>
                <w:top w:val="none" w:sz="0" w:space="0" w:color="auto"/>
                <w:left w:val="none" w:sz="0" w:space="0" w:color="auto"/>
                <w:bottom w:val="none" w:sz="0" w:space="0" w:color="auto"/>
                <w:right w:val="none" w:sz="0" w:space="0" w:color="auto"/>
              </w:divBdr>
              <w:divsChild>
                <w:div w:id="12054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5896">
          <w:marLeft w:val="0"/>
          <w:marRight w:val="0"/>
          <w:marTop w:val="0"/>
          <w:marBottom w:val="600"/>
          <w:divBdr>
            <w:top w:val="none" w:sz="0" w:space="0" w:color="auto"/>
            <w:left w:val="none" w:sz="0" w:space="0" w:color="auto"/>
            <w:bottom w:val="none" w:sz="0" w:space="0" w:color="auto"/>
            <w:right w:val="none" w:sz="0" w:space="0" w:color="auto"/>
          </w:divBdr>
        </w:div>
      </w:divsChild>
    </w:div>
    <w:div w:id="507447928">
      <w:marLeft w:val="0"/>
      <w:marRight w:val="0"/>
      <w:marTop w:val="0"/>
      <w:marBottom w:val="0"/>
      <w:divBdr>
        <w:top w:val="none" w:sz="0" w:space="0" w:color="auto"/>
        <w:left w:val="none" w:sz="0" w:space="0" w:color="auto"/>
        <w:bottom w:val="none" w:sz="0" w:space="0" w:color="auto"/>
        <w:right w:val="none" w:sz="0" w:space="0" w:color="auto"/>
      </w:divBdr>
      <w:divsChild>
        <w:div w:id="763650739">
          <w:marLeft w:val="0"/>
          <w:marRight w:val="0"/>
          <w:marTop w:val="432"/>
          <w:marBottom w:val="0"/>
          <w:divBdr>
            <w:top w:val="none" w:sz="0" w:space="0" w:color="auto"/>
            <w:left w:val="none" w:sz="0" w:space="0" w:color="auto"/>
            <w:bottom w:val="none" w:sz="0" w:space="0" w:color="auto"/>
            <w:right w:val="none" w:sz="0" w:space="0" w:color="auto"/>
          </w:divBdr>
        </w:div>
        <w:div w:id="1339424999">
          <w:marLeft w:val="0"/>
          <w:marRight w:val="0"/>
          <w:marTop w:val="0"/>
          <w:marBottom w:val="0"/>
          <w:divBdr>
            <w:top w:val="none" w:sz="0" w:space="0" w:color="auto"/>
            <w:left w:val="none" w:sz="0" w:space="0" w:color="auto"/>
            <w:bottom w:val="none" w:sz="0" w:space="0" w:color="auto"/>
            <w:right w:val="none" w:sz="0" w:space="0" w:color="auto"/>
          </w:divBdr>
          <w:divsChild>
            <w:div w:id="2048410328">
              <w:marLeft w:val="0"/>
              <w:marRight w:val="0"/>
              <w:marTop w:val="0"/>
              <w:marBottom w:val="0"/>
              <w:divBdr>
                <w:top w:val="none" w:sz="0" w:space="0" w:color="auto"/>
                <w:left w:val="none" w:sz="0" w:space="0" w:color="auto"/>
                <w:bottom w:val="none" w:sz="0" w:space="0" w:color="auto"/>
                <w:right w:val="none" w:sz="0" w:space="0" w:color="auto"/>
              </w:divBdr>
              <w:divsChild>
                <w:div w:id="512572136">
                  <w:marLeft w:val="0"/>
                  <w:marRight w:val="0"/>
                  <w:marTop w:val="0"/>
                  <w:marBottom w:val="0"/>
                  <w:divBdr>
                    <w:top w:val="none" w:sz="0" w:space="0" w:color="auto"/>
                    <w:left w:val="none" w:sz="0" w:space="0" w:color="auto"/>
                    <w:bottom w:val="none" w:sz="0" w:space="0" w:color="auto"/>
                    <w:right w:val="none" w:sz="0" w:space="0" w:color="auto"/>
                  </w:divBdr>
                </w:div>
              </w:divsChild>
            </w:div>
            <w:div w:id="955214558">
              <w:marLeft w:val="0"/>
              <w:marRight w:val="0"/>
              <w:marTop w:val="0"/>
              <w:marBottom w:val="0"/>
              <w:divBdr>
                <w:top w:val="none" w:sz="0" w:space="0" w:color="auto"/>
                <w:left w:val="none" w:sz="0" w:space="0" w:color="auto"/>
                <w:bottom w:val="none" w:sz="0" w:space="0" w:color="auto"/>
                <w:right w:val="none" w:sz="0" w:space="0" w:color="auto"/>
              </w:divBdr>
              <w:divsChild>
                <w:div w:id="1669408278">
                  <w:marLeft w:val="0"/>
                  <w:marRight w:val="0"/>
                  <w:marTop w:val="0"/>
                  <w:marBottom w:val="0"/>
                  <w:divBdr>
                    <w:top w:val="none" w:sz="0" w:space="0" w:color="auto"/>
                    <w:left w:val="none" w:sz="0" w:space="0" w:color="auto"/>
                    <w:bottom w:val="none" w:sz="0" w:space="0" w:color="auto"/>
                    <w:right w:val="none" w:sz="0" w:space="0" w:color="auto"/>
                  </w:divBdr>
                </w:div>
              </w:divsChild>
            </w:div>
            <w:div w:id="415514382">
              <w:marLeft w:val="0"/>
              <w:marRight w:val="0"/>
              <w:marTop w:val="0"/>
              <w:marBottom w:val="0"/>
              <w:divBdr>
                <w:top w:val="none" w:sz="0" w:space="0" w:color="auto"/>
                <w:left w:val="none" w:sz="0" w:space="0" w:color="auto"/>
                <w:bottom w:val="none" w:sz="0" w:space="0" w:color="auto"/>
                <w:right w:val="none" w:sz="0" w:space="0" w:color="auto"/>
              </w:divBdr>
              <w:divsChild>
                <w:div w:id="1811051352">
                  <w:marLeft w:val="0"/>
                  <w:marRight w:val="0"/>
                  <w:marTop w:val="0"/>
                  <w:marBottom w:val="0"/>
                  <w:divBdr>
                    <w:top w:val="none" w:sz="0" w:space="0" w:color="auto"/>
                    <w:left w:val="none" w:sz="0" w:space="0" w:color="auto"/>
                    <w:bottom w:val="none" w:sz="0" w:space="0" w:color="auto"/>
                    <w:right w:val="none" w:sz="0" w:space="0" w:color="auto"/>
                  </w:divBdr>
                </w:div>
              </w:divsChild>
            </w:div>
            <w:div w:id="995036229">
              <w:marLeft w:val="0"/>
              <w:marRight w:val="0"/>
              <w:marTop w:val="0"/>
              <w:marBottom w:val="0"/>
              <w:divBdr>
                <w:top w:val="none" w:sz="0" w:space="0" w:color="auto"/>
                <w:left w:val="none" w:sz="0" w:space="0" w:color="auto"/>
                <w:bottom w:val="none" w:sz="0" w:space="0" w:color="auto"/>
                <w:right w:val="none" w:sz="0" w:space="0" w:color="auto"/>
              </w:divBdr>
              <w:divsChild>
                <w:div w:id="62140728">
                  <w:marLeft w:val="0"/>
                  <w:marRight w:val="0"/>
                  <w:marTop w:val="0"/>
                  <w:marBottom w:val="0"/>
                  <w:divBdr>
                    <w:top w:val="none" w:sz="0" w:space="0" w:color="auto"/>
                    <w:left w:val="none" w:sz="0" w:space="0" w:color="auto"/>
                    <w:bottom w:val="none" w:sz="0" w:space="0" w:color="auto"/>
                    <w:right w:val="none" w:sz="0" w:space="0" w:color="auto"/>
                  </w:divBdr>
                </w:div>
              </w:divsChild>
            </w:div>
            <w:div w:id="1136797459">
              <w:marLeft w:val="0"/>
              <w:marRight w:val="0"/>
              <w:marTop w:val="0"/>
              <w:marBottom w:val="0"/>
              <w:divBdr>
                <w:top w:val="none" w:sz="0" w:space="0" w:color="auto"/>
                <w:left w:val="none" w:sz="0" w:space="0" w:color="auto"/>
                <w:bottom w:val="none" w:sz="0" w:space="0" w:color="auto"/>
                <w:right w:val="none" w:sz="0" w:space="0" w:color="auto"/>
              </w:divBdr>
              <w:divsChild>
                <w:div w:id="849413038">
                  <w:marLeft w:val="0"/>
                  <w:marRight w:val="0"/>
                  <w:marTop w:val="0"/>
                  <w:marBottom w:val="0"/>
                  <w:divBdr>
                    <w:top w:val="none" w:sz="0" w:space="0" w:color="auto"/>
                    <w:left w:val="none" w:sz="0" w:space="0" w:color="auto"/>
                    <w:bottom w:val="none" w:sz="0" w:space="0" w:color="auto"/>
                    <w:right w:val="none" w:sz="0" w:space="0" w:color="auto"/>
                  </w:divBdr>
                </w:div>
              </w:divsChild>
            </w:div>
            <w:div w:id="1960454097">
              <w:marLeft w:val="0"/>
              <w:marRight w:val="0"/>
              <w:marTop w:val="0"/>
              <w:marBottom w:val="0"/>
              <w:divBdr>
                <w:top w:val="none" w:sz="0" w:space="0" w:color="auto"/>
                <w:left w:val="none" w:sz="0" w:space="0" w:color="auto"/>
                <w:bottom w:val="none" w:sz="0" w:space="0" w:color="auto"/>
                <w:right w:val="none" w:sz="0" w:space="0" w:color="auto"/>
              </w:divBdr>
              <w:divsChild>
                <w:div w:id="642731106">
                  <w:marLeft w:val="0"/>
                  <w:marRight w:val="0"/>
                  <w:marTop w:val="0"/>
                  <w:marBottom w:val="0"/>
                  <w:divBdr>
                    <w:top w:val="none" w:sz="0" w:space="0" w:color="auto"/>
                    <w:left w:val="none" w:sz="0" w:space="0" w:color="auto"/>
                    <w:bottom w:val="none" w:sz="0" w:space="0" w:color="auto"/>
                    <w:right w:val="none" w:sz="0" w:space="0" w:color="auto"/>
                  </w:divBdr>
                </w:div>
              </w:divsChild>
            </w:div>
            <w:div w:id="1647860944">
              <w:marLeft w:val="0"/>
              <w:marRight w:val="0"/>
              <w:marTop w:val="0"/>
              <w:marBottom w:val="0"/>
              <w:divBdr>
                <w:top w:val="none" w:sz="0" w:space="0" w:color="auto"/>
                <w:left w:val="none" w:sz="0" w:space="0" w:color="auto"/>
                <w:bottom w:val="none" w:sz="0" w:space="0" w:color="auto"/>
                <w:right w:val="none" w:sz="0" w:space="0" w:color="auto"/>
              </w:divBdr>
              <w:divsChild>
                <w:div w:id="386031682">
                  <w:marLeft w:val="0"/>
                  <w:marRight w:val="0"/>
                  <w:marTop w:val="0"/>
                  <w:marBottom w:val="0"/>
                  <w:divBdr>
                    <w:top w:val="none" w:sz="0" w:space="0" w:color="auto"/>
                    <w:left w:val="none" w:sz="0" w:space="0" w:color="auto"/>
                    <w:bottom w:val="none" w:sz="0" w:space="0" w:color="auto"/>
                    <w:right w:val="none" w:sz="0" w:space="0" w:color="auto"/>
                  </w:divBdr>
                </w:div>
              </w:divsChild>
            </w:div>
            <w:div w:id="671377641">
              <w:marLeft w:val="0"/>
              <w:marRight w:val="0"/>
              <w:marTop w:val="0"/>
              <w:marBottom w:val="0"/>
              <w:divBdr>
                <w:top w:val="none" w:sz="0" w:space="0" w:color="auto"/>
                <w:left w:val="none" w:sz="0" w:space="0" w:color="auto"/>
                <w:bottom w:val="none" w:sz="0" w:space="0" w:color="auto"/>
                <w:right w:val="none" w:sz="0" w:space="0" w:color="auto"/>
              </w:divBdr>
              <w:divsChild>
                <w:div w:id="811483949">
                  <w:marLeft w:val="0"/>
                  <w:marRight w:val="0"/>
                  <w:marTop w:val="0"/>
                  <w:marBottom w:val="0"/>
                  <w:divBdr>
                    <w:top w:val="none" w:sz="0" w:space="0" w:color="auto"/>
                    <w:left w:val="none" w:sz="0" w:space="0" w:color="auto"/>
                    <w:bottom w:val="none" w:sz="0" w:space="0" w:color="auto"/>
                    <w:right w:val="none" w:sz="0" w:space="0" w:color="auto"/>
                  </w:divBdr>
                </w:div>
              </w:divsChild>
            </w:div>
            <w:div w:id="522784585">
              <w:marLeft w:val="0"/>
              <w:marRight w:val="0"/>
              <w:marTop w:val="0"/>
              <w:marBottom w:val="0"/>
              <w:divBdr>
                <w:top w:val="none" w:sz="0" w:space="0" w:color="auto"/>
                <w:left w:val="none" w:sz="0" w:space="0" w:color="auto"/>
                <w:bottom w:val="none" w:sz="0" w:space="0" w:color="auto"/>
                <w:right w:val="none" w:sz="0" w:space="0" w:color="auto"/>
              </w:divBdr>
              <w:divsChild>
                <w:div w:id="1690177981">
                  <w:marLeft w:val="0"/>
                  <w:marRight w:val="0"/>
                  <w:marTop w:val="0"/>
                  <w:marBottom w:val="0"/>
                  <w:divBdr>
                    <w:top w:val="none" w:sz="0" w:space="0" w:color="auto"/>
                    <w:left w:val="none" w:sz="0" w:space="0" w:color="auto"/>
                    <w:bottom w:val="none" w:sz="0" w:space="0" w:color="auto"/>
                    <w:right w:val="none" w:sz="0" w:space="0" w:color="auto"/>
                  </w:divBdr>
                </w:div>
              </w:divsChild>
            </w:div>
            <w:div w:id="1998875841">
              <w:marLeft w:val="0"/>
              <w:marRight w:val="0"/>
              <w:marTop w:val="0"/>
              <w:marBottom w:val="0"/>
              <w:divBdr>
                <w:top w:val="none" w:sz="0" w:space="0" w:color="auto"/>
                <w:left w:val="none" w:sz="0" w:space="0" w:color="auto"/>
                <w:bottom w:val="none" w:sz="0" w:space="0" w:color="auto"/>
                <w:right w:val="none" w:sz="0" w:space="0" w:color="auto"/>
              </w:divBdr>
              <w:divsChild>
                <w:div w:id="1897617234">
                  <w:marLeft w:val="0"/>
                  <w:marRight w:val="0"/>
                  <w:marTop w:val="0"/>
                  <w:marBottom w:val="0"/>
                  <w:divBdr>
                    <w:top w:val="none" w:sz="0" w:space="0" w:color="auto"/>
                    <w:left w:val="none" w:sz="0" w:space="0" w:color="auto"/>
                    <w:bottom w:val="none" w:sz="0" w:space="0" w:color="auto"/>
                    <w:right w:val="none" w:sz="0" w:space="0" w:color="auto"/>
                  </w:divBdr>
                </w:div>
              </w:divsChild>
            </w:div>
            <w:div w:id="1862938982">
              <w:marLeft w:val="0"/>
              <w:marRight w:val="0"/>
              <w:marTop w:val="0"/>
              <w:marBottom w:val="0"/>
              <w:divBdr>
                <w:top w:val="none" w:sz="0" w:space="0" w:color="auto"/>
                <w:left w:val="none" w:sz="0" w:space="0" w:color="auto"/>
                <w:bottom w:val="none" w:sz="0" w:space="0" w:color="auto"/>
                <w:right w:val="none" w:sz="0" w:space="0" w:color="auto"/>
              </w:divBdr>
              <w:divsChild>
                <w:div w:id="1237321788">
                  <w:marLeft w:val="0"/>
                  <w:marRight w:val="0"/>
                  <w:marTop w:val="0"/>
                  <w:marBottom w:val="0"/>
                  <w:divBdr>
                    <w:top w:val="none" w:sz="0" w:space="0" w:color="auto"/>
                    <w:left w:val="none" w:sz="0" w:space="0" w:color="auto"/>
                    <w:bottom w:val="none" w:sz="0" w:space="0" w:color="auto"/>
                    <w:right w:val="none" w:sz="0" w:space="0" w:color="auto"/>
                  </w:divBdr>
                </w:div>
              </w:divsChild>
            </w:div>
            <w:div w:id="287973509">
              <w:marLeft w:val="0"/>
              <w:marRight w:val="0"/>
              <w:marTop w:val="0"/>
              <w:marBottom w:val="0"/>
              <w:divBdr>
                <w:top w:val="none" w:sz="0" w:space="0" w:color="auto"/>
                <w:left w:val="none" w:sz="0" w:space="0" w:color="auto"/>
                <w:bottom w:val="none" w:sz="0" w:space="0" w:color="auto"/>
                <w:right w:val="none" w:sz="0" w:space="0" w:color="auto"/>
              </w:divBdr>
              <w:divsChild>
                <w:div w:id="826365121">
                  <w:marLeft w:val="0"/>
                  <w:marRight w:val="0"/>
                  <w:marTop w:val="0"/>
                  <w:marBottom w:val="0"/>
                  <w:divBdr>
                    <w:top w:val="none" w:sz="0" w:space="0" w:color="auto"/>
                    <w:left w:val="none" w:sz="0" w:space="0" w:color="auto"/>
                    <w:bottom w:val="none" w:sz="0" w:space="0" w:color="auto"/>
                    <w:right w:val="none" w:sz="0" w:space="0" w:color="auto"/>
                  </w:divBdr>
                </w:div>
              </w:divsChild>
            </w:div>
            <w:div w:id="1141994674">
              <w:marLeft w:val="0"/>
              <w:marRight w:val="0"/>
              <w:marTop w:val="0"/>
              <w:marBottom w:val="0"/>
              <w:divBdr>
                <w:top w:val="none" w:sz="0" w:space="0" w:color="auto"/>
                <w:left w:val="none" w:sz="0" w:space="0" w:color="auto"/>
                <w:bottom w:val="none" w:sz="0" w:space="0" w:color="auto"/>
                <w:right w:val="none" w:sz="0" w:space="0" w:color="auto"/>
              </w:divBdr>
              <w:divsChild>
                <w:div w:id="6230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144">
          <w:marLeft w:val="0"/>
          <w:marRight w:val="0"/>
          <w:marTop w:val="0"/>
          <w:marBottom w:val="600"/>
          <w:divBdr>
            <w:top w:val="none" w:sz="0" w:space="0" w:color="auto"/>
            <w:left w:val="none" w:sz="0" w:space="0" w:color="auto"/>
            <w:bottom w:val="none" w:sz="0" w:space="0" w:color="auto"/>
            <w:right w:val="none" w:sz="0" w:space="0" w:color="auto"/>
          </w:divBdr>
        </w:div>
      </w:divsChild>
    </w:div>
    <w:div w:id="596909039">
      <w:marLeft w:val="0"/>
      <w:marRight w:val="0"/>
      <w:marTop w:val="0"/>
      <w:marBottom w:val="0"/>
      <w:divBdr>
        <w:top w:val="none" w:sz="0" w:space="0" w:color="auto"/>
        <w:left w:val="none" w:sz="0" w:space="0" w:color="auto"/>
        <w:bottom w:val="none" w:sz="0" w:space="0" w:color="auto"/>
        <w:right w:val="none" w:sz="0" w:space="0" w:color="auto"/>
      </w:divBdr>
      <w:divsChild>
        <w:div w:id="1006440961">
          <w:marLeft w:val="0"/>
          <w:marRight w:val="0"/>
          <w:marTop w:val="432"/>
          <w:marBottom w:val="0"/>
          <w:divBdr>
            <w:top w:val="none" w:sz="0" w:space="0" w:color="auto"/>
            <w:left w:val="none" w:sz="0" w:space="0" w:color="auto"/>
            <w:bottom w:val="none" w:sz="0" w:space="0" w:color="auto"/>
            <w:right w:val="none" w:sz="0" w:space="0" w:color="auto"/>
          </w:divBdr>
        </w:div>
        <w:div w:id="2068065549">
          <w:marLeft w:val="0"/>
          <w:marRight w:val="0"/>
          <w:marTop w:val="0"/>
          <w:marBottom w:val="0"/>
          <w:divBdr>
            <w:top w:val="none" w:sz="0" w:space="0" w:color="auto"/>
            <w:left w:val="none" w:sz="0" w:space="0" w:color="auto"/>
            <w:bottom w:val="none" w:sz="0" w:space="0" w:color="auto"/>
            <w:right w:val="none" w:sz="0" w:space="0" w:color="auto"/>
          </w:divBdr>
          <w:divsChild>
            <w:div w:id="111635287">
              <w:marLeft w:val="0"/>
              <w:marRight w:val="0"/>
              <w:marTop w:val="0"/>
              <w:marBottom w:val="0"/>
              <w:divBdr>
                <w:top w:val="none" w:sz="0" w:space="0" w:color="auto"/>
                <w:left w:val="none" w:sz="0" w:space="0" w:color="auto"/>
                <w:bottom w:val="none" w:sz="0" w:space="0" w:color="auto"/>
                <w:right w:val="none" w:sz="0" w:space="0" w:color="auto"/>
              </w:divBdr>
              <w:divsChild>
                <w:div w:id="730270184">
                  <w:marLeft w:val="0"/>
                  <w:marRight w:val="0"/>
                  <w:marTop w:val="0"/>
                  <w:marBottom w:val="0"/>
                  <w:divBdr>
                    <w:top w:val="none" w:sz="0" w:space="0" w:color="auto"/>
                    <w:left w:val="none" w:sz="0" w:space="0" w:color="auto"/>
                    <w:bottom w:val="none" w:sz="0" w:space="0" w:color="auto"/>
                    <w:right w:val="none" w:sz="0" w:space="0" w:color="auto"/>
                  </w:divBdr>
                </w:div>
              </w:divsChild>
            </w:div>
            <w:div w:id="1392852728">
              <w:marLeft w:val="0"/>
              <w:marRight w:val="0"/>
              <w:marTop w:val="0"/>
              <w:marBottom w:val="0"/>
              <w:divBdr>
                <w:top w:val="none" w:sz="0" w:space="0" w:color="auto"/>
                <w:left w:val="none" w:sz="0" w:space="0" w:color="auto"/>
                <w:bottom w:val="none" w:sz="0" w:space="0" w:color="auto"/>
                <w:right w:val="none" w:sz="0" w:space="0" w:color="auto"/>
              </w:divBdr>
              <w:divsChild>
                <w:div w:id="371852938">
                  <w:marLeft w:val="0"/>
                  <w:marRight w:val="0"/>
                  <w:marTop w:val="0"/>
                  <w:marBottom w:val="0"/>
                  <w:divBdr>
                    <w:top w:val="none" w:sz="0" w:space="0" w:color="auto"/>
                    <w:left w:val="none" w:sz="0" w:space="0" w:color="auto"/>
                    <w:bottom w:val="none" w:sz="0" w:space="0" w:color="auto"/>
                    <w:right w:val="none" w:sz="0" w:space="0" w:color="auto"/>
                  </w:divBdr>
                </w:div>
              </w:divsChild>
            </w:div>
            <w:div w:id="1663384717">
              <w:marLeft w:val="0"/>
              <w:marRight w:val="0"/>
              <w:marTop w:val="0"/>
              <w:marBottom w:val="0"/>
              <w:divBdr>
                <w:top w:val="none" w:sz="0" w:space="0" w:color="auto"/>
                <w:left w:val="none" w:sz="0" w:space="0" w:color="auto"/>
                <w:bottom w:val="none" w:sz="0" w:space="0" w:color="auto"/>
                <w:right w:val="none" w:sz="0" w:space="0" w:color="auto"/>
              </w:divBdr>
              <w:divsChild>
                <w:div w:id="1262883944">
                  <w:marLeft w:val="0"/>
                  <w:marRight w:val="0"/>
                  <w:marTop w:val="0"/>
                  <w:marBottom w:val="0"/>
                  <w:divBdr>
                    <w:top w:val="none" w:sz="0" w:space="0" w:color="auto"/>
                    <w:left w:val="none" w:sz="0" w:space="0" w:color="auto"/>
                    <w:bottom w:val="none" w:sz="0" w:space="0" w:color="auto"/>
                    <w:right w:val="none" w:sz="0" w:space="0" w:color="auto"/>
                  </w:divBdr>
                </w:div>
              </w:divsChild>
            </w:div>
            <w:div w:id="20253165">
              <w:marLeft w:val="0"/>
              <w:marRight w:val="0"/>
              <w:marTop w:val="0"/>
              <w:marBottom w:val="0"/>
              <w:divBdr>
                <w:top w:val="none" w:sz="0" w:space="0" w:color="auto"/>
                <w:left w:val="none" w:sz="0" w:space="0" w:color="auto"/>
                <w:bottom w:val="none" w:sz="0" w:space="0" w:color="auto"/>
                <w:right w:val="none" w:sz="0" w:space="0" w:color="auto"/>
              </w:divBdr>
              <w:divsChild>
                <w:div w:id="72707713">
                  <w:marLeft w:val="0"/>
                  <w:marRight w:val="0"/>
                  <w:marTop w:val="0"/>
                  <w:marBottom w:val="0"/>
                  <w:divBdr>
                    <w:top w:val="none" w:sz="0" w:space="0" w:color="auto"/>
                    <w:left w:val="none" w:sz="0" w:space="0" w:color="auto"/>
                    <w:bottom w:val="none" w:sz="0" w:space="0" w:color="auto"/>
                    <w:right w:val="none" w:sz="0" w:space="0" w:color="auto"/>
                  </w:divBdr>
                </w:div>
              </w:divsChild>
            </w:div>
            <w:div w:id="1308196620">
              <w:marLeft w:val="0"/>
              <w:marRight w:val="0"/>
              <w:marTop w:val="0"/>
              <w:marBottom w:val="0"/>
              <w:divBdr>
                <w:top w:val="none" w:sz="0" w:space="0" w:color="auto"/>
                <w:left w:val="none" w:sz="0" w:space="0" w:color="auto"/>
                <w:bottom w:val="none" w:sz="0" w:space="0" w:color="auto"/>
                <w:right w:val="none" w:sz="0" w:space="0" w:color="auto"/>
              </w:divBdr>
              <w:divsChild>
                <w:div w:id="1352604119">
                  <w:marLeft w:val="0"/>
                  <w:marRight w:val="0"/>
                  <w:marTop w:val="0"/>
                  <w:marBottom w:val="0"/>
                  <w:divBdr>
                    <w:top w:val="none" w:sz="0" w:space="0" w:color="auto"/>
                    <w:left w:val="none" w:sz="0" w:space="0" w:color="auto"/>
                    <w:bottom w:val="none" w:sz="0" w:space="0" w:color="auto"/>
                    <w:right w:val="none" w:sz="0" w:space="0" w:color="auto"/>
                  </w:divBdr>
                </w:div>
              </w:divsChild>
            </w:div>
            <w:div w:id="1519156207">
              <w:marLeft w:val="0"/>
              <w:marRight w:val="0"/>
              <w:marTop w:val="0"/>
              <w:marBottom w:val="0"/>
              <w:divBdr>
                <w:top w:val="none" w:sz="0" w:space="0" w:color="auto"/>
                <w:left w:val="none" w:sz="0" w:space="0" w:color="auto"/>
                <w:bottom w:val="none" w:sz="0" w:space="0" w:color="auto"/>
                <w:right w:val="none" w:sz="0" w:space="0" w:color="auto"/>
              </w:divBdr>
              <w:divsChild>
                <w:div w:id="586772360">
                  <w:marLeft w:val="0"/>
                  <w:marRight w:val="0"/>
                  <w:marTop w:val="0"/>
                  <w:marBottom w:val="0"/>
                  <w:divBdr>
                    <w:top w:val="none" w:sz="0" w:space="0" w:color="auto"/>
                    <w:left w:val="none" w:sz="0" w:space="0" w:color="auto"/>
                    <w:bottom w:val="none" w:sz="0" w:space="0" w:color="auto"/>
                    <w:right w:val="none" w:sz="0" w:space="0" w:color="auto"/>
                  </w:divBdr>
                </w:div>
              </w:divsChild>
            </w:div>
            <w:div w:id="1586567630">
              <w:marLeft w:val="0"/>
              <w:marRight w:val="0"/>
              <w:marTop w:val="0"/>
              <w:marBottom w:val="0"/>
              <w:divBdr>
                <w:top w:val="none" w:sz="0" w:space="0" w:color="auto"/>
                <w:left w:val="none" w:sz="0" w:space="0" w:color="auto"/>
                <w:bottom w:val="none" w:sz="0" w:space="0" w:color="auto"/>
                <w:right w:val="none" w:sz="0" w:space="0" w:color="auto"/>
              </w:divBdr>
              <w:divsChild>
                <w:div w:id="642085318">
                  <w:marLeft w:val="0"/>
                  <w:marRight w:val="0"/>
                  <w:marTop w:val="0"/>
                  <w:marBottom w:val="0"/>
                  <w:divBdr>
                    <w:top w:val="none" w:sz="0" w:space="0" w:color="auto"/>
                    <w:left w:val="none" w:sz="0" w:space="0" w:color="auto"/>
                    <w:bottom w:val="none" w:sz="0" w:space="0" w:color="auto"/>
                    <w:right w:val="none" w:sz="0" w:space="0" w:color="auto"/>
                  </w:divBdr>
                </w:div>
              </w:divsChild>
            </w:div>
            <w:div w:id="1310674603">
              <w:marLeft w:val="0"/>
              <w:marRight w:val="0"/>
              <w:marTop w:val="0"/>
              <w:marBottom w:val="0"/>
              <w:divBdr>
                <w:top w:val="none" w:sz="0" w:space="0" w:color="auto"/>
                <w:left w:val="none" w:sz="0" w:space="0" w:color="auto"/>
                <w:bottom w:val="none" w:sz="0" w:space="0" w:color="auto"/>
                <w:right w:val="none" w:sz="0" w:space="0" w:color="auto"/>
              </w:divBdr>
              <w:divsChild>
                <w:div w:id="209805631">
                  <w:marLeft w:val="0"/>
                  <w:marRight w:val="0"/>
                  <w:marTop w:val="0"/>
                  <w:marBottom w:val="0"/>
                  <w:divBdr>
                    <w:top w:val="none" w:sz="0" w:space="0" w:color="auto"/>
                    <w:left w:val="none" w:sz="0" w:space="0" w:color="auto"/>
                    <w:bottom w:val="none" w:sz="0" w:space="0" w:color="auto"/>
                    <w:right w:val="none" w:sz="0" w:space="0" w:color="auto"/>
                  </w:divBdr>
                </w:div>
              </w:divsChild>
            </w:div>
            <w:div w:id="1490516698">
              <w:marLeft w:val="0"/>
              <w:marRight w:val="0"/>
              <w:marTop w:val="0"/>
              <w:marBottom w:val="0"/>
              <w:divBdr>
                <w:top w:val="none" w:sz="0" w:space="0" w:color="auto"/>
                <w:left w:val="none" w:sz="0" w:space="0" w:color="auto"/>
                <w:bottom w:val="none" w:sz="0" w:space="0" w:color="auto"/>
                <w:right w:val="none" w:sz="0" w:space="0" w:color="auto"/>
              </w:divBdr>
              <w:divsChild>
                <w:div w:id="324482334">
                  <w:marLeft w:val="0"/>
                  <w:marRight w:val="0"/>
                  <w:marTop w:val="0"/>
                  <w:marBottom w:val="0"/>
                  <w:divBdr>
                    <w:top w:val="none" w:sz="0" w:space="0" w:color="auto"/>
                    <w:left w:val="none" w:sz="0" w:space="0" w:color="auto"/>
                    <w:bottom w:val="none" w:sz="0" w:space="0" w:color="auto"/>
                    <w:right w:val="none" w:sz="0" w:space="0" w:color="auto"/>
                  </w:divBdr>
                </w:div>
              </w:divsChild>
            </w:div>
            <w:div w:id="970474926">
              <w:marLeft w:val="0"/>
              <w:marRight w:val="0"/>
              <w:marTop w:val="0"/>
              <w:marBottom w:val="0"/>
              <w:divBdr>
                <w:top w:val="none" w:sz="0" w:space="0" w:color="auto"/>
                <w:left w:val="none" w:sz="0" w:space="0" w:color="auto"/>
                <w:bottom w:val="none" w:sz="0" w:space="0" w:color="auto"/>
                <w:right w:val="none" w:sz="0" w:space="0" w:color="auto"/>
              </w:divBdr>
              <w:divsChild>
                <w:div w:id="650983122">
                  <w:marLeft w:val="0"/>
                  <w:marRight w:val="0"/>
                  <w:marTop w:val="0"/>
                  <w:marBottom w:val="0"/>
                  <w:divBdr>
                    <w:top w:val="none" w:sz="0" w:space="0" w:color="auto"/>
                    <w:left w:val="none" w:sz="0" w:space="0" w:color="auto"/>
                    <w:bottom w:val="none" w:sz="0" w:space="0" w:color="auto"/>
                    <w:right w:val="none" w:sz="0" w:space="0" w:color="auto"/>
                  </w:divBdr>
                </w:div>
              </w:divsChild>
            </w:div>
            <w:div w:id="1965572244">
              <w:marLeft w:val="0"/>
              <w:marRight w:val="0"/>
              <w:marTop w:val="0"/>
              <w:marBottom w:val="0"/>
              <w:divBdr>
                <w:top w:val="none" w:sz="0" w:space="0" w:color="auto"/>
                <w:left w:val="none" w:sz="0" w:space="0" w:color="auto"/>
                <w:bottom w:val="none" w:sz="0" w:space="0" w:color="auto"/>
                <w:right w:val="none" w:sz="0" w:space="0" w:color="auto"/>
              </w:divBdr>
              <w:divsChild>
                <w:div w:id="1192647589">
                  <w:marLeft w:val="0"/>
                  <w:marRight w:val="0"/>
                  <w:marTop w:val="0"/>
                  <w:marBottom w:val="0"/>
                  <w:divBdr>
                    <w:top w:val="none" w:sz="0" w:space="0" w:color="auto"/>
                    <w:left w:val="none" w:sz="0" w:space="0" w:color="auto"/>
                    <w:bottom w:val="none" w:sz="0" w:space="0" w:color="auto"/>
                    <w:right w:val="none" w:sz="0" w:space="0" w:color="auto"/>
                  </w:divBdr>
                </w:div>
              </w:divsChild>
            </w:div>
            <w:div w:id="1338918667">
              <w:marLeft w:val="0"/>
              <w:marRight w:val="0"/>
              <w:marTop w:val="0"/>
              <w:marBottom w:val="0"/>
              <w:divBdr>
                <w:top w:val="none" w:sz="0" w:space="0" w:color="auto"/>
                <w:left w:val="none" w:sz="0" w:space="0" w:color="auto"/>
                <w:bottom w:val="none" w:sz="0" w:space="0" w:color="auto"/>
                <w:right w:val="none" w:sz="0" w:space="0" w:color="auto"/>
              </w:divBdr>
              <w:divsChild>
                <w:div w:id="1976791744">
                  <w:marLeft w:val="0"/>
                  <w:marRight w:val="0"/>
                  <w:marTop w:val="0"/>
                  <w:marBottom w:val="0"/>
                  <w:divBdr>
                    <w:top w:val="none" w:sz="0" w:space="0" w:color="auto"/>
                    <w:left w:val="none" w:sz="0" w:space="0" w:color="auto"/>
                    <w:bottom w:val="none" w:sz="0" w:space="0" w:color="auto"/>
                    <w:right w:val="none" w:sz="0" w:space="0" w:color="auto"/>
                  </w:divBdr>
                </w:div>
              </w:divsChild>
            </w:div>
            <w:div w:id="1830711412">
              <w:marLeft w:val="0"/>
              <w:marRight w:val="0"/>
              <w:marTop w:val="0"/>
              <w:marBottom w:val="0"/>
              <w:divBdr>
                <w:top w:val="none" w:sz="0" w:space="0" w:color="auto"/>
                <w:left w:val="none" w:sz="0" w:space="0" w:color="auto"/>
                <w:bottom w:val="none" w:sz="0" w:space="0" w:color="auto"/>
                <w:right w:val="none" w:sz="0" w:space="0" w:color="auto"/>
              </w:divBdr>
              <w:divsChild>
                <w:div w:id="4828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2009">
          <w:marLeft w:val="0"/>
          <w:marRight w:val="0"/>
          <w:marTop w:val="0"/>
          <w:marBottom w:val="600"/>
          <w:divBdr>
            <w:top w:val="none" w:sz="0" w:space="0" w:color="auto"/>
            <w:left w:val="none" w:sz="0" w:space="0" w:color="auto"/>
            <w:bottom w:val="none" w:sz="0" w:space="0" w:color="auto"/>
            <w:right w:val="none" w:sz="0" w:space="0" w:color="auto"/>
          </w:divBdr>
        </w:div>
      </w:divsChild>
    </w:div>
    <w:div w:id="614291153">
      <w:marLeft w:val="0"/>
      <w:marRight w:val="0"/>
      <w:marTop w:val="0"/>
      <w:marBottom w:val="0"/>
      <w:divBdr>
        <w:top w:val="none" w:sz="0" w:space="0" w:color="auto"/>
        <w:left w:val="none" w:sz="0" w:space="0" w:color="auto"/>
        <w:bottom w:val="none" w:sz="0" w:space="0" w:color="auto"/>
        <w:right w:val="none" w:sz="0" w:space="0" w:color="auto"/>
      </w:divBdr>
      <w:divsChild>
        <w:div w:id="1434856526">
          <w:marLeft w:val="0"/>
          <w:marRight w:val="0"/>
          <w:marTop w:val="432"/>
          <w:marBottom w:val="0"/>
          <w:divBdr>
            <w:top w:val="none" w:sz="0" w:space="0" w:color="auto"/>
            <w:left w:val="none" w:sz="0" w:space="0" w:color="auto"/>
            <w:bottom w:val="none" w:sz="0" w:space="0" w:color="auto"/>
            <w:right w:val="none" w:sz="0" w:space="0" w:color="auto"/>
          </w:divBdr>
        </w:div>
        <w:div w:id="235163791">
          <w:marLeft w:val="0"/>
          <w:marRight w:val="0"/>
          <w:marTop w:val="0"/>
          <w:marBottom w:val="0"/>
          <w:divBdr>
            <w:top w:val="none" w:sz="0" w:space="0" w:color="auto"/>
            <w:left w:val="none" w:sz="0" w:space="0" w:color="auto"/>
            <w:bottom w:val="none" w:sz="0" w:space="0" w:color="auto"/>
            <w:right w:val="none" w:sz="0" w:space="0" w:color="auto"/>
          </w:divBdr>
          <w:divsChild>
            <w:div w:id="992876524">
              <w:marLeft w:val="0"/>
              <w:marRight w:val="0"/>
              <w:marTop w:val="0"/>
              <w:marBottom w:val="0"/>
              <w:divBdr>
                <w:top w:val="none" w:sz="0" w:space="0" w:color="auto"/>
                <w:left w:val="none" w:sz="0" w:space="0" w:color="auto"/>
                <w:bottom w:val="none" w:sz="0" w:space="0" w:color="auto"/>
                <w:right w:val="none" w:sz="0" w:space="0" w:color="auto"/>
              </w:divBdr>
              <w:divsChild>
                <w:div w:id="828206346">
                  <w:marLeft w:val="0"/>
                  <w:marRight w:val="0"/>
                  <w:marTop w:val="0"/>
                  <w:marBottom w:val="0"/>
                  <w:divBdr>
                    <w:top w:val="none" w:sz="0" w:space="0" w:color="auto"/>
                    <w:left w:val="none" w:sz="0" w:space="0" w:color="auto"/>
                    <w:bottom w:val="none" w:sz="0" w:space="0" w:color="auto"/>
                    <w:right w:val="none" w:sz="0" w:space="0" w:color="auto"/>
                  </w:divBdr>
                </w:div>
              </w:divsChild>
            </w:div>
            <w:div w:id="756245973">
              <w:marLeft w:val="0"/>
              <w:marRight w:val="0"/>
              <w:marTop w:val="0"/>
              <w:marBottom w:val="0"/>
              <w:divBdr>
                <w:top w:val="none" w:sz="0" w:space="0" w:color="auto"/>
                <w:left w:val="none" w:sz="0" w:space="0" w:color="auto"/>
                <w:bottom w:val="none" w:sz="0" w:space="0" w:color="auto"/>
                <w:right w:val="none" w:sz="0" w:space="0" w:color="auto"/>
              </w:divBdr>
              <w:divsChild>
                <w:div w:id="1213618367">
                  <w:marLeft w:val="0"/>
                  <w:marRight w:val="0"/>
                  <w:marTop w:val="0"/>
                  <w:marBottom w:val="0"/>
                  <w:divBdr>
                    <w:top w:val="none" w:sz="0" w:space="0" w:color="auto"/>
                    <w:left w:val="none" w:sz="0" w:space="0" w:color="auto"/>
                    <w:bottom w:val="none" w:sz="0" w:space="0" w:color="auto"/>
                    <w:right w:val="none" w:sz="0" w:space="0" w:color="auto"/>
                  </w:divBdr>
                </w:div>
              </w:divsChild>
            </w:div>
            <w:div w:id="887112277">
              <w:marLeft w:val="0"/>
              <w:marRight w:val="0"/>
              <w:marTop w:val="0"/>
              <w:marBottom w:val="0"/>
              <w:divBdr>
                <w:top w:val="none" w:sz="0" w:space="0" w:color="auto"/>
                <w:left w:val="none" w:sz="0" w:space="0" w:color="auto"/>
                <w:bottom w:val="none" w:sz="0" w:space="0" w:color="auto"/>
                <w:right w:val="none" w:sz="0" w:space="0" w:color="auto"/>
              </w:divBdr>
              <w:divsChild>
                <w:div w:id="1354724608">
                  <w:marLeft w:val="0"/>
                  <w:marRight w:val="0"/>
                  <w:marTop w:val="0"/>
                  <w:marBottom w:val="0"/>
                  <w:divBdr>
                    <w:top w:val="none" w:sz="0" w:space="0" w:color="auto"/>
                    <w:left w:val="none" w:sz="0" w:space="0" w:color="auto"/>
                    <w:bottom w:val="none" w:sz="0" w:space="0" w:color="auto"/>
                    <w:right w:val="none" w:sz="0" w:space="0" w:color="auto"/>
                  </w:divBdr>
                </w:div>
              </w:divsChild>
            </w:div>
            <w:div w:id="501089803">
              <w:marLeft w:val="0"/>
              <w:marRight w:val="0"/>
              <w:marTop w:val="0"/>
              <w:marBottom w:val="0"/>
              <w:divBdr>
                <w:top w:val="none" w:sz="0" w:space="0" w:color="auto"/>
                <w:left w:val="none" w:sz="0" w:space="0" w:color="auto"/>
                <w:bottom w:val="none" w:sz="0" w:space="0" w:color="auto"/>
                <w:right w:val="none" w:sz="0" w:space="0" w:color="auto"/>
              </w:divBdr>
              <w:divsChild>
                <w:div w:id="1079984447">
                  <w:marLeft w:val="0"/>
                  <w:marRight w:val="0"/>
                  <w:marTop w:val="0"/>
                  <w:marBottom w:val="0"/>
                  <w:divBdr>
                    <w:top w:val="none" w:sz="0" w:space="0" w:color="auto"/>
                    <w:left w:val="none" w:sz="0" w:space="0" w:color="auto"/>
                    <w:bottom w:val="none" w:sz="0" w:space="0" w:color="auto"/>
                    <w:right w:val="none" w:sz="0" w:space="0" w:color="auto"/>
                  </w:divBdr>
                </w:div>
              </w:divsChild>
            </w:div>
            <w:div w:id="566456227">
              <w:marLeft w:val="0"/>
              <w:marRight w:val="0"/>
              <w:marTop w:val="0"/>
              <w:marBottom w:val="0"/>
              <w:divBdr>
                <w:top w:val="none" w:sz="0" w:space="0" w:color="auto"/>
                <w:left w:val="none" w:sz="0" w:space="0" w:color="auto"/>
                <w:bottom w:val="none" w:sz="0" w:space="0" w:color="auto"/>
                <w:right w:val="none" w:sz="0" w:space="0" w:color="auto"/>
              </w:divBdr>
              <w:divsChild>
                <w:div w:id="1308585495">
                  <w:marLeft w:val="0"/>
                  <w:marRight w:val="0"/>
                  <w:marTop w:val="0"/>
                  <w:marBottom w:val="0"/>
                  <w:divBdr>
                    <w:top w:val="none" w:sz="0" w:space="0" w:color="auto"/>
                    <w:left w:val="none" w:sz="0" w:space="0" w:color="auto"/>
                    <w:bottom w:val="none" w:sz="0" w:space="0" w:color="auto"/>
                    <w:right w:val="none" w:sz="0" w:space="0" w:color="auto"/>
                  </w:divBdr>
                </w:div>
              </w:divsChild>
            </w:div>
            <w:div w:id="1111390874">
              <w:marLeft w:val="0"/>
              <w:marRight w:val="0"/>
              <w:marTop w:val="0"/>
              <w:marBottom w:val="0"/>
              <w:divBdr>
                <w:top w:val="none" w:sz="0" w:space="0" w:color="auto"/>
                <w:left w:val="none" w:sz="0" w:space="0" w:color="auto"/>
                <w:bottom w:val="none" w:sz="0" w:space="0" w:color="auto"/>
                <w:right w:val="none" w:sz="0" w:space="0" w:color="auto"/>
              </w:divBdr>
              <w:divsChild>
                <w:div w:id="1785272173">
                  <w:marLeft w:val="0"/>
                  <w:marRight w:val="0"/>
                  <w:marTop w:val="0"/>
                  <w:marBottom w:val="0"/>
                  <w:divBdr>
                    <w:top w:val="none" w:sz="0" w:space="0" w:color="auto"/>
                    <w:left w:val="none" w:sz="0" w:space="0" w:color="auto"/>
                    <w:bottom w:val="none" w:sz="0" w:space="0" w:color="auto"/>
                    <w:right w:val="none" w:sz="0" w:space="0" w:color="auto"/>
                  </w:divBdr>
                </w:div>
              </w:divsChild>
            </w:div>
            <w:div w:id="301928544">
              <w:marLeft w:val="0"/>
              <w:marRight w:val="0"/>
              <w:marTop w:val="0"/>
              <w:marBottom w:val="0"/>
              <w:divBdr>
                <w:top w:val="none" w:sz="0" w:space="0" w:color="auto"/>
                <w:left w:val="none" w:sz="0" w:space="0" w:color="auto"/>
                <w:bottom w:val="none" w:sz="0" w:space="0" w:color="auto"/>
                <w:right w:val="none" w:sz="0" w:space="0" w:color="auto"/>
              </w:divBdr>
              <w:divsChild>
                <w:div w:id="479151793">
                  <w:marLeft w:val="0"/>
                  <w:marRight w:val="0"/>
                  <w:marTop w:val="0"/>
                  <w:marBottom w:val="0"/>
                  <w:divBdr>
                    <w:top w:val="none" w:sz="0" w:space="0" w:color="auto"/>
                    <w:left w:val="none" w:sz="0" w:space="0" w:color="auto"/>
                    <w:bottom w:val="none" w:sz="0" w:space="0" w:color="auto"/>
                    <w:right w:val="none" w:sz="0" w:space="0" w:color="auto"/>
                  </w:divBdr>
                </w:div>
              </w:divsChild>
            </w:div>
            <w:div w:id="2004311433">
              <w:marLeft w:val="0"/>
              <w:marRight w:val="0"/>
              <w:marTop w:val="0"/>
              <w:marBottom w:val="0"/>
              <w:divBdr>
                <w:top w:val="none" w:sz="0" w:space="0" w:color="auto"/>
                <w:left w:val="none" w:sz="0" w:space="0" w:color="auto"/>
                <w:bottom w:val="none" w:sz="0" w:space="0" w:color="auto"/>
                <w:right w:val="none" w:sz="0" w:space="0" w:color="auto"/>
              </w:divBdr>
              <w:divsChild>
                <w:div w:id="1803883034">
                  <w:marLeft w:val="0"/>
                  <w:marRight w:val="0"/>
                  <w:marTop w:val="0"/>
                  <w:marBottom w:val="0"/>
                  <w:divBdr>
                    <w:top w:val="none" w:sz="0" w:space="0" w:color="auto"/>
                    <w:left w:val="none" w:sz="0" w:space="0" w:color="auto"/>
                    <w:bottom w:val="none" w:sz="0" w:space="0" w:color="auto"/>
                    <w:right w:val="none" w:sz="0" w:space="0" w:color="auto"/>
                  </w:divBdr>
                </w:div>
              </w:divsChild>
            </w:div>
            <w:div w:id="1613130268">
              <w:marLeft w:val="0"/>
              <w:marRight w:val="0"/>
              <w:marTop w:val="0"/>
              <w:marBottom w:val="0"/>
              <w:divBdr>
                <w:top w:val="none" w:sz="0" w:space="0" w:color="auto"/>
                <w:left w:val="none" w:sz="0" w:space="0" w:color="auto"/>
                <w:bottom w:val="none" w:sz="0" w:space="0" w:color="auto"/>
                <w:right w:val="none" w:sz="0" w:space="0" w:color="auto"/>
              </w:divBdr>
              <w:divsChild>
                <w:div w:id="1745252045">
                  <w:marLeft w:val="0"/>
                  <w:marRight w:val="0"/>
                  <w:marTop w:val="0"/>
                  <w:marBottom w:val="0"/>
                  <w:divBdr>
                    <w:top w:val="none" w:sz="0" w:space="0" w:color="auto"/>
                    <w:left w:val="none" w:sz="0" w:space="0" w:color="auto"/>
                    <w:bottom w:val="none" w:sz="0" w:space="0" w:color="auto"/>
                    <w:right w:val="none" w:sz="0" w:space="0" w:color="auto"/>
                  </w:divBdr>
                </w:div>
              </w:divsChild>
            </w:div>
            <w:div w:id="664478953">
              <w:marLeft w:val="0"/>
              <w:marRight w:val="0"/>
              <w:marTop w:val="0"/>
              <w:marBottom w:val="0"/>
              <w:divBdr>
                <w:top w:val="none" w:sz="0" w:space="0" w:color="auto"/>
                <w:left w:val="none" w:sz="0" w:space="0" w:color="auto"/>
                <w:bottom w:val="none" w:sz="0" w:space="0" w:color="auto"/>
                <w:right w:val="none" w:sz="0" w:space="0" w:color="auto"/>
              </w:divBdr>
              <w:divsChild>
                <w:div w:id="1742484611">
                  <w:marLeft w:val="0"/>
                  <w:marRight w:val="0"/>
                  <w:marTop w:val="0"/>
                  <w:marBottom w:val="0"/>
                  <w:divBdr>
                    <w:top w:val="none" w:sz="0" w:space="0" w:color="auto"/>
                    <w:left w:val="none" w:sz="0" w:space="0" w:color="auto"/>
                    <w:bottom w:val="none" w:sz="0" w:space="0" w:color="auto"/>
                    <w:right w:val="none" w:sz="0" w:space="0" w:color="auto"/>
                  </w:divBdr>
                </w:div>
              </w:divsChild>
            </w:div>
            <w:div w:id="1101534226">
              <w:marLeft w:val="0"/>
              <w:marRight w:val="0"/>
              <w:marTop w:val="0"/>
              <w:marBottom w:val="0"/>
              <w:divBdr>
                <w:top w:val="none" w:sz="0" w:space="0" w:color="auto"/>
                <w:left w:val="none" w:sz="0" w:space="0" w:color="auto"/>
                <w:bottom w:val="none" w:sz="0" w:space="0" w:color="auto"/>
                <w:right w:val="none" w:sz="0" w:space="0" w:color="auto"/>
              </w:divBdr>
              <w:divsChild>
                <w:div w:id="523596997">
                  <w:marLeft w:val="0"/>
                  <w:marRight w:val="0"/>
                  <w:marTop w:val="0"/>
                  <w:marBottom w:val="0"/>
                  <w:divBdr>
                    <w:top w:val="none" w:sz="0" w:space="0" w:color="auto"/>
                    <w:left w:val="none" w:sz="0" w:space="0" w:color="auto"/>
                    <w:bottom w:val="none" w:sz="0" w:space="0" w:color="auto"/>
                    <w:right w:val="none" w:sz="0" w:space="0" w:color="auto"/>
                  </w:divBdr>
                </w:div>
              </w:divsChild>
            </w:div>
            <w:div w:id="115605585">
              <w:marLeft w:val="0"/>
              <w:marRight w:val="0"/>
              <w:marTop w:val="0"/>
              <w:marBottom w:val="0"/>
              <w:divBdr>
                <w:top w:val="none" w:sz="0" w:space="0" w:color="auto"/>
                <w:left w:val="none" w:sz="0" w:space="0" w:color="auto"/>
                <w:bottom w:val="none" w:sz="0" w:space="0" w:color="auto"/>
                <w:right w:val="none" w:sz="0" w:space="0" w:color="auto"/>
              </w:divBdr>
              <w:divsChild>
                <w:div w:id="249316680">
                  <w:marLeft w:val="0"/>
                  <w:marRight w:val="0"/>
                  <w:marTop w:val="0"/>
                  <w:marBottom w:val="0"/>
                  <w:divBdr>
                    <w:top w:val="none" w:sz="0" w:space="0" w:color="auto"/>
                    <w:left w:val="none" w:sz="0" w:space="0" w:color="auto"/>
                    <w:bottom w:val="none" w:sz="0" w:space="0" w:color="auto"/>
                    <w:right w:val="none" w:sz="0" w:space="0" w:color="auto"/>
                  </w:divBdr>
                </w:div>
              </w:divsChild>
            </w:div>
            <w:div w:id="657198196">
              <w:marLeft w:val="0"/>
              <w:marRight w:val="0"/>
              <w:marTop w:val="0"/>
              <w:marBottom w:val="0"/>
              <w:divBdr>
                <w:top w:val="none" w:sz="0" w:space="0" w:color="auto"/>
                <w:left w:val="none" w:sz="0" w:space="0" w:color="auto"/>
                <w:bottom w:val="none" w:sz="0" w:space="0" w:color="auto"/>
                <w:right w:val="none" w:sz="0" w:space="0" w:color="auto"/>
              </w:divBdr>
              <w:divsChild>
                <w:div w:id="856581044">
                  <w:marLeft w:val="0"/>
                  <w:marRight w:val="0"/>
                  <w:marTop w:val="0"/>
                  <w:marBottom w:val="0"/>
                  <w:divBdr>
                    <w:top w:val="none" w:sz="0" w:space="0" w:color="auto"/>
                    <w:left w:val="none" w:sz="0" w:space="0" w:color="auto"/>
                    <w:bottom w:val="none" w:sz="0" w:space="0" w:color="auto"/>
                    <w:right w:val="none" w:sz="0" w:space="0" w:color="auto"/>
                  </w:divBdr>
                </w:div>
              </w:divsChild>
            </w:div>
            <w:div w:id="1208370456">
              <w:marLeft w:val="0"/>
              <w:marRight w:val="0"/>
              <w:marTop w:val="0"/>
              <w:marBottom w:val="0"/>
              <w:divBdr>
                <w:top w:val="none" w:sz="0" w:space="0" w:color="auto"/>
                <w:left w:val="none" w:sz="0" w:space="0" w:color="auto"/>
                <w:bottom w:val="none" w:sz="0" w:space="0" w:color="auto"/>
                <w:right w:val="none" w:sz="0" w:space="0" w:color="auto"/>
              </w:divBdr>
              <w:divsChild>
                <w:div w:id="1212350983">
                  <w:marLeft w:val="0"/>
                  <w:marRight w:val="0"/>
                  <w:marTop w:val="0"/>
                  <w:marBottom w:val="0"/>
                  <w:divBdr>
                    <w:top w:val="none" w:sz="0" w:space="0" w:color="auto"/>
                    <w:left w:val="none" w:sz="0" w:space="0" w:color="auto"/>
                    <w:bottom w:val="none" w:sz="0" w:space="0" w:color="auto"/>
                    <w:right w:val="none" w:sz="0" w:space="0" w:color="auto"/>
                  </w:divBdr>
                </w:div>
              </w:divsChild>
            </w:div>
            <w:div w:id="1477529501">
              <w:marLeft w:val="0"/>
              <w:marRight w:val="0"/>
              <w:marTop w:val="0"/>
              <w:marBottom w:val="0"/>
              <w:divBdr>
                <w:top w:val="none" w:sz="0" w:space="0" w:color="auto"/>
                <w:left w:val="none" w:sz="0" w:space="0" w:color="auto"/>
                <w:bottom w:val="none" w:sz="0" w:space="0" w:color="auto"/>
                <w:right w:val="none" w:sz="0" w:space="0" w:color="auto"/>
              </w:divBdr>
              <w:divsChild>
                <w:div w:id="1217820499">
                  <w:marLeft w:val="0"/>
                  <w:marRight w:val="0"/>
                  <w:marTop w:val="0"/>
                  <w:marBottom w:val="0"/>
                  <w:divBdr>
                    <w:top w:val="none" w:sz="0" w:space="0" w:color="auto"/>
                    <w:left w:val="none" w:sz="0" w:space="0" w:color="auto"/>
                    <w:bottom w:val="none" w:sz="0" w:space="0" w:color="auto"/>
                    <w:right w:val="none" w:sz="0" w:space="0" w:color="auto"/>
                  </w:divBdr>
                </w:div>
              </w:divsChild>
            </w:div>
            <w:div w:id="1784570226">
              <w:marLeft w:val="0"/>
              <w:marRight w:val="0"/>
              <w:marTop w:val="0"/>
              <w:marBottom w:val="0"/>
              <w:divBdr>
                <w:top w:val="none" w:sz="0" w:space="0" w:color="auto"/>
                <w:left w:val="none" w:sz="0" w:space="0" w:color="auto"/>
                <w:bottom w:val="none" w:sz="0" w:space="0" w:color="auto"/>
                <w:right w:val="none" w:sz="0" w:space="0" w:color="auto"/>
              </w:divBdr>
              <w:divsChild>
                <w:div w:id="1401513904">
                  <w:marLeft w:val="0"/>
                  <w:marRight w:val="0"/>
                  <w:marTop w:val="0"/>
                  <w:marBottom w:val="0"/>
                  <w:divBdr>
                    <w:top w:val="none" w:sz="0" w:space="0" w:color="auto"/>
                    <w:left w:val="none" w:sz="0" w:space="0" w:color="auto"/>
                    <w:bottom w:val="none" w:sz="0" w:space="0" w:color="auto"/>
                    <w:right w:val="none" w:sz="0" w:space="0" w:color="auto"/>
                  </w:divBdr>
                </w:div>
              </w:divsChild>
            </w:div>
            <w:div w:id="1569606033">
              <w:marLeft w:val="0"/>
              <w:marRight w:val="0"/>
              <w:marTop w:val="0"/>
              <w:marBottom w:val="0"/>
              <w:divBdr>
                <w:top w:val="none" w:sz="0" w:space="0" w:color="auto"/>
                <w:left w:val="none" w:sz="0" w:space="0" w:color="auto"/>
                <w:bottom w:val="none" w:sz="0" w:space="0" w:color="auto"/>
                <w:right w:val="none" w:sz="0" w:space="0" w:color="auto"/>
              </w:divBdr>
              <w:divsChild>
                <w:div w:id="1879269936">
                  <w:marLeft w:val="0"/>
                  <w:marRight w:val="0"/>
                  <w:marTop w:val="0"/>
                  <w:marBottom w:val="0"/>
                  <w:divBdr>
                    <w:top w:val="none" w:sz="0" w:space="0" w:color="auto"/>
                    <w:left w:val="none" w:sz="0" w:space="0" w:color="auto"/>
                    <w:bottom w:val="none" w:sz="0" w:space="0" w:color="auto"/>
                    <w:right w:val="none" w:sz="0" w:space="0" w:color="auto"/>
                  </w:divBdr>
                </w:div>
              </w:divsChild>
            </w:div>
            <w:div w:id="198320174">
              <w:marLeft w:val="0"/>
              <w:marRight w:val="0"/>
              <w:marTop w:val="0"/>
              <w:marBottom w:val="0"/>
              <w:divBdr>
                <w:top w:val="none" w:sz="0" w:space="0" w:color="auto"/>
                <w:left w:val="none" w:sz="0" w:space="0" w:color="auto"/>
                <w:bottom w:val="none" w:sz="0" w:space="0" w:color="auto"/>
                <w:right w:val="none" w:sz="0" w:space="0" w:color="auto"/>
              </w:divBdr>
              <w:divsChild>
                <w:div w:id="1758601095">
                  <w:marLeft w:val="0"/>
                  <w:marRight w:val="0"/>
                  <w:marTop w:val="0"/>
                  <w:marBottom w:val="0"/>
                  <w:divBdr>
                    <w:top w:val="none" w:sz="0" w:space="0" w:color="auto"/>
                    <w:left w:val="none" w:sz="0" w:space="0" w:color="auto"/>
                    <w:bottom w:val="none" w:sz="0" w:space="0" w:color="auto"/>
                    <w:right w:val="none" w:sz="0" w:space="0" w:color="auto"/>
                  </w:divBdr>
                </w:div>
              </w:divsChild>
            </w:div>
            <w:div w:id="553465815">
              <w:marLeft w:val="0"/>
              <w:marRight w:val="0"/>
              <w:marTop w:val="0"/>
              <w:marBottom w:val="0"/>
              <w:divBdr>
                <w:top w:val="none" w:sz="0" w:space="0" w:color="auto"/>
                <w:left w:val="none" w:sz="0" w:space="0" w:color="auto"/>
                <w:bottom w:val="none" w:sz="0" w:space="0" w:color="auto"/>
                <w:right w:val="none" w:sz="0" w:space="0" w:color="auto"/>
              </w:divBdr>
              <w:divsChild>
                <w:div w:id="643704101">
                  <w:marLeft w:val="0"/>
                  <w:marRight w:val="0"/>
                  <w:marTop w:val="0"/>
                  <w:marBottom w:val="0"/>
                  <w:divBdr>
                    <w:top w:val="none" w:sz="0" w:space="0" w:color="auto"/>
                    <w:left w:val="none" w:sz="0" w:space="0" w:color="auto"/>
                    <w:bottom w:val="none" w:sz="0" w:space="0" w:color="auto"/>
                    <w:right w:val="none" w:sz="0" w:space="0" w:color="auto"/>
                  </w:divBdr>
                </w:div>
              </w:divsChild>
            </w:div>
            <w:div w:id="1489252695">
              <w:marLeft w:val="0"/>
              <w:marRight w:val="0"/>
              <w:marTop w:val="0"/>
              <w:marBottom w:val="0"/>
              <w:divBdr>
                <w:top w:val="none" w:sz="0" w:space="0" w:color="auto"/>
                <w:left w:val="none" w:sz="0" w:space="0" w:color="auto"/>
                <w:bottom w:val="none" w:sz="0" w:space="0" w:color="auto"/>
                <w:right w:val="none" w:sz="0" w:space="0" w:color="auto"/>
              </w:divBdr>
              <w:divsChild>
                <w:div w:id="506025155">
                  <w:marLeft w:val="0"/>
                  <w:marRight w:val="0"/>
                  <w:marTop w:val="0"/>
                  <w:marBottom w:val="0"/>
                  <w:divBdr>
                    <w:top w:val="none" w:sz="0" w:space="0" w:color="auto"/>
                    <w:left w:val="none" w:sz="0" w:space="0" w:color="auto"/>
                    <w:bottom w:val="none" w:sz="0" w:space="0" w:color="auto"/>
                    <w:right w:val="none" w:sz="0" w:space="0" w:color="auto"/>
                  </w:divBdr>
                </w:div>
              </w:divsChild>
            </w:div>
            <w:div w:id="1900750593">
              <w:marLeft w:val="0"/>
              <w:marRight w:val="0"/>
              <w:marTop w:val="0"/>
              <w:marBottom w:val="0"/>
              <w:divBdr>
                <w:top w:val="none" w:sz="0" w:space="0" w:color="auto"/>
                <w:left w:val="none" w:sz="0" w:space="0" w:color="auto"/>
                <w:bottom w:val="none" w:sz="0" w:space="0" w:color="auto"/>
                <w:right w:val="none" w:sz="0" w:space="0" w:color="auto"/>
              </w:divBdr>
              <w:divsChild>
                <w:div w:id="1521705253">
                  <w:marLeft w:val="0"/>
                  <w:marRight w:val="0"/>
                  <w:marTop w:val="0"/>
                  <w:marBottom w:val="0"/>
                  <w:divBdr>
                    <w:top w:val="none" w:sz="0" w:space="0" w:color="auto"/>
                    <w:left w:val="none" w:sz="0" w:space="0" w:color="auto"/>
                    <w:bottom w:val="none" w:sz="0" w:space="0" w:color="auto"/>
                    <w:right w:val="none" w:sz="0" w:space="0" w:color="auto"/>
                  </w:divBdr>
                </w:div>
              </w:divsChild>
            </w:div>
            <w:div w:id="1347515161">
              <w:marLeft w:val="0"/>
              <w:marRight w:val="0"/>
              <w:marTop w:val="0"/>
              <w:marBottom w:val="0"/>
              <w:divBdr>
                <w:top w:val="none" w:sz="0" w:space="0" w:color="auto"/>
                <w:left w:val="none" w:sz="0" w:space="0" w:color="auto"/>
                <w:bottom w:val="none" w:sz="0" w:space="0" w:color="auto"/>
                <w:right w:val="none" w:sz="0" w:space="0" w:color="auto"/>
              </w:divBdr>
              <w:divsChild>
                <w:div w:id="1474712013">
                  <w:marLeft w:val="0"/>
                  <w:marRight w:val="0"/>
                  <w:marTop w:val="0"/>
                  <w:marBottom w:val="0"/>
                  <w:divBdr>
                    <w:top w:val="none" w:sz="0" w:space="0" w:color="auto"/>
                    <w:left w:val="none" w:sz="0" w:space="0" w:color="auto"/>
                    <w:bottom w:val="none" w:sz="0" w:space="0" w:color="auto"/>
                    <w:right w:val="none" w:sz="0" w:space="0" w:color="auto"/>
                  </w:divBdr>
                </w:div>
              </w:divsChild>
            </w:div>
            <w:div w:id="1745838561">
              <w:marLeft w:val="0"/>
              <w:marRight w:val="0"/>
              <w:marTop w:val="0"/>
              <w:marBottom w:val="0"/>
              <w:divBdr>
                <w:top w:val="none" w:sz="0" w:space="0" w:color="auto"/>
                <w:left w:val="none" w:sz="0" w:space="0" w:color="auto"/>
                <w:bottom w:val="none" w:sz="0" w:space="0" w:color="auto"/>
                <w:right w:val="none" w:sz="0" w:space="0" w:color="auto"/>
              </w:divBdr>
              <w:divsChild>
                <w:div w:id="566234599">
                  <w:marLeft w:val="0"/>
                  <w:marRight w:val="0"/>
                  <w:marTop w:val="0"/>
                  <w:marBottom w:val="0"/>
                  <w:divBdr>
                    <w:top w:val="none" w:sz="0" w:space="0" w:color="auto"/>
                    <w:left w:val="none" w:sz="0" w:space="0" w:color="auto"/>
                    <w:bottom w:val="none" w:sz="0" w:space="0" w:color="auto"/>
                    <w:right w:val="none" w:sz="0" w:space="0" w:color="auto"/>
                  </w:divBdr>
                </w:div>
              </w:divsChild>
            </w:div>
            <w:div w:id="456070563">
              <w:marLeft w:val="0"/>
              <w:marRight w:val="0"/>
              <w:marTop w:val="0"/>
              <w:marBottom w:val="0"/>
              <w:divBdr>
                <w:top w:val="none" w:sz="0" w:space="0" w:color="auto"/>
                <w:left w:val="none" w:sz="0" w:space="0" w:color="auto"/>
                <w:bottom w:val="none" w:sz="0" w:space="0" w:color="auto"/>
                <w:right w:val="none" w:sz="0" w:space="0" w:color="auto"/>
              </w:divBdr>
              <w:divsChild>
                <w:div w:id="738796257">
                  <w:marLeft w:val="0"/>
                  <w:marRight w:val="0"/>
                  <w:marTop w:val="0"/>
                  <w:marBottom w:val="0"/>
                  <w:divBdr>
                    <w:top w:val="none" w:sz="0" w:space="0" w:color="auto"/>
                    <w:left w:val="none" w:sz="0" w:space="0" w:color="auto"/>
                    <w:bottom w:val="none" w:sz="0" w:space="0" w:color="auto"/>
                    <w:right w:val="none" w:sz="0" w:space="0" w:color="auto"/>
                  </w:divBdr>
                </w:div>
              </w:divsChild>
            </w:div>
            <w:div w:id="1328552963">
              <w:marLeft w:val="0"/>
              <w:marRight w:val="0"/>
              <w:marTop w:val="0"/>
              <w:marBottom w:val="0"/>
              <w:divBdr>
                <w:top w:val="none" w:sz="0" w:space="0" w:color="auto"/>
                <w:left w:val="none" w:sz="0" w:space="0" w:color="auto"/>
                <w:bottom w:val="none" w:sz="0" w:space="0" w:color="auto"/>
                <w:right w:val="none" w:sz="0" w:space="0" w:color="auto"/>
              </w:divBdr>
              <w:divsChild>
                <w:div w:id="586773257">
                  <w:marLeft w:val="0"/>
                  <w:marRight w:val="0"/>
                  <w:marTop w:val="0"/>
                  <w:marBottom w:val="0"/>
                  <w:divBdr>
                    <w:top w:val="none" w:sz="0" w:space="0" w:color="auto"/>
                    <w:left w:val="none" w:sz="0" w:space="0" w:color="auto"/>
                    <w:bottom w:val="none" w:sz="0" w:space="0" w:color="auto"/>
                    <w:right w:val="none" w:sz="0" w:space="0" w:color="auto"/>
                  </w:divBdr>
                </w:div>
              </w:divsChild>
            </w:div>
            <w:div w:id="790518618">
              <w:marLeft w:val="0"/>
              <w:marRight w:val="0"/>
              <w:marTop w:val="0"/>
              <w:marBottom w:val="0"/>
              <w:divBdr>
                <w:top w:val="none" w:sz="0" w:space="0" w:color="auto"/>
                <w:left w:val="none" w:sz="0" w:space="0" w:color="auto"/>
                <w:bottom w:val="none" w:sz="0" w:space="0" w:color="auto"/>
                <w:right w:val="none" w:sz="0" w:space="0" w:color="auto"/>
              </w:divBdr>
              <w:divsChild>
                <w:div w:id="1003051966">
                  <w:marLeft w:val="0"/>
                  <w:marRight w:val="0"/>
                  <w:marTop w:val="0"/>
                  <w:marBottom w:val="0"/>
                  <w:divBdr>
                    <w:top w:val="none" w:sz="0" w:space="0" w:color="auto"/>
                    <w:left w:val="none" w:sz="0" w:space="0" w:color="auto"/>
                    <w:bottom w:val="none" w:sz="0" w:space="0" w:color="auto"/>
                    <w:right w:val="none" w:sz="0" w:space="0" w:color="auto"/>
                  </w:divBdr>
                </w:div>
              </w:divsChild>
            </w:div>
            <w:div w:id="1654987276">
              <w:marLeft w:val="0"/>
              <w:marRight w:val="0"/>
              <w:marTop w:val="0"/>
              <w:marBottom w:val="0"/>
              <w:divBdr>
                <w:top w:val="none" w:sz="0" w:space="0" w:color="auto"/>
                <w:left w:val="none" w:sz="0" w:space="0" w:color="auto"/>
                <w:bottom w:val="none" w:sz="0" w:space="0" w:color="auto"/>
                <w:right w:val="none" w:sz="0" w:space="0" w:color="auto"/>
              </w:divBdr>
              <w:divsChild>
                <w:div w:id="1072581203">
                  <w:marLeft w:val="0"/>
                  <w:marRight w:val="0"/>
                  <w:marTop w:val="0"/>
                  <w:marBottom w:val="0"/>
                  <w:divBdr>
                    <w:top w:val="none" w:sz="0" w:space="0" w:color="auto"/>
                    <w:left w:val="none" w:sz="0" w:space="0" w:color="auto"/>
                    <w:bottom w:val="none" w:sz="0" w:space="0" w:color="auto"/>
                    <w:right w:val="none" w:sz="0" w:space="0" w:color="auto"/>
                  </w:divBdr>
                </w:div>
              </w:divsChild>
            </w:div>
            <w:div w:id="1436827118">
              <w:marLeft w:val="0"/>
              <w:marRight w:val="0"/>
              <w:marTop w:val="0"/>
              <w:marBottom w:val="0"/>
              <w:divBdr>
                <w:top w:val="none" w:sz="0" w:space="0" w:color="auto"/>
                <w:left w:val="none" w:sz="0" w:space="0" w:color="auto"/>
                <w:bottom w:val="none" w:sz="0" w:space="0" w:color="auto"/>
                <w:right w:val="none" w:sz="0" w:space="0" w:color="auto"/>
              </w:divBdr>
              <w:divsChild>
                <w:div w:id="1446072568">
                  <w:marLeft w:val="0"/>
                  <w:marRight w:val="0"/>
                  <w:marTop w:val="0"/>
                  <w:marBottom w:val="0"/>
                  <w:divBdr>
                    <w:top w:val="none" w:sz="0" w:space="0" w:color="auto"/>
                    <w:left w:val="none" w:sz="0" w:space="0" w:color="auto"/>
                    <w:bottom w:val="none" w:sz="0" w:space="0" w:color="auto"/>
                    <w:right w:val="none" w:sz="0" w:space="0" w:color="auto"/>
                  </w:divBdr>
                </w:div>
              </w:divsChild>
            </w:div>
            <w:div w:id="1555585657">
              <w:marLeft w:val="0"/>
              <w:marRight w:val="0"/>
              <w:marTop w:val="0"/>
              <w:marBottom w:val="0"/>
              <w:divBdr>
                <w:top w:val="none" w:sz="0" w:space="0" w:color="auto"/>
                <w:left w:val="none" w:sz="0" w:space="0" w:color="auto"/>
                <w:bottom w:val="none" w:sz="0" w:space="0" w:color="auto"/>
                <w:right w:val="none" w:sz="0" w:space="0" w:color="auto"/>
              </w:divBdr>
              <w:divsChild>
                <w:div w:id="1663121878">
                  <w:marLeft w:val="0"/>
                  <w:marRight w:val="0"/>
                  <w:marTop w:val="0"/>
                  <w:marBottom w:val="0"/>
                  <w:divBdr>
                    <w:top w:val="none" w:sz="0" w:space="0" w:color="auto"/>
                    <w:left w:val="none" w:sz="0" w:space="0" w:color="auto"/>
                    <w:bottom w:val="none" w:sz="0" w:space="0" w:color="auto"/>
                    <w:right w:val="none" w:sz="0" w:space="0" w:color="auto"/>
                  </w:divBdr>
                </w:div>
              </w:divsChild>
            </w:div>
            <w:div w:id="824661077">
              <w:marLeft w:val="0"/>
              <w:marRight w:val="0"/>
              <w:marTop w:val="0"/>
              <w:marBottom w:val="0"/>
              <w:divBdr>
                <w:top w:val="none" w:sz="0" w:space="0" w:color="auto"/>
                <w:left w:val="none" w:sz="0" w:space="0" w:color="auto"/>
                <w:bottom w:val="none" w:sz="0" w:space="0" w:color="auto"/>
                <w:right w:val="none" w:sz="0" w:space="0" w:color="auto"/>
              </w:divBdr>
              <w:divsChild>
                <w:div w:id="133448596">
                  <w:marLeft w:val="0"/>
                  <w:marRight w:val="0"/>
                  <w:marTop w:val="0"/>
                  <w:marBottom w:val="0"/>
                  <w:divBdr>
                    <w:top w:val="none" w:sz="0" w:space="0" w:color="auto"/>
                    <w:left w:val="none" w:sz="0" w:space="0" w:color="auto"/>
                    <w:bottom w:val="none" w:sz="0" w:space="0" w:color="auto"/>
                    <w:right w:val="none" w:sz="0" w:space="0" w:color="auto"/>
                  </w:divBdr>
                </w:div>
              </w:divsChild>
            </w:div>
            <w:div w:id="869613755">
              <w:marLeft w:val="0"/>
              <w:marRight w:val="0"/>
              <w:marTop w:val="0"/>
              <w:marBottom w:val="0"/>
              <w:divBdr>
                <w:top w:val="none" w:sz="0" w:space="0" w:color="auto"/>
                <w:left w:val="none" w:sz="0" w:space="0" w:color="auto"/>
                <w:bottom w:val="none" w:sz="0" w:space="0" w:color="auto"/>
                <w:right w:val="none" w:sz="0" w:space="0" w:color="auto"/>
              </w:divBdr>
              <w:divsChild>
                <w:div w:id="16167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117">
          <w:marLeft w:val="0"/>
          <w:marRight w:val="0"/>
          <w:marTop w:val="0"/>
          <w:marBottom w:val="600"/>
          <w:divBdr>
            <w:top w:val="none" w:sz="0" w:space="0" w:color="auto"/>
            <w:left w:val="none" w:sz="0" w:space="0" w:color="auto"/>
            <w:bottom w:val="none" w:sz="0" w:space="0" w:color="auto"/>
            <w:right w:val="none" w:sz="0" w:space="0" w:color="auto"/>
          </w:divBdr>
        </w:div>
      </w:divsChild>
    </w:div>
    <w:div w:id="633104605">
      <w:marLeft w:val="0"/>
      <w:marRight w:val="0"/>
      <w:marTop w:val="0"/>
      <w:marBottom w:val="0"/>
      <w:divBdr>
        <w:top w:val="none" w:sz="0" w:space="0" w:color="auto"/>
        <w:left w:val="none" w:sz="0" w:space="0" w:color="auto"/>
        <w:bottom w:val="none" w:sz="0" w:space="0" w:color="auto"/>
        <w:right w:val="none" w:sz="0" w:space="0" w:color="auto"/>
      </w:divBdr>
      <w:divsChild>
        <w:div w:id="897008925">
          <w:marLeft w:val="0"/>
          <w:marRight w:val="0"/>
          <w:marTop w:val="432"/>
          <w:marBottom w:val="0"/>
          <w:divBdr>
            <w:top w:val="none" w:sz="0" w:space="0" w:color="auto"/>
            <w:left w:val="none" w:sz="0" w:space="0" w:color="auto"/>
            <w:bottom w:val="none" w:sz="0" w:space="0" w:color="auto"/>
            <w:right w:val="none" w:sz="0" w:space="0" w:color="auto"/>
          </w:divBdr>
        </w:div>
        <w:div w:id="1548106140">
          <w:marLeft w:val="0"/>
          <w:marRight w:val="0"/>
          <w:marTop w:val="0"/>
          <w:marBottom w:val="0"/>
          <w:divBdr>
            <w:top w:val="none" w:sz="0" w:space="0" w:color="auto"/>
            <w:left w:val="none" w:sz="0" w:space="0" w:color="auto"/>
            <w:bottom w:val="none" w:sz="0" w:space="0" w:color="auto"/>
            <w:right w:val="none" w:sz="0" w:space="0" w:color="auto"/>
          </w:divBdr>
          <w:divsChild>
            <w:div w:id="2021203166">
              <w:marLeft w:val="0"/>
              <w:marRight w:val="0"/>
              <w:marTop w:val="0"/>
              <w:marBottom w:val="0"/>
              <w:divBdr>
                <w:top w:val="none" w:sz="0" w:space="0" w:color="auto"/>
                <w:left w:val="none" w:sz="0" w:space="0" w:color="auto"/>
                <w:bottom w:val="none" w:sz="0" w:space="0" w:color="auto"/>
                <w:right w:val="none" w:sz="0" w:space="0" w:color="auto"/>
              </w:divBdr>
              <w:divsChild>
                <w:div w:id="2046828619">
                  <w:marLeft w:val="0"/>
                  <w:marRight w:val="0"/>
                  <w:marTop w:val="0"/>
                  <w:marBottom w:val="0"/>
                  <w:divBdr>
                    <w:top w:val="none" w:sz="0" w:space="0" w:color="auto"/>
                    <w:left w:val="none" w:sz="0" w:space="0" w:color="auto"/>
                    <w:bottom w:val="none" w:sz="0" w:space="0" w:color="auto"/>
                    <w:right w:val="none" w:sz="0" w:space="0" w:color="auto"/>
                  </w:divBdr>
                </w:div>
              </w:divsChild>
            </w:div>
            <w:div w:id="801655981">
              <w:marLeft w:val="0"/>
              <w:marRight w:val="0"/>
              <w:marTop w:val="0"/>
              <w:marBottom w:val="0"/>
              <w:divBdr>
                <w:top w:val="none" w:sz="0" w:space="0" w:color="auto"/>
                <w:left w:val="none" w:sz="0" w:space="0" w:color="auto"/>
                <w:bottom w:val="none" w:sz="0" w:space="0" w:color="auto"/>
                <w:right w:val="none" w:sz="0" w:space="0" w:color="auto"/>
              </w:divBdr>
              <w:divsChild>
                <w:div w:id="9721199">
                  <w:marLeft w:val="0"/>
                  <w:marRight w:val="0"/>
                  <w:marTop w:val="0"/>
                  <w:marBottom w:val="0"/>
                  <w:divBdr>
                    <w:top w:val="none" w:sz="0" w:space="0" w:color="auto"/>
                    <w:left w:val="none" w:sz="0" w:space="0" w:color="auto"/>
                    <w:bottom w:val="none" w:sz="0" w:space="0" w:color="auto"/>
                    <w:right w:val="none" w:sz="0" w:space="0" w:color="auto"/>
                  </w:divBdr>
                </w:div>
              </w:divsChild>
            </w:div>
            <w:div w:id="69541550">
              <w:marLeft w:val="0"/>
              <w:marRight w:val="0"/>
              <w:marTop w:val="0"/>
              <w:marBottom w:val="0"/>
              <w:divBdr>
                <w:top w:val="none" w:sz="0" w:space="0" w:color="auto"/>
                <w:left w:val="none" w:sz="0" w:space="0" w:color="auto"/>
                <w:bottom w:val="none" w:sz="0" w:space="0" w:color="auto"/>
                <w:right w:val="none" w:sz="0" w:space="0" w:color="auto"/>
              </w:divBdr>
              <w:divsChild>
                <w:div w:id="707989789">
                  <w:marLeft w:val="0"/>
                  <w:marRight w:val="0"/>
                  <w:marTop w:val="0"/>
                  <w:marBottom w:val="0"/>
                  <w:divBdr>
                    <w:top w:val="none" w:sz="0" w:space="0" w:color="auto"/>
                    <w:left w:val="none" w:sz="0" w:space="0" w:color="auto"/>
                    <w:bottom w:val="none" w:sz="0" w:space="0" w:color="auto"/>
                    <w:right w:val="none" w:sz="0" w:space="0" w:color="auto"/>
                  </w:divBdr>
                </w:div>
              </w:divsChild>
            </w:div>
            <w:div w:id="1054083437">
              <w:marLeft w:val="0"/>
              <w:marRight w:val="0"/>
              <w:marTop w:val="0"/>
              <w:marBottom w:val="0"/>
              <w:divBdr>
                <w:top w:val="none" w:sz="0" w:space="0" w:color="auto"/>
                <w:left w:val="none" w:sz="0" w:space="0" w:color="auto"/>
                <w:bottom w:val="none" w:sz="0" w:space="0" w:color="auto"/>
                <w:right w:val="none" w:sz="0" w:space="0" w:color="auto"/>
              </w:divBdr>
              <w:divsChild>
                <w:div w:id="31925799">
                  <w:marLeft w:val="0"/>
                  <w:marRight w:val="0"/>
                  <w:marTop w:val="0"/>
                  <w:marBottom w:val="0"/>
                  <w:divBdr>
                    <w:top w:val="none" w:sz="0" w:space="0" w:color="auto"/>
                    <w:left w:val="none" w:sz="0" w:space="0" w:color="auto"/>
                    <w:bottom w:val="none" w:sz="0" w:space="0" w:color="auto"/>
                    <w:right w:val="none" w:sz="0" w:space="0" w:color="auto"/>
                  </w:divBdr>
                </w:div>
              </w:divsChild>
            </w:div>
            <w:div w:id="1038579229">
              <w:marLeft w:val="0"/>
              <w:marRight w:val="0"/>
              <w:marTop w:val="0"/>
              <w:marBottom w:val="0"/>
              <w:divBdr>
                <w:top w:val="none" w:sz="0" w:space="0" w:color="auto"/>
                <w:left w:val="none" w:sz="0" w:space="0" w:color="auto"/>
                <w:bottom w:val="none" w:sz="0" w:space="0" w:color="auto"/>
                <w:right w:val="none" w:sz="0" w:space="0" w:color="auto"/>
              </w:divBdr>
              <w:divsChild>
                <w:div w:id="929628208">
                  <w:marLeft w:val="0"/>
                  <w:marRight w:val="0"/>
                  <w:marTop w:val="0"/>
                  <w:marBottom w:val="0"/>
                  <w:divBdr>
                    <w:top w:val="none" w:sz="0" w:space="0" w:color="auto"/>
                    <w:left w:val="none" w:sz="0" w:space="0" w:color="auto"/>
                    <w:bottom w:val="none" w:sz="0" w:space="0" w:color="auto"/>
                    <w:right w:val="none" w:sz="0" w:space="0" w:color="auto"/>
                  </w:divBdr>
                </w:div>
              </w:divsChild>
            </w:div>
            <w:div w:id="1418475236">
              <w:marLeft w:val="0"/>
              <w:marRight w:val="0"/>
              <w:marTop w:val="0"/>
              <w:marBottom w:val="0"/>
              <w:divBdr>
                <w:top w:val="none" w:sz="0" w:space="0" w:color="auto"/>
                <w:left w:val="none" w:sz="0" w:space="0" w:color="auto"/>
                <w:bottom w:val="none" w:sz="0" w:space="0" w:color="auto"/>
                <w:right w:val="none" w:sz="0" w:space="0" w:color="auto"/>
              </w:divBdr>
              <w:divsChild>
                <w:div w:id="1898392818">
                  <w:marLeft w:val="0"/>
                  <w:marRight w:val="0"/>
                  <w:marTop w:val="0"/>
                  <w:marBottom w:val="0"/>
                  <w:divBdr>
                    <w:top w:val="none" w:sz="0" w:space="0" w:color="auto"/>
                    <w:left w:val="none" w:sz="0" w:space="0" w:color="auto"/>
                    <w:bottom w:val="none" w:sz="0" w:space="0" w:color="auto"/>
                    <w:right w:val="none" w:sz="0" w:space="0" w:color="auto"/>
                  </w:divBdr>
                </w:div>
              </w:divsChild>
            </w:div>
            <w:div w:id="1688479723">
              <w:marLeft w:val="0"/>
              <w:marRight w:val="0"/>
              <w:marTop w:val="0"/>
              <w:marBottom w:val="0"/>
              <w:divBdr>
                <w:top w:val="none" w:sz="0" w:space="0" w:color="auto"/>
                <w:left w:val="none" w:sz="0" w:space="0" w:color="auto"/>
                <w:bottom w:val="none" w:sz="0" w:space="0" w:color="auto"/>
                <w:right w:val="none" w:sz="0" w:space="0" w:color="auto"/>
              </w:divBdr>
              <w:divsChild>
                <w:div w:id="1752458923">
                  <w:marLeft w:val="0"/>
                  <w:marRight w:val="0"/>
                  <w:marTop w:val="0"/>
                  <w:marBottom w:val="0"/>
                  <w:divBdr>
                    <w:top w:val="none" w:sz="0" w:space="0" w:color="auto"/>
                    <w:left w:val="none" w:sz="0" w:space="0" w:color="auto"/>
                    <w:bottom w:val="none" w:sz="0" w:space="0" w:color="auto"/>
                    <w:right w:val="none" w:sz="0" w:space="0" w:color="auto"/>
                  </w:divBdr>
                </w:div>
              </w:divsChild>
            </w:div>
            <w:div w:id="1872765346">
              <w:marLeft w:val="0"/>
              <w:marRight w:val="0"/>
              <w:marTop w:val="0"/>
              <w:marBottom w:val="0"/>
              <w:divBdr>
                <w:top w:val="none" w:sz="0" w:space="0" w:color="auto"/>
                <w:left w:val="none" w:sz="0" w:space="0" w:color="auto"/>
                <w:bottom w:val="none" w:sz="0" w:space="0" w:color="auto"/>
                <w:right w:val="none" w:sz="0" w:space="0" w:color="auto"/>
              </w:divBdr>
              <w:divsChild>
                <w:div w:id="108672750">
                  <w:marLeft w:val="0"/>
                  <w:marRight w:val="0"/>
                  <w:marTop w:val="0"/>
                  <w:marBottom w:val="0"/>
                  <w:divBdr>
                    <w:top w:val="none" w:sz="0" w:space="0" w:color="auto"/>
                    <w:left w:val="none" w:sz="0" w:space="0" w:color="auto"/>
                    <w:bottom w:val="none" w:sz="0" w:space="0" w:color="auto"/>
                    <w:right w:val="none" w:sz="0" w:space="0" w:color="auto"/>
                  </w:divBdr>
                </w:div>
              </w:divsChild>
            </w:div>
            <w:div w:id="903372720">
              <w:marLeft w:val="0"/>
              <w:marRight w:val="0"/>
              <w:marTop w:val="0"/>
              <w:marBottom w:val="0"/>
              <w:divBdr>
                <w:top w:val="none" w:sz="0" w:space="0" w:color="auto"/>
                <w:left w:val="none" w:sz="0" w:space="0" w:color="auto"/>
                <w:bottom w:val="none" w:sz="0" w:space="0" w:color="auto"/>
                <w:right w:val="none" w:sz="0" w:space="0" w:color="auto"/>
              </w:divBdr>
              <w:divsChild>
                <w:div w:id="1409615780">
                  <w:marLeft w:val="0"/>
                  <w:marRight w:val="0"/>
                  <w:marTop w:val="0"/>
                  <w:marBottom w:val="0"/>
                  <w:divBdr>
                    <w:top w:val="none" w:sz="0" w:space="0" w:color="auto"/>
                    <w:left w:val="none" w:sz="0" w:space="0" w:color="auto"/>
                    <w:bottom w:val="none" w:sz="0" w:space="0" w:color="auto"/>
                    <w:right w:val="none" w:sz="0" w:space="0" w:color="auto"/>
                  </w:divBdr>
                </w:div>
              </w:divsChild>
            </w:div>
            <w:div w:id="740979441">
              <w:marLeft w:val="0"/>
              <w:marRight w:val="0"/>
              <w:marTop w:val="0"/>
              <w:marBottom w:val="0"/>
              <w:divBdr>
                <w:top w:val="none" w:sz="0" w:space="0" w:color="auto"/>
                <w:left w:val="none" w:sz="0" w:space="0" w:color="auto"/>
                <w:bottom w:val="none" w:sz="0" w:space="0" w:color="auto"/>
                <w:right w:val="none" w:sz="0" w:space="0" w:color="auto"/>
              </w:divBdr>
              <w:divsChild>
                <w:div w:id="403914224">
                  <w:marLeft w:val="0"/>
                  <w:marRight w:val="0"/>
                  <w:marTop w:val="0"/>
                  <w:marBottom w:val="0"/>
                  <w:divBdr>
                    <w:top w:val="none" w:sz="0" w:space="0" w:color="auto"/>
                    <w:left w:val="none" w:sz="0" w:space="0" w:color="auto"/>
                    <w:bottom w:val="none" w:sz="0" w:space="0" w:color="auto"/>
                    <w:right w:val="none" w:sz="0" w:space="0" w:color="auto"/>
                  </w:divBdr>
                </w:div>
              </w:divsChild>
            </w:div>
            <w:div w:id="2021196202">
              <w:marLeft w:val="0"/>
              <w:marRight w:val="0"/>
              <w:marTop w:val="0"/>
              <w:marBottom w:val="0"/>
              <w:divBdr>
                <w:top w:val="none" w:sz="0" w:space="0" w:color="auto"/>
                <w:left w:val="none" w:sz="0" w:space="0" w:color="auto"/>
                <w:bottom w:val="none" w:sz="0" w:space="0" w:color="auto"/>
                <w:right w:val="none" w:sz="0" w:space="0" w:color="auto"/>
              </w:divBdr>
              <w:divsChild>
                <w:div w:id="728773809">
                  <w:marLeft w:val="0"/>
                  <w:marRight w:val="0"/>
                  <w:marTop w:val="0"/>
                  <w:marBottom w:val="0"/>
                  <w:divBdr>
                    <w:top w:val="none" w:sz="0" w:space="0" w:color="auto"/>
                    <w:left w:val="none" w:sz="0" w:space="0" w:color="auto"/>
                    <w:bottom w:val="none" w:sz="0" w:space="0" w:color="auto"/>
                    <w:right w:val="none" w:sz="0" w:space="0" w:color="auto"/>
                  </w:divBdr>
                </w:div>
              </w:divsChild>
            </w:div>
            <w:div w:id="810439166">
              <w:marLeft w:val="0"/>
              <w:marRight w:val="0"/>
              <w:marTop w:val="0"/>
              <w:marBottom w:val="0"/>
              <w:divBdr>
                <w:top w:val="none" w:sz="0" w:space="0" w:color="auto"/>
                <w:left w:val="none" w:sz="0" w:space="0" w:color="auto"/>
                <w:bottom w:val="none" w:sz="0" w:space="0" w:color="auto"/>
                <w:right w:val="none" w:sz="0" w:space="0" w:color="auto"/>
              </w:divBdr>
              <w:divsChild>
                <w:div w:id="1803378295">
                  <w:marLeft w:val="0"/>
                  <w:marRight w:val="0"/>
                  <w:marTop w:val="0"/>
                  <w:marBottom w:val="0"/>
                  <w:divBdr>
                    <w:top w:val="none" w:sz="0" w:space="0" w:color="auto"/>
                    <w:left w:val="none" w:sz="0" w:space="0" w:color="auto"/>
                    <w:bottom w:val="none" w:sz="0" w:space="0" w:color="auto"/>
                    <w:right w:val="none" w:sz="0" w:space="0" w:color="auto"/>
                  </w:divBdr>
                </w:div>
              </w:divsChild>
            </w:div>
            <w:div w:id="1923100136">
              <w:marLeft w:val="0"/>
              <w:marRight w:val="0"/>
              <w:marTop w:val="0"/>
              <w:marBottom w:val="0"/>
              <w:divBdr>
                <w:top w:val="none" w:sz="0" w:space="0" w:color="auto"/>
                <w:left w:val="none" w:sz="0" w:space="0" w:color="auto"/>
                <w:bottom w:val="none" w:sz="0" w:space="0" w:color="auto"/>
                <w:right w:val="none" w:sz="0" w:space="0" w:color="auto"/>
              </w:divBdr>
              <w:divsChild>
                <w:div w:id="2568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2944">
          <w:marLeft w:val="0"/>
          <w:marRight w:val="0"/>
          <w:marTop w:val="0"/>
          <w:marBottom w:val="600"/>
          <w:divBdr>
            <w:top w:val="none" w:sz="0" w:space="0" w:color="auto"/>
            <w:left w:val="none" w:sz="0" w:space="0" w:color="auto"/>
            <w:bottom w:val="none" w:sz="0" w:space="0" w:color="auto"/>
            <w:right w:val="none" w:sz="0" w:space="0" w:color="auto"/>
          </w:divBdr>
        </w:div>
      </w:divsChild>
    </w:div>
    <w:div w:id="639698009">
      <w:marLeft w:val="0"/>
      <w:marRight w:val="0"/>
      <w:marTop w:val="0"/>
      <w:marBottom w:val="0"/>
      <w:divBdr>
        <w:top w:val="none" w:sz="0" w:space="0" w:color="auto"/>
        <w:left w:val="none" w:sz="0" w:space="0" w:color="auto"/>
        <w:bottom w:val="none" w:sz="0" w:space="0" w:color="auto"/>
        <w:right w:val="none" w:sz="0" w:space="0" w:color="auto"/>
      </w:divBdr>
      <w:divsChild>
        <w:div w:id="101806349">
          <w:marLeft w:val="0"/>
          <w:marRight w:val="0"/>
          <w:marTop w:val="432"/>
          <w:marBottom w:val="0"/>
          <w:divBdr>
            <w:top w:val="none" w:sz="0" w:space="0" w:color="auto"/>
            <w:left w:val="none" w:sz="0" w:space="0" w:color="auto"/>
            <w:bottom w:val="none" w:sz="0" w:space="0" w:color="auto"/>
            <w:right w:val="none" w:sz="0" w:space="0" w:color="auto"/>
          </w:divBdr>
        </w:div>
        <w:div w:id="113788007">
          <w:marLeft w:val="0"/>
          <w:marRight w:val="0"/>
          <w:marTop w:val="0"/>
          <w:marBottom w:val="0"/>
          <w:divBdr>
            <w:top w:val="none" w:sz="0" w:space="0" w:color="auto"/>
            <w:left w:val="none" w:sz="0" w:space="0" w:color="auto"/>
            <w:bottom w:val="none" w:sz="0" w:space="0" w:color="auto"/>
            <w:right w:val="none" w:sz="0" w:space="0" w:color="auto"/>
          </w:divBdr>
          <w:divsChild>
            <w:div w:id="2070183846">
              <w:marLeft w:val="0"/>
              <w:marRight w:val="0"/>
              <w:marTop w:val="0"/>
              <w:marBottom w:val="0"/>
              <w:divBdr>
                <w:top w:val="none" w:sz="0" w:space="0" w:color="auto"/>
                <w:left w:val="none" w:sz="0" w:space="0" w:color="auto"/>
                <w:bottom w:val="none" w:sz="0" w:space="0" w:color="auto"/>
                <w:right w:val="none" w:sz="0" w:space="0" w:color="auto"/>
              </w:divBdr>
              <w:divsChild>
                <w:div w:id="966157786">
                  <w:marLeft w:val="0"/>
                  <w:marRight w:val="0"/>
                  <w:marTop w:val="0"/>
                  <w:marBottom w:val="0"/>
                  <w:divBdr>
                    <w:top w:val="none" w:sz="0" w:space="0" w:color="auto"/>
                    <w:left w:val="none" w:sz="0" w:space="0" w:color="auto"/>
                    <w:bottom w:val="none" w:sz="0" w:space="0" w:color="auto"/>
                    <w:right w:val="none" w:sz="0" w:space="0" w:color="auto"/>
                  </w:divBdr>
                </w:div>
              </w:divsChild>
            </w:div>
            <w:div w:id="696739359">
              <w:marLeft w:val="0"/>
              <w:marRight w:val="0"/>
              <w:marTop w:val="0"/>
              <w:marBottom w:val="0"/>
              <w:divBdr>
                <w:top w:val="none" w:sz="0" w:space="0" w:color="auto"/>
                <w:left w:val="none" w:sz="0" w:space="0" w:color="auto"/>
                <w:bottom w:val="none" w:sz="0" w:space="0" w:color="auto"/>
                <w:right w:val="none" w:sz="0" w:space="0" w:color="auto"/>
              </w:divBdr>
              <w:divsChild>
                <w:div w:id="1075736104">
                  <w:marLeft w:val="0"/>
                  <w:marRight w:val="0"/>
                  <w:marTop w:val="0"/>
                  <w:marBottom w:val="0"/>
                  <w:divBdr>
                    <w:top w:val="none" w:sz="0" w:space="0" w:color="auto"/>
                    <w:left w:val="none" w:sz="0" w:space="0" w:color="auto"/>
                    <w:bottom w:val="none" w:sz="0" w:space="0" w:color="auto"/>
                    <w:right w:val="none" w:sz="0" w:space="0" w:color="auto"/>
                  </w:divBdr>
                </w:div>
              </w:divsChild>
            </w:div>
            <w:div w:id="1380545795">
              <w:marLeft w:val="0"/>
              <w:marRight w:val="0"/>
              <w:marTop w:val="0"/>
              <w:marBottom w:val="0"/>
              <w:divBdr>
                <w:top w:val="none" w:sz="0" w:space="0" w:color="auto"/>
                <w:left w:val="none" w:sz="0" w:space="0" w:color="auto"/>
                <w:bottom w:val="none" w:sz="0" w:space="0" w:color="auto"/>
                <w:right w:val="none" w:sz="0" w:space="0" w:color="auto"/>
              </w:divBdr>
              <w:divsChild>
                <w:div w:id="1629891946">
                  <w:marLeft w:val="0"/>
                  <w:marRight w:val="0"/>
                  <w:marTop w:val="0"/>
                  <w:marBottom w:val="0"/>
                  <w:divBdr>
                    <w:top w:val="none" w:sz="0" w:space="0" w:color="auto"/>
                    <w:left w:val="none" w:sz="0" w:space="0" w:color="auto"/>
                    <w:bottom w:val="none" w:sz="0" w:space="0" w:color="auto"/>
                    <w:right w:val="none" w:sz="0" w:space="0" w:color="auto"/>
                  </w:divBdr>
                </w:div>
              </w:divsChild>
            </w:div>
            <w:div w:id="548758887">
              <w:marLeft w:val="0"/>
              <w:marRight w:val="0"/>
              <w:marTop w:val="0"/>
              <w:marBottom w:val="0"/>
              <w:divBdr>
                <w:top w:val="none" w:sz="0" w:space="0" w:color="auto"/>
                <w:left w:val="none" w:sz="0" w:space="0" w:color="auto"/>
                <w:bottom w:val="none" w:sz="0" w:space="0" w:color="auto"/>
                <w:right w:val="none" w:sz="0" w:space="0" w:color="auto"/>
              </w:divBdr>
              <w:divsChild>
                <w:div w:id="776606979">
                  <w:marLeft w:val="0"/>
                  <w:marRight w:val="0"/>
                  <w:marTop w:val="0"/>
                  <w:marBottom w:val="0"/>
                  <w:divBdr>
                    <w:top w:val="none" w:sz="0" w:space="0" w:color="auto"/>
                    <w:left w:val="none" w:sz="0" w:space="0" w:color="auto"/>
                    <w:bottom w:val="none" w:sz="0" w:space="0" w:color="auto"/>
                    <w:right w:val="none" w:sz="0" w:space="0" w:color="auto"/>
                  </w:divBdr>
                </w:div>
              </w:divsChild>
            </w:div>
            <w:div w:id="1481115411">
              <w:marLeft w:val="0"/>
              <w:marRight w:val="0"/>
              <w:marTop w:val="0"/>
              <w:marBottom w:val="0"/>
              <w:divBdr>
                <w:top w:val="none" w:sz="0" w:space="0" w:color="auto"/>
                <w:left w:val="none" w:sz="0" w:space="0" w:color="auto"/>
                <w:bottom w:val="none" w:sz="0" w:space="0" w:color="auto"/>
                <w:right w:val="none" w:sz="0" w:space="0" w:color="auto"/>
              </w:divBdr>
              <w:divsChild>
                <w:div w:id="1199587952">
                  <w:marLeft w:val="0"/>
                  <w:marRight w:val="0"/>
                  <w:marTop w:val="0"/>
                  <w:marBottom w:val="0"/>
                  <w:divBdr>
                    <w:top w:val="none" w:sz="0" w:space="0" w:color="auto"/>
                    <w:left w:val="none" w:sz="0" w:space="0" w:color="auto"/>
                    <w:bottom w:val="none" w:sz="0" w:space="0" w:color="auto"/>
                    <w:right w:val="none" w:sz="0" w:space="0" w:color="auto"/>
                  </w:divBdr>
                </w:div>
              </w:divsChild>
            </w:div>
            <w:div w:id="494804431">
              <w:marLeft w:val="0"/>
              <w:marRight w:val="0"/>
              <w:marTop w:val="0"/>
              <w:marBottom w:val="0"/>
              <w:divBdr>
                <w:top w:val="none" w:sz="0" w:space="0" w:color="auto"/>
                <w:left w:val="none" w:sz="0" w:space="0" w:color="auto"/>
                <w:bottom w:val="none" w:sz="0" w:space="0" w:color="auto"/>
                <w:right w:val="none" w:sz="0" w:space="0" w:color="auto"/>
              </w:divBdr>
              <w:divsChild>
                <w:div w:id="1531185850">
                  <w:marLeft w:val="0"/>
                  <w:marRight w:val="0"/>
                  <w:marTop w:val="0"/>
                  <w:marBottom w:val="0"/>
                  <w:divBdr>
                    <w:top w:val="none" w:sz="0" w:space="0" w:color="auto"/>
                    <w:left w:val="none" w:sz="0" w:space="0" w:color="auto"/>
                    <w:bottom w:val="none" w:sz="0" w:space="0" w:color="auto"/>
                    <w:right w:val="none" w:sz="0" w:space="0" w:color="auto"/>
                  </w:divBdr>
                </w:div>
              </w:divsChild>
            </w:div>
            <w:div w:id="711655491">
              <w:marLeft w:val="0"/>
              <w:marRight w:val="0"/>
              <w:marTop w:val="0"/>
              <w:marBottom w:val="0"/>
              <w:divBdr>
                <w:top w:val="none" w:sz="0" w:space="0" w:color="auto"/>
                <w:left w:val="none" w:sz="0" w:space="0" w:color="auto"/>
                <w:bottom w:val="none" w:sz="0" w:space="0" w:color="auto"/>
                <w:right w:val="none" w:sz="0" w:space="0" w:color="auto"/>
              </w:divBdr>
              <w:divsChild>
                <w:div w:id="217018167">
                  <w:marLeft w:val="0"/>
                  <w:marRight w:val="0"/>
                  <w:marTop w:val="0"/>
                  <w:marBottom w:val="0"/>
                  <w:divBdr>
                    <w:top w:val="none" w:sz="0" w:space="0" w:color="auto"/>
                    <w:left w:val="none" w:sz="0" w:space="0" w:color="auto"/>
                    <w:bottom w:val="none" w:sz="0" w:space="0" w:color="auto"/>
                    <w:right w:val="none" w:sz="0" w:space="0" w:color="auto"/>
                  </w:divBdr>
                </w:div>
              </w:divsChild>
            </w:div>
            <w:div w:id="1224752489">
              <w:marLeft w:val="0"/>
              <w:marRight w:val="0"/>
              <w:marTop w:val="0"/>
              <w:marBottom w:val="0"/>
              <w:divBdr>
                <w:top w:val="none" w:sz="0" w:space="0" w:color="auto"/>
                <w:left w:val="none" w:sz="0" w:space="0" w:color="auto"/>
                <w:bottom w:val="none" w:sz="0" w:space="0" w:color="auto"/>
                <w:right w:val="none" w:sz="0" w:space="0" w:color="auto"/>
              </w:divBdr>
              <w:divsChild>
                <w:div w:id="234434368">
                  <w:marLeft w:val="0"/>
                  <w:marRight w:val="0"/>
                  <w:marTop w:val="0"/>
                  <w:marBottom w:val="0"/>
                  <w:divBdr>
                    <w:top w:val="none" w:sz="0" w:space="0" w:color="auto"/>
                    <w:left w:val="none" w:sz="0" w:space="0" w:color="auto"/>
                    <w:bottom w:val="none" w:sz="0" w:space="0" w:color="auto"/>
                    <w:right w:val="none" w:sz="0" w:space="0" w:color="auto"/>
                  </w:divBdr>
                </w:div>
              </w:divsChild>
            </w:div>
            <w:div w:id="2003926056">
              <w:marLeft w:val="0"/>
              <w:marRight w:val="0"/>
              <w:marTop w:val="0"/>
              <w:marBottom w:val="0"/>
              <w:divBdr>
                <w:top w:val="none" w:sz="0" w:space="0" w:color="auto"/>
                <w:left w:val="none" w:sz="0" w:space="0" w:color="auto"/>
                <w:bottom w:val="none" w:sz="0" w:space="0" w:color="auto"/>
                <w:right w:val="none" w:sz="0" w:space="0" w:color="auto"/>
              </w:divBdr>
              <w:divsChild>
                <w:div w:id="280457470">
                  <w:marLeft w:val="0"/>
                  <w:marRight w:val="0"/>
                  <w:marTop w:val="0"/>
                  <w:marBottom w:val="0"/>
                  <w:divBdr>
                    <w:top w:val="none" w:sz="0" w:space="0" w:color="auto"/>
                    <w:left w:val="none" w:sz="0" w:space="0" w:color="auto"/>
                    <w:bottom w:val="none" w:sz="0" w:space="0" w:color="auto"/>
                    <w:right w:val="none" w:sz="0" w:space="0" w:color="auto"/>
                  </w:divBdr>
                </w:div>
              </w:divsChild>
            </w:div>
            <w:div w:id="39063326">
              <w:marLeft w:val="0"/>
              <w:marRight w:val="0"/>
              <w:marTop w:val="0"/>
              <w:marBottom w:val="0"/>
              <w:divBdr>
                <w:top w:val="none" w:sz="0" w:space="0" w:color="auto"/>
                <w:left w:val="none" w:sz="0" w:space="0" w:color="auto"/>
                <w:bottom w:val="none" w:sz="0" w:space="0" w:color="auto"/>
                <w:right w:val="none" w:sz="0" w:space="0" w:color="auto"/>
              </w:divBdr>
              <w:divsChild>
                <w:div w:id="1062871576">
                  <w:marLeft w:val="0"/>
                  <w:marRight w:val="0"/>
                  <w:marTop w:val="0"/>
                  <w:marBottom w:val="0"/>
                  <w:divBdr>
                    <w:top w:val="none" w:sz="0" w:space="0" w:color="auto"/>
                    <w:left w:val="none" w:sz="0" w:space="0" w:color="auto"/>
                    <w:bottom w:val="none" w:sz="0" w:space="0" w:color="auto"/>
                    <w:right w:val="none" w:sz="0" w:space="0" w:color="auto"/>
                  </w:divBdr>
                </w:div>
              </w:divsChild>
            </w:div>
            <w:div w:id="507910441">
              <w:marLeft w:val="0"/>
              <w:marRight w:val="0"/>
              <w:marTop w:val="0"/>
              <w:marBottom w:val="0"/>
              <w:divBdr>
                <w:top w:val="none" w:sz="0" w:space="0" w:color="auto"/>
                <w:left w:val="none" w:sz="0" w:space="0" w:color="auto"/>
                <w:bottom w:val="none" w:sz="0" w:space="0" w:color="auto"/>
                <w:right w:val="none" w:sz="0" w:space="0" w:color="auto"/>
              </w:divBdr>
              <w:divsChild>
                <w:div w:id="107042583">
                  <w:marLeft w:val="0"/>
                  <w:marRight w:val="0"/>
                  <w:marTop w:val="0"/>
                  <w:marBottom w:val="0"/>
                  <w:divBdr>
                    <w:top w:val="none" w:sz="0" w:space="0" w:color="auto"/>
                    <w:left w:val="none" w:sz="0" w:space="0" w:color="auto"/>
                    <w:bottom w:val="none" w:sz="0" w:space="0" w:color="auto"/>
                    <w:right w:val="none" w:sz="0" w:space="0" w:color="auto"/>
                  </w:divBdr>
                </w:div>
              </w:divsChild>
            </w:div>
            <w:div w:id="679741585">
              <w:marLeft w:val="0"/>
              <w:marRight w:val="0"/>
              <w:marTop w:val="0"/>
              <w:marBottom w:val="0"/>
              <w:divBdr>
                <w:top w:val="none" w:sz="0" w:space="0" w:color="auto"/>
                <w:left w:val="none" w:sz="0" w:space="0" w:color="auto"/>
                <w:bottom w:val="none" w:sz="0" w:space="0" w:color="auto"/>
                <w:right w:val="none" w:sz="0" w:space="0" w:color="auto"/>
              </w:divBdr>
              <w:divsChild>
                <w:div w:id="1196237320">
                  <w:marLeft w:val="0"/>
                  <w:marRight w:val="0"/>
                  <w:marTop w:val="0"/>
                  <w:marBottom w:val="0"/>
                  <w:divBdr>
                    <w:top w:val="none" w:sz="0" w:space="0" w:color="auto"/>
                    <w:left w:val="none" w:sz="0" w:space="0" w:color="auto"/>
                    <w:bottom w:val="none" w:sz="0" w:space="0" w:color="auto"/>
                    <w:right w:val="none" w:sz="0" w:space="0" w:color="auto"/>
                  </w:divBdr>
                </w:div>
              </w:divsChild>
            </w:div>
            <w:div w:id="1940403773">
              <w:marLeft w:val="0"/>
              <w:marRight w:val="0"/>
              <w:marTop w:val="0"/>
              <w:marBottom w:val="0"/>
              <w:divBdr>
                <w:top w:val="none" w:sz="0" w:space="0" w:color="auto"/>
                <w:left w:val="none" w:sz="0" w:space="0" w:color="auto"/>
                <w:bottom w:val="none" w:sz="0" w:space="0" w:color="auto"/>
                <w:right w:val="none" w:sz="0" w:space="0" w:color="auto"/>
              </w:divBdr>
              <w:divsChild>
                <w:div w:id="1013344333">
                  <w:marLeft w:val="0"/>
                  <w:marRight w:val="0"/>
                  <w:marTop w:val="0"/>
                  <w:marBottom w:val="0"/>
                  <w:divBdr>
                    <w:top w:val="none" w:sz="0" w:space="0" w:color="auto"/>
                    <w:left w:val="none" w:sz="0" w:space="0" w:color="auto"/>
                    <w:bottom w:val="none" w:sz="0" w:space="0" w:color="auto"/>
                    <w:right w:val="none" w:sz="0" w:space="0" w:color="auto"/>
                  </w:divBdr>
                </w:div>
              </w:divsChild>
            </w:div>
            <w:div w:id="716973812">
              <w:marLeft w:val="0"/>
              <w:marRight w:val="0"/>
              <w:marTop w:val="0"/>
              <w:marBottom w:val="0"/>
              <w:divBdr>
                <w:top w:val="none" w:sz="0" w:space="0" w:color="auto"/>
                <w:left w:val="none" w:sz="0" w:space="0" w:color="auto"/>
                <w:bottom w:val="none" w:sz="0" w:space="0" w:color="auto"/>
                <w:right w:val="none" w:sz="0" w:space="0" w:color="auto"/>
              </w:divBdr>
              <w:divsChild>
                <w:div w:id="1635259314">
                  <w:marLeft w:val="0"/>
                  <w:marRight w:val="0"/>
                  <w:marTop w:val="0"/>
                  <w:marBottom w:val="0"/>
                  <w:divBdr>
                    <w:top w:val="none" w:sz="0" w:space="0" w:color="auto"/>
                    <w:left w:val="none" w:sz="0" w:space="0" w:color="auto"/>
                    <w:bottom w:val="none" w:sz="0" w:space="0" w:color="auto"/>
                    <w:right w:val="none" w:sz="0" w:space="0" w:color="auto"/>
                  </w:divBdr>
                </w:div>
              </w:divsChild>
            </w:div>
            <w:div w:id="327443352">
              <w:marLeft w:val="0"/>
              <w:marRight w:val="0"/>
              <w:marTop w:val="0"/>
              <w:marBottom w:val="0"/>
              <w:divBdr>
                <w:top w:val="none" w:sz="0" w:space="0" w:color="auto"/>
                <w:left w:val="none" w:sz="0" w:space="0" w:color="auto"/>
                <w:bottom w:val="none" w:sz="0" w:space="0" w:color="auto"/>
                <w:right w:val="none" w:sz="0" w:space="0" w:color="auto"/>
              </w:divBdr>
              <w:divsChild>
                <w:div w:id="1604071995">
                  <w:marLeft w:val="0"/>
                  <w:marRight w:val="0"/>
                  <w:marTop w:val="0"/>
                  <w:marBottom w:val="0"/>
                  <w:divBdr>
                    <w:top w:val="none" w:sz="0" w:space="0" w:color="auto"/>
                    <w:left w:val="none" w:sz="0" w:space="0" w:color="auto"/>
                    <w:bottom w:val="none" w:sz="0" w:space="0" w:color="auto"/>
                    <w:right w:val="none" w:sz="0" w:space="0" w:color="auto"/>
                  </w:divBdr>
                </w:div>
              </w:divsChild>
            </w:div>
            <w:div w:id="263080888">
              <w:marLeft w:val="0"/>
              <w:marRight w:val="0"/>
              <w:marTop w:val="0"/>
              <w:marBottom w:val="0"/>
              <w:divBdr>
                <w:top w:val="none" w:sz="0" w:space="0" w:color="auto"/>
                <w:left w:val="none" w:sz="0" w:space="0" w:color="auto"/>
                <w:bottom w:val="none" w:sz="0" w:space="0" w:color="auto"/>
                <w:right w:val="none" w:sz="0" w:space="0" w:color="auto"/>
              </w:divBdr>
              <w:divsChild>
                <w:div w:id="1559970791">
                  <w:marLeft w:val="0"/>
                  <w:marRight w:val="0"/>
                  <w:marTop w:val="0"/>
                  <w:marBottom w:val="0"/>
                  <w:divBdr>
                    <w:top w:val="none" w:sz="0" w:space="0" w:color="auto"/>
                    <w:left w:val="none" w:sz="0" w:space="0" w:color="auto"/>
                    <w:bottom w:val="none" w:sz="0" w:space="0" w:color="auto"/>
                    <w:right w:val="none" w:sz="0" w:space="0" w:color="auto"/>
                  </w:divBdr>
                </w:div>
              </w:divsChild>
            </w:div>
            <w:div w:id="464466004">
              <w:marLeft w:val="0"/>
              <w:marRight w:val="0"/>
              <w:marTop w:val="0"/>
              <w:marBottom w:val="0"/>
              <w:divBdr>
                <w:top w:val="none" w:sz="0" w:space="0" w:color="auto"/>
                <w:left w:val="none" w:sz="0" w:space="0" w:color="auto"/>
                <w:bottom w:val="none" w:sz="0" w:space="0" w:color="auto"/>
                <w:right w:val="none" w:sz="0" w:space="0" w:color="auto"/>
              </w:divBdr>
              <w:divsChild>
                <w:div w:id="1618637192">
                  <w:marLeft w:val="0"/>
                  <w:marRight w:val="0"/>
                  <w:marTop w:val="0"/>
                  <w:marBottom w:val="0"/>
                  <w:divBdr>
                    <w:top w:val="none" w:sz="0" w:space="0" w:color="auto"/>
                    <w:left w:val="none" w:sz="0" w:space="0" w:color="auto"/>
                    <w:bottom w:val="none" w:sz="0" w:space="0" w:color="auto"/>
                    <w:right w:val="none" w:sz="0" w:space="0" w:color="auto"/>
                  </w:divBdr>
                </w:div>
              </w:divsChild>
            </w:div>
            <w:div w:id="586115240">
              <w:marLeft w:val="0"/>
              <w:marRight w:val="0"/>
              <w:marTop w:val="0"/>
              <w:marBottom w:val="0"/>
              <w:divBdr>
                <w:top w:val="none" w:sz="0" w:space="0" w:color="auto"/>
                <w:left w:val="none" w:sz="0" w:space="0" w:color="auto"/>
                <w:bottom w:val="none" w:sz="0" w:space="0" w:color="auto"/>
                <w:right w:val="none" w:sz="0" w:space="0" w:color="auto"/>
              </w:divBdr>
              <w:divsChild>
                <w:div w:id="754589108">
                  <w:marLeft w:val="0"/>
                  <w:marRight w:val="0"/>
                  <w:marTop w:val="0"/>
                  <w:marBottom w:val="0"/>
                  <w:divBdr>
                    <w:top w:val="none" w:sz="0" w:space="0" w:color="auto"/>
                    <w:left w:val="none" w:sz="0" w:space="0" w:color="auto"/>
                    <w:bottom w:val="none" w:sz="0" w:space="0" w:color="auto"/>
                    <w:right w:val="none" w:sz="0" w:space="0" w:color="auto"/>
                  </w:divBdr>
                </w:div>
              </w:divsChild>
            </w:div>
            <w:div w:id="2006469923">
              <w:marLeft w:val="0"/>
              <w:marRight w:val="0"/>
              <w:marTop w:val="0"/>
              <w:marBottom w:val="0"/>
              <w:divBdr>
                <w:top w:val="none" w:sz="0" w:space="0" w:color="auto"/>
                <w:left w:val="none" w:sz="0" w:space="0" w:color="auto"/>
                <w:bottom w:val="none" w:sz="0" w:space="0" w:color="auto"/>
                <w:right w:val="none" w:sz="0" w:space="0" w:color="auto"/>
              </w:divBdr>
              <w:divsChild>
                <w:div w:id="220673314">
                  <w:marLeft w:val="0"/>
                  <w:marRight w:val="0"/>
                  <w:marTop w:val="0"/>
                  <w:marBottom w:val="0"/>
                  <w:divBdr>
                    <w:top w:val="none" w:sz="0" w:space="0" w:color="auto"/>
                    <w:left w:val="none" w:sz="0" w:space="0" w:color="auto"/>
                    <w:bottom w:val="none" w:sz="0" w:space="0" w:color="auto"/>
                    <w:right w:val="none" w:sz="0" w:space="0" w:color="auto"/>
                  </w:divBdr>
                </w:div>
              </w:divsChild>
            </w:div>
            <w:div w:id="366106273">
              <w:marLeft w:val="0"/>
              <w:marRight w:val="0"/>
              <w:marTop w:val="0"/>
              <w:marBottom w:val="0"/>
              <w:divBdr>
                <w:top w:val="none" w:sz="0" w:space="0" w:color="auto"/>
                <w:left w:val="none" w:sz="0" w:space="0" w:color="auto"/>
                <w:bottom w:val="none" w:sz="0" w:space="0" w:color="auto"/>
                <w:right w:val="none" w:sz="0" w:space="0" w:color="auto"/>
              </w:divBdr>
              <w:divsChild>
                <w:div w:id="1675575314">
                  <w:marLeft w:val="0"/>
                  <w:marRight w:val="0"/>
                  <w:marTop w:val="0"/>
                  <w:marBottom w:val="0"/>
                  <w:divBdr>
                    <w:top w:val="none" w:sz="0" w:space="0" w:color="auto"/>
                    <w:left w:val="none" w:sz="0" w:space="0" w:color="auto"/>
                    <w:bottom w:val="none" w:sz="0" w:space="0" w:color="auto"/>
                    <w:right w:val="none" w:sz="0" w:space="0" w:color="auto"/>
                  </w:divBdr>
                </w:div>
              </w:divsChild>
            </w:div>
            <w:div w:id="1540779114">
              <w:marLeft w:val="0"/>
              <w:marRight w:val="0"/>
              <w:marTop w:val="0"/>
              <w:marBottom w:val="0"/>
              <w:divBdr>
                <w:top w:val="none" w:sz="0" w:space="0" w:color="auto"/>
                <w:left w:val="none" w:sz="0" w:space="0" w:color="auto"/>
                <w:bottom w:val="none" w:sz="0" w:space="0" w:color="auto"/>
                <w:right w:val="none" w:sz="0" w:space="0" w:color="auto"/>
              </w:divBdr>
              <w:divsChild>
                <w:div w:id="1973436776">
                  <w:marLeft w:val="0"/>
                  <w:marRight w:val="0"/>
                  <w:marTop w:val="0"/>
                  <w:marBottom w:val="0"/>
                  <w:divBdr>
                    <w:top w:val="none" w:sz="0" w:space="0" w:color="auto"/>
                    <w:left w:val="none" w:sz="0" w:space="0" w:color="auto"/>
                    <w:bottom w:val="none" w:sz="0" w:space="0" w:color="auto"/>
                    <w:right w:val="none" w:sz="0" w:space="0" w:color="auto"/>
                  </w:divBdr>
                </w:div>
              </w:divsChild>
            </w:div>
            <w:div w:id="1106510162">
              <w:marLeft w:val="0"/>
              <w:marRight w:val="0"/>
              <w:marTop w:val="0"/>
              <w:marBottom w:val="0"/>
              <w:divBdr>
                <w:top w:val="none" w:sz="0" w:space="0" w:color="auto"/>
                <w:left w:val="none" w:sz="0" w:space="0" w:color="auto"/>
                <w:bottom w:val="none" w:sz="0" w:space="0" w:color="auto"/>
                <w:right w:val="none" w:sz="0" w:space="0" w:color="auto"/>
              </w:divBdr>
              <w:divsChild>
                <w:div w:id="1436754745">
                  <w:marLeft w:val="0"/>
                  <w:marRight w:val="0"/>
                  <w:marTop w:val="0"/>
                  <w:marBottom w:val="0"/>
                  <w:divBdr>
                    <w:top w:val="none" w:sz="0" w:space="0" w:color="auto"/>
                    <w:left w:val="none" w:sz="0" w:space="0" w:color="auto"/>
                    <w:bottom w:val="none" w:sz="0" w:space="0" w:color="auto"/>
                    <w:right w:val="none" w:sz="0" w:space="0" w:color="auto"/>
                  </w:divBdr>
                </w:div>
              </w:divsChild>
            </w:div>
            <w:div w:id="2010329199">
              <w:marLeft w:val="0"/>
              <w:marRight w:val="0"/>
              <w:marTop w:val="0"/>
              <w:marBottom w:val="0"/>
              <w:divBdr>
                <w:top w:val="none" w:sz="0" w:space="0" w:color="auto"/>
                <w:left w:val="none" w:sz="0" w:space="0" w:color="auto"/>
                <w:bottom w:val="none" w:sz="0" w:space="0" w:color="auto"/>
                <w:right w:val="none" w:sz="0" w:space="0" w:color="auto"/>
              </w:divBdr>
              <w:divsChild>
                <w:div w:id="924344897">
                  <w:marLeft w:val="0"/>
                  <w:marRight w:val="0"/>
                  <w:marTop w:val="0"/>
                  <w:marBottom w:val="0"/>
                  <w:divBdr>
                    <w:top w:val="none" w:sz="0" w:space="0" w:color="auto"/>
                    <w:left w:val="none" w:sz="0" w:space="0" w:color="auto"/>
                    <w:bottom w:val="none" w:sz="0" w:space="0" w:color="auto"/>
                    <w:right w:val="none" w:sz="0" w:space="0" w:color="auto"/>
                  </w:divBdr>
                </w:div>
              </w:divsChild>
            </w:div>
            <w:div w:id="1123039075">
              <w:marLeft w:val="0"/>
              <w:marRight w:val="0"/>
              <w:marTop w:val="0"/>
              <w:marBottom w:val="0"/>
              <w:divBdr>
                <w:top w:val="none" w:sz="0" w:space="0" w:color="auto"/>
                <w:left w:val="none" w:sz="0" w:space="0" w:color="auto"/>
                <w:bottom w:val="none" w:sz="0" w:space="0" w:color="auto"/>
                <w:right w:val="none" w:sz="0" w:space="0" w:color="auto"/>
              </w:divBdr>
              <w:divsChild>
                <w:div w:id="848567156">
                  <w:marLeft w:val="0"/>
                  <w:marRight w:val="0"/>
                  <w:marTop w:val="0"/>
                  <w:marBottom w:val="0"/>
                  <w:divBdr>
                    <w:top w:val="none" w:sz="0" w:space="0" w:color="auto"/>
                    <w:left w:val="none" w:sz="0" w:space="0" w:color="auto"/>
                    <w:bottom w:val="none" w:sz="0" w:space="0" w:color="auto"/>
                    <w:right w:val="none" w:sz="0" w:space="0" w:color="auto"/>
                  </w:divBdr>
                </w:div>
              </w:divsChild>
            </w:div>
            <w:div w:id="502621526">
              <w:marLeft w:val="0"/>
              <w:marRight w:val="0"/>
              <w:marTop w:val="0"/>
              <w:marBottom w:val="0"/>
              <w:divBdr>
                <w:top w:val="none" w:sz="0" w:space="0" w:color="auto"/>
                <w:left w:val="none" w:sz="0" w:space="0" w:color="auto"/>
                <w:bottom w:val="none" w:sz="0" w:space="0" w:color="auto"/>
                <w:right w:val="none" w:sz="0" w:space="0" w:color="auto"/>
              </w:divBdr>
              <w:divsChild>
                <w:div w:id="2008090432">
                  <w:marLeft w:val="0"/>
                  <w:marRight w:val="0"/>
                  <w:marTop w:val="0"/>
                  <w:marBottom w:val="0"/>
                  <w:divBdr>
                    <w:top w:val="none" w:sz="0" w:space="0" w:color="auto"/>
                    <w:left w:val="none" w:sz="0" w:space="0" w:color="auto"/>
                    <w:bottom w:val="none" w:sz="0" w:space="0" w:color="auto"/>
                    <w:right w:val="none" w:sz="0" w:space="0" w:color="auto"/>
                  </w:divBdr>
                </w:div>
              </w:divsChild>
            </w:div>
            <w:div w:id="1870801496">
              <w:marLeft w:val="0"/>
              <w:marRight w:val="0"/>
              <w:marTop w:val="0"/>
              <w:marBottom w:val="0"/>
              <w:divBdr>
                <w:top w:val="none" w:sz="0" w:space="0" w:color="auto"/>
                <w:left w:val="none" w:sz="0" w:space="0" w:color="auto"/>
                <w:bottom w:val="none" w:sz="0" w:space="0" w:color="auto"/>
                <w:right w:val="none" w:sz="0" w:space="0" w:color="auto"/>
              </w:divBdr>
              <w:divsChild>
                <w:div w:id="1119879771">
                  <w:marLeft w:val="0"/>
                  <w:marRight w:val="0"/>
                  <w:marTop w:val="0"/>
                  <w:marBottom w:val="0"/>
                  <w:divBdr>
                    <w:top w:val="none" w:sz="0" w:space="0" w:color="auto"/>
                    <w:left w:val="none" w:sz="0" w:space="0" w:color="auto"/>
                    <w:bottom w:val="none" w:sz="0" w:space="0" w:color="auto"/>
                    <w:right w:val="none" w:sz="0" w:space="0" w:color="auto"/>
                  </w:divBdr>
                </w:div>
              </w:divsChild>
            </w:div>
            <w:div w:id="1467897149">
              <w:marLeft w:val="0"/>
              <w:marRight w:val="0"/>
              <w:marTop w:val="0"/>
              <w:marBottom w:val="0"/>
              <w:divBdr>
                <w:top w:val="none" w:sz="0" w:space="0" w:color="auto"/>
                <w:left w:val="none" w:sz="0" w:space="0" w:color="auto"/>
                <w:bottom w:val="none" w:sz="0" w:space="0" w:color="auto"/>
                <w:right w:val="none" w:sz="0" w:space="0" w:color="auto"/>
              </w:divBdr>
              <w:divsChild>
                <w:div w:id="2093772546">
                  <w:marLeft w:val="0"/>
                  <w:marRight w:val="0"/>
                  <w:marTop w:val="0"/>
                  <w:marBottom w:val="0"/>
                  <w:divBdr>
                    <w:top w:val="none" w:sz="0" w:space="0" w:color="auto"/>
                    <w:left w:val="none" w:sz="0" w:space="0" w:color="auto"/>
                    <w:bottom w:val="none" w:sz="0" w:space="0" w:color="auto"/>
                    <w:right w:val="none" w:sz="0" w:space="0" w:color="auto"/>
                  </w:divBdr>
                </w:div>
              </w:divsChild>
            </w:div>
            <w:div w:id="2075658987">
              <w:marLeft w:val="0"/>
              <w:marRight w:val="0"/>
              <w:marTop w:val="0"/>
              <w:marBottom w:val="0"/>
              <w:divBdr>
                <w:top w:val="none" w:sz="0" w:space="0" w:color="auto"/>
                <w:left w:val="none" w:sz="0" w:space="0" w:color="auto"/>
                <w:bottom w:val="none" w:sz="0" w:space="0" w:color="auto"/>
                <w:right w:val="none" w:sz="0" w:space="0" w:color="auto"/>
              </w:divBdr>
              <w:divsChild>
                <w:div w:id="578058812">
                  <w:marLeft w:val="0"/>
                  <w:marRight w:val="0"/>
                  <w:marTop w:val="0"/>
                  <w:marBottom w:val="0"/>
                  <w:divBdr>
                    <w:top w:val="none" w:sz="0" w:space="0" w:color="auto"/>
                    <w:left w:val="none" w:sz="0" w:space="0" w:color="auto"/>
                    <w:bottom w:val="none" w:sz="0" w:space="0" w:color="auto"/>
                    <w:right w:val="none" w:sz="0" w:space="0" w:color="auto"/>
                  </w:divBdr>
                </w:div>
              </w:divsChild>
            </w:div>
            <w:div w:id="1738238516">
              <w:marLeft w:val="0"/>
              <w:marRight w:val="0"/>
              <w:marTop w:val="0"/>
              <w:marBottom w:val="0"/>
              <w:divBdr>
                <w:top w:val="none" w:sz="0" w:space="0" w:color="auto"/>
                <w:left w:val="none" w:sz="0" w:space="0" w:color="auto"/>
                <w:bottom w:val="none" w:sz="0" w:space="0" w:color="auto"/>
                <w:right w:val="none" w:sz="0" w:space="0" w:color="auto"/>
              </w:divBdr>
              <w:divsChild>
                <w:div w:id="1852449240">
                  <w:marLeft w:val="0"/>
                  <w:marRight w:val="0"/>
                  <w:marTop w:val="0"/>
                  <w:marBottom w:val="0"/>
                  <w:divBdr>
                    <w:top w:val="none" w:sz="0" w:space="0" w:color="auto"/>
                    <w:left w:val="none" w:sz="0" w:space="0" w:color="auto"/>
                    <w:bottom w:val="none" w:sz="0" w:space="0" w:color="auto"/>
                    <w:right w:val="none" w:sz="0" w:space="0" w:color="auto"/>
                  </w:divBdr>
                </w:div>
              </w:divsChild>
            </w:div>
            <w:div w:id="1740053085">
              <w:marLeft w:val="0"/>
              <w:marRight w:val="0"/>
              <w:marTop w:val="0"/>
              <w:marBottom w:val="0"/>
              <w:divBdr>
                <w:top w:val="none" w:sz="0" w:space="0" w:color="auto"/>
                <w:left w:val="none" w:sz="0" w:space="0" w:color="auto"/>
                <w:bottom w:val="none" w:sz="0" w:space="0" w:color="auto"/>
                <w:right w:val="none" w:sz="0" w:space="0" w:color="auto"/>
              </w:divBdr>
              <w:divsChild>
                <w:div w:id="2117286478">
                  <w:marLeft w:val="0"/>
                  <w:marRight w:val="0"/>
                  <w:marTop w:val="0"/>
                  <w:marBottom w:val="0"/>
                  <w:divBdr>
                    <w:top w:val="none" w:sz="0" w:space="0" w:color="auto"/>
                    <w:left w:val="none" w:sz="0" w:space="0" w:color="auto"/>
                    <w:bottom w:val="none" w:sz="0" w:space="0" w:color="auto"/>
                    <w:right w:val="none" w:sz="0" w:space="0" w:color="auto"/>
                  </w:divBdr>
                </w:div>
              </w:divsChild>
            </w:div>
            <w:div w:id="1365212556">
              <w:marLeft w:val="0"/>
              <w:marRight w:val="0"/>
              <w:marTop w:val="0"/>
              <w:marBottom w:val="0"/>
              <w:divBdr>
                <w:top w:val="none" w:sz="0" w:space="0" w:color="auto"/>
                <w:left w:val="none" w:sz="0" w:space="0" w:color="auto"/>
                <w:bottom w:val="none" w:sz="0" w:space="0" w:color="auto"/>
                <w:right w:val="none" w:sz="0" w:space="0" w:color="auto"/>
              </w:divBdr>
              <w:divsChild>
                <w:div w:id="1958676913">
                  <w:marLeft w:val="0"/>
                  <w:marRight w:val="0"/>
                  <w:marTop w:val="0"/>
                  <w:marBottom w:val="0"/>
                  <w:divBdr>
                    <w:top w:val="none" w:sz="0" w:space="0" w:color="auto"/>
                    <w:left w:val="none" w:sz="0" w:space="0" w:color="auto"/>
                    <w:bottom w:val="none" w:sz="0" w:space="0" w:color="auto"/>
                    <w:right w:val="none" w:sz="0" w:space="0" w:color="auto"/>
                  </w:divBdr>
                </w:div>
              </w:divsChild>
            </w:div>
            <w:div w:id="1009481973">
              <w:marLeft w:val="0"/>
              <w:marRight w:val="0"/>
              <w:marTop w:val="0"/>
              <w:marBottom w:val="0"/>
              <w:divBdr>
                <w:top w:val="none" w:sz="0" w:space="0" w:color="auto"/>
                <w:left w:val="none" w:sz="0" w:space="0" w:color="auto"/>
                <w:bottom w:val="none" w:sz="0" w:space="0" w:color="auto"/>
                <w:right w:val="none" w:sz="0" w:space="0" w:color="auto"/>
              </w:divBdr>
              <w:divsChild>
                <w:div w:id="2197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8515">
          <w:marLeft w:val="0"/>
          <w:marRight w:val="0"/>
          <w:marTop w:val="0"/>
          <w:marBottom w:val="600"/>
          <w:divBdr>
            <w:top w:val="none" w:sz="0" w:space="0" w:color="auto"/>
            <w:left w:val="none" w:sz="0" w:space="0" w:color="auto"/>
            <w:bottom w:val="none" w:sz="0" w:space="0" w:color="auto"/>
            <w:right w:val="none" w:sz="0" w:space="0" w:color="auto"/>
          </w:divBdr>
        </w:div>
      </w:divsChild>
    </w:div>
    <w:div w:id="657416545">
      <w:marLeft w:val="0"/>
      <w:marRight w:val="0"/>
      <w:marTop w:val="0"/>
      <w:marBottom w:val="0"/>
      <w:divBdr>
        <w:top w:val="none" w:sz="0" w:space="0" w:color="auto"/>
        <w:left w:val="none" w:sz="0" w:space="0" w:color="auto"/>
        <w:bottom w:val="none" w:sz="0" w:space="0" w:color="auto"/>
        <w:right w:val="none" w:sz="0" w:space="0" w:color="auto"/>
      </w:divBdr>
      <w:divsChild>
        <w:div w:id="2063826133">
          <w:marLeft w:val="0"/>
          <w:marRight w:val="0"/>
          <w:marTop w:val="432"/>
          <w:marBottom w:val="0"/>
          <w:divBdr>
            <w:top w:val="none" w:sz="0" w:space="0" w:color="auto"/>
            <w:left w:val="none" w:sz="0" w:space="0" w:color="auto"/>
            <w:bottom w:val="none" w:sz="0" w:space="0" w:color="auto"/>
            <w:right w:val="none" w:sz="0" w:space="0" w:color="auto"/>
          </w:divBdr>
        </w:div>
        <w:div w:id="1223562576">
          <w:marLeft w:val="0"/>
          <w:marRight w:val="0"/>
          <w:marTop w:val="0"/>
          <w:marBottom w:val="0"/>
          <w:divBdr>
            <w:top w:val="none" w:sz="0" w:space="0" w:color="auto"/>
            <w:left w:val="none" w:sz="0" w:space="0" w:color="auto"/>
            <w:bottom w:val="none" w:sz="0" w:space="0" w:color="auto"/>
            <w:right w:val="none" w:sz="0" w:space="0" w:color="auto"/>
          </w:divBdr>
          <w:divsChild>
            <w:div w:id="303511055">
              <w:marLeft w:val="0"/>
              <w:marRight w:val="0"/>
              <w:marTop w:val="0"/>
              <w:marBottom w:val="0"/>
              <w:divBdr>
                <w:top w:val="none" w:sz="0" w:space="0" w:color="auto"/>
                <w:left w:val="none" w:sz="0" w:space="0" w:color="auto"/>
                <w:bottom w:val="none" w:sz="0" w:space="0" w:color="auto"/>
                <w:right w:val="none" w:sz="0" w:space="0" w:color="auto"/>
              </w:divBdr>
              <w:divsChild>
                <w:div w:id="877861313">
                  <w:marLeft w:val="0"/>
                  <w:marRight w:val="0"/>
                  <w:marTop w:val="0"/>
                  <w:marBottom w:val="0"/>
                  <w:divBdr>
                    <w:top w:val="none" w:sz="0" w:space="0" w:color="auto"/>
                    <w:left w:val="none" w:sz="0" w:space="0" w:color="auto"/>
                    <w:bottom w:val="none" w:sz="0" w:space="0" w:color="auto"/>
                    <w:right w:val="none" w:sz="0" w:space="0" w:color="auto"/>
                  </w:divBdr>
                </w:div>
              </w:divsChild>
            </w:div>
            <w:div w:id="1331300460">
              <w:marLeft w:val="0"/>
              <w:marRight w:val="0"/>
              <w:marTop w:val="0"/>
              <w:marBottom w:val="0"/>
              <w:divBdr>
                <w:top w:val="none" w:sz="0" w:space="0" w:color="auto"/>
                <w:left w:val="none" w:sz="0" w:space="0" w:color="auto"/>
                <w:bottom w:val="none" w:sz="0" w:space="0" w:color="auto"/>
                <w:right w:val="none" w:sz="0" w:space="0" w:color="auto"/>
              </w:divBdr>
              <w:divsChild>
                <w:div w:id="3359901">
                  <w:marLeft w:val="0"/>
                  <w:marRight w:val="0"/>
                  <w:marTop w:val="0"/>
                  <w:marBottom w:val="0"/>
                  <w:divBdr>
                    <w:top w:val="none" w:sz="0" w:space="0" w:color="auto"/>
                    <w:left w:val="none" w:sz="0" w:space="0" w:color="auto"/>
                    <w:bottom w:val="none" w:sz="0" w:space="0" w:color="auto"/>
                    <w:right w:val="none" w:sz="0" w:space="0" w:color="auto"/>
                  </w:divBdr>
                </w:div>
              </w:divsChild>
            </w:div>
            <w:div w:id="1470828379">
              <w:marLeft w:val="0"/>
              <w:marRight w:val="0"/>
              <w:marTop w:val="0"/>
              <w:marBottom w:val="0"/>
              <w:divBdr>
                <w:top w:val="none" w:sz="0" w:space="0" w:color="auto"/>
                <w:left w:val="none" w:sz="0" w:space="0" w:color="auto"/>
                <w:bottom w:val="none" w:sz="0" w:space="0" w:color="auto"/>
                <w:right w:val="none" w:sz="0" w:space="0" w:color="auto"/>
              </w:divBdr>
              <w:divsChild>
                <w:div w:id="608854732">
                  <w:marLeft w:val="0"/>
                  <w:marRight w:val="0"/>
                  <w:marTop w:val="0"/>
                  <w:marBottom w:val="0"/>
                  <w:divBdr>
                    <w:top w:val="none" w:sz="0" w:space="0" w:color="auto"/>
                    <w:left w:val="none" w:sz="0" w:space="0" w:color="auto"/>
                    <w:bottom w:val="none" w:sz="0" w:space="0" w:color="auto"/>
                    <w:right w:val="none" w:sz="0" w:space="0" w:color="auto"/>
                  </w:divBdr>
                </w:div>
              </w:divsChild>
            </w:div>
            <w:div w:id="1358392447">
              <w:marLeft w:val="0"/>
              <w:marRight w:val="0"/>
              <w:marTop w:val="0"/>
              <w:marBottom w:val="0"/>
              <w:divBdr>
                <w:top w:val="none" w:sz="0" w:space="0" w:color="auto"/>
                <w:left w:val="none" w:sz="0" w:space="0" w:color="auto"/>
                <w:bottom w:val="none" w:sz="0" w:space="0" w:color="auto"/>
                <w:right w:val="none" w:sz="0" w:space="0" w:color="auto"/>
              </w:divBdr>
              <w:divsChild>
                <w:div w:id="572206746">
                  <w:marLeft w:val="0"/>
                  <w:marRight w:val="0"/>
                  <w:marTop w:val="0"/>
                  <w:marBottom w:val="0"/>
                  <w:divBdr>
                    <w:top w:val="none" w:sz="0" w:space="0" w:color="auto"/>
                    <w:left w:val="none" w:sz="0" w:space="0" w:color="auto"/>
                    <w:bottom w:val="none" w:sz="0" w:space="0" w:color="auto"/>
                    <w:right w:val="none" w:sz="0" w:space="0" w:color="auto"/>
                  </w:divBdr>
                </w:div>
              </w:divsChild>
            </w:div>
            <w:div w:id="520049040">
              <w:marLeft w:val="0"/>
              <w:marRight w:val="0"/>
              <w:marTop w:val="0"/>
              <w:marBottom w:val="0"/>
              <w:divBdr>
                <w:top w:val="none" w:sz="0" w:space="0" w:color="auto"/>
                <w:left w:val="none" w:sz="0" w:space="0" w:color="auto"/>
                <w:bottom w:val="none" w:sz="0" w:space="0" w:color="auto"/>
                <w:right w:val="none" w:sz="0" w:space="0" w:color="auto"/>
              </w:divBdr>
              <w:divsChild>
                <w:div w:id="1510215815">
                  <w:marLeft w:val="0"/>
                  <w:marRight w:val="0"/>
                  <w:marTop w:val="0"/>
                  <w:marBottom w:val="0"/>
                  <w:divBdr>
                    <w:top w:val="none" w:sz="0" w:space="0" w:color="auto"/>
                    <w:left w:val="none" w:sz="0" w:space="0" w:color="auto"/>
                    <w:bottom w:val="none" w:sz="0" w:space="0" w:color="auto"/>
                    <w:right w:val="none" w:sz="0" w:space="0" w:color="auto"/>
                  </w:divBdr>
                </w:div>
              </w:divsChild>
            </w:div>
            <w:div w:id="15153559">
              <w:marLeft w:val="0"/>
              <w:marRight w:val="0"/>
              <w:marTop w:val="0"/>
              <w:marBottom w:val="0"/>
              <w:divBdr>
                <w:top w:val="none" w:sz="0" w:space="0" w:color="auto"/>
                <w:left w:val="none" w:sz="0" w:space="0" w:color="auto"/>
                <w:bottom w:val="none" w:sz="0" w:space="0" w:color="auto"/>
                <w:right w:val="none" w:sz="0" w:space="0" w:color="auto"/>
              </w:divBdr>
              <w:divsChild>
                <w:div w:id="609168534">
                  <w:marLeft w:val="0"/>
                  <w:marRight w:val="0"/>
                  <w:marTop w:val="0"/>
                  <w:marBottom w:val="0"/>
                  <w:divBdr>
                    <w:top w:val="none" w:sz="0" w:space="0" w:color="auto"/>
                    <w:left w:val="none" w:sz="0" w:space="0" w:color="auto"/>
                    <w:bottom w:val="none" w:sz="0" w:space="0" w:color="auto"/>
                    <w:right w:val="none" w:sz="0" w:space="0" w:color="auto"/>
                  </w:divBdr>
                </w:div>
              </w:divsChild>
            </w:div>
            <w:div w:id="1005324100">
              <w:marLeft w:val="0"/>
              <w:marRight w:val="0"/>
              <w:marTop w:val="0"/>
              <w:marBottom w:val="0"/>
              <w:divBdr>
                <w:top w:val="none" w:sz="0" w:space="0" w:color="auto"/>
                <w:left w:val="none" w:sz="0" w:space="0" w:color="auto"/>
                <w:bottom w:val="none" w:sz="0" w:space="0" w:color="auto"/>
                <w:right w:val="none" w:sz="0" w:space="0" w:color="auto"/>
              </w:divBdr>
              <w:divsChild>
                <w:div w:id="1540242888">
                  <w:marLeft w:val="0"/>
                  <w:marRight w:val="0"/>
                  <w:marTop w:val="0"/>
                  <w:marBottom w:val="0"/>
                  <w:divBdr>
                    <w:top w:val="none" w:sz="0" w:space="0" w:color="auto"/>
                    <w:left w:val="none" w:sz="0" w:space="0" w:color="auto"/>
                    <w:bottom w:val="none" w:sz="0" w:space="0" w:color="auto"/>
                    <w:right w:val="none" w:sz="0" w:space="0" w:color="auto"/>
                  </w:divBdr>
                </w:div>
              </w:divsChild>
            </w:div>
            <w:div w:id="940843119">
              <w:marLeft w:val="0"/>
              <w:marRight w:val="0"/>
              <w:marTop w:val="0"/>
              <w:marBottom w:val="0"/>
              <w:divBdr>
                <w:top w:val="none" w:sz="0" w:space="0" w:color="auto"/>
                <w:left w:val="none" w:sz="0" w:space="0" w:color="auto"/>
                <w:bottom w:val="none" w:sz="0" w:space="0" w:color="auto"/>
                <w:right w:val="none" w:sz="0" w:space="0" w:color="auto"/>
              </w:divBdr>
              <w:divsChild>
                <w:div w:id="890191931">
                  <w:marLeft w:val="0"/>
                  <w:marRight w:val="0"/>
                  <w:marTop w:val="0"/>
                  <w:marBottom w:val="0"/>
                  <w:divBdr>
                    <w:top w:val="none" w:sz="0" w:space="0" w:color="auto"/>
                    <w:left w:val="none" w:sz="0" w:space="0" w:color="auto"/>
                    <w:bottom w:val="none" w:sz="0" w:space="0" w:color="auto"/>
                    <w:right w:val="none" w:sz="0" w:space="0" w:color="auto"/>
                  </w:divBdr>
                </w:div>
              </w:divsChild>
            </w:div>
            <w:div w:id="913396753">
              <w:marLeft w:val="0"/>
              <w:marRight w:val="0"/>
              <w:marTop w:val="0"/>
              <w:marBottom w:val="0"/>
              <w:divBdr>
                <w:top w:val="none" w:sz="0" w:space="0" w:color="auto"/>
                <w:left w:val="none" w:sz="0" w:space="0" w:color="auto"/>
                <w:bottom w:val="none" w:sz="0" w:space="0" w:color="auto"/>
                <w:right w:val="none" w:sz="0" w:space="0" w:color="auto"/>
              </w:divBdr>
              <w:divsChild>
                <w:div w:id="1188636376">
                  <w:marLeft w:val="0"/>
                  <w:marRight w:val="0"/>
                  <w:marTop w:val="0"/>
                  <w:marBottom w:val="0"/>
                  <w:divBdr>
                    <w:top w:val="none" w:sz="0" w:space="0" w:color="auto"/>
                    <w:left w:val="none" w:sz="0" w:space="0" w:color="auto"/>
                    <w:bottom w:val="none" w:sz="0" w:space="0" w:color="auto"/>
                    <w:right w:val="none" w:sz="0" w:space="0" w:color="auto"/>
                  </w:divBdr>
                </w:div>
              </w:divsChild>
            </w:div>
            <w:div w:id="488138029">
              <w:marLeft w:val="0"/>
              <w:marRight w:val="0"/>
              <w:marTop w:val="0"/>
              <w:marBottom w:val="0"/>
              <w:divBdr>
                <w:top w:val="none" w:sz="0" w:space="0" w:color="auto"/>
                <w:left w:val="none" w:sz="0" w:space="0" w:color="auto"/>
                <w:bottom w:val="none" w:sz="0" w:space="0" w:color="auto"/>
                <w:right w:val="none" w:sz="0" w:space="0" w:color="auto"/>
              </w:divBdr>
              <w:divsChild>
                <w:div w:id="523400995">
                  <w:marLeft w:val="0"/>
                  <w:marRight w:val="0"/>
                  <w:marTop w:val="0"/>
                  <w:marBottom w:val="0"/>
                  <w:divBdr>
                    <w:top w:val="none" w:sz="0" w:space="0" w:color="auto"/>
                    <w:left w:val="none" w:sz="0" w:space="0" w:color="auto"/>
                    <w:bottom w:val="none" w:sz="0" w:space="0" w:color="auto"/>
                    <w:right w:val="none" w:sz="0" w:space="0" w:color="auto"/>
                  </w:divBdr>
                </w:div>
              </w:divsChild>
            </w:div>
            <w:div w:id="2103182631">
              <w:marLeft w:val="0"/>
              <w:marRight w:val="0"/>
              <w:marTop w:val="0"/>
              <w:marBottom w:val="0"/>
              <w:divBdr>
                <w:top w:val="none" w:sz="0" w:space="0" w:color="auto"/>
                <w:left w:val="none" w:sz="0" w:space="0" w:color="auto"/>
                <w:bottom w:val="none" w:sz="0" w:space="0" w:color="auto"/>
                <w:right w:val="none" w:sz="0" w:space="0" w:color="auto"/>
              </w:divBdr>
              <w:divsChild>
                <w:div w:id="478964770">
                  <w:marLeft w:val="0"/>
                  <w:marRight w:val="0"/>
                  <w:marTop w:val="0"/>
                  <w:marBottom w:val="0"/>
                  <w:divBdr>
                    <w:top w:val="none" w:sz="0" w:space="0" w:color="auto"/>
                    <w:left w:val="none" w:sz="0" w:space="0" w:color="auto"/>
                    <w:bottom w:val="none" w:sz="0" w:space="0" w:color="auto"/>
                    <w:right w:val="none" w:sz="0" w:space="0" w:color="auto"/>
                  </w:divBdr>
                </w:div>
              </w:divsChild>
            </w:div>
            <w:div w:id="266275833">
              <w:marLeft w:val="0"/>
              <w:marRight w:val="0"/>
              <w:marTop w:val="0"/>
              <w:marBottom w:val="0"/>
              <w:divBdr>
                <w:top w:val="none" w:sz="0" w:space="0" w:color="auto"/>
                <w:left w:val="none" w:sz="0" w:space="0" w:color="auto"/>
                <w:bottom w:val="none" w:sz="0" w:space="0" w:color="auto"/>
                <w:right w:val="none" w:sz="0" w:space="0" w:color="auto"/>
              </w:divBdr>
              <w:divsChild>
                <w:div w:id="823738249">
                  <w:marLeft w:val="0"/>
                  <w:marRight w:val="0"/>
                  <w:marTop w:val="0"/>
                  <w:marBottom w:val="0"/>
                  <w:divBdr>
                    <w:top w:val="none" w:sz="0" w:space="0" w:color="auto"/>
                    <w:left w:val="none" w:sz="0" w:space="0" w:color="auto"/>
                    <w:bottom w:val="none" w:sz="0" w:space="0" w:color="auto"/>
                    <w:right w:val="none" w:sz="0" w:space="0" w:color="auto"/>
                  </w:divBdr>
                </w:div>
              </w:divsChild>
            </w:div>
            <w:div w:id="1970353126">
              <w:marLeft w:val="0"/>
              <w:marRight w:val="0"/>
              <w:marTop w:val="0"/>
              <w:marBottom w:val="0"/>
              <w:divBdr>
                <w:top w:val="none" w:sz="0" w:space="0" w:color="auto"/>
                <w:left w:val="none" w:sz="0" w:space="0" w:color="auto"/>
                <w:bottom w:val="none" w:sz="0" w:space="0" w:color="auto"/>
                <w:right w:val="none" w:sz="0" w:space="0" w:color="auto"/>
              </w:divBdr>
              <w:divsChild>
                <w:div w:id="1481923070">
                  <w:marLeft w:val="0"/>
                  <w:marRight w:val="0"/>
                  <w:marTop w:val="0"/>
                  <w:marBottom w:val="0"/>
                  <w:divBdr>
                    <w:top w:val="none" w:sz="0" w:space="0" w:color="auto"/>
                    <w:left w:val="none" w:sz="0" w:space="0" w:color="auto"/>
                    <w:bottom w:val="none" w:sz="0" w:space="0" w:color="auto"/>
                    <w:right w:val="none" w:sz="0" w:space="0" w:color="auto"/>
                  </w:divBdr>
                </w:div>
              </w:divsChild>
            </w:div>
            <w:div w:id="1652559801">
              <w:marLeft w:val="0"/>
              <w:marRight w:val="0"/>
              <w:marTop w:val="0"/>
              <w:marBottom w:val="0"/>
              <w:divBdr>
                <w:top w:val="none" w:sz="0" w:space="0" w:color="auto"/>
                <w:left w:val="none" w:sz="0" w:space="0" w:color="auto"/>
                <w:bottom w:val="none" w:sz="0" w:space="0" w:color="auto"/>
                <w:right w:val="none" w:sz="0" w:space="0" w:color="auto"/>
              </w:divBdr>
              <w:divsChild>
                <w:div w:id="204565861">
                  <w:marLeft w:val="0"/>
                  <w:marRight w:val="0"/>
                  <w:marTop w:val="0"/>
                  <w:marBottom w:val="0"/>
                  <w:divBdr>
                    <w:top w:val="none" w:sz="0" w:space="0" w:color="auto"/>
                    <w:left w:val="none" w:sz="0" w:space="0" w:color="auto"/>
                    <w:bottom w:val="none" w:sz="0" w:space="0" w:color="auto"/>
                    <w:right w:val="none" w:sz="0" w:space="0" w:color="auto"/>
                  </w:divBdr>
                </w:div>
              </w:divsChild>
            </w:div>
            <w:div w:id="73626821">
              <w:marLeft w:val="0"/>
              <w:marRight w:val="0"/>
              <w:marTop w:val="0"/>
              <w:marBottom w:val="0"/>
              <w:divBdr>
                <w:top w:val="none" w:sz="0" w:space="0" w:color="auto"/>
                <w:left w:val="none" w:sz="0" w:space="0" w:color="auto"/>
                <w:bottom w:val="none" w:sz="0" w:space="0" w:color="auto"/>
                <w:right w:val="none" w:sz="0" w:space="0" w:color="auto"/>
              </w:divBdr>
              <w:divsChild>
                <w:div w:id="635570483">
                  <w:marLeft w:val="0"/>
                  <w:marRight w:val="0"/>
                  <w:marTop w:val="0"/>
                  <w:marBottom w:val="0"/>
                  <w:divBdr>
                    <w:top w:val="none" w:sz="0" w:space="0" w:color="auto"/>
                    <w:left w:val="none" w:sz="0" w:space="0" w:color="auto"/>
                    <w:bottom w:val="none" w:sz="0" w:space="0" w:color="auto"/>
                    <w:right w:val="none" w:sz="0" w:space="0" w:color="auto"/>
                  </w:divBdr>
                </w:div>
              </w:divsChild>
            </w:div>
            <w:div w:id="202206868">
              <w:marLeft w:val="0"/>
              <w:marRight w:val="0"/>
              <w:marTop w:val="0"/>
              <w:marBottom w:val="0"/>
              <w:divBdr>
                <w:top w:val="none" w:sz="0" w:space="0" w:color="auto"/>
                <w:left w:val="none" w:sz="0" w:space="0" w:color="auto"/>
                <w:bottom w:val="none" w:sz="0" w:space="0" w:color="auto"/>
                <w:right w:val="none" w:sz="0" w:space="0" w:color="auto"/>
              </w:divBdr>
              <w:divsChild>
                <w:div w:id="1217355983">
                  <w:marLeft w:val="0"/>
                  <w:marRight w:val="0"/>
                  <w:marTop w:val="0"/>
                  <w:marBottom w:val="0"/>
                  <w:divBdr>
                    <w:top w:val="none" w:sz="0" w:space="0" w:color="auto"/>
                    <w:left w:val="none" w:sz="0" w:space="0" w:color="auto"/>
                    <w:bottom w:val="none" w:sz="0" w:space="0" w:color="auto"/>
                    <w:right w:val="none" w:sz="0" w:space="0" w:color="auto"/>
                  </w:divBdr>
                </w:div>
              </w:divsChild>
            </w:div>
            <w:div w:id="257913720">
              <w:marLeft w:val="0"/>
              <w:marRight w:val="0"/>
              <w:marTop w:val="0"/>
              <w:marBottom w:val="0"/>
              <w:divBdr>
                <w:top w:val="none" w:sz="0" w:space="0" w:color="auto"/>
                <w:left w:val="none" w:sz="0" w:space="0" w:color="auto"/>
                <w:bottom w:val="none" w:sz="0" w:space="0" w:color="auto"/>
                <w:right w:val="none" w:sz="0" w:space="0" w:color="auto"/>
              </w:divBdr>
              <w:divsChild>
                <w:div w:id="273169306">
                  <w:marLeft w:val="0"/>
                  <w:marRight w:val="0"/>
                  <w:marTop w:val="0"/>
                  <w:marBottom w:val="0"/>
                  <w:divBdr>
                    <w:top w:val="none" w:sz="0" w:space="0" w:color="auto"/>
                    <w:left w:val="none" w:sz="0" w:space="0" w:color="auto"/>
                    <w:bottom w:val="none" w:sz="0" w:space="0" w:color="auto"/>
                    <w:right w:val="none" w:sz="0" w:space="0" w:color="auto"/>
                  </w:divBdr>
                </w:div>
              </w:divsChild>
            </w:div>
            <w:div w:id="982320125">
              <w:marLeft w:val="0"/>
              <w:marRight w:val="0"/>
              <w:marTop w:val="0"/>
              <w:marBottom w:val="0"/>
              <w:divBdr>
                <w:top w:val="none" w:sz="0" w:space="0" w:color="auto"/>
                <w:left w:val="none" w:sz="0" w:space="0" w:color="auto"/>
                <w:bottom w:val="none" w:sz="0" w:space="0" w:color="auto"/>
                <w:right w:val="none" w:sz="0" w:space="0" w:color="auto"/>
              </w:divBdr>
              <w:divsChild>
                <w:div w:id="2069068203">
                  <w:marLeft w:val="0"/>
                  <w:marRight w:val="0"/>
                  <w:marTop w:val="0"/>
                  <w:marBottom w:val="0"/>
                  <w:divBdr>
                    <w:top w:val="none" w:sz="0" w:space="0" w:color="auto"/>
                    <w:left w:val="none" w:sz="0" w:space="0" w:color="auto"/>
                    <w:bottom w:val="none" w:sz="0" w:space="0" w:color="auto"/>
                    <w:right w:val="none" w:sz="0" w:space="0" w:color="auto"/>
                  </w:divBdr>
                </w:div>
              </w:divsChild>
            </w:div>
            <w:div w:id="1279991897">
              <w:marLeft w:val="0"/>
              <w:marRight w:val="0"/>
              <w:marTop w:val="0"/>
              <w:marBottom w:val="0"/>
              <w:divBdr>
                <w:top w:val="none" w:sz="0" w:space="0" w:color="auto"/>
                <w:left w:val="none" w:sz="0" w:space="0" w:color="auto"/>
                <w:bottom w:val="none" w:sz="0" w:space="0" w:color="auto"/>
                <w:right w:val="none" w:sz="0" w:space="0" w:color="auto"/>
              </w:divBdr>
              <w:divsChild>
                <w:div w:id="2119058098">
                  <w:marLeft w:val="0"/>
                  <w:marRight w:val="0"/>
                  <w:marTop w:val="0"/>
                  <w:marBottom w:val="0"/>
                  <w:divBdr>
                    <w:top w:val="none" w:sz="0" w:space="0" w:color="auto"/>
                    <w:left w:val="none" w:sz="0" w:space="0" w:color="auto"/>
                    <w:bottom w:val="none" w:sz="0" w:space="0" w:color="auto"/>
                    <w:right w:val="none" w:sz="0" w:space="0" w:color="auto"/>
                  </w:divBdr>
                </w:div>
              </w:divsChild>
            </w:div>
            <w:div w:id="1283803112">
              <w:marLeft w:val="0"/>
              <w:marRight w:val="0"/>
              <w:marTop w:val="0"/>
              <w:marBottom w:val="0"/>
              <w:divBdr>
                <w:top w:val="none" w:sz="0" w:space="0" w:color="auto"/>
                <w:left w:val="none" w:sz="0" w:space="0" w:color="auto"/>
                <w:bottom w:val="none" w:sz="0" w:space="0" w:color="auto"/>
                <w:right w:val="none" w:sz="0" w:space="0" w:color="auto"/>
              </w:divBdr>
              <w:divsChild>
                <w:div w:id="2043742284">
                  <w:marLeft w:val="0"/>
                  <w:marRight w:val="0"/>
                  <w:marTop w:val="0"/>
                  <w:marBottom w:val="0"/>
                  <w:divBdr>
                    <w:top w:val="none" w:sz="0" w:space="0" w:color="auto"/>
                    <w:left w:val="none" w:sz="0" w:space="0" w:color="auto"/>
                    <w:bottom w:val="none" w:sz="0" w:space="0" w:color="auto"/>
                    <w:right w:val="none" w:sz="0" w:space="0" w:color="auto"/>
                  </w:divBdr>
                </w:div>
              </w:divsChild>
            </w:div>
            <w:div w:id="252785170">
              <w:marLeft w:val="0"/>
              <w:marRight w:val="0"/>
              <w:marTop w:val="0"/>
              <w:marBottom w:val="0"/>
              <w:divBdr>
                <w:top w:val="none" w:sz="0" w:space="0" w:color="auto"/>
                <w:left w:val="none" w:sz="0" w:space="0" w:color="auto"/>
                <w:bottom w:val="none" w:sz="0" w:space="0" w:color="auto"/>
                <w:right w:val="none" w:sz="0" w:space="0" w:color="auto"/>
              </w:divBdr>
              <w:divsChild>
                <w:div w:id="980159679">
                  <w:marLeft w:val="0"/>
                  <w:marRight w:val="0"/>
                  <w:marTop w:val="0"/>
                  <w:marBottom w:val="0"/>
                  <w:divBdr>
                    <w:top w:val="none" w:sz="0" w:space="0" w:color="auto"/>
                    <w:left w:val="none" w:sz="0" w:space="0" w:color="auto"/>
                    <w:bottom w:val="none" w:sz="0" w:space="0" w:color="auto"/>
                    <w:right w:val="none" w:sz="0" w:space="0" w:color="auto"/>
                  </w:divBdr>
                </w:div>
              </w:divsChild>
            </w:div>
            <w:div w:id="517155708">
              <w:marLeft w:val="0"/>
              <w:marRight w:val="0"/>
              <w:marTop w:val="0"/>
              <w:marBottom w:val="0"/>
              <w:divBdr>
                <w:top w:val="none" w:sz="0" w:space="0" w:color="auto"/>
                <w:left w:val="none" w:sz="0" w:space="0" w:color="auto"/>
                <w:bottom w:val="none" w:sz="0" w:space="0" w:color="auto"/>
                <w:right w:val="none" w:sz="0" w:space="0" w:color="auto"/>
              </w:divBdr>
              <w:divsChild>
                <w:div w:id="2002001266">
                  <w:marLeft w:val="0"/>
                  <w:marRight w:val="0"/>
                  <w:marTop w:val="0"/>
                  <w:marBottom w:val="0"/>
                  <w:divBdr>
                    <w:top w:val="none" w:sz="0" w:space="0" w:color="auto"/>
                    <w:left w:val="none" w:sz="0" w:space="0" w:color="auto"/>
                    <w:bottom w:val="none" w:sz="0" w:space="0" w:color="auto"/>
                    <w:right w:val="none" w:sz="0" w:space="0" w:color="auto"/>
                  </w:divBdr>
                </w:div>
              </w:divsChild>
            </w:div>
            <w:div w:id="1953125358">
              <w:marLeft w:val="0"/>
              <w:marRight w:val="0"/>
              <w:marTop w:val="0"/>
              <w:marBottom w:val="0"/>
              <w:divBdr>
                <w:top w:val="none" w:sz="0" w:space="0" w:color="auto"/>
                <w:left w:val="none" w:sz="0" w:space="0" w:color="auto"/>
                <w:bottom w:val="none" w:sz="0" w:space="0" w:color="auto"/>
                <w:right w:val="none" w:sz="0" w:space="0" w:color="auto"/>
              </w:divBdr>
              <w:divsChild>
                <w:div w:id="922179703">
                  <w:marLeft w:val="0"/>
                  <w:marRight w:val="0"/>
                  <w:marTop w:val="0"/>
                  <w:marBottom w:val="0"/>
                  <w:divBdr>
                    <w:top w:val="none" w:sz="0" w:space="0" w:color="auto"/>
                    <w:left w:val="none" w:sz="0" w:space="0" w:color="auto"/>
                    <w:bottom w:val="none" w:sz="0" w:space="0" w:color="auto"/>
                    <w:right w:val="none" w:sz="0" w:space="0" w:color="auto"/>
                  </w:divBdr>
                </w:div>
              </w:divsChild>
            </w:div>
            <w:div w:id="1446920693">
              <w:marLeft w:val="0"/>
              <w:marRight w:val="0"/>
              <w:marTop w:val="0"/>
              <w:marBottom w:val="0"/>
              <w:divBdr>
                <w:top w:val="none" w:sz="0" w:space="0" w:color="auto"/>
                <w:left w:val="none" w:sz="0" w:space="0" w:color="auto"/>
                <w:bottom w:val="none" w:sz="0" w:space="0" w:color="auto"/>
                <w:right w:val="none" w:sz="0" w:space="0" w:color="auto"/>
              </w:divBdr>
              <w:divsChild>
                <w:div w:id="1759476687">
                  <w:marLeft w:val="0"/>
                  <w:marRight w:val="0"/>
                  <w:marTop w:val="0"/>
                  <w:marBottom w:val="0"/>
                  <w:divBdr>
                    <w:top w:val="none" w:sz="0" w:space="0" w:color="auto"/>
                    <w:left w:val="none" w:sz="0" w:space="0" w:color="auto"/>
                    <w:bottom w:val="none" w:sz="0" w:space="0" w:color="auto"/>
                    <w:right w:val="none" w:sz="0" w:space="0" w:color="auto"/>
                  </w:divBdr>
                </w:div>
              </w:divsChild>
            </w:div>
            <w:div w:id="427507524">
              <w:marLeft w:val="0"/>
              <w:marRight w:val="0"/>
              <w:marTop w:val="0"/>
              <w:marBottom w:val="0"/>
              <w:divBdr>
                <w:top w:val="none" w:sz="0" w:space="0" w:color="auto"/>
                <w:left w:val="none" w:sz="0" w:space="0" w:color="auto"/>
                <w:bottom w:val="none" w:sz="0" w:space="0" w:color="auto"/>
                <w:right w:val="none" w:sz="0" w:space="0" w:color="auto"/>
              </w:divBdr>
              <w:divsChild>
                <w:div w:id="14694084">
                  <w:marLeft w:val="0"/>
                  <w:marRight w:val="0"/>
                  <w:marTop w:val="0"/>
                  <w:marBottom w:val="0"/>
                  <w:divBdr>
                    <w:top w:val="none" w:sz="0" w:space="0" w:color="auto"/>
                    <w:left w:val="none" w:sz="0" w:space="0" w:color="auto"/>
                    <w:bottom w:val="none" w:sz="0" w:space="0" w:color="auto"/>
                    <w:right w:val="none" w:sz="0" w:space="0" w:color="auto"/>
                  </w:divBdr>
                </w:div>
              </w:divsChild>
            </w:div>
            <w:div w:id="2072344413">
              <w:marLeft w:val="0"/>
              <w:marRight w:val="0"/>
              <w:marTop w:val="0"/>
              <w:marBottom w:val="0"/>
              <w:divBdr>
                <w:top w:val="none" w:sz="0" w:space="0" w:color="auto"/>
                <w:left w:val="none" w:sz="0" w:space="0" w:color="auto"/>
                <w:bottom w:val="none" w:sz="0" w:space="0" w:color="auto"/>
                <w:right w:val="none" w:sz="0" w:space="0" w:color="auto"/>
              </w:divBdr>
              <w:divsChild>
                <w:div w:id="692070019">
                  <w:marLeft w:val="0"/>
                  <w:marRight w:val="0"/>
                  <w:marTop w:val="0"/>
                  <w:marBottom w:val="0"/>
                  <w:divBdr>
                    <w:top w:val="none" w:sz="0" w:space="0" w:color="auto"/>
                    <w:left w:val="none" w:sz="0" w:space="0" w:color="auto"/>
                    <w:bottom w:val="none" w:sz="0" w:space="0" w:color="auto"/>
                    <w:right w:val="none" w:sz="0" w:space="0" w:color="auto"/>
                  </w:divBdr>
                </w:div>
              </w:divsChild>
            </w:div>
            <w:div w:id="2016573077">
              <w:marLeft w:val="0"/>
              <w:marRight w:val="0"/>
              <w:marTop w:val="0"/>
              <w:marBottom w:val="0"/>
              <w:divBdr>
                <w:top w:val="none" w:sz="0" w:space="0" w:color="auto"/>
                <w:left w:val="none" w:sz="0" w:space="0" w:color="auto"/>
                <w:bottom w:val="none" w:sz="0" w:space="0" w:color="auto"/>
                <w:right w:val="none" w:sz="0" w:space="0" w:color="auto"/>
              </w:divBdr>
              <w:divsChild>
                <w:div w:id="1561868498">
                  <w:marLeft w:val="0"/>
                  <w:marRight w:val="0"/>
                  <w:marTop w:val="0"/>
                  <w:marBottom w:val="0"/>
                  <w:divBdr>
                    <w:top w:val="none" w:sz="0" w:space="0" w:color="auto"/>
                    <w:left w:val="none" w:sz="0" w:space="0" w:color="auto"/>
                    <w:bottom w:val="none" w:sz="0" w:space="0" w:color="auto"/>
                    <w:right w:val="none" w:sz="0" w:space="0" w:color="auto"/>
                  </w:divBdr>
                </w:div>
              </w:divsChild>
            </w:div>
            <w:div w:id="718358473">
              <w:marLeft w:val="0"/>
              <w:marRight w:val="0"/>
              <w:marTop w:val="0"/>
              <w:marBottom w:val="0"/>
              <w:divBdr>
                <w:top w:val="none" w:sz="0" w:space="0" w:color="auto"/>
                <w:left w:val="none" w:sz="0" w:space="0" w:color="auto"/>
                <w:bottom w:val="none" w:sz="0" w:space="0" w:color="auto"/>
                <w:right w:val="none" w:sz="0" w:space="0" w:color="auto"/>
              </w:divBdr>
              <w:divsChild>
                <w:div w:id="1530603540">
                  <w:marLeft w:val="0"/>
                  <w:marRight w:val="0"/>
                  <w:marTop w:val="0"/>
                  <w:marBottom w:val="0"/>
                  <w:divBdr>
                    <w:top w:val="none" w:sz="0" w:space="0" w:color="auto"/>
                    <w:left w:val="none" w:sz="0" w:space="0" w:color="auto"/>
                    <w:bottom w:val="none" w:sz="0" w:space="0" w:color="auto"/>
                    <w:right w:val="none" w:sz="0" w:space="0" w:color="auto"/>
                  </w:divBdr>
                </w:div>
              </w:divsChild>
            </w:div>
            <w:div w:id="482551246">
              <w:marLeft w:val="0"/>
              <w:marRight w:val="0"/>
              <w:marTop w:val="0"/>
              <w:marBottom w:val="0"/>
              <w:divBdr>
                <w:top w:val="none" w:sz="0" w:space="0" w:color="auto"/>
                <w:left w:val="none" w:sz="0" w:space="0" w:color="auto"/>
                <w:bottom w:val="none" w:sz="0" w:space="0" w:color="auto"/>
                <w:right w:val="none" w:sz="0" w:space="0" w:color="auto"/>
              </w:divBdr>
              <w:divsChild>
                <w:div w:id="1978875839">
                  <w:marLeft w:val="0"/>
                  <w:marRight w:val="0"/>
                  <w:marTop w:val="0"/>
                  <w:marBottom w:val="0"/>
                  <w:divBdr>
                    <w:top w:val="none" w:sz="0" w:space="0" w:color="auto"/>
                    <w:left w:val="none" w:sz="0" w:space="0" w:color="auto"/>
                    <w:bottom w:val="none" w:sz="0" w:space="0" w:color="auto"/>
                    <w:right w:val="none" w:sz="0" w:space="0" w:color="auto"/>
                  </w:divBdr>
                </w:div>
              </w:divsChild>
            </w:div>
            <w:div w:id="851647650">
              <w:marLeft w:val="0"/>
              <w:marRight w:val="0"/>
              <w:marTop w:val="0"/>
              <w:marBottom w:val="0"/>
              <w:divBdr>
                <w:top w:val="none" w:sz="0" w:space="0" w:color="auto"/>
                <w:left w:val="none" w:sz="0" w:space="0" w:color="auto"/>
                <w:bottom w:val="none" w:sz="0" w:space="0" w:color="auto"/>
                <w:right w:val="none" w:sz="0" w:space="0" w:color="auto"/>
              </w:divBdr>
              <w:divsChild>
                <w:div w:id="1635063377">
                  <w:marLeft w:val="0"/>
                  <w:marRight w:val="0"/>
                  <w:marTop w:val="0"/>
                  <w:marBottom w:val="0"/>
                  <w:divBdr>
                    <w:top w:val="none" w:sz="0" w:space="0" w:color="auto"/>
                    <w:left w:val="none" w:sz="0" w:space="0" w:color="auto"/>
                    <w:bottom w:val="none" w:sz="0" w:space="0" w:color="auto"/>
                    <w:right w:val="none" w:sz="0" w:space="0" w:color="auto"/>
                  </w:divBdr>
                </w:div>
              </w:divsChild>
            </w:div>
            <w:div w:id="252208708">
              <w:marLeft w:val="0"/>
              <w:marRight w:val="0"/>
              <w:marTop w:val="0"/>
              <w:marBottom w:val="0"/>
              <w:divBdr>
                <w:top w:val="none" w:sz="0" w:space="0" w:color="auto"/>
                <w:left w:val="none" w:sz="0" w:space="0" w:color="auto"/>
                <w:bottom w:val="none" w:sz="0" w:space="0" w:color="auto"/>
                <w:right w:val="none" w:sz="0" w:space="0" w:color="auto"/>
              </w:divBdr>
              <w:divsChild>
                <w:div w:id="2078280208">
                  <w:marLeft w:val="0"/>
                  <w:marRight w:val="0"/>
                  <w:marTop w:val="0"/>
                  <w:marBottom w:val="0"/>
                  <w:divBdr>
                    <w:top w:val="none" w:sz="0" w:space="0" w:color="auto"/>
                    <w:left w:val="none" w:sz="0" w:space="0" w:color="auto"/>
                    <w:bottom w:val="none" w:sz="0" w:space="0" w:color="auto"/>
                    <w:right w:val="none" w:sz="0" w:space="0" w:color="auto"/>
                  </w:divBdr>
                </w:div>
              </w:divsChild>
            </w:div>
            <w:div w:id="945235992">
              <w:marLeft w:val="0"/>
              <w:marRight w:val="0"/>
              <w:marTop w:val="0"/>
              <w:marBottom w:val="0"/>
              <w:divBdr>
                <w:top w:val="none" w:sz="0" w:space="0" w:color="auto"/>
                <w:left w:val="none" w:sz="0" w:space="0" w:color="auto"/>
                <w:bottom w:val="none" w:sz="0" w:space="0" w:color="auto"/>
                <w:right w:val="none" w:sz="0" w:space="0" w:color="auto"/>
              </w:divBdr>
              <w:divsChild>
                <w:div w:id="13851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5664">
          <w:marLeft w:val="0"/>
          <w:marRight w:val="0"/>
          <w:marTop w:val="0"/>
          <w:marBottom w:val="600"/>
          <w:divBdr>
            <w:top w:val="none" w:sz="0" w:space="0" w:color="auto"/>
            <w:left w:val="none" w:sz="0" w:space="0" w:color="auto"/>
            <w:bottom w:val="none" w:sz="0" w:space="0" w:color="auto"/>
            <w:right w:val="none" w:sz="0" w:space="0" w:color="auto"/>
          </w:divBdr>
        </w:div>
      </w:divsChild>
    </w:div>
    <w:div w:id="675577477">
      <w:marLeft w:val="0"/>
      <w:marRight w:val="0"/>
      <w:marTop w:val="0"/>
      <w:marBottom w:val="0"/>
      <w:divBdr>
        <w:top w:val="none" w:sz="0" w:space="0" w:color="auto"/>
        <w:left w:val="none" w:sz="0" w:space="0" w:color="auto"/>
        <w:bottom w:val="none" w:sz="0" w:space="0" w:color="auto"/>
        <w:right w:val="none" w:sz="0" w:space="0" w:color="auto"/>
      </w:divBdr>
      <w:divsChild>
        <w:div w:id="1453406446">
          <w:marLeft w:val="0"/>
          <w:marRight w:val="0"/>
          <w:marTop w:val="432"/>
          <w:marBottom w:val="0"/>
          <w:divBdr>
            <w:top w:val="none" w:sz="0" w:space="0" w:color="auto"/>
            <w:left w:val="none" w:sz="0" w:space="0" w:color="auto"/>
            <w:bottom w:val="none" w:sz="0" w:space="0" w:color="auto"/>
            <w:right w:val="none" w:sz="0" w:space="0" w:color="auto"/>
          </w:divBdr>
        </w:div>
        <w:div w:id="347800551">
          <w:marLeft w:val="0"/>
          <w:marRight w:val="0"/>
          <w:marTop w:val="0"/>
          <w:marBottom w:val="0"/>
          <w:divBdr>
            <w:top w:val="none" w:sz="0" w:space="0" w:color="auto"/>
            <w:left w:val="none" w:sz="0" w:space="0" w:color="auto"/>
            <w:bottom w:val="none" w:sz="0" w:space="0" w:color="auto"/>
            <w:right w:val="none" w:sz="0" w:space="0" w:color="auto"/>
          </w:divBdr>
        </w:div>
        <w:div w:id="784542374">
          <w:marLeft w:val="0"/>
          <w:marRight w:val="0"/>
          <w:marTop w:val="0"/>
          <w:marBottom w:val="600"/>
          <w:divBdr>
            <w:top w:val="none" w:sz="0" w:space="0" w:color="auto"/>
            <w:left w:val="none" w:sz="0" w:space="0" w:color="auto"/>
            <w:bottom w:val="none" w:sz="0" w:space="0" w:color="auto"/>
            <w:right w:val="none" w:sz="0" w:space="0" w:color="auto"/>
          </w:divBdr>
        </w:div>
      </w:divsChild>
    </w:div>
    <w:div w:id="808716582">
      <w:marLeft w:val="0"/>
      <w:marRight w:val="0"/>
      <w:marTop w:val="0"/>
      <w:marBottom w:val="0"/>
      <w:divBdr>
        <w:top w:val="none" w:sz="0" w:space="0" w:color="auto"/>
        <w:left w:val="none" w:sz="0" w:space="0" w:color="auto"/>
        <w:bottom w:val="none" w:sz="0" w:space="0" w:color="auto"/>
        <w:right w:val="none" w:sz="0" w:space="0" w:color="auto"/>
      </w:divBdr>
      <w:divsChild>
        <w:div w:id="1553423244">
          <w:marLeft w:val="0"/>
          <w:marRight w:val="0"/>
          <w:marTop w:val="432"/>
          <w:marBottom w:val="0"/>
          <w:divBdr>
            <w:top w:val="none" w:sz="0" w:space="0" w:color="auto"/>
            <w:left w:val="none" w:sz="0" w:space="0" w:color="auto"/>
            <w:bottom w:val="none" w:sz="0" w:space="0" w:color="auto"/>
            <w:right w:val="none" w:sz="0" w:space="0" w:color="auto"/>
          </w:divBdr>
        </w:div>
        <w:div w:id="703217722">
          <w:marLeft w:val="0"/>
          <w:marRight w:val="0"/>
          <w:marTop w:val="0"/>
          <w:marBottom w:val="0"/>
          <w:divBdr>
            <w:top w:val="none" w:sz="0" w:space="0" w:color="auto"/>
            <w:left w:val="none" w:sz="0" w:space="0" w:color="auto"/>
            <w:bottom w:val="none" w:sz="0" w:space="0" w:color="auto"/>
            <w:right w:val="none" w:sz="0" w:space="0" w:color="auto"/>
          </w:divBdr>
        </w:div>
        <w:div w:id="2103523516">
          <w:marLeft w:val="0"/>
          <w:marRight w:val="0"/>
          <w:marTop w:val="0"/>
          <w:marBottom w:val="600"/>
          <w:divBdr>
            <w:top w:val="none" w:sz="0" w:space="0" w:color="auto"/>
            <w:left w:val="none" w:sz="0" w:space="0" w:color="auto"/>
            <w:bottom w:val="none" w:sz="0" w:space="0" w:color="auto"/>
            <w:right w:val="none" w:sz="0" w:space="0" w:color="auto"/>
          </w:divBdr>
        </w:div>
      </w:divsChild>
    </w:div>
    <w:div w:id="811214837">
      <w:marLeft w:val="0"/>
      <w:marRight w:val="0"/>
      <w:marTop w:val="0"/>
      <w:marBottom w:val="0"/>
      <w:divBdr>
        <w:top w:val="none" w:sz="0" w:space="0" w:color="auto"/>
        <w:left w:val="none" w:sz="0" w:space="0" w:color="auto"/>
        <w:bottom w:val="none" w:sz="0" w:space="0" w:color="auto"/>
        <w:right w:val="none" w:sz="0" w:space="0" w:color="auto"/>
      </w:divBdr>
      <w:divsChild>
        <w:div w:id="431634242">
          <w:marLeft w:val="0"/>
          <w:marRight w:val="0"/>
          <w:marTop w:val="432"/>
          <w:marBottom w:val="0"/>
          <w:divBdr>
            <w:top w:val="none" w:sz="0" w:space="0" w:color="auto"/>
            <w:left w:val="none" w:sz="0" w:space="0" w:color="auto"/>
            <w:bottom w:val="none" w:sz="0" w:space="0" w:color="auto"/>
            <w:right w:val="none" w:sz="0" w:space="0" w:color="auto"/>
          </w:divBdr>
        </w:div>
        <w:div w:id="987517781">
          <w:marLeft w:val="0"/>
          <w:marRight w:val="0"/>
          <w:marTop w:val="0"/>
          <w:marBottom w:val="0"/>
          <w:divBdr>
            <w:top w:val="none" w:sz="0" w:space="0" w:color="auto"/>
            <w:left w:val="none" w:sz="0" w:space="0" w:color="auto"/>
            <w:bottom w:val="none" w:sz="0" w:space="0" w:color="auto"/>
            <w:right w:val="none" w:sz="0" w:space="0" w:color="auto"/>
          </w:divBdr>
          <w:divsChild>
            <w:div w:id="855852021">
              <w:marLeft w:val="0"/>
              <w:marRight w:val="0"/>
              <w:marTop w:val="0"/>
              <w:marBottom w:val="0"/>
              <w:divBdr>
                <w:top w:val="none" w:sz="0" w:space="0" w:color="auto"/>
                <w:left w:val="none" w:sz="0" w:space="0" w:color="auto"/>
                <w:bottom w:val="none" w:sz="0" w:space="0" w:color="auto"/>
                <w:right w:val="none" w:sz="0" w:space="0" w:color="auto"/>
              </w:divBdr>
              <w:divsChild>
                <w:div w:id="1954481807">
                  <w:marLeft w:val="0"/>
                  <w:marRight w:val="0"/>
                  <w:marTop w:val="0"/>
                  <w:marBottom w:val="0"/>
                  <w:divBdr>
                    <w:top w:val="none" w:sz="0" w:space="0" w:color="auto"/>
                    <w:left w:val="none" w:sz="0" w:space="0" w:color="auto"/>
                    <w:bottom w:val="none" w:sz="0" w:space="0" w:color="auto"/>
                    <w:right w:val="none" w:sz="0" w:space="0" w:color="auto"/>
                  </w:divBdr>
                </w:div>
              </w:divsChild>
            </w:div>
            <w:div w:id="2083603980">
              <w:marLeft w:val="0"/>
              <w:marRight w:val="0"/>
              <w:marTop w:val="0"/>
              <w:marBottom w:val="0"/>
              <w:divBdr>
                <w:top w:val="none" w:sz="0" w:space="0" w:color="auto"/>
                <w:left w:val="none" w:sz="0" w:space="0" w:color="auto"/>
                <w:bottom w:val="none" w:sz="0" w:space="0" w:color="auto"/>
                <w:right w:val="none" w:sz="0" w:space="0" w:color="auto"/>
              </w:divBdr>
              <w:divsChild>
                <w:div w:id="1009064892">
                  <w:marLeft w:val="0"/>
                  <w:marRight w:val="0"/>
                  <w:marTop w:val="0"/>
                  <w:marBottom w:val="0"/>
                  <w:divBdr>
                    <w:top w:val="none" w:sz="0" w:space="0" w:color="auto"/>
                    <w:left w:val="none" w:sz="0" w:space="0" w:color="auto"/>
                    <w:bottom w:val="none" w:sz="0" w:space="0" w:color="auto"/>
                    <w:right w:val="none" w:sz="0" w:space="0" w:color="auto"/>
                  </w:divBdr>
                </w:div>
              </w:divsChild>
            </w:div>
            <w:div w:id="2052148439">
              <w:marLeft w:val="0"/>
              <w:marRight w:val="0"/>
              <w:marTop w:val="0"/>
              <w:marBottom w:val="0"/>
              <w:divBdr>
                <w:top w:val="none" w:sz="0" w:space="0" w:color="auto"/>
                <w:left w:val="none" w:sz="0" w:space="0" w:color="auto"/>
                <w:bottom w:val="none" w:sz="0" w:space="0" w:color="auto"/>
                <w:right w:val="none" w:sz="0" w:space="0" w:color="auto"/>
              </w:divBdr>
              <w:divsChild>
                <w:div w:id="1384216668">
                  <w:marLeft w:val="0"/>
                  <w:marRight w:val="0"/>
                  <w:marTop w:val="0"/>
                  <w:marBottom w:val="0"/>
                  <w:divBdr>
                    <w:top w:val="none" w:sz="0" w:space="0" w:color="auto"/>
                    <w:left w:val="none" w:sz="0" w:space="0" w:color="auto"/>
                    <w:bottom w:val="none" w:sz="0" w:space="0" w:color="auto"/>
                    <w:right w:val="none" w:sz="0" w:space="0" w:color="auto"/>
                  </w:divBdr>
                </w:div>
              </w:divsChild>
            </w:div>
            <w:div w:id="526677326">
              <w:marLeft w:val="0"/>
              <w:marRight w:val="0"/>
              <w:marTop w:val="0"/>
              <w:marBottom w:val="0"/>
              <w:divBdr>
                <w:top w:val="none" w:sz="0" w:space="0" w:color="auto"/>
                <w:left w:val="none" w:sz="0" w:space="0" w:color="auto"/>
                <w:bottom w:val="none" w:sz="0" w:space="0" w:color="auto"/>
                <w:right w:val="none" w:sz="0" w:space="0" w:color="auto"/>
              </w:divBdr>
              <w:divsChild>
                <w:div w:id="2120176186">
                  <w:marLeft w:val="0"/>
                  <w:marRight w:val="0"/>
                  <w:marTop w:val="0"/>
                  <w:marBottom w:val="0"/>
                  <w:divBdr>
                    <w:top w:val="none" w:sz="0" w:space="0" w:color="auto"/>
                    <w:left w:val="none" w:sz="0" w:space="0" w:color="auto"/>
                    <w:bottom w:val="none" w:sz="0" w:space="0" w:color="auto"/>
                    <w:right w:val="none" w:sz="0" w:space="0" w:color="auto"/>
                  </w:divBdr>
                </w:div>
              </w:divsChild>
            </w:div>
            <w:div w:id="1666593984">
              <w:marLeft w:val="0"/>
              <w:marRight w:val="0"/>
              <w:marTop w:val="0"/>
              <w:marBottom w:val="0"/>
              <w:divBdr>
                <w:top w:val="none" w:sz="0" w:space="0" w:color="auto"/>
                <w:left w:val="none" w:sz="0" w:space="0" w:color="auto"/>
                <w:bottom w:val="none" w:sz="0" w:space="0" w:color="auto"/>
                <w:right w:val="none" w:sz="0" w:space="0" w:color="auto"/>
              </w:divBdr>
              <w:divsChild>
                <w:div w:id="1355230584">
                  <w:marLeft w:val="0"/>
                  <w:marRight w:val="0"/>
                  <w:marTop w:val="0"/>
                  <w:marBottom w:val="0"/>
                  <w:divBdr>
                    <w:top w:val="none" w:sz="0" w:space="0" w:color="auto"/>
                    <w:left w:val="none" w:sz="0" w:space="0" w:color="auto"/>
                    <w:bottom w:val="none" w:sz="0" w:space="0" w:color="auto"/>
                    <w:right w:val="none" w:sz="0" w:space="0" w:color="auto"/>
                  </w:divBdr>
                </w:div>
              </w:divsChild>
            </w:div>
            <w:div w:id="2051494024">
              <w:marLeft w:val="0"/>
              <w:marRight w:val="0"/>
              <w:marTop w:val="0"/>
              <w:marBottom w:val="0"/>
              <w:divBdr>
                <w:top w:val="none" w:sz="0" w:space="0" w:color="auto"/>
                <w:left w:val="none" w:sz="0" w:space="0" w:color="auto"/>
                <w:bottom w:val="none" w:sz="0" w:space="0" w:color="auto"/>
                <w:right w:val="none" w:sz="0" w:space="0" w:color="auto"/>
              </w:divBdr>
              <w:divsChild>
                <w:div w:id="989597126">
                  <w:marLeft w:val="0"/>
                  <w:marRight w:val="0"/>
                  <w:marTop w:val="0"/>
                  <w:marBottom w:val="0"/>
                  <w:divBdr>
                    <w:top w:val="none" w:sz="0" w:space="0" w:color="auto"/>
                    <w:left w:val="none" w:sz="0" w:space="0" w:color="auto"/>
                    <w:bottom w:val="none" w:sz="0" w:space="0" w:color="auto"/>
                    <w:right w:val="none" w:sz="0" w:space="0" w:color="auto"/>
                  </w:divBdr>
                </w:div>
              </w:divsChild>
            </w:div>
            <w:div w:id="799692601">
              <w:marLeft w:val="0"/>
              <w:marRight w:val="0"/>
              <w:marTop w:val="0"/>
              <w:marBottom w:val="0"/>
              <w:divBdr>
                <w:top w:val="none" w:sz="0" w:space="0" w:color="auto"/>
                <w:left w:val="none" w:sz="0" w:space="0" w:color="auto"/>
                <w:bottom w:val="none" w:sz="0" w:space="0" w:color="auto"/>
                <w:right w:val="none" w:sz="0" w:space="0" w:color="auto"/>
              </w:divBdr>
              <w:divsChild>
                <w:div w:id="579412705">
                  <w:marLeft w:val="0"/>
                  <w:marRight w:val="0"/>
                  <w:marTop w:val="0"/>
                  <w:marBottom w:val="0"/>
                  <w:divBdr>
                    <w:top w:val="none" w:sz="0" w:space="0" w:color="auto"/>
                    <w:left w:val="none" w:sz="0" w:space="0" w:color="auto"/>
                    <w:bottom w:val="none" w:sz="0" w:space="0" w:color="auto"/>
                    <w:right w:val="none" w:sz="0" w:space="0" w:color="auto"/>
                  </w:divBdr>
                </w:div>
              </w:divsChild>
            </w:div>
            <w:div w:id="321392355">
              <w:marLeft w:val="0"/>
              <w:marRight w:val="0"/>
              <w:marTop w:val="0"/>
              <w:marBottom w:val="0"/>
              <w:divBdr>
                <w:top w:val="none" w:sz="0" w:space="0" w:color="auto"/>
                <w:left w:val="none" w:sz="0" w:space="0" w:color="auto"/>
                <w:bottom w:val="none" w:sz="0" w:space="0" w:color="auto"/>
                <w:right w:val="none" w:sz="0" w:space="0" w:color="auto"/>
              </w:divBdr>
              <w:divsChild>
                <w:div w:id="1342001592">
                  <w:marLeft w:val="0"/>
                  <w:marRight w:val="0"/>
                  <w:marTop w:val="0"/>
                  <w:marBottom w:val="0"/>
                  <w:divBdr>
                    <w:top w:val="none" w:sz="0" w:space="0" w:color="auto"/>
                    <w:left w:val="none" w:sz="0" w:space="0" w:color="auto"/>
                    <w:bottom w:val="none" w:sz="0" w:space="0" w:color="auto"/>
                    <w:right w:val="none" w:sz="0" w:space="0" w:color="auto"/>
                  </w:divBdr>
                </w:div>
              </w:divsChild>
            </w:div>
            <w:div w:id="1860268594">
              <w:marLeft w:val="0"/>
              <w:marRight w:val="0"/>
              <w:marTop w:val="0"/>
              <w:marBottom w:val="0"/>
              <w:divBdr>
                <w:top w:val="none" w:sz="0" w:space="0" w:color="auto"/>
                <w:left w:val="none" w:sz="0" w:space="0" w:color="auto"/>
                <w:bottom w:val="none" w:sz="0" w:space="0" w:color="auto"/>
                <w:right w:val="none" w:sz="0" w:space="0" w:color="auto"/>
              </w:divBdr>
              <w:divsChild>
                <w:div w:id="843781871">
                  <w:marLeft w:val="0"/>
                  <w:marRight w:val="0"/>
                  <w:marTop w:val="0"/>
                  <w:marBottom w:val="0"/>
                  <w:divBdr>
                    <w:top w:val="none" w:sz="0" w:space="0" w:color="auto"/>
                    <w:left w:val="none" w:sz="0" w:space="0" w:color="auto"/>
                    <w:bottom w:val="none" w:sz="0" w:space="0" w:color="auto"/>
                    <w:right w:val="none" w:sz="0" w:space="0" w:color="auto"/>
                  </w:divBdr>
                </w:div>
              </w:divsChild>
            </w:div>
            <w:div w:id="378478376">
              <w:marLeft w:val="0"/>
              <w:marRight w:val="0"/>
              <w:marTop w:val="0"/>
              <w:marBottom w:val="0"/>
              <w:divBdr>
                <w:top w:val="none" w:sz="0" w:space="0" w:color="auto"/>
                <w:left w:val="none" w:sz="0" w:space="0" w:color="auto"/>
                <w:bottom w:val="none" w:sz="0" w:space="0" w:color="auto"/>
                <w:right w:val="none" w:sz="0" w:space="0" w:color="auto"/>
              </w:divBdr>
              <w:divsChild>
                <w:div w:id="53898658">
                  <w:marLeft w:val="0"/>
                  <w:marRight w:val="0"/>
                  <w:marTop w:val="0"/>
                  <w:marBottom w:val="0"/>
                  <w:divBdr>
                    <w:top w:val="none" w:sz="0" w:space="0" w:color="auto"/>
                    <w:left w:val="none" w:sz="0" w:space="0" w:color="auto"/>
                    <w:bottom w:val="none" w:sz="0" w:space="0" w:color="auto"/>
                    <w:right w:val="none" w:sz="0" w:space="0" w:color="auto"/>
                  </w:divBdr>
                </w:div>
              </w:divsChild>
            </w:div>
            <w:div w:id="504636385">
              <w:marLeft w:val="0"/>
              <w:marRight w:val="0"/>
              <w:marTop w:val="0"/>
              <w:marBottom w:val="0"/>
              <w:divBdr>
                <w:top w:val="none" w:sz="0" w:space="0" w:color="auto"/>
                <w:left w:val="none" w:sz="0" w:space="0" w:color="auto"/>
                <w:bottom w:val="none" w:sz="0" w:space="0" w:color="auto"/>
                <w:right w:val="none" w:sz="0" w:space="0" w:color="auto"/>
              </w:divBdr>
              <w:divsChild>
                <w:div w:id="1356541909">
                  <w:marLeft w:val="0"/>
                  <w:marRight w:val="0"/>
                  <w:marTop w:val="0"/>
                  <w:marBottom w:val="0"/>
                  <w:divBdr>
                    <w:top w:val="none" w:sz="0" w:space="0" w:color="auto"/>
                    <w:left w:val="none" w:sz="0" w:space="0" w:color="auto"/>
                    <w:bottom w:val="none" w:sz="0" w:space="0" w:color="auto"/>
                    <w:right w:val="none" w:sz="0" w:space="0" w:color="auto"/>
                  </w:divBdr>
                </w:div>
              </w:divsChild>
            </w:div>
            <w:div w:id="877357428">
              <w:marLeft w:val="0"/>
              <w:marRight w:val="0"/>
              <w:marTop w:val="0"/>
              <w:marBottom w:val="0"/>
              <w:divBdr>
                <w:top w:val="none" w:sz="0" w:space="0" w:color="auto"/>
                <w:left w:val="none" w:sz="0" w:space="0" w:color="auto"/>
                <w:bottom w:val="none" w:sz="0" w:space="0" w:color="auto"/>
                <w:right w:val="none" w:sz="0" w:space="0" w:color="auto"/>
              </w:divBdr>
              <w:divsChild>
                <w:div w:id="1675690576">
                  <w:marLeft w:val="0"/>
                  <w:marRight w:val="0"/>
                  <w:marTop w:val="0"/>
                  <w:marBottom w:val="0"/>
                  <w:divBdr>
                    <w:top w:val="none" w:sz="0" w:space="0" w:color="auto"/>
                    <w:left w:val="none" w:sz="0" w:space="0" w:color="auto"/>
                    <w:bottom w:val="none" w:sz="0" w:space="0" w:color="auto"/>
                    <w:right w:val="none" w:sz="0" w:space="0" w:color="auto"/>
                  </w:divBdr>
                </w:div>
              </w:divsChild>
            </w:div>
            <w:div w:id="958999228">
              <w:marLeft w:val="0"/>
              <w:marRight w:val="0"/>
              <w:marTop w:val="0"/>
              <w:marBottom w:val="0"/>
              <w:divBdr>
                <w:top w:val="none" w:sz="0" w:space="0" w:color="auto"/>
                <w:left w:val="none" w:sz="0" w:space="0" w:color="auto"/>
                <w:bottom w:val="none" w:sz="0" w:space="0" w:color="auto"/>
                <w:right w:val="none" w:sz="0" w:space="0" w:color="auto"/>
              </w:divBdr>
              <w:divsChild>
                <w:div w:id="785658615">
                  <w:marLeft w:val="0"/>
                  <w:marRight w:val="0"/>
                  <w:marTop w:val="0"/>
                  <w:marBottom w:val="0"/>
                  <w:divBdr>
                    <w:top w:val="none" w:sz="0" w:space="0" w:color="auto"/>
                    <w:left w:val="none" w:sz="0" w:space="0" w:color="auto"/>
                    <w:bottom w:val="none" w:sz="0" w:space="0" w:color="auto"/>
                    <w:right w:val="none" w:sz="0" w:space="0" w:color="auto"/>
                  </w:divBdr>
                </w:div>
              </w:divsChild>
            </w:div>
            <w:div w:id="2089419862">
              <w:marLeft w:val="0"/>
              <w:marRight w:val="0"/>
              <w:marTop w:val="0"/>
              <w:marBottom w:val="0"/>
              <w:divBdr>
                <w:top w:val="none" w:sz="0" w:space="0" w:color="auto"/>
                <w:left w:val="none" w:sz="0" w:space="0" w:color="auto"/>
                <w:bottom w:val="none" w:sz="0" w:space="0" w:color="auto"/>
                <w:right w:val="none" w:sz="0" w:space="0" w:color="auto"/>
              </w:divBdr>
              <w:divsChild>
                <w:div w:id="203905537">
                  <w:marLeft w:val="0"/>
                  <w:marRight w:val="0"/>
                  <w:marTop w:val="0"/>
                  <w:marBottom w:val="0"/>
                  <w:divBdr>
                    <w:top w:val="none" w:sz="0" w:space="0" w:color="auto"/>
                    <w:left w:val="none" w:sz="0" w:space="0" w:color="auto"/>
                    <w:bottom w:val="none" w:sz="0" w:space="0" w:color="auto"/>
                    <w:right w:val="none" w:sz="0" w:space="0" w:color="auto"/>
                  </w:divBdr>
                </w:div>
              </w:divsChild>
            </w:div>
            <w:div w:id="909271678">
              <w:marLeft w:val="0"/>
              <w:marRight w:val="0"/>
              <w:marTop w:val="0"/>
              <w:marBottom w:val="0"/>
              <w:divBdr>
                <w:top w:val="none" w:sz="0" w:space="0" w:color="auto"/>
                <w:left w:val="none" w:sz="0" w:space="0" w:color="auto"/>
                <w:bottom w:val="none" w:sz="0" w:space="0" w:color="auto"/>
                <w:right w:val="none" w:sz="0" w:space="0" w:color="auto"/>
              </w:divBdr>
              <w:divsChild>
                <w:div w:id="1718889973">
                  <w:marLeft w:val="0"/>
                  <w:marRight w:val="0"/>
                  <w:marTop w:val="0"/>
                  <w:marBottom w:val="0"/>
                  <w:divBdr>
                    <w:top w:val="none" w:sz="0" w:space="0" w:color="auto"/>
                    <w:left w:val="none" w:sz="0" w:space="0" w:color="auto"/>
                    <w:bottom w:val="none" w:sz="0" w:space="0" w:color="auto"/>
                    <w:right w:val="none" w:sz="0" w:space="0" w:color="auto"/>
                  </w:divBdr>
                </w:div>
              </w:divsChild>
            </w:div>
            <w:div w:id="90396623">
              <w:marLeft w:val="0"/>
              <w:marRight w:val="0"/>
              <w:marTop w:val="0"/>
              <w:marBottom w:val="0"/>
              <w:divBdr>
                <w:top w:val="none" w:sz="0" w:space="0" w:color="auto"/>
                <w:left w:val="none" w:sz="0" w:space="0" w:color="auto"/>
                <w:bottom w:val="none" w:sz="0" w:space="0" w:color="auto"/>
                <w:right w:val="none" w:sz="0" w:space="0" w:color="auto"/>
              </w:divBdr>
              <w:divsChild>
                <w:div w:id="786437722">
                  <w:marLeft w:val="0"/>
                  <w:marRight w:val="0"/>
                  <w:marTop w:val="0"/>
                  <w:marBottom w:val="0"/>
                  <w:divBdr>
                    <w:top w:val="none" w:sz="0" w:space="0" w:color="auto"/>
                    <w:left w:val="none" w:sz="0" w:space="0" w:color="auto"/>
                    <w:bottom w:val="none" w:sz="0" w:space="0" w:color="auto"/>
                    <w:right w:val="none" w:sz="0" w:space="0" w:color="auto"/>
                  </w:divBdr>
                </w:div>
              </w:divsChild>
            </w:div>
            <w:div w:id="652412281">
              <w:marLeft w:val="0"/>
              <w:marRight w:val="0"/>
              <w:marTop w:val="0"/>
              <w:marBottom w:val="0"/>
              <w:divBdr>
                <w:top w:val="none" w:sz="0" w:space="0" w:color="auto"/>
                <w:left w:val="none" w:sz="0" w:space="0" w:color="auto"/>
                <w:bottom w:val="none" w:sz="0" w:space="0" w:color="auto"/>
                <w:right w:val="none" w:sz="0" w:space="0" w:color="auto"/>
              </w:divBdr>
              <w:divsChild>
                <w:div w:id="1058894547">
                  <w:marLeft w:val="0"/>
                  <w:marRight w:val="0"/>
                  <w:marTop w:val="0"/>
                  <w:marBottom w:val="0"/>
                  <w:divBdr>
                    <w:top w:val="none" w:sz="0" w:space="0" w:color="auto"/>
                    <w:left w:val="none" w:sz="0" w:space="0" w:color="auto"/>
                    <w:bottom w:val="none" w:sz="0" w:space="0" w:color="auto"/>
                    <w:right w:val="none" w:sz="0" w:space="0" w:color="auto"/>
                  </w:divBdr>
                </w:div>
              </w:divsChild>
            </w:div>
            <w:div w:id="845175785">
              <w:marLeft w:val="0"/>
              <w:marRight w:val="0"/>
              <w:marTop w:val="0"/>
              <w:marBottom w:val="0"/>
              <w:divBdr>
                <w:top w:val="none" w:sz="0" w:space="0" w:color="auto"/>
                <w:left w:val="none" w:sz="0" w:space="0" w:color="auto"/>
                <w:bottom w:val="none" w:sz="0" w:space="0" w:color="auto"/>
                <w:right w:val="none" w:sz="0" w:space="0" w:color="auto"/>
              </w:divBdr>
              <w:divsChild>
                <w:div w:id="1963608571">
                  <w:marLeft w:val="0"/>
                  <w:marRight w:val="0"/>
                  <w:marTop w:val="0"/>
                  <w:marBottom w:val="0"/>
                  <w:divBdr>
                    <w:top w:val="none" w:sz="0" w:space="0" w:color="auto"/>
                    <w:left w:val="none" w:sz="0" w:space="0" w:color="auto"/>
                    <w:bottom w:val="none" w:sz="0" w:space="0" w:color="auto"/>
                    <w:right w:val="none" w:sz="0" w:space="0" w:color="auto"/>
                  </w:divBdr>
                </w:div>
              </w:divsChild>
            </w:div>
            <w:div w:id="1834834479">
              <w:marLeft w:val="0"/>
              <w:marRight w:val="0"/>
              <w:marTop w:val="0"/>
              <w:marBottom w:val="0"/>
              <w:divBdr>
                <w:top w:val="none" w:sz="0" w:space="0" w:color="auto"/>
                <w:left w:val="none" w:sz="0" w:space="0" w:color="auto"/>
                <w:bottom w:val="none" w:sz="0" w:space="0" w:color="auto"/>
                <w:right w:val="none" w:sz="0" w:space="0" w:color="auto"/>
              </w:divBdr>
              <w:divsChild>
                <w:div w:id="212735457">
                  <w:marLeft w:val="0"/>
                  <w:marRight w:val="0"/>
                  <w:marTop w:val="0"/>
                  <w:marBottom w:val="0"/>
                  <w:divBdr>
                    <w:top w:val="none" w:sz="0" w:space="0" w:color="auto"/>
                    <w:left w:val="none" w:sz="0" w:space="0" w:color="auto"/>
                    <w:bottom w:val="none" w:sz="0" w:space="0" w:color="auto"/>
                    <w:right w:val="none" w:sz="0" w:space="0" w:color="auto"/>
                  </w:divBdr>
                </w:div>
              </w:divsChild>
            </w:div>
            <w:div w:id="538903587">
              <w:marLeft w:val="0"/>
              <w:marRight w:val="0"/>
              <w:marTop w:val="0"/>
              <w:marBottom w:val="0"/>
              <w:divBdr>
                <w:top w:val="none" w:sz="0" w:space="0" w:color="auto"/>
                <w:left w:val="none" w:sz="0" w:space="0" w:color="auto"/>
                <w:bottom w:val="none" w:sz="0" w:space="0" w:color="auto"/>
                <w:right w:val="none" w:sz="0" w:space="0" w:color="auto"/>
              </w:divBdr>
              <w:divsChild>
                <w:div w:id="1594314058">
                  <w:marLeft w:val="0"/>
                  <w:marRight w:val="0"/>
                  <w:marTop w:val="0"/>
                  <w:marBottom w:val="0"/>
                  <w:divBdr>
                    <w:top w:val="none" w:sz="0" w:space="0" w:color="auto"/>
                    <w:left w:val="none" w:sz="0" w:space="0" w:color="auto"/>
                    <w:bottom w:val="none" w:sz="0" w:space="0" w:color="auto"/>
                    <w:right w:val="none" w:sz="0" w:space="0" w:color="auto"/>
                  </w:divBdr>
                </w:div>
              </w:divsChild>
            </w:div>
            <w:div w:id="1216501625">
              <w:marLeft w:val="0"/>
              <w:marRight w:val="0"/>
              <w:marTop w:val="0"/>
              <w:marBottom w:val="0"/>
              <w:divBdr>
                <w:top w:val="none" w:sz="0" w:space="0" w:color="auto"/>
                <w:left w:val="none" w:sz="0" w:space="0" w:color="auto"/>
                <w:bottom w:val="none" w:sz="0" w:space="0" w:color="auto"/>
                <w:right w:val="none" w:sz="0" w:space="0" w:color="auto"/>
              </w:divBdr>
              <w:divsChild>
                <w:div w:id="1179925290">
                  <w:marLeft w:val="0"/>
                  <w:marRight w:val="0"/>
                  <w:marTop w:val="0"/>
                  <w:marBottom w:val="0"/>
                  <w:divBdr>
                    <w:top w:val="none" w:sz="0" w:space="0" w:color="auto"/>
                    <w:left w:val="none" w:sz="0" w:space="0" w:color="auto"/>
                    <w:bottom w:val="none" w:sz="0" w:space="0" w:color="auto"/>
                    <w:right w:val="none" w:sz="0" w:space="0" w:color="auto"/>
                  </w:divBdr>
                </w:div>
              </w:divsChild>
            </w:div>
            <w:div w:id="2034770512">
              <w:marLeft w:val="0"/>
              <w:marRight w:val="0"/>
              <w:marTop w:val="0"/>
              <w:marBottom w:val="0"/>
              <w:divBdr>
                <w:top w:val="none" w:sz="0" w:space="0" w:color="auto"/>
                <w:left w:val="none" w:sz="0" w:space="0" w:color="auto"/>
                <w:bottom w:val="none" w:sz="0" w:space="0" w:color="auto"/>
                <w:right w:val="none" w:sz="0" w:space="0" w:color="auto"/>
              </w:divBdr>
              <w:divsChild>
                <w:div w:id="1679775827">
                  <w:marLeft w:val="0"/>
                  <w:marRight w:val="0"/>
                  <w:marTop w:val="0"/>
                  <w:marBottom w:val="0"/>
                  <w:divBdr>
                    <w:top w:val="none" w:sz="0" w:space="0" w:color="auto"/>
                    <w:left w:val="none" w:sz="0" w:space="0" w:color="auto"/>
                    <w:bottom w:val="none" w:sz="0" w:space="0" w:color="auto"/>
                    <w:right w:val="none" w:sz="0" w:space="0" w:color="auto"/>
                  </w:divBdr>
                </w:div>
              </w:divsChild>
            </w:div>
            <w:div w:id="191498781">
              <w:marLeft w:val="0"/>
              <w:marRight w:val="0"/>
              <w:marTop w:val="0"/>
              <w:marBottom w:val="0"/>
              <w:divBdr>
                <w:top w:val="none" w:sz="0" w:space="0" w:color="auto"/>
                <w:left w:val="none" w:sz="0" w:space="0" w:color="auto"/>
                <w:bottom w:val="none" w:sz="0" w:space="0" w:color="auto"/>
                <w:right w:val="none" w:sz="0" w:space="0" w:color="auto"/>
              </w:divBdr>
              <w:divsChild>
                <w:div w:id="1687244329">
                  <w:marLeft w:val="0"/>
                  <w:marRight w:val="0"/>
                  <w:marTop w:val="0"/>
                  <w:marBottom w:val="0"/>
                  <w:divBdr>
                    <w:top w:val="none" w:sz="0" w:space="0" w:color="auto"/>
                    <w:left w:val="none" w:sz="0" w:space="0" w:color="auto"/>
                    <w:bottom w:val="none" w:sz="0" w:space="0" w:color="auto"/>
                    <w:right w:val="none" w:sz="0" w:space="0" w:color="auto"/>
                  </w:divBdr>
                </w:div>
              </w:divsChild>
            </w:div>
            <w:div w:id="1079524838">
              <w:marLeft w:val="0"/>
              <w:marRight w:val="0"/>
              <w:marTop w:val="0"/>
              <w:marBottom w:val="0"/>
              <w:divBdr>
                <w:top w:val="none" w:sz="0" w:space="0" w:color="auto"/>
                <w:left w:val="none" w:sz="0" w:space="0" w:color="auto"/>
                <w:bottom w:val="none" w:sz="0" w:space="0" w:color="auto"/>
                <w:right w:val="none" w:sz="0" w:space="0" w:color="auto"/>
              </w:divBdr>
              <w:divsChild>
                <w:div w:id="3855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8680">
          <w:marLeft w:val="0"/>
          <w:marRight w:val="0"/>
          <w:marTop w:val="0"/>
          <w:marBottom w:val="600"/>
          <w:divBdr>
            <w:top w:val="none" w:sz="0" w:space="0" w:color="auto"/>
            <w:left w:val="none" w:sz="0" w:space="0" w:color="auto"/>
            <w:bottom w:val="none" w:sz="0" w:space="0" w:color="auto"/>
            <w:right w:val="none" w:sz="0" w:space="0" w:color="auto"/>
          </w:divBdr>
        </w:div>
      </w:divsChild>
    </w:div>
    <w:div w:id="823736874">
      <w:marLeft w:val="0"/>
      <w:marRight w:val="0"/>
      <w:marTop w:val="0"/>
      <w:marBottom w:val="0"/>
      <w:divBdr>
        <w:top w:val="none" w:sz="0" w:space="0" w:color="auto"/>
        <w:left w:val="none" w:sz="0" w:space="0" w:color="auto"/>
        <w:bottom w:val="none" w:sz="0" w:space="0" w:color="auto"/>
        <w:right w:val="none" w:sz="0" w:space="0" w:color="auto"/>
      </w:divBdr>
      <w:divsChild>
        <w:div w:id="304552672">
          <w:marLeft w:val="0"/>
          <w:marRight w:val="0"/>
          <w:marTop w:val="432"/>
          <w:marBottom w:val="0"/>
          <w:divBdr>
            <w:top w:val="none" w:sz="0" w:space="0" w:color="auto"/>
            <w:left w:val="none" w:sz="0" w:space="0" w:color="auto"/>
            <w:bottom w:val="none" w:sz="0" w:space="0" w:color="auto"/>
            <w:right w:val="none" w:sz="0" w:space="0" w:color="auto"/>
          </w:divBdr>
        </w:div>
        <w:div w:id="46994977">
          <w:marLeft w:val="0"/>
          <w:marRight w:val="0"/>
          <w:marTop w:val="0"/>
          <w:marBottom w:val="0"/>
          <w:divBdr>
            <w:top w:val="none" w:sz="0" w:space="0" w:color="auto"/>
            <w:left w:val="none" w:sz="0" w:space="0" w:color="auto"/>
            <w:bottom w:val="none" w:sz="0" w:space="0" w:color="auto"/>
            <w:right w:val="none" w:sz="0" w:space="0" w:color="auto"/>
          </w:divBdr>
        </w:div>
        <w:div w:id="1516778">
          <w:marLeft w:val="0"/>
          <w:marRight w:val="0"/>
          <w:marTop w:val="0"/>
          <w:marBottom w:val="600"/>
          <w:divBdr>
            <w:top w:val="none" w:sz="0" w:space="0" w:color="auto"/>
            <w:left w:val="none" w:sz="0" w:space="0" w:color="auto"/>
            <w:bottom w:val="none" w:sz="0" w:space="0" w:color="auto"/>
            <w:right w:val="none" w:sz="0" w:space="0" w:color="auto"/>
          </w:divBdr>
        </w:div>
      </w:divsChild>
    </w:div>
    <w:div w:id="908225933">
      <w:marLeft w:val="0"/>
      <w:marRight w:val="0"/>
      <w:marTop w:val="0"/>
      <w:marBottom w:val="0"/>
      <w:divBdr>
        <w:top w:val="none" w:sz="0" w:space="0" w:color="auto"/>
        <w:left w:val="none" w:sz="0" w:space="0" w:color="auto"/>
        <w:bottom w:val="none" w:sz="0" w:space="0" w:color="auto"/>
        <w:right w:val="none" w:sz="0" w:space="0" w:color="auto"/>
      </w:divBdr>
      <w:divsChild>
        <w:div w:id="953053966">
          <w:marLeft w:val="0"/>
          <w:marRight w:val="0"/>
          <w:marTop w:val="432"/>
          <w:marBottom w:val="0"/>
          <w:divBdr>
            <w:top w:val="none" w:sz="0" w:space="0" w:color="auto"/>
            <w:left w:val="none" w:sz="0" w:space="0" w:color="auto"/>
            <w:bottom w:val="none" w:sz="0" w:space="0" w:color="auto"/>
            <w:right w:val="none" w:sz="0" w:space="0" w:color="auto"/>
          </w:divBdr>
        </w:div>
        <w:div w:id="401955016">
          <w:marLeft w:val="0"/>
          <w:marRight w:val="0"/>
          <w:marTop w:val="0"/>
          <w:marBottom w:val="0"/>
          <w:divBdr>
            <w:top w:val="none" w:sz="0" w:space="0" w:color="auto"/>
            <w:left w:val="none" w:sz="0" w:space="0" w:color="auto"/>
            <w:bottom w:val="none" w:sz="0" w:space="0" w:color="auto"/>
            <w:right w:val="none" w:sz="0" w:space="0" w:color="auto"/>
          </w:divBdr>
        </w:div>
        <w:div w:id="278222405">
          <w:marLeft w:val="0"/>
          <w:marRight w:val="0"/>
          <w:marTop w:val="0"/>
          <w:marBottom w:val="600"/>
          <w:divBdr>
            <w:top w:val="none" w:sz="0" w:space="0" w:color="auto"/>
            <w:left w:val="none" w:sz="0" w:space="0" w:color="auto"/>
            <w:bottom w:val="none" w:sz="0" w:space="0" w:color="auto"/>
            <w:right w:val="none" w:sz="0" w:space="0" w:color="auto"/>
          </w:divBdr>
        </w:div>
      </w:divsChild>
    </w:div>
    <w:div w:id="1038821950">
      <w:marLeft w:val="0"/>
      <w:marRight w:val="0"/>
      <w:marTop w:val="0"/>
      <w:marBottom w:val="0"/>
      <w:divBdr>
        <w:top w:val="none" w:sz="0" w:space="0" w:color="auto"/>
        <w:left w:val="none" w:sz="0" w:space="0" w:color="auto"/>
        <w:bottom w:val="none" w:sz="0" w:space="0" w:color="auto"/>
        <w:right w:val="none" w:sz="0" w:space="0" w:color="auto"/>
      </w:divBdr>
      <w:divsChild>
        <w:div w:id="375009168">
          <w:marLeft w:val="0"/>
          <w:marRight w:val="0"/>
          <w:marTop w:val="432"/>
          <w:marBottom w:val="0"/>
          <w:divBdr>
            <w:top w:val="none" w:sz="0" w:space="0" w:color="auto"/>
            <w:left w:val="none" w:sz="0" w:space="0" w:color="auto"/>
            <w:bottom w:val="none" w:sz="0" w:space="0" w:color="auto"/>
            <w:right w:val="none" w:sz="0" w:space="0" w:color="auto"/>
          </w:divBdr>
        </w:div>
        <w:div w:id="589045892">
          <w:marLeft w:val="0"/>
          <w:marRight w:val="0"/>
          <w:marTop w:val="0"/>
          <w:marBottom w:val="0"/>
          <w:divBdr>
            <w:top w:val="none" w:sz="0" w:space="0" w:color="auto"/>
            <w:left w:val="none" w:sz="0" w:space="0" w:color="auto"/>
            <w:bottom w:val="none" w:sz="0" w:space="0" w:color="auto"/>
            <w:right w:val="none" w:sz="0" w:space="0" w:color="auto"/>
          </w:divBdr>
          <w:divsChild>
            <w:div w:id="525681632">
              <w:marLeft w:val="0"/>
              <w:marRight w:val="0"/>
              <w:marTop w:val="0"/>
              <w:marBottom w:val="0"/>
              <w:divBdr>
                <w:top w:val="none" w:sz="0" w:space="0" w:color="auto"/>
                <w:left w:val="none" w:sz="0" w:space="0" w:color="auto"/>
                <w:bottom w:val="none" w:sz="0" w:space="0" w:color="auto"/>
                <w:right w:val="none" w:sz="0" w:space="0" w:color="auto"/>
              </w:divBdr>
              <w:divsChild>
                <w:div w:id="1265920822">
                  <w:marLeft w:val="0"/>
                  <w:marRight w:val="0"/>
                  <w:marTop w:val="0"/>
                  <w:marBottom w:val="0"/>
                  <w:divBdr>
                    <w:top w:val="none" w:sz="0" w:space="0" w:color="auto"/>
                    <w:left w:val="none" w:sz="0" w:space="0" w:color="auto"/>
                    <w:bottom w:val="none" w:sz="0" w:space="0" w:color="auto"/>
                    <w:right w:val="none" w:sz="0" w:space="0" w:color="auto"/>
                  </w:divBdr>
                </w:div>
              </w:divsChild>
            </w:div>
            <w:div w:id="1625386225">
              <w:marLeft w:val="0"/>
              <w:marRight w:val="0"/>
              <w:marTop w:val="0"/>
              <w:marBottom w:val="0"/>
              <w:divBdr>
                <w:top w:val="none" w:sz="0" w:space="0" w:color="auto"/>
                <w:left w:val="none" w:sz="0" w:space="0" w:color="auto"/>
                <w:bottom w:val="none" w:sz="0" w:space="0" w:color="auto"/>
                <w:right w:val="none" w:sz="0" w:space="0" w:color="auto"/>
              </w:divBdr>
              <w:divsChild>
                <w:div w:id="211505330">
                  <w:marLeft w:val="0"/>
                  <w:marRight w:val="0"/>
                  <w:marTop w:val="0"/>
                  <w:marBottom w:val="0"/>
                  <w:divBdr>
                    <w:top w:val="none" w:sz="0" w:space="0" w:color="auto"/>
                    <w:left w:val="none" w:sz="0" w:space="0" w:color="auto"/>
                    <w:bottom w:val="none" w:sz="0" w:space="0" w:color="auto"/>
                    <w:right w:val="none" w:sz="0" w:space="0" w:color="auto"/>
                  </w:divBdr>
                </w:div>
              </w:divsChild>
            </w:div>
            <w:div w:id="596527718">
              <w:marLeft w:val="0"/>
              <w:marRight w:val="0"/>
              <w:marTop w:val="0"/>
              <w:marBottom w:val="0"/>
              <w:divBdr>
                <w:top w:val="none" w:sz="0" w:space="0" w:color="auto"/>
                <w:left w:val="none" w:sz="0" w:space="0" w:color="auto"/>
                <w:bottom w:val="none" w:sz="0" w:space="0" w:color="auto"/>
                <w:right w:val="none" w:sz="0" w:space="0" w:color="auto"/>
              </w:divBdr>
              <w:divsChild>
                <w:div w:id="250549871">
                  <w:marLeft w:val="0"/>
                  <w:marRight w:val="0"/>
                  <w:marTop w:val="0"/>
                  <w:marBottom w:val="0"/>
                  <w:divBdr>
                    <w:top w:val="none" w:sz="0" w:space="0" w:color="auto"/>
                    <w:left w:val="none" w:sz="0" w:space="0" w:color="auto"/>
                    <w:bottom w:val="none" w:sz="0" w:space="0" w:color="auto"/>
                    <w:right w:val="none" w:sz="0" w:space="0" w:color="auto"/>
                  </w:divBdr>
                </w:div>
              </w:divsChild>
            </w:div>
            <w:div w:id="1767649912">
              <w:marLeft w:val="0"/>
              <w:marRight w:val="0"/>
              <w:marTop w:val="0"/>
              <w:marBottom w:val="0"/>
              <w:divBdr>
                <w:top w:val="none" w:sz="0" w:space="0" w:color="auto"/>
                <w:left w:val="none" w:sz="0" w:space="0" w:color="auto"/>
                <w:bottom w:val="none" w:sz="0" w:space="0" w:color="auto"/>
                <w:right w:val="none" w:sz="0" w:space="0" w:color="auto"/>
              </w:divBdr>
              <w:divsChild>
                <w:div w:id="959606424">
                  <w:marLeft w:val="0"/>
                  <w:marRight w:val="0"/>
                  <w:marTop w:val="0"/>
                  <w:marBottom w:val="0"/>
                  <w:divBdr>
                    <w:top w:val="none" w:sz="0" w:space="0" w:color="auto"/>
                    <w:left w:val="none" w:sz="0" w:space="0" w:color="auto"/>
                    <w:bottom w:val="none" w:sz="0" w:space="0" w:color="auto"/>
                    <w:right w:val="none" w:sz="0" w:space="0" w:color="auto"/>
                  </w:divBdr>
                </w:div>
              </w:divsChild>
            </w:div>
            <w:div w:id="228883083">
              <w:marLeft w:val="0"/>
              <w:marRight w:val="0"/>
              <w:marTop w:val="0"/>
              <w:marBottom w:val="0"/>
              <w:divBdr>
                <w:top w:val="none" w:sz="0" w:space="0" w:color="auto"/>
                <w:left w:val="none" w:sz="0" w:space="0" w:color="auto"/>
                <w:bottom w:val="none" w:sz="0" w:space="0" w:color="auto"/>
                <w:right w:val="none" w:sz="0" w:space="0" w:color="auto"/>
              </w:divBdr>
              <w:divsChild>
                <w:div w:id="1190341936">
                  <w:marLeft w:val="0"/>
                  <w:marRight w:val="0"/>
                  <w:marTop w:val="0"/>
                  <w:marBottom w:val="0"/>
                  <w:divBdr>
                    <w:top w:val="none" w:sz="0" w:space="0" w:color="auto"/>
                    <w:left w:val="none" w:sz="0" w:space="0" w:color="auto"/>
                    <w:bottom w:val="none" w:sz="0" w:space="0" w:color="auto"/>
                    <w:right w:val="none" w:sz="0" w:space="0" w:color="auto"/>
                  </w:divBdr>
                </w:div>
              </w:divsChild>
            </w:div>
            <w:div w:id="704327849">
              <w:marLeft w:val="0"/>
              <w:marRight w:val="0"/>
              <w:marTop w:val="0"/>
              <w:marBottom w:val="0"/>
              <w:divBdr>
                <w:top w:val="none" w:sz="0" w:space="0" w:color="auto"/>
                <w:left w:val="none" w:sz="0" w:space="0" w:color="auto"/>
                <w:bottom w:val="none" w:sz="0" w:space="0" w:color="auto"/>
                <w:right w:val="none" w:sz="0" w:space="0" w:color="auto"/>
              </w:divBdr>
              <w:divsChild>
                <w:div w:id="1639140732">
                  <w:marLeft w:val="0"/>
                  <w:marRight w:val="0"/>
                  <w:marTop w:val="0"/>
                  <w:marBottom w:val="0"/>
                  <w:divBdr>
                    <w:top w:val="none" w:sz="0" w:space="0" w:color="auto"/>
                    <w:left w:val="none" w:sz="0" w:space="0" w:color="auto"/>
                    <w:bottom w:val="none" w:sz="0" w:space="0" w:color="auto"/>
                    <w:right w:val="none" w:sz="0" w:space="0" w:color="auto"/>
                  </w:divBdr>
                </w:div>
              </w:divsChild>
            </w:div>
            <w:div w:id="1356734841">
              <w:marLeft w:val="0"/>
              <w:marRight w:val="0"/>
              <w:marTop w:val="0"/>
              <w:marBottom w:val="0"/>
              <w:divBdr>
                <w:top w:val="none" w:sz="0" w:space="0" w:color="auto"/>
                <w:left w:val="none" w:sz="0" w:space="0" w:color="auto"/>
                <w:bottom w:val="none" w:sz="0" w:space="0" w:color="auto"/>
                <w:right w:val="none" w:sz="0" w:space="0" w:color="auto"/>
              </w:divBdr>
              <w:divsChild>
                <w:div w:id="1448693781">
                  <w:marLeft w:val="0"/>
                  <w:marRight w:val="0"/>
                  <w:marTop w:val="0"/>
                  <w:marBottom w:val="0"/>
                  <w:divBdr>
                    <w:top w:val="none" w:sz="0" w:space="0" w:color="auto"/>
                    <w:left w:val="none" w:sz="0" w:space="0" w:color="auto"/>
                    <w:bottom w:val="none" w:sz="0" w:space="0" w:color="auto"/>
                    <w:right w:val="none" w:sz="0" w:space="0" w:color="auto"/>
                  </w:divBdr>
                </w:div>
              </w:divsChild>
            </w:div>
            <w:div w:id="1599411590">
              <w:marLeft w:val="0"/>
              <w:marRight w:val="0"/>
              <w:marTop w:val="0"/>
              <w:marBottom w:val="0"/>
              <w:divBdr>
                <w:top w:val="none" w:sz="0" w:space="0" w:color="auto"/>
                <w:left w:val="none" w:sz="0" w:space="0" w:color="auto"/>
                <w:bottom w:val="none" w:sz="0" w:space="0" w:color="auto"/>
                <w:right w:val="none" w:sz="0" w:space="0" w:color="auto"/>
              </w:divBdr>
              <w:divsChild>
                <w:div w:id="1070159227">
                  <w:marLeft w:val="0"/>
                  <w:marRight w:val="0"/>
                  <w:marTop w:val="0"/>
                  <w:marBottom w:val="0"/>
                  <w:divBdr>
                    <w:top w:val="none" w:sz="0" w:space="0" w:color="auto"/>
                    <w:left w:val="none" w:sz="0" w:space="0" w:color="auto"/>
                    <w:bottom w:val="none" w:sz="0" w:space="0" w:color="auto"/>
                    <w:right w:val="none" w:sz="0" w:space="0" w:color="auto"/>
                  </w:divBdr>
                </w:div>
              </w:divsChild>
            </w:div>
            <w:div w:id="549462777">
              <w:marLeft w:val="0"/>
              <w:marRight w:val="0"/>
              <w:marTop w:val="0"/>
              <w:marBottom w:val="0"/>
              <w:divBdr>
                <w:top w:val="none" w:sz="0" w:space="0" w:color="auto"/>
                <w:left w:val="none" w:sz="0" w:space="0" w:color="auto"/>
                <w:bottom w:val="none" w:sz="0" w:space="0" w:color="auto"/>
                <w:right w:val="none" w:sz="0" w:space="0" w:color="auto"/>
              </w:divBdr>
              <w:divsChild>
                <w:div w:id="892353141">
                  <w:marLeft w:val="0"/>
                  <w:marRight w:val="0"/>
                  <w:marTop w:val="0"/>
                  <w:marBottom w:val="0"/>
                  <w:divBdr>
                    <w:top w:val="none" w:sz="0" w:space="0" w:color="auto"/>
                    <w:left w:val="none" w:sz="0" w:space="0" w:color="auto"/>
                    <w:bottom w:val="none" w:sz="0" w:space="0" w:color="auto"/>
                    <w:right w:val="none" w:sz="0" w:space="0" w:color="auto"/>
                  </w:divBdr>
                </w:div>
              </w:divsChild>
            </w:div>
            <w:div w:id="2081366440">
              <w:marLeft w:val="0"/>
              <w:marRight w:val="0"/>
              <w:marTop w:val="0"/>
              <w:marBottom w:val="0"/>
              <w:divBdr>
                <w:top w:val="none" w:sz="0" w:space="0" w:color="auto"/>
                <w:left w:val="none" w:sz="0" w:space="0" w:color="auto"/>
                <w:bottom w:val="none" w:sz="0" w:space="0" w:color="auto"/>
                <w:right w:val="none" w:sz="0" w:space="0" w:color="auto"/>
              </w:divBdr>
              <w:divsChild>
                <w:div w:id="748843039">
                  <w:marLeft w:val="0"/>
                  <w:marRight w:val="0"/>
                  <w:marTop w:val="0"/>
                  <w:marBottom w:val="0"/>
                  <w:divBdr>
                    <w:top w:val="none" w:sz="0" w:space="0" w:color="auto"/>
                    <w:left w:val="none" w:sz="0" w:space="0" w:color="auto"/>
                    <w:bottom w:val="none" w:sz="0" w:space="0" w:color="auto"/>
                    <w:right w:val="none" w:sz="0" w:space="0" w:color="auto"/>
                  </w:divBdr>
                </w:div>
              </w:divsChild>
            </w:div>
            <w:div w:id="1090199985">
              <w:marLeft w:val="0"/>
              <w:marRight w:val="0"/>
              <w:marTop w:val="0"/>
              <w:marBottom w:val="0"/>
              <w:divBdr>
                <w:top w:val="none" w:sz="0" w:space="0" w:color="auto"/>
                <w:left w:val="none" w:sz="0" w:space="0" w:color="auto"/>
                <w:bottom w:val="none" w:sz="0" w:space="0" w:color="auto"/>
                <w:right w:val="none" w:sz="0" w:space="0" w:color="auto"/>
              </w:divBdr>
              <w:divsChild>
                <w:div w:id="1164782793">
                  <w:marLeft w:val="0"/>
                  <w:marRight w:val="0"/>
                  <w:marTop w:val="0"/>
                  <w:marBottom w:val="0"/>
                  <w:divBdr>
                    <w:top w:val="none" w:sz="0" w:space="0" w:color="auto"/>
                    <w:left w:val="none" w:sz="0" w:space="0" w:color="auto"/>
                    <w:bottom w:val="none" w:sz="0" w:space="0" w:color="auto"/>
                    <w:right w:val="none" w:sz="0" w:space="0" w:color="auto"/>
                  </w:divBdr>
                </w:div>
              </w:divsChild>
            </w:div>
            <w:div w:id="736902905">
              <w:marLeft w:val="0"/>
              <w:marRight w:val="0"/>
              <w:marTop w:val="0"/>
              <w:marBottom w:val="0"/>
              <w:divBdr>
                <w:top w:val="none" w:sz="0" w:space="0" w:color="auto"/>
                <w:left w:val="none" w:sz="0" w:space="0" w:color="auto"/>
                <w:bottom w:val="none" w:sz="0" w:space="0" w:color="auto"/>
                <w:right w:val="none" w:sz="0" w:space="0" w:color="auto"/>
              </w:divBdr>
              <w:divsChild>
                <w:div w:id="54089825">
                  <w:marLeft w:val="0"/>
                  <w:marRight w:val="0"/>
                  <w:marTop w:val="0"/>
                  <w:marBottom w:val="0"/>
                  <w:divBdr>
                    <w:top w:val="none" w:sz="0" w:space="0" w:color="auto"/>
                    <w:left w:val="none" w:sz="0" w:space="0" w:color="auto"/>
                    <w:bottom w:val="none" w:sz="0" w:space="0" w:color="auto"/>
                    <w:right w:val="none" w:sz="0" w:space="0" w:color="auto"/>
                  </w:divBdr>
                </w:div>
              </w:divsChild>
            </w:div>
            <w:div w:id="545141222">
              <w:marLeft w:val="0"/>
              <w:marRight w:val="0"/>
              <w:marTop w:val="0"/>
              <w:marBottom w:val="0"/>
              <w:divBdr>
                <w:top w:val="none" w:sz="0" w:space="0" w:color="auto"/>
                <w:left w:val="none" w:sz="0" w:space="0" w:color="auto"/>
                <w:bottom w:val="none" w:sz="0" w:space="0" w:color="auto"/>
                <w:right w:val="none" w:sz="0" w:space="0" w:color="auto"/>
              </w:divBdr>
              <w:divsChild>
                <w:div w:id="2069330293">
                  <w:marLeft w:val="0"/>
                  <w:marRight w:val="0"/>
                  <w:marTop w:val="0"/>
                  <w:marBottom w:val="0"/>
                  <w:divBdr>
                    <w:top w:val="none" w:sz="0" w:space="0" w:color="auto"/>
                    <w:left w:val="none" w:sz="0" w:space="0" w:color="auto"/>
                    <w:bottom w:val="none" w:sz="0" w:space="0" w:color="auto"/>
                    <w:right w:val="none" w:sz="0" w:space="0" w:color="auto"/>
                  </w:divBdr>
                </w:div>
              </w:divsChild>
            </w:div>
            <w:div w:id="420831316">
              <w:marLeft w:val="0"/>
              <w:marRight w:val="0"/>
              <w:marTop w:val="0"/>
              <w:marBottom w:val="0"/>
              <w:divBdr>
                <w:top w:val="none" w:sz="0" w:space="0" w:color="auto"/>
                <w:left w:val="none" w:sz="0" w:space="0" w:color="auto"/>
                <w:bottom w:val="none" w:sz="0" w:space="0" w:color="auto"/>
                <w:right w:val="none" w:sz="0" w:space="0" w:color="auto"/>
              </w:divBdr>
              <w:divsChild>
                <w:div w:id="1406104401">
                  <w:marLeft w:val="0"/>
                  <w:marRight w:val="0"/>
                  <w:marTop w:val="0"/>
                  <w:marBottom w:val="0"/>
                  <w:divBdr>
                    <w:top w:val="none" w:sz="0" w:space="0" w:color="auto"/>
                    <w:left w:val="none" w:sz="0" w:space="0" w:color="auto"/>
                    <w:bottom w:val="none" w:sz="0" w:space="0" w:color="auto"/>
                    <w:right w:val="none" w:sz="0" w:space="0" w:color="auto"/>
                  </w:divBdr>
                </w:div>
              </w:divsChild>
            </w:div>
            <w:div w:id="726103455">
              <w:marLeft w:val="0"/>
              <w:marRight w:val="0"/>
              <w:marTop w:val="0"/>
              <w:marBottom w:val="0"/>
              <w:divBdr>
                <w:top w:val="none" w:sz="0" w:space="0" w:color="auto"/>
                <w:left w:val="none" w:sz="0" w:space="0" w:color="auto"/>
                <w:bottom w:val="none" w:sz="0" w:space="0" w:color="auto"/>
                <w:right w:val="none" w:sz="0" w:space="0" w:color="auto"/>
              </w:divBdr>
              <w:divsChild>
                <w:div w:id="609316239">
                  <w:marLeft w:val="0"/>
                  <w:marRight w:val="0"/>
                  <w:marTop w:val="0"/>
                  <w:marBottom w:val="0"/>
                  <w:divBdr>
                    <w:top w:val="none" w:sz="0" w:space="0" w:color="auto"/>
                    <w:left w:val="none" w:sz="0" w:space="0" w:color="auto"/>
                    <w:bottom w:val="none" w:sz="0" w:space="0" w:color="auto"/>
                    <w:right w:val="none" w:sz="0" w:space="0" w:color="auto"/>
                  </w:divBdr>
                </w:div>
              </w:divsChild>
            </w:div>
            <w:div w:id="1211310074">
              <w:marLeft w:val="0"/>
              <w:marRight w:val="0"/>
              <w:marTop w:val="0"/>
              <w:marBottom w:val="0"/>
              <w:divBdr>
                <w:top w:val="none" w:sz="0" w:space="0" w:color="auto"/>
                <w:left w:val="none" w:sz="0" w:space="0" w:color="auto"/>
                <w:bottom w:val="none" w:sz="0" w:space="0" w:color="auto"/>
                <w:right w:val="none" w:sz="0" w:space="0" w:color="auto"/>
              </w:divBdr>
              <w:divsChild>
                <w:div w:id="165485902">
                  <w:marLeft w:val="0"/>
                  <w:marRight w:val="0"/>
                  <w:marTop w:val="0"/>
                  <w:marBottom w:val="0"/>
                  <w:divBdr>
                    <w:top w:val="none" w:sz="0" w:space="0" w:color="auto"/>
                    <w:left w:val="none" w:sz="0" w:space="0" w:color="auto"/>
                    <w:bottom w:val="none" w:sz="0" w:space="0" w:color="auto"/>
                    <w:right w:val="none" w:sz="0" w:space="0" w:color="auto"/>
                  </w:divBdr>
                </w:div>
              </w:divsChild>
            </w:div>
            <w:div w:id="539588593">
              <w:marLeft w:val="0"/>
              <w:marRight w:val="0"/>
              <w:marTop w:val="0"/>
              <w:marBottom w:val="0"/>
              <w:divBdr>
                <w:top w:val="none" w:sz="0" w:space="0" w:color="auto"/>
                <w:left w:val="none" w:sz="0" w:space="0" w:color="auto"/>
                <w:bottom w:val="none" w:sz="0" w:space="0" w:color="auto"/>
                <w:right w:val="none" w:sz="0" w:space="0" w:color="auto"/>
              </w:divBdr>
              <w:divsChild>
                <w:div w:id="254942818">
                  <w:marLeft w:val="0"/>
                  <w:marRight w:val="0"/>
                  <w:marTop w:val="0"/>
                  <w:marBottom w:val="0"/>
                  <w:divBdr>
                    <w:top w:val="none" w:sz="0" w:space="0" w:color="auto"/>
                    <w:left w:val="none" w:sz="0" w:space="0" w:color="auto"/>
                    <w:bottom w:val="none" w:sz="0" w:space="0" w:color="auto"/>
                    <w:right w:val="none" w:sz="0" w:space="0" w:color="auto"/>
                  </w:divBdr>
                </w:div>
              </w:divsChild>
            </w:div>
            <w:div w:id="1496533026">
              <w:marLeft w:val="0"/>
              <w:marRight w:val="0"/>
              <w:marTop w:val="0"/>
              <w:marBottom w:val="0"/>
              <w:divBdr>
                <w:top w:val="none" w:sz="0" w:space="0" w:color="auto"/>
                <w:left w:val="none" w:sz="0" w:space="0" w:color="auto"/>
                <w:bottom w:val="none" w:sz="0" w:space="0" w:color="auto"/>
                <w:right w:val="none" w:sz="0" w:space="0" w:color="auto"/>
              </w:divBdr>
              <w:divsChild>
                <w:div w:id="233123695">
                  <w:marLeft w:val="0"/>
                  <w:marRight w:val="0"/>
                  <w:marTop w:val="0"/>
                  <w:marBottom w:val="0"/>
                  <w:divBdr>
                    <w:top w:val="none" w:sz="0" w:space="0" w:color="auto"/>
                    <w:left w:val="none" w:sz="0" w:space="0" w:color="auto"/>
                    <w:bottom w:val="none" w:sz="0" w:space="0" w:color="auto"/>
                    <w:right w:val="none" w:sz="0" w:space="0" w:color="auto"/>
                  </w:divBdr>
                </w:div>
              </w:divsChild>
            </w:div>
            <w:div w:id="1086341838">
              <w:marLeft w:val="0"/>
              <w:marRight w:val="0"/>
              <w:marTop w:val="0"/>
              <w:marBottom w:val="0"/>
              <w:divBdr>
                <w:top w:val="none" w:sz="0" w:space="0" w:color="auto"/>
                <w:left w:val="none" w:sz="0" w:space="0" w:color="auto"/>
                <w:bottom w:val="none" w:sz="0" w:space="0" w:color="auto"/>
                <w:right w:val="none" w:sz="0" w:space="0" w:color="auto"/>
              </w:divBdr>
              <w:divsChild>
                <w:div w:id="1626698335">
                  <w:marLeft w:val="0"/>
                  <w:marRight w:val="0"/>
                  <w:marTop w:val="0"/>
                  <w:marBottom w:val="0"/>
                  <w:divBdr>
                    <w:top w:val="none" w:sz="0" w:space="0" w:color="auto"/>
                    <w:left w:val="none" w:sz="0" w:space="0" w:color="auto"/>
                    <w:bottom w:val="none" w:sz="0" w:space="0" w:color="auto"/>
                    <w:right w:val="none" w:sz="0" w:space="0" w:color="auto"/>
                  </w:divBdr>
                </w:div>
              </w:divsChild>
            </w:div>
            <w:div w:id="1696883611">
              <w:marLeft w:val="0"/>
              <w:marRight w:val="0"/>
              <w:marTop w:val="0"/>
              <w:marBottom w:val="0"/>
              <w:divBdr>
                <w:top w:val="none" w:sz="0" w:space="0" w:color="auto"/>
                <w:left w:val="none" w:sz="0" w:space="0" w:color="auto"/>
                <w:bottom w:val="none" w:sz="0" w:space="0" w:color="auto"/>
                <w:right w:val="none" w:sz="0" w:space="0" w:color="auto"/>
              </w:divBdr>
              <w:divsChild>
                <w:div w:id="96024896">
                  <w:marLeft w:val="0"/>
                  <w:marRight w:val="0"/>
                  <w:marTop w:val="0"/>
                  <w:marBottom w:val="0"/>
                  <w:divBdr>
                    <w:top w:val="none" w:sz="0" w:space="0" w:color="auto"/>
                    <w:left w:val="none" w:sz="0" w:space="0" w:color="auto"/>
                    <w:bottom w:val="none" w:sz="0" w:space="0" w:color="auto"/>
                    <w:right w:val="none" w:sz="0" w:space="0" w:color="auto"/>
                  </w:divBdr>
                </w:div>
              </w:divsChild>
            </w:div>
            <w:div w:id="1864779052">
              <w:marLeft w:val="0"/>
              <w:marRight w:val="0"/>
              <w:marTop w:val="0"/>
              <w:marBottom w:val="0"/>
              <w:divBdr>
                <w:top w:val="none" w:sz="0" w:space="0" w:color="auto"/>
                <w:left w:val="none" w:sz="0" w:space="0" w:color="auto"/>
                <w:bottom w:val="none" w:sz="0" w:space="0" w:color="auto"/>
                <w:right w:val="none" w:sz="0" w:space="0" w:color="auto"/>
              </w:divBdr>
              <w:divsChild>
                <w:div w:id="1726561831">
                  <w:marLeft w:val="0"/>
                  <w:marRight w:val="0"/>
                  <w:marTop w:val="0"/>
                  <w:marBottom w:val="0"/>
                  <w:divBdr>
                    <w:top w:val="none" w:sz="0" w:space="0" w:color="auto"/>
                    <w:left w:val="none" w:sz="0" w:space="0" w:color="auto"/>
                    <w:bottom w:val="none" w:sz="0" w:space="0" w:color="auto"/>
                    <w:right w:val="none" w:sz="0" w:space="0" w:color="auto"/>
                  </w:divBdr>
                </w:div>
              </w:divsChild>
            </w:div>
            <w:div w:id="729615234">
              <w:marLeft w:val="0"/>
              <w:marRight w:val="0"/>
              <w:marTop w:val="0"/>
              <w:marBottom w:val="0"/>
              <w:divBdr>
                <w:top w:val="none" w:sz="0" w:space="0" w:color="auto"/>
                <w:left w:val="none" w:sz="0" w:space="0" w:color="auto"/>
                <w:bottom w:val="none" w:sz="0" w:space="0" w:color="auto"/>
                <w:right w:val="none" w:sz="0" w:space="0" w:color="auto"/>
              </w:divBdr>
              <w:divsChild>
                <w:div w:id="1093087046">
                  <w:marLeft w:val="0"/>
                  <w:marRight w:val="0"/>
                  <w:marTop w:val="0"/>
                  <w:marBottom w:val="0"/>
                  <w:divBdr>
                    <w:top w:val="none" w:sz="0" w:space="0" w:color="auto"/>
                    <w:left w:val="none" w:sz="0" w:space="0" w:color="auto"/>
                    <w:bottom w:val="none" w:sz="0" w:space="0" w:color="auto"/>
                    <w:right w:val="none" w:sz="0" w:space="0" w:color="auto"/>
                  </w:divBdr>
                </w:div>
              </w:divsChild>
            </w:div>
            <w:div w:id="1316639376">
              <w:marLeft w:val="0"/>
              <w:marRight w:val="0"/>
              <w:marTop w:val="0"/>
              <w:marBottom w:val="0"/>
              <w:divBdr>
                <w:top w:val="none" w:sz="0" w:space="0" w:color="auto"/>
                <w:left w:val="none" w:sz="0" w:space="0" w:color="auto"/>
                <w:bottom w:val="none" w:sz="0" w:space="0" w:color="auto"/>
                <w:right w:val="none" w:sz="0" w:space="0" w:color="auto"/>
              </w:divBdr>
              <w:divsChild>
                <w:div w:id="304819732">
                  <w:marLeft w:val="0"/>
                  <w:marRight w:val="0"/>
                  <w:marTop w:val="0"/>
                  <w:marBottom w:val="0"/>
                  <w:divBdr>
                    <w:top w:val="none" w:sz="0" w:space="0" w:color="auto"/>
                    <w:left w:val="none" w:sz="0" w:space="0" w:color="auto"/>
                    <w:bottom w:val="none" w:sz="0" w:space="0" w:color="auto"/>
                    <w:right w:val="none" w:sz="0" w:space="0" w:color="auto"/>
                  </w:divBdr>
                </w:div>
              </w:divsChild>
            </w:div>
            <w:div w:id="1406368508">
              <w:marLeft w:val="0"/>
              <w:marRight w:val="0"/>
              <w:marTop w:val="0"/>
              <w:marBottom w:val="0"/>
              <w:divBdr>
                <w:top w:val="none" w:sz="0" w:space="0" w:color="auto"/>
                <w:left w:val="none" w:sz="0" w:space="0" w:color="auto"/>
                <w:bottom w:val="none" w:sz="0" w:space="0" w:color="auto"/>
                <w:right w:val="none" w:sz="0" w:space="0" w:color="auto"/>
              </w:divBdr>
              <w:divsChild>
                <w:div w:id="1825851025">
                  <w:marLeft w:val="0"/>
                  <w:marRight w:val="0"/>
                  <w:marTop w:val="0"/>
                  <w:marBottom w:val="0"/>
                  <w:divBdr>
                    <w:top w:val="none" w:sz="0" w:space="0" w:color="auto"/>
                    <w:left w:val="none" w:sz="0" w:space="0" w:color="auto"/>
                    <w:bottom w:val="none" w:sz="0" w:space="0" w:color="auto"/>
                    <w:right w:val="none" w:sz="0" w:space="0" w:color="auto"/>
                  </w:divBdr>
                </w:div>
              </w:divsChild>
            </w:div>
            <w:div w:id="503520971">
              <w:marLeft w:val="0"/>
              <w:marRight w:val="0"/>
              <w:marTop w:val="0"/>
              <w:marBottom w:val="0"/>
              <w:divBdr>
                <w:top w:val="none" w:sz="0" w:space="0" w:color="auto"/>
                <w:left w:val="none" w:sz="0" w:space="0" w:color="auto"/>
                <w:bottom w:val="none" w:sz="0" w:space="0" w:color="auto"/>
                <w:right w:val="none" w:sz="0" w:space="0" w:color="auto"/>
              </w:divBdr>
              <w:divsChild>
                <w:div w:id="882061109">
                  <w:marLeft w:val="0"/>
                  <w:marRight w:val="0"/>
                  <w:marTop w:val="0"/>
                  <w:marBottom w:val="0"/>
                  <w:divBdr>
                    <w:top w:val="none" w:sz="0" w:space="0" w:color="auto"/>
                    <w:left w:val="none" w:sz="0" w:space="0" w:color="auto"/>
                    <w:bottom w:val="none" w:sz="0" w:space="0" w:color="auto"/>
                    <w:right w:val="none" w:sz="0" w:space="0" w:color="auto"/>
                  </w:divBdr>
                </w:div>
              </w:divsChild>
            </w:div>
            <w:div w:id="46344931">
              <w:marLeft w:val="0"/>
              <w:marRight w:val="0"/>
              <w:marTop w:val="0"/>
              <w:marBottom w:val="0"/>
              <w:divBdr>
                <w:top w:val="none" w:sz="0" w:space="0" w:color="auto"/>
                <w:left w:val="none" w:sz="0" w:space="0" w:color="auto"/>
                <w:bottom w:val="none" w:sz="0" w:space="0" w:color="auto"/>
                <w:right w:val="none" w:sz="0" w:space="0" w:color="auto"/>
              </w:divBdr>
              <w:divsChild>
                <w:div w:id="1422023132">
                  <w:marLeft w:val="0"/>
                  <w:marRight w:val="0"/>
                  <w:marTop w:val="0"/>
                  <w:marBottom w:val="0"/>
                  <w:divBdr>
                    <w:top w:val="none" w:sz="0" w:space="0" w:color="auto"/>
                    <w:left w:val="none" w:sz="0" w:space="0" w:color="auto"/>
                    <w:bottom w:val="none" w:sz="0" w:space="0" w:color="auto"/>
                    <w:right w:val="none" w:sz="0" w:space="0" w:color="auto"/>
                  </w:divBdr>
                </w:div>
              </w:divsChild>
            </w:div>
            <w:div w:id="477957998">
              <w:marLeft w:val="0"/>
              <w:marRight w:val="0"/>
              <w:marTop w:val="0"/>
              <w:marBottom w:val="0"/>
              <w:divBdr>
                <w:top w:val="none" w:sz="0" w:space="0" w:color="auto"/>
                <w:left w:val="none" w:sz="0" w:space="0" w:color="auto"/>
                <w:bottom w:val="none" w:sz="0" w:space="0" w:color="auto"/>
                <w:right w:val="none" w:sz="0" w:space="0" w:color="auto"/>
              </w:divBdr>
              <w:divsChild>
                <w:div w:id="1833831292">
                  <w:marLeft w:val="0"/>
                  <w:marRight w:val="0"/>
                  <w:marTop w:val="0"/>
                  <w:marBottom w:val="0"/>
                  <w:divBdr>
                    <w:top w:val="none" w:sz="0" w:space="0" w:color="auto"/>
                    <w:left w:val="none" w:sz="0" w:space="0" w:color="auto"/>
                    <w:bottom w:val="none" w:sz="0" w:space="0" w:color="auto"/>
                    <w:right w:val="none" w:sz="0" w:space="0" w:color="auto"/>
                  </w:divBdr>
                </w:div>
              </w:divsChild>
            </w:div>
            <w:div w:id="1040594136">
              <w:marLeft w:val="0"/>
              <w:marRight w:val="0"/>
              <w:marTop w:val="0"/>
              <w:marBottom w:val="0"/>
              <w:divBdr>
                <w:top w:val="none" w:sz="0" w:space="0" w:color="auto"/>
                <w:left w:val="none" w:sz="0" w:space="0" w:color="auto"/>
                <w:bottom w:val="none" w:sz="0" w:space="0" w:color="auto"/>
                <w:right w:val="none" w:sz="0" w:space="0" w:color="auto"/>
              </w:divBdr>
              <w:divsChild>
                <w:div w:id="1782021164">
                  <w:marLeft w:val="0"/>
                  <w:marRight w:val="0"/>
                  <w:marTop w:val="0"/>
                  <w:marBottom w:val="0"/>
                  <w:divBdr>
                    <w:top w:val="none" w:sz="0" w:space="0" w:color="auto"/>
                    <w:left w:val="none" w:sz="0" w:space="0" w:color="auto"/>
                    <w:bottom w:val="none" w:sz="0" w:space="0" w:color="auto"/>
                    <w:right w:val="none" w:sz="0" w:space="0" w:color="auto"/>
                  </w:divBdr>
                </w:div>
              </w:divsChild>
            </w:div>
            <w:div w:id="1038122973">
              <w:marLeft w:val="0"/>
              <w:marRight w:val="0"/>
              <w:marTop w:val="0"/>
              <w:marBottom w:val="0"/>
              <w:divBdr>
                <w:top w:val="none" w:sz="0" w:space="0" w:color="auto"/>
                <w:left w:val="none" w:sz="0" w:space="0" w:color="auto"/>
                <w:bottom w:val="none" w:sz="0" w:space="0" w:color="auto"/>
                <w:right w:val="none" w:sz="0" w:space="0" w:color="auto"/>
              </w:divBdr>
              <w:divsChild>
                <w:div w:id="1307515213">
                  <w:marLeft w:val="0"/>
                  <w:marRight w:val="0"/>
                  <w:marTop w:val="0"/>
                  <w:marBottom w:val="0"/>
                  <w:divBdr>
                    <w:top w:val="none" w:sz="0" w:space="0" w:color="auto"/>
                    <w:left w:val="none" w:sz="0" w:space="0" w:color="auto"/>
                    <w:bottom w:val="none" w:sz="0" w:space="0" w:color="auto"/>
                    <w:right w:val="none" w:sz="0" w:space="0" w:color="auto"/>
                  </w:divBdr>
                </w:div>
              </w:divsChild>
            </w:div>
            <w:div w:id="2072801391">
              <w:marLeft w:val="0"/>
              <w:marRight w:val="0"/>
              <w:marTop w:val="0"/>
              <w:marBottom w:val="0"/>
              <w:divBdr>
                <w:top w:val="none" w:sz="0" w:space="0" w:color="auto"/>
                <w:left w:val="none" w:sz="0" w:space="0" w:color="auto"/>
                <w:bottom w:val="none" w:sz="0" w:space="0" w:color="auto"/>
                <w:right w:val="none" w:sz="0" w:space="0" w:color="auto"/>
              </w:divBdr>
              <w:divsChild>
                <w:div w:id="2029940203">
                  <w:marLeft w:val="0"/>
                  <w:marRight w:val="0"/>
                  <w:marTop w:val="0"/>
                  <w:marBottom w:val="0"/>
                  <w:divBdr>
                    <w:top w:val="none" w:sz="0" w:space="0" w:color="auto"/>
                    <w:left w:val="none" w:sz="0" w:space="0" w:color="auto"/>
                    <w:bottom w:val="none" w:sz="0" w:space="0" w:color="auto"/>
                    <w:right w:val="none" w:sz="0" w:space="0" w:color="auto"/>
                  </w:divBdr>
                </w:div>
              </w:divsChild>
            </w:div>
            <w:div w:id="353187718">
              <w:marLeft w:val="0"/>
              <w:marRight w:val="0"/>
              <w:marTop w:val="0"/>
              <w:marBottom w:val="0"/>
              <w:divBdr>
                <w:top w:val="none" w:sz="0" w:space="0" w:color="auto"/>
                <w:left w:val="none" w:sz="0" w:space="0" w:color="auto"/>
                <w:bottom w:val="none" w:sz="0" w:space="0" w:color="auto"/>
                <w:right w:val="none" w:sz="0" w:space="0" w:color="auto"/>
              </w:divBdr>
              <w:divsChild>
                <w:div w:id="167795502">
                  <w:marLeft w:val="0"/>
                  <w:marRight w:val="0"/>
                  <w:marTop w:val="0"/>
                  <w:marBottom w:val="0"/>
                  <w:divBdr>
                    <w:top w:val="none" w:sz="0" w:space="0" w:color="auto"/>
                    <w:left w:val="none" w:sz="0" w:space="0" w:color="auto"/>
                    <w:bottom w:val="none" w:sz="0" w:space="0" w:color="auto"/>
                    <w:right w:val="none" w:sz="0" w:space="0" w:color="auto"/>
                  </w:divBdr>
                </w:div>
              </w:divsChild>
            </w:div>
            <w:div w:id="602423559">
              <w:marLeft w:val="0"/>
              <w:marRight w:val="0"/>
              <w:marTop w:val="0"/>
              <w:marBottom w:val="0"/>
              <w:divBdr>
                <w:top w:val="none" w:sz="0" w:space="0" w:color="auto"/>
                <w:left w:val="none" w:sz="0" w:space="0" w:color="auto"/>
                <w:bottom w:val="none" w:sz="0" w:space="0" w:color="auto"/>
                <w:right w:val="none" w:sz="0" w:space="0" w:color="auto"/>
              </w:divBdr>
              <w:divsChild>
                <w:div w:id="3898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5179">
          <w:marLeft w:val="0"/>
          <w:marRight w:val="0"/>
          <w:marTop w:val="0"/>
          <w:marBottom w:val="600"/>
          <w:divBdr>
            <w:top w:val="none" w:sz="0" w:space="0" w:color="auto"/>
            <w:left w:val="none" w:sz="0" w:space="0" w:color="auto"/>
            <w:bottom w:val="none" w:sz="0" w:space="0" w:color="auto"/>
            <w:right w:val="none" w:sz="0" w:space="0" w:color="auto"/>
          </w:divBdr>
        </w:div>
      </w:divsChild>
    </w:div>
    <w:div w:id="1080063189">
      <w:marLeft w:val="0"/>
      <w:marRight w:val="0"/>
      <w:marTop w:val="0"/>
      <w:marBottom w:val="0"/>
      <w:divBdr>
        <w:top w:val="none" w:sz="0" w:space="0" w:color="auto"/>
        <w:left w:val="none" w:sz="0" w:space="0" w:color="auto"/>
        <w:bottom w:val="none" w:sz="0" w:space="0" w:color="auto"/>
        <w:right w:val="none" w:sz="0" w:space="0" w:color="auto"/>
      </w:divBdr>
      <w:divsChild>
        <w:div w:id="135607436">
          <w:marLeft w:val="0"/>
          <w:marRight w:val="0"/>
          <w:marTop w:val="432"/>
          <w:marBottom w:val="0"/>
          <w:divBdr>
            <w:top w:val="none" w:sz="0" w:space="0" w:color="auto"/>
            <w:left w:val="none" w:sz="0" w:space="0" w:color="auto"/>
            <w:bottom w:val="none" w:sz="0" w:space="0" w:color="auto"/>
            <w:right w:val="none" w:sz="0" w:space="0" w:color="auto"/>
          </w:divBdr>
        </w:div>
        <w:div w:id="2025400664">
          <w:marLeft w:val="0"/>
          <w:marRight w:val="0"/>
          <w:marTop w:val="0"/>
          <w:marBottom w:val="0"/>
          <w:divBdr>
            <w:top w:val="none" w:sz="0" w:space="0" w:color="auto"/>
            <w:left w:val="none" w:sz="0" w:space="0" w:color="auto"/>
            <w:bottom w:val="none" w:sz="0" w:space="0" w:color="auto"/>
            <w:right w:val="none" w:sz="0" w:space="0" w:color="auto"/>
          </w:divBdr>
        </w:div>
        <w:div w:id="607474021">
          <w:marLeft w:val="0"/>
          <w:marRight w:val="0"/>
          <w:marTop w:val="0"/>
          <w:marBottom w:val="600"/>
          <w:divBdr>
            <w:top w:val="none" w:sz="0" w:space="0" w:color="auto"/>
            <w:left w:val="none" w:sz="0" w:space="0" w:color="auto"/>
            <w:bottom w:val="none" w:sz="0" w:space="0" w:color="auto"/>
            <w:right w:val="none" w:sz="0" w:space="0" w:color="auto"/>
          </w:divBdr>
        </w:div>
      </w:divsChild>
    </w:div>
    <w:div w:id="1087580374">
      <w:marLeft w:val="0"/>
      <w:marRight w:val="0"/>
      <w:marTop w:val="0"/>
      <w:marBottom w:val="0"/>
      <w:divBdr>
        <w:top w:val="none" w:sz="0" w:space="0" w:color="auto"/>
        <w:left w:val="none" w:sz="0" w:space="0" w:color="auto"/>
        <w:bottom w:val="none" w:sz="0" w:space="0" w:color="auto"/>
        <w:right w:val="none" w:sz="0" w:space="0" w:color="auto"/>
      </w:divBdr>
    </w:div>
    <w:div w:id="1097795565">
      <w:marLeft w:val="0"/>
      <w:marRight w:val="0"/>
      <w:marTop w:val="0"/>
      <w:marBottom w:val="0"/>
      <w:divBdr>
        <w:top w:val="none" w:sz="0" w:space="0" w:color="auto"/>
        <w:left w:val="none" w:sz="0" w:space="0" w:color="auto"/>
        <w:bottom w:val="none" w:sz="0" w:space="0" w:color="auto"/>
        <w:right w:val="none" w:sz="0" w:space="0" w:color="auto"/>
      </w:divBdr>
      <w:divsChild>
        <w:div w:id="283123473">
          <w:marLeft w:val="0"/>
          <w:marRight w:val="0"/>
          <w:marTop w:val="432"/>
          <w:marBottom w:val="0"/>
          <w:divBdr>
            <w:top w:val="none" w:sz="0" w:space="0" w:color="auto"/>
            <w:left w:val="none" w:sz="0" w:space="0" w:color="auto"/>
            <w:bottom w:val="none" w:sz="0" w:space="0" w:color="auto"/>
            <w:right w:val="none" w:sz="0" w:space="0" w:color="auto"/>
          </w:divBdr>
        </w:div>
        <w:div w:id="185407831">
          <w:marLeft w:val="0"/>
          <w:marRight w:val="0"/>
          <w:marTop w:val="0"/>
          <w:marBottom w:val="0"/>
          <w:divBdr>
            <w:top w:val="none" w:sz="0" w:space="0" w:color="auto"/>
            <w:left w:val="none" w:sz="0" w:space="0" w:color="auto"/>
            <w:bottom w:val="none" w:sz="0" w:space="0" w:color="auto"/>
            <w:right w:val="none" w:sz="0" w:space="0" w:color="auto"/>
          </w:divBdr>
          <w:divsChild>
            <w:div w:id="1040861863">
              <w:marLeft w:val="0"/>
              <w:marRight w:val="0"/>
              <w:marTop w:val="0"/>
              <w:marBottom w:val="0"/>
              <w:divBdr>
                <w:top w:val="none" w:sz="0" w:space="0" w:color="auto"/>
                <w:left w:val="none" w:sz="0" w:space="0" w:color="auto"/>
                <w:bottom w:val="none" w:sz="0" w:space="0" w:color="auto"/>
                <w:right w:val="none" w:sz="0" w:space="0" w:color="auto"/>
              </w:divBdr>
              <w:divsChild>
                <w:div w:id="404034850">
                  <w:marLeft w:val="0"/>
                  <w:marRight w:val="0"/>
                  <w:marTop w:val="0"/>
                  <w:marBottom w:val="0"/>
                  <w:divBdr>
                    <w:top w:val="none" w:sz="0" w:space="0" w:color="auto"/>
                    <w:left w:val="none" w:sz="0" w:space="0" w:color="auto"/>
                    <w:bottom w:val="none" w:sz="0" w:space="0" w:color="auto"/>
                    <w:right w:val="none" w:sz="0" w:space="0" w:color="auto"/>
                  </w:divBdr>
                </w:div>
              </w:divsChild>
            </w:div>
            <w:div w:id="972370663">
              <w:marLeft w:val="0"/>
              <w:marRight w:val="0"/>
              <w:marTop w:val="0"/>
              <w:marBottom w:val="0"/>
              <w:divBdr>
                <w:top w:val="none" w:sz="0" w:space="0" w:color="auto"/>
                <w:left w:val="none" w:sz="0" w:space="0" w:color="auto"/>
                <w:bottom w:val="none" w:sz="0" w:space="0" w:color="auto"/>
                <w:right w:val="none" w:sz="0" w:space="0" w:color="auto"/>
              </w:divBdr>
              <w:divsChild>
                <w:div w:id="2079741723">
                  <w:marLeft w:val="0"/>
                  <w:marRight w:val="0"/>
                  <w:marTop w:val="0"/>
                  <w:marBottom w:val="0"/>
                  <w:divBdr>
                    <w:top w:val="none" w:sz="0" w:space="0" w:color="auto"/>
                    <w:left w:val="none" w:sz="0" w:space="0" w:color="auto"/>
                    <w:bottom w:val="none" w:sz="0" w:space="0" w:color="auto"/>
                    <w:right w:val="none" w:sz="0" w:space="0" w:color="auto"/>
                  </w:divBdr>
                </w:div>
              </w:divsChild>
            </w:div>
            <w:div w:id="1532693186">
              <w:marLeft w:val="0"/>
              <w:marRight w:val="0"/>
              <w:marTop w:val="0"/>
              <w:marBottom w:val="0"/>
              <w:divBdr>
                <w:top w:val="none" w:sz="0" w:space="0" w:color="auto"/>
                <w:left w:val="none" w:sz="0" w:space="0" w:color="auto"/>
                <w:bottom w:val="none" w:sz="0" w:space="0" w:color="auto"/>
                <w:right w:val="none" w:sz="0" w:space="0" w:color="auto"/>
              </w:divBdr>
              <w:divsChild>
                <w:div w:id="18718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4071">
          <w:marLeft w:val="0"/>
          <w:marRight w:val="0"/>
          <w:marTop w:val="0"/>
          <w:marBottom w:val="600"/>
          <w:divBdr>
            <w:top w:val="none" w:sz="0" w:space="0" w:color="auto"/>
            <w:left w:val="none" w:sz="0" w:space="0" w:color="auto"/>
            <w:bottom w:val="none" w:sz="0" w:space="0" w:color="auto"/>
            <w:right w:val="none" w:sz="0" w:space="0" w:color="auto"/>
          </w:divBdr>
        </w:div>
      </w:divsChild>
    </w:div>
    <w:div w:id="1151556267">
      <w:marLeft w:val="0"/>
      <w:marRight w:val="0"/>
      <w:marTop w:val="0"/>
      <w:marBottom w:val="0"/>
      <w:divBdr>
        <w:top w:val="none" w:sz="0" w:space="0" w:color="auto"/>
        <w:left w:val="none" w:sz="0" w:space="0" w:color="auto"/>
        <w:bottom w:val="none" w:sz="0" w:space="0" w:color="auto"/>
        <w:right w:val="none" w:sz="0" w:space="0" w:color="auto"/>
      </w:divBdr>
      <w:divsChild>
        <w:div w:id="1623925133">
          <w:marLeft w:val="0"/>
          <w:marRight w:val="0"/>
          <w:marTop w:val="432"/>
          <w:marBottom w:val="0"/>
          <w:divBdr>
            <w:top w:val="none" w:sz="0" w:space="0" w:color="auto"/>
            <w:left w:val="none" w:sz="0" w:space="0" w:color="auto"/>
            <w:bottom w:val="none" w:sz="0" w:space="0" w:color="auto"/>
            <w:right w:val="none" w:sz="0" w:space="0" w:color="auto"/>
          </w:divBdr>
        </w:div>
        <w:div w:id="1003970794">
          <w:marLeft w:val="0"/>
          <w:marRight w:val="0"/>
          <w:marTop w:val="0"/>
          <w:marBottom w:val="0"/>
          <w:divBdr>
            <w:top w:val="none" w:sz="0" w:space="0" w:color="auto"/>
            <w:left w:val="none" w:sz="0" w:space="0" w:color="auto"/>
            <w:bottom w:val="none" w:sz="0" w:space="0" w:color="auto"/>
            <w:right w:val="none" w:sz="0" w:space="0" w:color="auto"/>
          </w:divBdr>
        </w:div>
        <w:div w:id="121962654">
          <w:marLeft w:val="0"/>
          <w:marRight w:val="0"/>
          <w:marTop w:val="0"/>
          <w:marBottom w:val="600"/>
          <w:divBdr>
            <w:top w:val="none" w:sz="0" w:space="0" w:color="auto"/>
            <w:left w:val="none" w:sz="0" w:space="0" w:color="auto"/>
            <w:bottom w:val="none" w:sz="0" w:space="0" w:color="auto"/>
            <w:right w:val="none" w:sz="0" w:space="0" w:color="auto"/>
          </w:divBdr>
        </w:div>
      </w:divsChild>
    </w:div>
    <w:div w:id="1171985172">
      <w:marLeft w:val="0"/>
      <w:marRight w:val="0"/>
      <w:marTop w:val="0"/>
      <w:marBottom w:val="0"/>
      <w:divBdr>
        <w:top w:val="none" w:sz="0" w:space="0" w:color="auto"/>
        <w:left w:val="none" w:sz="0" w:space="0" w:color="auto"/>
        <w:bottom w:val="none" w:sz="0" w:space="0" w:color="auto"/>
        <w:right w:val="none" w:sz="0" w:space="0" w:color="auto"/>
      </w:divBdr>
      <w:divsChild>
        <w:div w:id="33387509">
          <w:marLeft w:val="0"/>
          <w:marRight w:val="0"/>
          <w:marTop w:val="432"/>
          <w:marBottom w:val="0"/>
          <w:divBdr>
            <w:top w:val="none" w:sz="0" w:space="0" w:color="auto"/>
            <w:left w:val="none" w:sz="0" w:space="0" w:color="auto"/>
            <w:bottom w:val="none" w:sz="0" w:space="0" w:color="auto"/>
            <w:right w:val="none" w:sz="0" w:space="0" w:color="auto"/>
          </w:divBdr>
        </w:div>
        <w:div w:id="1785074024">
          <w:marLeft w:val="0"/>
          <w:marRight w:val="0"/>
          <w:marTop w:val="0"/>
          <w:marBottom w:val="0"/>
          <w:divBdr>
            <w:top w:val="none" w:sz="0" w:space="0" w:color="auto"/>
            <w:left w:val="none" w:sz="0" w:space="0" w:color="auto"/>
            <w:bottom w:val="none" w:sz="0" w:space="0" w:color="auto"/>
            <w:right w:val="none" w:sz="0" w:space="0" w:color="auto"/>
          </w:divBdr>
          <w:divsChild>
            <w:div w:id="978654087">
              <w:marLeft w:val="0"/>
              <w:marRight w:val="0"/>
              <w:marTop w:val="0"/>
              <w:marBottom w:val="0"/>
              <w:divBdr>
                <w:top w:val="none" w:sz="0" w:space="0" w:color="auto"/>
                <w:left w:val="none" w:sz="0" w:space="0" w:color="auto"/>
                <w:bottom w:val="none" w:sz="0" w:space="0" w:color="auto"/>
                <w:right w:val="none" w:sz="0" w:space="0" w:color="auto"/>
              </w:divBdr>
              <w:divsChild>
                <w:div w:id="406922087">
                  <w:marLeft w:val="0"/>
                  <w:marRight w:val="0"/>
                  <w:marTop w:val="0"/>
                  <w:marBottom w:val="0"/>
                  <w:divBdr>
                    <w:top w:val="none" w:sz="0" w:space="0" w:color="auto"/>
                    <w:left w:val="none" w:sz="0" w:space="0" w:color="auto"/>
                    <w:bottom w:val="none" w:sz="0" w:space="0" w:color="auto"/>
                    <w:right w:val="none" w:sz="0" w:space="0" w:color="auto"/>
                  </w:divBdr>
                </w:div>
              </w:divsChild>
            </w:div>
            <w:div w:id="467206351">
              <w:marLeft w:val="0"/>
              <w:marRight w:val="0"/>
              <w:marTop w:val="0"/>
              <w:marBottom w:val="0"/>
              <w:divBdr>
                <w:top w:val="none" w:sz="0" w:space="0" w:color="auto"/>
                <w:left w:val="none" w:sz="0" w:space="0" w:color="auto"/>
                <w:bottom w:val="none" w:sz="0" w:space="0" w:color="auto"/>
                <w:right w:val="none" w:sz="0" w:space="0" w:color="auto"/>
              </w:divBdr>
              <w:divsChild>
                <w:div w:id="709497845">
                  <w:marLeft w:val="0"/>
                  <w:marRight w:val="0"/>
                  <w:marTop w:val="0"/>
                  <w:marBottom w:val="0"/>
                  <w:divBdr>
                    <w:top w:val="none" w:sz="0" w:space="0" w:color="auto"/>
                    <w:left w:val="none" w:sz="0" w:space="0" w:color="auto"/>
                    <w:bottom w:val="none" w:sz="0" w:space="0" w:color="auto"/>
                    <w:right w:val="none" w:sz="0" w:space="0" w:color="auto"/>
                  </w:divBdr>
                </w:div>
              </w:divsChild>
            </w:div>
            <w:div w:id="795369538">
              <w:marLeft w:val="0"/>
              <w:marRight w:val="0"/>
              <w:marTop w:val="0"/>
              <w:marBottom w:val="0"/>
              <w:divBdr>
                <w:top w:val="none" w:sz="0" w:space="0" w:color="auto"/>
                <w:left w:val="none" w:sz="0" w:space="0" w:color="auto"/>
                <w:bottom w:val="none" w:sz="0" w:space="0" w:color="auto"/>
                <w:right w:val="none" w:sz="0" w:space="0" w:color="auto"/>
              </w:divBdr>
              <w:divsChild>
                <w:div w:id="507796561">
                  <w:marLeft w:val="0"/>
                  <w:marRight w:val="0"/>
                  <w:marTop w:val="0"/>
                  <w:marBottom w:val="0"/>
                  <w:divBdr>
                    <w:top w:val="none" w:sz="0" w:space="0" w:color="auto"/>
                    <w:left w:val="none" w:sz="0" w:space="0" w:color="auto"/>
                    <w:bottom w:val="none" w:sz="0" w:space="0" w:color="auto"/>
                    <w:right w:val="none" w:sz="0" w:space="0" w:color="auto"/>
                  </w:divBdr>
                </w:div>
              </w:divsChild>
            </w:div>
            <w:div w:id="1406033746">
              <w:marLeft w:val="0"/>
              <w:marRight w:val="0"/>
              <w:marTop w:val="0"/>
              <w:marBottom w:val="0"/>
              <w:divBdr>
                <w:top w:val="none" w:sz="0" w:space="0" w:color="auto"/>
                <w:left w:val="none" w:sz="0" w:space="0" w:color="auto"/>
                <w:bottom w:val="none" w:sz="0" w:space="0" w:color="auto"/>
                <w:right w:val="none" w:sz="0" w:space="0" w:color="auto"/>
              </w:divBdr>
              <w:divsChild>
                <w:div w:id="1475367724">
                  <w:marLeft w:val="0"/>
                  <w:marRight w:val="0"/>
                  <w:marTop w:val="0"/>
                  <w:marBottom w:val="0"/>
                  <w:divBdr>
                    <w:top w:val="none" w:sz="0" w:space="0" w:color="auto"/>
                    <w:left w:val="none" w:sz="0" w:space="0" w:color="auto"/>
                    <w:bottom w:val="none" w:sz="0" w:space="0" w:color="auto"/>
                    <w:right w:val="none" w:sz="0" w:space="0" w:color="auto"/>
                  </w:divBdr>
                </w:div>
              </w:divsChild>
            </w:div>
            <w:div w:id="756092813">
              <w:marLeft w:val="0"/>
              <w:marRight w:val="0"/>
              <w:marTop w:val="0"/>
              <w:marBottom w:val="0"/>
              <w:divBdr>
                <w:top w:val="none" w:sz="0" w:space="0" w:color="auto"/>
                <w:left w:val="none" w:sz="0" w:space="0" w:color="auto"/>
                <w:bottom w:val="none" w:sz="0" w:space="0" w:color="auto"/>
                <w:right w:val="none" w:sz="0" w:space="0" w:color="auto"/>
              </w:divBdr>
              <w:divsChild>
                <w:div w:id="1591812446">
                  <w:marLeft w:val="0"/>
                  <w:marRight w:val="0"/>
                  <w:marTop w:val="0"/>
                  <w:marBottom w:val="0"/>
                  <w:divBdr>
                    <w:top w:val="none" w:sz="0" w:space="0" w:color="auto"/>
                    <w:left w:val="none" w:sz="0" w:space="0" w:color="auto"/>
                    <w:bottom w:val="none" w:sz="0" w:space="0" w:color="auto"/>
                    <w:right w:val="none" w:sz="0" w:space="0" w:color="auto"/>
                  </w:divBdr>
                </w:div>
              </w:divsChild>
            </w:div>
            <w:div w:id="980427045">
              <w:marLeft w:val="0"/>
              <w:marRight w:val="0"/>
              <w:marTop w:val="0"/>
              <w:marBottom w:val="0"/>
              <w:divBdr>
                <w:top w:val="none" w:sz="0" w:space="0" w:color="auto"/>
                <w:left w:val="none" w:sz="0" w:space="0" w:color="auto"/>
                <w:bottom w:val="none" w:sz="0" w:space="0" w:color="auto"/>
                <w:right w:val="none" w:sz="0" w:space="0" w:color="auto"/>
              </w:divBdr>
              <w:divsChild>
                <w:div w:id="768696765">
                  <w:marLeft w:val="0"/>
                  <w:marRight w:val="0"/>
                  <w:marTop w:val="0"/>
                  <w:marBottom w:val="0"/>
                  <w:divBdr>
                    <w:top w:val="none" w:sz="0" w:space="0" w:color="auto"/>
                    <w:left w:val="none" w:sz="0" w:space="0" w:color="auto"/>
                    <w:bottom w:val="none" w:sz="0" w:space="0" w:color="auto"/>
                    <w:right w:val="none" w:sz="0" w:space="0" w:color="auto"/>
                  </w:divBdr>
                </w:div>
              </w:divsChild>
            </w:div>
            <w:div w:id="882450937">
              <w:marLeft w:val="0"/>
              <w:marRight w:val="0"/>
              <w:marTop w:val="0"/>
              <w:marBottom w:val="0"/>
              <w:divBdr>
                <w:top w:val="none" w:sz="0" w:space="0" w:color="auto"/>
                <w:left w:val="none" w:sz="0" w:space="0" w:color="auto"/>
                <w:bottom w:val="none" w:sz="0" w:space="0" w:color="auto"/>
                <w:right w:val="none" w:sz="0" w:space="0" w:color="auto"/>
              </w:divBdr>
              <w:divsChild>
                <w:div w:id="468590776">
                  <w:marLeft w:val="0"/>
                  <w:marRight w:val="0"/>
                  <w:marTop w:val="0"/>
                  <w:marBottom w:val="0"/>
                  <w:divBdr>
                    <w:top w:val="none" w:sz="0" w:space="0" w:color="auto"/>
                    <w:left w:val="none" w:sz="0" w:space="0" w:color="auto"/>
                    <w:bottom w:val="none" w:sz="0" w:space="0" w:color="auto"/>
                    <w:right w:val="none" w:sz="0" w:space="0" w:color="auto"/>
                  </w:divBdr>
                </w:div>
              </w:divsChild>
            </w:div>
            <w:div w:id="289823750">
              <w:marLeft w:val="0"/>
              <w:marRight w:val="0"/>
              <w:marTop w:val="0"/>
              <w:marBottom w:val="0"/>
              <w:divBdr>
                <w:top w:val="none" w:sz="0" w:space="0" w:color="auto"/>
                <w:left w:val="none" w:sz="0" w:space="0" w:color="auto"/>
                <w:bottom w:val="none" w:sz="0" w:space="0" w:color="auto"/>
                <w:right w:val="none" w:sz="0" w:space="0" w:color="auto"/>
              </w:divBdr>
              <w:divsChild>
                <w:div w:id="1919754413">
                  <w:marLeft w:val="0"/>
                  <w:marRight w:val="0"/>
                  <w:marTop w:val="0"/>
                  <w:marBottom w:val="0"/>
                  <w:divBdr>
                    <w:top w:val="none" w:sz="0" w:space="0" w:color="auto"/>
                    <w:left w:val="none" w:sz="0" w:space="0" w:color="auto"/>
                    <w:bottom w:val="none" w:sz="0" w:space="0" w:color="auto"/>
                    <w:right w:val="none" w:sz="0" w:space="0" w:color="auto"/>
                  </w:divBdr>
                </w:div>
              </w:divsChild>
            </w:div>
            <w:div w:id="1148211090">
              <w:marLeft w:val="0"/>
              <w:marRight w:val="0"/>
              <w:marTop w:val="0"/>
              <w:marBottom w:val="0"/>
              <w:divBdr>
                <w:top w:val="none" w:sz="0" w:space="0" w:color="auto"/>
                <w:left w:val="none" w:sz="0" w:space="0" w:color="auto"/>
                <w:bottom w:val="none" w:sz="0" w:space="0" w:color="auto"/>
                <w:right w:val="none" w:sz="0" w:space="0" w:color="auto"/>
              </w:divBdr>
              <w:divsChild>
                <w:div w:id="47728763">
                  <w:marLeft w:val="0"/>
                  <w:marRight w:val="0"/>
                  <w:marTop w:val="0"/>
                  <w:marBottom w:val="0"/>
                  <w:divBdr>
                    <w:top w:val="none" w:sz="0" w:space="0" w:color="auto"/>
                    <w:left w:val="none" w:sz="0" w:space="0" w:color="auto"/>
                    <w:bottom w:val="none" w:sz="0" w:space="0" w:color="auto"/>
                    <w:right w:val="none" w:sz="0" w:space="0" w:color="auto"/>
                  </w:divBdr>
                </w:div>
              </w:divsChild>
            </w:div>
            <w:div w:id="1305114934">
              <w:marLeft w:val="0"/>
              <w:marRight w:val="0"/>
              <w:marTop w:val="0"/>
              <w:marBottom w:val="0"/>
              <w:divBdr>
                <w:top w:val="none" w:sz="0" w:space="0" w:color="auto"/>
                <w:left w:val="none" w:sz="0" w:space="0" w:color="auto"/>
                <w:bottom w:val="none" w:sz="0" w:space="0" w:color="auto"/>
                <w:right w:val="none" w:sz="0" w:space="0" w:color="auto"/>
              </w:divBdr>
              <w:divsChild>
                <w:div w:id="548877641">
                  <w:marLeft w:val="0"/>
                  <w:marRight w:val="0"/>
                  <w:marTop w:val="0"/>
                  <w:marBottom w:val="0"/>
                  <w:divBdr>
                    <w:top w:val="none" w:sz="0" w:space="0" w:color="auto"/>
                    <w:left w:val="none" w:sz="0" w:space="0" w:color="auto"/>
                    <w:bottom w:val="none" w:sz="0" w:space="0" w:color="auto"/>
                    <w:right w:val="none" w:sz="0" w:space="0" w:color="auto"/>
                  </w:divBdr>
                </w:div>
              </w:divsChild>
            </w:div>
            <w:div w:id="685639671">
              <w:marLeft w:val="0"/>
              <w:marRight w:val="0"/>
              <w:marTop w:val="0"/>
              <w:marBottom w:val="0"/>
              <w:divBdr>
                <w:top w:val="none" w:sz="0" w:space="0" w:color="auto"/>
                <w:left w:val="none" w:sz="0" w:space="0" w:color="auto"/>
                <w:bottom w:val="none" w:sz="0" w:space="0" w:color="auto"/>
                <w:right w:val="none" w:sz="0" w:space="0" w:color="auto"/>
              </w:divBdr>
              <w:divsChild>
                <w:div w:id="1178740513">
                  <w:marLeft w:val="0"/>
                  <w:marRight w:val="0"/>
                  <w:marTop w:val="0"/>
                  <w:marBottom w:val="0"/>
                  <w:divBdr>
                    <w:top w:val="none" w:sz="0" w:space="0" w:color="auto"/>
                    <w:left w:val="none" w:sz="0" w:space="0" w:color="auto"/>
                    <w:bottom w:val="none" w:sz="0" w:space="0" w:color="auto"/>
                    <w:right w:val="none" w:sz="0" w:space="0" w:color="auto"/>
                  </w:divBdr>
                </w:div>
              </w:divsChild>
            </w:div>
            <w:div w:id="1448351099">
              <w:marLeft w:val="0"/>
              <w:marRight w:val="0"/>
              <w:marTop w:val="0"/>
              <w:marBottom w:val="0"/>
              <w:divBdr>
                <w:top w:val="none" w:sz="0" w:space="0" w:color="auto"/>
                <w:left w:val="none" w:sz="0" w:space="0" w:color="auto"/>
                <w:bottom w:val="none" w:sz="0" w:space="0" w:color="auto"/>
                <w:right w:val="none" w:sz="0" w:space="0" w:color="auto"/>
              </w:divBdr>
              <w:divsChild>
                <w:div w:id="412700810">
                  <w:marLeft w:val="0"/>
                  <w:marRight w:val="0"/>
                  <w:marTop w:val="0"/>
                  <w:marBottom w:val="0"/>
                  <w:divBdr>
                    <w:top w:val="none" w:sz="0" w:space="0" w:color="auto"/>
                    <w:left w:val="none" w:sz="0" w:space="0" w:color="auto"/>
                    <w:bottom w:val="none" w:sz="0" w:space="0" w:color="auto"/>
                    <w:right w:val="none" w:sz="0" w:space="0" w:color="auto"/>
                  </w:divBdr>
                </w:div>
              </w:divsChild>
            </w:div>
            <w:div w:id="741025734">
              <w:marLeft w:val="0"/>
              <w:marRight w:val="0"/>
              <w:marTop w:val="0"/>
              <w:marBottom w:val="0"/>
              <w:divBdr>
                <w:top w:val="none" w:sz="0" w:space="0" w:color="auto"/>
                <w:left w:val="none" w:sz="0" w:space="0" w:color="auto"/>
                <w:bottom w:val="none" w:sz="0" w:space="0" w:color="auto"/>
                <w:right w:val="none" w:sz="0" w:space="0" w:color="auto"/>
              </w:divBdr>
              <w:divsChild>
                <w:div w:id="5461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0013">
          <w:marLeft w:val="0"/>
          <w:marRight w:val="0"/>
          <w:marTop w:val="0"/>
          <w:marBottom w:val="600"/>
          <w:divBdr>
            <w:top w:val="none" w:sz="0" w:space="0" w:color="auto"/>
            <w:left w:val="none" w:sz="0" w:space="0" w:color="auto"/>
            <w:bottom w:val="none" w:sz="0" w:space="0" w:color="auto"/>
            <w:right w:val="none" w:sz="0" w:space="0" w:color="auto"/>
          </w:divBdr>
        </w:div>
      </w:divsChild>
    </w:div>
    <w:div w:id="1183667831">
      <w:marLeft w:val="0"/>
      <w:marRight w:val="0"/>
      <w:marTop w:val="0"/>
      <w:marBottom w:val="0"/>
      <w:divBdr>
        <w:top w:val="none" w:sz="0" w:space="0" w:color="auto"/>
        <w:left w:val="none" w:sz="0" w:space="0" w:color="auto"/>
        <w:bottom w:val="none" w:sz="0" w:space="0" w:color="auto"/>
        <w:right w:val="none" w:sz="0" w:space="0" w:color="auto"/>
      </w:divBdr>
      <w:divsChild>
        <w:div w:id="795879677">
          <w:marLeft w:val="0"/>
          <w:marRight w:val="0"/>
          <w:marTop w:val="432"/>
          <w:marBottom w:val="0"/>
          <w:divBdr>
            <w:top w:val="none" w:sz="0" w:space="0" w:color="auto"/>
            <w:left w:val="none" w:sz="0" w:space="0" w:color="auto"/>
            <w:bottom w:val="none" w:sz="0" w:space="0" w:color="auto"/>
            <w:right w:val="none" w:sz="0" w:space="0" w:color="auto"/>
          </w:divBdr>
        </w:div>
        <w:div w:id="1978022277">
          <w:marLeft w:val="0"/>
          <w:marRight w:val="0"/>
          <w:marTop w:val="0"/>
          <w:marBottom w:val="0"/>
          <w:divBdr>
            <w:top w:val="none" w:sz="0" w:space="0" w:color="auto"/>
            <w:left w:val="none" w:sz="0" w:space="0" w:color="auto"/>
            <w:bottom w:val="none" w:sz="0" w:space="0" w:color="auto"/>
            <w:right w:val="none" w:sz="0" w:space="0" w:color="auto"/>
          </w:divBdr>
          <w:divsChild>
            <w:div w:id="1568227044">
              <w:marLeft w:val="0"/>
              <w:marRight w:val="0"/>
              <w:marTop w:val="0"/>
              <w:marBottom w:val="0"/>
              <w:divBdr>
                <w:top w:val="none" w:sz="0" w:space="0" w:color="auto"/>
                <w:left w:val="none" w:sz="0" w:space="0" w:color="auto"/>
                <w:bottom w:val="none" w:sz="0" w:space="0" w:color="auto"/>
                <w:right w:val="none" w:sz="0" w:space="0" w:color="auto"/>
              </w:divBdr>
              <w:divsChild>
                <w:div w:id="402215317">
                  <w:marLeft w:val="0"/>
                  <w:marRight w:val="0"/>
                  <w:marTop w:val="0"/>
                  <w:marBottom w:val="0"/>
                  <w:divBdr>
                    <w:top w:val="none" w:sz="0" w:space="0" w:color="auto"/>
                    <w:left w:val="none" w:sz="0" w:space="0" w:color="auto"/>
                    <w:bottom w:val="none" w:sz="0" w:space="0" w:color="auto"/>
                    <w:right w:val="none" w:sz="0" w:space="0" w:color="auto"/>
                  </w:divBdr>
                </w:div>
              </w:divsChild>
            </w:div>
            <w:div w:id="1397164907">
              <w:marLeft w:val="0"/>
              <w:marRight w:val="0"/>
              <w:marTop w:val="0"/>
              <w:marBottom w:val="0"/>
              <w:divBdr>
                <w:top w:val="none" w:sz="0" w:space="0" w:color="auto"/>
                <w:left w:val="none" w:sz="0" w:space="0" w:color="auto"/>
                <w:bottom w:val="none" w:sz="0" w:space="0" w:color="auto"/>
                <w:right w:val="none" w:sz="0" w:space="0" w:color="auto"/>
              </w:divBdr>
              <w:divsChild>
                <w:div w:id="1272476622">
                  <w:marLeft w:val="0"/>
                  <w:marRight w:val="0"/>
                  <w:marTop w:val="0"/>
                  <w:marBottom w:val="0"/>
                  <w:divBdr>
                    <w:top w:val="none" w:sz="0" w:space="0" w:color="auto"/>
                    <w:left w:val="none" w:sz="0" w:space="0" w:color="auto"/>
                    <w:bottom w:val="none" w:sz="0" w:space="0" w:color="auto"/>
                    <w:right w:val="none" w:sz="0" w:space="0" w:color="auto"/>
                  </w:divBdr>
                </w:div>
              </w:divsChild>
            </w:div>
            <w:div w:id="1654021984">
              <w:marLeft w:val="0"/>
              <w:marRight w:val="0"/>
              <w:marTop w:val="0"/>
              <w:marBottom w:val="0"/>
              <w:divBdr>
                <w:top w:val="none" w:sz="0" w:space="0" w:color="auto"/>
                <w:left w:val="none" w:sz="0" w:space="0" w:color="auto"/>
                <w:bottom w:val="none" w:sz="0" w:space="0" w:color="auto"/>
                <w:right w:val="none" w:sz="0" w:space="0" w:color="auto"/>
              </w:divBdr>
              <w:divsChild>
                <w:div w:id="384261996">
                  <w:marLeft w:val="0"/>
                  <w:marRight w:val="0"/>
                  <w:marTop w:val="0"/>
                  <w:marBottom w:val="0"/>
                  <w:divBdr>
                    <w:top w:val="none" w:sz="0" w:space="0" w:color="auto"/>
                    <w:left w:val="none" w:sz="0" w:space="0" w:color="auto"/>
                    <w:bottom w:val="none" w:sz="0" w:space="0" w:color="auto"/>
                    <w:right w:val="none" w:sz="0" w:space="0" w:color="auto"/>
                  </w:divBdr>
                </w:div>
              </w:divsChild>
            </w:div>
            <w:div w:id="804548746">
              <w:marLeft w:val="0"/>
              <w:marRight w:val="0"/>
              <w:marTop w:val="0"/>
              <w:marBottom w:val="0"/>
              <w:divBdr>
                <w:top w:val="none" w:sz="0" w:space="0" w:color="auto"/>
                <w:left w:val="none" w:sz="0" w:space="0" w:color="auto"/>
                <w:bottom w:val="none" w:sz="0" w:space="0" w:color="auto"/>
                <w:right w:val="none" w:sz="0" w:space="0" w:color="auto"/>
              </w:divBdr>
              <w:divsChild>
                <w:div w:id="165748082">
                  <w:marLeft w:val="0"/>
                  <w:marRight w:val="0"/>
                  <w:marTop w:val="0"/>
                  <w:marBottom w:val="0"/>
                  <w:divBdr>
                    <w:top w:val="none" w:sz="0" w:space="0" w:color="auto"/>
                    <w:left w:val="none" w:sz="0" w:space="0" w:color="auto"/>
                    <w:bottom w:val="none" w:sz="0" w:space="0" w:color="auto"/>
                    <w:right w:val="none" w:sz="0" w:space="0" w:color="auto"/>
                  </w:divBdr>
                </w:div>
              </w:divsChild>
            </w:div>
            <w:div w:id="1998991699">
              <w:marLeft w:val="0"/>
              <w:marRight w:val="0"/>
              <w:marTop w:val="0"/>
              <w:marBottom w:val="0"/>
              <w:divBdr>
                <w:top w:val="none" w:sz="0" w:space="0" w:color="auto"/>
                <w:left w:val="none" w:sz="0" w:space="0" w:color="auto"/>
                <w:bottom w:val="none" w:sz="0" w:space="0" w:color="auto"/>
                <w:right w:val="none" w:sz="0" w:space="0" w:color="auto"/>
              </w:divBdr>
              <w:divsChild>
                <w:div w:id="74673790">
                  <w:marLeft w:val="0"/>
                  <w:marRight w:val="0"/>
                  <w:marTop w:val="0"/>
                  <w:marBottom w:val="0"/>
                  <w:divBdr>
                    <w:top w:val="none" w:sz="0" w:space="0" w:color="auto"/>
                    <w:left w:val="none" w:sz="0" w:space="0" w:color="auto"/>
                    <w:bottom w:val="none" w:sz="0" w:space="0" w:color="auto"/>
                    <w:right w:val="none" w:sz="0" w:space="0" w:color="auto"/>
                  </w:divBdr>
                </w:div>
              </w:divsChild>
            </w:div>
            <w:div w:id="1800144683">
              <w:marLeft w:val="0"/>
              <w:marRight w:val="0"/>
              <w:marTop w:val="0"/>
              <w:marBottom w:val="0"/>
              <w:divBdr>
                <w:top w:val="none" w:sz="0" w:space="0" w:color="auto"/>
                <w:left w:val="none" w:sz="0" w:space="0" w:color="auto"/>
                <w:bottom w:val="none" w:sz="0" w:space="0" w:color="auto"/>
                <w:right w:val="none" w:sz="0" w:space="0" w:color="auto"/>
              </w:divBdr>
              <w:divsChild>
                <w:div w:id="1284077382">
                  <w:marLeft w:val="0"/>
                  <w:marRight w:val="0"/>
                  <w:marTop w:val="0"/>
                  <w:marBottom w:val="0"/>
                  <w:divBdr>
                    <w:top w:val="none" w:sz="0" w:space="0" w:color="auto"/>
                    <w:left w:val="none" w:sz="0" w:space="0" w:color="auto"/>
                    <w:bottom w:val="none" w:sz="0" w:space="0" w:color="auto"/>
                    <w:right w:val="none" w:sz="0" w:space="0" w:color="auto"/>
                  </w:divBdr>
                </w:div>
              </w:divsChild>
            </w:div>
            <w:div w:id="312414774">
              <w:marLeft w:val="0"/>
              <w:marRight w:val="0"/>
              <w:marTop w:val="0"/>
              <w:marBottom w:val="0"/>
              <w:divBdr>
                <w:top w:val="none" w:sz="0" w:space="0" w:color="auto"/>
                <w:left w:val="none" w:sz="0" w:space="0" w:color="auto"/>
                <w:bottom w:val="none" w:sz="0" w:space="0" w:color="auto"/>
                <w:right w:val="none" w:sz="0" w:space="0" w:color="auto"/>
              </w:divBdr>
              <w:divsChild>
                <w:div w:id="1966882734">
                  <w:marLeft w:val="0"/>
                  <w:marRight w:val="0"/>
                  <w:marTop w:val="0"/>
                  <w:marBottom w:val="0"/>
                  <w:divBdr>
                    <w:top w:val="none" w:sz="0" w:space="0" w:color="auto"/>
                    <w:left w:val="none" w:sz="0" w:space="0" w:color="auto"/>
                    <w:bottom w:val="none" w:sz="0" w:space="0" w:color="auto"/>
                    <w:right w:val="none" w:sz="0" w:space="0" w:color="auto"/>
                  </w:divBdr>
                </w:div>
              </w:divsChild>
            </w:div>
            <w:div w:id="1523862815">
              <w:marLeft w:val="0"/>
              <w:marRight w:val="0"/>
              <w:marTop w:val="0"/>
              <w:marBottom w:val="0"/>
              <w:divBdr>
                <w:top w:val="none" w:sz="0" w:space="0" w:color="auto"/>
                <w:left w:val="none" w:sz="0" w:space="0" w:color="auto"/>
                <w:bottom w:val="none" w:sz="0" w:space="0" w:color="auto"/>
                <w:right w:val="none" w:sz="0" w:space="0" w:color="auto"/>
              </w:divBdr>
              <w:divsChild>
                <w:div w:id="582684038">
                  <w:marLeft w:val="0"/>
                  <w:marRight w:val="0"/>
                  <w:marTop w:val="0"/>
                  <w:marBottom w:val="0"/>
                  <w:divBdr>
                    <w:top w:val="none" w:sz="0" w:space="0" w:color="auto"/>
                    <w:left w:val="none" w:sz="0" w:space="0" w:color="auto"/>
                    <w:bottom w:val="none" w:sz="0" w:space="0" w:color="auto"/>
                    <w:right w:val="none" w:sz="0" w:space="0" w:color="auto"/>
                  </w:divBdr>
                </w:div>
              </w:divsChild>
            </w:div>
            <w:div w:id="618343187">
              <w:marLeft w:val="0"/>
              <w:marRight w:val="0"/>
              <w:marTop w:val="0"/>
              <w:marBottom w:val="0"/>
              <w:divBdr>
                <w:top w:val="none" w:sz="0" w:space="0" w:color="auto"/>
                <w:left w:val="none" w:sz="0" w:space="0" w:color="auto"/>
                <w:bottom w:val="none" w:sz="0" w:space="0" w:color="auto"/>
                <w:right w:val="none" w:sz="0" w:space="0" w:color="auto"/>
              </w:divBdr>
              <w:divsChild>
                <w:div w:id="815610284">
                  <w:marLeft w:val="0"/>
                  <w:marRight w:val="0"/>
                  <w:marTop w:val="0"/>
                  <w:marBottom w:val="0"/>
                  <w:divBdr>
                    <w:top w:val="none" w:sz="0" w:space="0" w:color="auto"/>
                    <w:left w:val="none" w:sz="0" w:space="0" w:color="auto"/>
                    <w:bottom w:val="none" w:sz="0" w:space="0" w:color="auto"/>
                    <w:right w:val="none" w:sz="0" w:space="0" w:color="auto"/>
                  </w:divBdr>
                </w:div>
              </w:divsChild>
            </w:div>
            <w:div w:id="990718592">
              <w:marLeft w:val="0"/>
              <w:marRight w:val="0"/>
              <w:marTop w:val="0"/>
              <w:marBottom w:val="0"/>
              <w:divBdr>
                <w:top w:val="none" w:sz="0" w:space="0" w:color="auto"/>
                <w:left w:val="none" w:sz="0" w:space="0" w:color="auto"/>
                <w:bottom w:val="none" w:sz="0" w:space="0" w:color="auto"/>
                <w:right w:val="none" w:sz="0" w:space="0" w:color="auto"/>
              </w:divBdr>
              <w:divsChild>
                <w:div w:id="127170670">
                  <w:marLeft w:val="0"/>
                  <w:marRight w:val="0"/>
                  <w:marTop w:val="0"/>
                  <w:marBottom w:val="0"/>
                  <w:divBdr>
                    <w:top w:val="none" w:sz="0" w:space="0" w:color="auto"/>
                    <w:left w:val="none" w:sz="0" w:space="0" w:color="auto"/>
                    <w:bottom w:val="none" w:sz="0" w:space="0" w:color="auto"/>
                    <w:right w:val="none" w:sz="0" w:space="0" w:color="auto"/>
                  </w:divBdr>
                </w:div>
              </w:divsChild>
            </w:div>
            <w:div w:id="777263346">
              <w:marLeft w:val="0"/>
              <w:marRight w:val="0"/>
              <w:marTop w:val="0"/>
              <w:marBottom w:val="0"/>
              <w:divBdr>
                <w:top w:val="none" w:sz="0" w:space="0" w:color="auto"/>
                <w:left w:val="none" w:sz="0" w:space="0" w:color="auto"/>
                <w:bottom w:val="none" w:sz="0" w:space="0" w:color="auto"/>
                <w:right w:val="none" w:sz="0" w:space="0" w:color="auto"/>
              </w:divBdr>
              <w:divsChild>
                <w:div w:id="218441932">
                  <w:marLeft w:val="0"/>
                  <w:marRight w:val="0"/>
                  <w:marTop w:val="0"/>
                  <w:marBottom w:val="0"/>
                  <w:divBdr>
                    <w:top w:val="none" w:sz="0" w:space="0" w:color="auto"/>
                    <w:left w:val="none" w:sz="0" w:space="0" w:color="auto"/>
                    <w:bottom w:val="none" w:sz="0" w:space="0" w:color="auto"/>
                    <w:right w:val="none" w:sz="0" w:space="0" w:color="auto"/>
                  </w:divBdr>
                </w:div>
              </w:divsChild>
            </w:div>
            <w:div w:id="1021780523">
              <w:marLeft w:val="0"/>
              <w:marRight w:val="0"/>
              <w:marTop w:val="0"/>
              <w:marBottom w:val="0"/>
              <w:divBdr>
                <w:top w:val="none" w:sz="0" w:space="0" w:color="auto"/>
                <w:left w:val="none" w:sz="0" w:space="0" w:color="auto"/>
                <w:bottom w:val="none" w:sz="0" w:space="0" w:color="auto"/>
                <w:right w:val="none" w:sz="0" w:space="0" w:color="auto"/>
              </w:divBdr>
              <w:divsChild>
                <w:div w:id="405953237">
                  <w:marLeft w:val="0"/>
                  <w:marRight w:val="0"/>
                  <w:marTop w:val="0"/>
                  <w:marBottom w:val="0"/>
                  <w:divBdr>
                    <w:top w:val="none" w:sz="0" w:space="0" w:color="auto"/>
                    <w:left w:val="none" w:sz="0" w:space="0" w:color="auto"/>
                    <w:bottom w:val="none" w:sz="0" w:space="0" w:color="auto"/>
                    <w:right w:val="none" w:sz="0" w:space="0" w:color="auto"/>
                  </w:divBdr>
                </w:div>
              </w:divsChild>
            </w:div>
            <w:div w:id="1732848789">
              <w:marLeft w:val="0"/>
              <w:marRight w:val="0"/>
              <w:marTop w:val="0"/>
              <w:marBottom w:val="0"/>
              <w:divBdr>
                <w:top w:val="none" w:sz="0" w:space="0" w:color="auto"/>
                <w:left w:val="none" w:sz="0" w:space="0" w:color="auto"/>
                <w:bottom w:val="none" w:sz="0" w:space="0" w:color="auto"/>
                <w:right w:val="none" w:sz="0" w:space="0" w:color="auto"/>
              </w:divBdr>
              <w:divsChild>
                <w:div w:id="1342512483">
                  <w:marLeft w:val="0"/>
                  <w:marRight w:val="0"/>
                  <w:marTop w:val="0"/>
                  <w:marBottom w:val="0"/>
                  <w:divBdr>
                    <w:top w:val="none" w:sz="0" w:space="0" w:color="auto"/>
                    <w:left w:val="none" w:sz="0" w:space="0" w:color="auto"/>
                    <w:bottom w:val="none" w:sz="0" w:space="0" w:color="auto"/>
                    <w:right w:val="none" w:sz="0" w:space="0" w:color="auto"/>
                  </w:divBdr>
                </w:div>
              </w:divsChild>
            </w:div>
            <w:div w:id="604465933">
              <w:marLeft w:val="0"/>
              <w:marRight w:val="0"/>
              <w:marTop w:val="0"/>
              <w:marBottom w:val="0"/>
              <w:divBdr>
                <w:top w:val="none" w:sz="0" w:space="0" w:color="auto"/>
                <w:left w:val="none" w:sz="0" w:space="0" w:color="auto"/>
                <w:bottom w:val="none" w:sz="0" w:space="0" w:color="auto"/>
                <w:right w:val="none" w:sz="0" w:space="0" w:color="auto"/>
              </w:divBdr>
              <w:divsChild>
                <w:div w:id="604046133">
                  <w:marLeft w:val="0"/>
                  <w:marRight w:val="0"/>
                  <w:marTop w:val="0"/>
                  <w:marBottom w:val="0"/>
                  <w:divBdr>
                    <w:top w:val="none" w:sz="0" w:space="0" w:color="auto"/>
                    <w:left w:val="none" w:sz="0" w:space="0" w:color="auto"/>
                    <w:bottom w:val="none" w:sz="0" w:space="0" w:color="auto"/>
                    <w:right w:val="none" w:sz="0" w:space="0" w:color="auto"/>
                  </w:divBdr>
                </w:div>
              </w:divsChild>
            </w:div>
            <w:div w:id="1567908929">
              <w:marLeft w:val="0"/>
              <w:marRight w:val="0"/>
              <w:marTop w:val="0"/>
              <w:marBottom w:val="0"/>
              <w:divBdr>
                <w:top w:val="none" w:sz="0" w:space="0" w:color="auto"/>
                <w:left w:val="none" w:sz="0" w:space="0" w:color="auto"/>
                <w:bottom w:val="none" w:sz="0" w:space="0" w:color="auto"/>
                <w:right w:val="none" w:sz="0" w:space="0" w:color="auto"/>
              </w:divBdr>
              <w:divsChild>
                <w:div w:id="2013796593">
                  <w:marLeft w:val="0"/>
                  <w:marRight w:val="0"/>
                  <w:marTop w:val="0"/>
                  <w:marBottom w:val="0"/>
                  <w:divBdr>
                    <w:top w:val="none" w:sz="0" w:space="0" w:color="auto"/>
                    <w:left w:val="none" w:sz="0" w:space="0" w:color="auto"/>
                    <w:bottom w:val="none" w:sz="0" w:space="0" w:color="auto"/>
                    <w:right w:val="none" w:sz="0" w:space="0" w:color="auto"/>
                  </w:divBdr>
                </w:div>
              </w:divsChild>
            </w:div>
            <w:div w:id="1424375961">
              <w:marLeft w:val="0"/>
              <w:marRight w:val="0"/>
              <w:marTop w:val="0"/>
              <w:marBottom w:val="0"/>
              <w:divBdr>
                <w:top w:val="none" w:sz="0" w:space="0" w:color="auto"/>
                <w:left w:val="none" w:sz="0" w:space="0" w:color="auto"/>
                <w:bottom w:val="none" w:sz="0" w:space="0" w:color="auto"/>
                <w:right w:val="none" w:sz="0" w:space="0" w:color="auto"/>
              </w:divBdr>
              <w:divsChild>
                <w:div w:id="1128553164">
                  <w:marLeft w:val="0"/>
                  <w:marRight w:val="0"/>
                  <w:marTop w:val="0"/>
                  <w:marBottom w:val="0"/>
                  <w:divBdr>
                    <w:top w:val="none" w:sz="0" w:space="0" w:color="auto"/>
                    <w:left w:val="none" w:sz="0" w:space="0" w:color="auto"/>
                    <w:bottom w:val="none" w:sz="0" w:space="0" w:color="auto"/>
                    <w:right w:val="none" w:sz="0" w:space="0" w:color="auto"/>
                  </w:divBdr>
                </w:div>
              </w:divsChild>
            </w:div>
            <w:div w:id="369846263">
              <w:marLeft w:val="0"/>
              <w:marRight w:val="0"/>
              <w:marTop w:val="0"/>
              <w:marBottom w:val="0"/>
              <w:divBdr>
                <w:top w:val="none" w:sz="0" w:space="0" w:color="auto"/>
                <w:left w:val="none" w:sz="0" w:space="0" w:color="auto"/>
                <w:bottom w:val="none" w:sz="0" w:space="0" w:color="auto"/>
                <w:right w:val="none" w:sz="0" w:space="0" w:color="auto"/>
              </w:divBdr>
              <w:divsChild>
                <w:div w:id="1162739806">
                  <w:marLeft w:val="0"/>
                  <w:marRight w:val="0"/>
                  <w:marTop w:val="0"/>
                  <w:marBottom w:val="0"/>
                  <w:divBdr>
                    <w:top w:val="none" w:sz="0" w:space="0" w:color="auto"/>
                    <w:left w:val="none" w:sz="0" w:space="0" w:color="auto"/>
                    <w:bottom w:val="none" w:sz="0" w:space="0" w:color="auto"/>
                    <w:right w:val="none" w:sz="0" w:space="0" w:color="auto"/>
                  </w:divBdr>
                </w:div>
              </w:divsChild>
            </w:div>
            <w:div w:id="823666023">
              <w:marLeft w:val="0"/>
              <w:marRight w:val="0"/>
              <w:marTop w:val="0"/>
              <w:marBottom w:val="0"/>
              <w:divBdr>
                <w:top w:val="none" w:sz="0" w:space="0" w:color="auto"/>
                <w:left w:val="none" w:sz="0" w:space="0" w:color="auto"/>
                <w:bottom w:val="none" w:sz="0" w:space="0" w:color="auto"/>
                <w:right w:val="none" w:sz="0" w:space="0" w:color="auto"/>
              </w:divBdr>
              <w:divsChild>
                <w:div w:id="415976188">
                  <w:marLeft w:val="0"/>
                  <w:marRight w:val="0"/>
                  <w:marTop w:val="0"/>
                  <w:marBottom w:val="0"/>
                  <w:divBdr>
                    <w:top w:val="none" w:sz="0" w:space="0" w:color="auto"/>
                    <w:left w:val="none" w:sz="0" w:space="0" w:color="auto"/>
                    <w:bottom w:val="none" w:sz="0" w:space="0" w:color="auto"/>
                    <w:right w:val="none" w:sz="0" w:space="0" w:color="auto"/>
                  </w:divBdr>
                </w:div>
              </w:divsChild>
            </w:div>
            <w:div w:id="792480294">
              <w:marLeft w:val="0"/>
              <w:marRight w:val="0"/>
              <w:marTop w:val="0"/>
              <w:marBottom w:val="0"/>
              <w:divBdr>
                <w:top w:val="none" w:sz="0" w:space="0" w:color="auto"/>
                <w:left w:val="none" w:sz="0" w:space="0" w:color="auto"/>
                <w:bottom w:val="none" w:sz="0" w:space="0" w:color="auto"/>
                <w:right w:val="none" w:sz="0" w:space="0" w:color="auto"/>
              </w:divBdr>
              <w:divsChild>
                <w:div w:id="1952467487">
                  <w:marLeft w:val="0"/>
                  <w:marRight w:val="0"/>
                  <w:marTop w:val="0"/>
                  <w:marBottom w:val="0"/>
                  <w:divBdr>
                    <w:top w:val="none" w:sz="0" w:space="0" w:color="auto"/>
                    <w:left w:val="none" w:sz="0" w:space="0" w:color="auto"/>
                    <w:bottom w:val="none" w:sz="0" w:space="0" w:color="auto"/>
                    <w:right w:val="none" w:sz="0" w:space="0" w:color="auto"/>
                  </w:divBdr>
                </w:div>
              </w:divsChild>
            </w:div>
            <w:div w:id="287400539">
              <w:marLeft w:val="0"/>
              <w:marRight w:val="0"/>
              <w:marTop w:val="0"/>
              <w:marBottom w:val="0"/>
              <w:divBdr>
                <w:top w:val="none" w:sz="0" w:space="0" w:color="auto"/>
                <w:left w:val="none" w:sz="0" w:space="0" w:color="auto"/>
                <w:bottom w:val="none" w:sz="0" w:space="0" w:color="auto"/>
                <w:right w:val="none" w:sz="0" w:space="0" w:color="auto"/>
              </w:divBdr>
              <w:divsChild>
                <w:div w:id="1048066309">
                  <w:marLeft w:val="0"/>
                  <w:marRight w:val="0"/>
                  <w:marTop w:val="0"/>
                  <w:marBottom w:val="0"/>
                  <w:divBdr>
                    <w:top w:val="none" w:sz="0" w:space="0" w:color="auto"/>
                    <w:left w:val="none" w:sz="0" w:space="0" w:color="auto"/>
                    <w:bottom w:val="none" w:sz="0" w:space="0" w:color="auto"/>
                    <w:right w:val="none" w:sz="0" w:space="0" w:color="auto"/>
                  </w:divBdr>
                </w:div>
              </w:divsChild>
            </w:div>
            <w:div w:id="1917546951">
              <w:marLeft w:val="0"/>
              <w:marRight w:val="0"/>
              <w:marTop w:val="0"/>
              <w:marBottom w:val="0"/>
              <w:divBdr>
                <w:top w:val="none" w:sz="0" w:space="0" w:color="auto"/>
                <w:left w:val="none" w:sz="0" w:space="0" w:color="auto"/>
                <w:bottom w:val="none" w:sz="0" w:space="0" w:color="auto"/>
                <w:right w:val="none" w:sz="0" w:space="0" w:color="auto"/>
              </w:divBdr>
              <w:divsChild>
                <w:div w:id="1833718429">
                  <w:marLeft w:val="0"/>
                  <w:marRight w:val="0"/>
                  <w:marTop w:val="0"/>
                  <w:marBottom w:val="0"/>
                  <w:divBdr>
                    <w:top w:val="none" w:sz="0" w:space="0" w:color="auto"/>
                    <w:left w:val="none" w:sz="0" w:space="0" w:color="auto"/>
                    <w:bottom w:val="none" w:sz="0" w:space="0" w:color="auto"/>
                    <w:right w:val="none" w:sz="0" w:space="0" w:color="auto"/>
                  </w:divBdr>
                </w:div>
              </w:divsChild>
            </w:div>
            <w:div w:id="887645473">
              <w:marLeft w:val="0"/>
              <w:marRight w:val="0"/>
              <w:marTop w:val="0"/>
              <w:marBottom w:val="0"/>
              <w:divBdr>
                <w:top w:val="none" w:sz="0" w:space="0" w:color="auto"/>
                <w:left w:val="none" w:sz="0" w:space="0" w:color="auto"/>
                <w:bottom w:val="none" w:sz="0" w:space="0" w:color="auto"/>
                <w:right w:val="none" w:sz="0" w:space="0" w:color="auto"/>
              </w:divBdr>
              <w:divsChild>
                <w:div w:id="143280441">
                  <w:marLeft w:val="0"/>
                  <w:marRight w:val="0"/>
                  <w:marTop w:val="0"/>
                  <w:marBottom w:val="0"/>
                  <w:divBdr>
                    <w:top w:val="none" w:sz="0" w:space="0" w:color="auto"/>
                    <w:left w:val="none" w:sz="0" w:space="0" w:color="auto"/>
                    <w:bottom w:val="none" w:sz="0" w:space="0" w:color="auto"/>
                    <w:right w:val="none" w:sz="0" w:space="0" w:color="auto"/>
                  </w:divBdr>
                </w:div>
              </w:divsChild>
            </w:div>
            <w:div w:id="227501953">
              <w:marLeft w:val="0"/>
              <w:marRight w:val="0"/>
              <w:marTop w:val="0"/>
              <w:marBottom w:val="0"/>
              <w:divBdr>
                <w:top w:val="none" w:sz="0" w:space="0" w:color="auto"/>
                <w:left w:val="none" w:sz="0" w:space="0" w:color="auto"/>
                <w:bottom w:val="none" w:sz="0" w:space="0" w:color="auto"/>
                <w:right w:val="none" w:sz="0" w:space="0" w:color="auto"/>
              </w:divBdr>
              <w:divsChild>
                <w:div w:id="1093210897">
                  <w:marLeft w:val="0"/>
                  <w:marRight w:val="0"/>
                  <w:marTop w:val="0"/>
                  <w:marBottom w:val="0"/>
                  <w:divBdr>
                    <w:top w:val="none" w:sz="0" w:space="0" w:color="auto"/>
                    <w:left w:val="none" w:sz="0" w:space="0" w:color="auto"/>
                    <w:bottom w:val="none" w:sz="0" w:space="0" w:color="auto"/>
                    <w:right w:val="none" w:sz="0" w:space="0" w:color="auto"/>
                  </w:divBdr>
                </w:div>
              </w:divsChild>
            </w:div>
            <w:div w:id="170074821">
              <w:marLeft w:val="0"/>
              <w:marRight w:val="0"/>
              <w:marTop w:val="0"/>
              <w:marBottom w:val="0"/>
              <w:divBdr>
                <w:top w:val="none" w:sz="0" w:space="0" w:color="auto"/>
                <w:left w:val="none" w:sz="0" w:space="0" w:color="auto"/>
                <w:bottom w:val="none" w:sz="0" w:space="0" w:color="auto"/>
                <w:right w:val="none" w:sz="0" w:space="0" w:color="auto"/>
              </w:divBdr>
              <w:divsChild>
                <w:div w:id="1972906864">
                  <w:marLeft w:val="0"/>
                  <w:marRight w:val="0"/>
                  <w:marTop w:val="0"/>
                  <w:marBottom w:val="0"/>
                  <w:divBdr>
                    <w:top w:val="none" w:sz="0" w:space="0" w:color="auto"/>
                    <w:left w:val="none" w:sz="0" w:space="0" w:color="auto"/>
                    <w:bottom w:val="none" w:sz="0" w:space="0" w:color="auto"/>
                    <w:right w:val="none" w:sz="0" w:space="0" w:color="auto"/>
                  </w:divBdr>
                </w:div>
              </w:divsChild>
            </w:div>
            <w:div w:id="1328825370">
              <w:marLeft w:val="0"/>
              <w:marRight w:val="0"/>
              <w:marTop w:val="0"/>
              <w:marBottom w:val="0"/>
              <w:divBdr>
                <w:top w:val="none" w:sz="0" w:space="0" w:color="auto"/>
                <w:left w:val="none" w:sz="0" w:space="0" w:color="auto"/>
                <w:bottom w:val="none" w:sz="0" w:space="0" w:color="auto"/>
                <w:right w:val="none" w:sz="0" w:space="0" w:color="auto"/>
              </w:divBdr>
              <w:divsChild>
                <w:div w:id="1943147296">
                  <w:marLeft w:val="0"/>
                  <w:marRight w:val="0"/>
                  <w:marTop w:val="0"/>
                  <w:marBottom w:val="0"/>
                  <w:divBdr>
                    <w:top w:val="none" w:sz="0" w:space="0" w:color="auto"/>
                    <w:left w:val="none" w:sz="0" w:space="0" w:color="auto"/>
                    <w:bottom w:val="none" w:sz="0" w:space="0" w:color="auto"/>
                    <w:right w:val="none" w:sz="0" w:space="0" w:color="auto"/>
                  </w:divBdr>
                </w:div>
              </w:divsChild>
            </w:div>
            <w:div w:id="626936123">
              <w:marLeft w:val="0"/>
              <w:marRight w:val="0"/>
              <w:marTop w:val="0"/>
              <w:marBottom w:val="0"/>
              <w:divBdr>
                <w:top w:val="none" w:sz="0" w:space="0" w:color="auto"/>
                <w:left w:val="none" w:sz="0" w:space="0" w:color="auto"/>
                <w:bottom w:val="none" w:sz="0" w:space="0" w:color="auto"/>
                <w:right w:val="none" w:sz="0" w:space="0" w:color="auto"/>
              </w:divBdr>
              <w:divsChild>
                <w:div w:id="10782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5960">
          <w:marLeft w:val="0"/>
          <w:marRight w:val="0"/>
          <w:marTop w:val="0"/>
          <w:marBottom w:val="600"/>
          <w:divBdr>
            <w:top w:val="none" w:sz="0" w:space="0" w:color="auto"/>
            <w:left w:val="none" w:sz="0" w:space="0" w:color="auto"/>
            <w:bottom w:val="none" w:sz="0" w:space="0" w:color="auto"/>
            <w:right w:val="none" w:sz="0" w:space="0" w:color="auto"/>
          </w:divBdr>
        </w:div>
      </w:divsChild>
    </w:div>
    <w:div w:id="1197698193">
      <w:marLeft w:val="0"/>
      <w:marRight w:val="0"/>
      <w:marTop w:val="0"/>
      <w:marBottom w:val="0"/>
      <w:divBdr>
        <w:top w:val="none" w:sz="0" w:space="0" w:color="auto"/>
        <w:left w:val="none" w:sz="0" w:space="0" w:color="auto"/>
        <w:bottom w:val="none" w:sz="0" w:space="0" w:color="auto"/>
        <w:right w:val="none" w:sz="0" w:space="0" w:color="auto"/>
      </w:divBdr>
      <w:divsChild>
        <w:div w:id="42143952">
          <w:marLeft w:val="0"/>
          <w:marRight w:val="0"/>
          <w:marTop w:val="432"/>
          <w:marBottom w:val="0"/>
          <w:divBdr>
            <w:top w:val="none" w:sz="0" w:space="0" w:color="auto"/>
            <w:left w:val="none" w:sz="0" w:space="0" w:color="auto"/>
            <w:bottom w:val="none" w:sz="0" w:space="0" w:color="auto"/>
            <w:right w:val="none" w:sz="0" w:space="0" w:color="auto"/>
          </w:divBdr>
        </w:div>
        <w:div w:id="163327698">
          <w:marLeft w:val="0"/>
          <w:marRight w:val="0"/>
          <w:marTop w:val="0"/>
          <w:marBottom w:val="0"/>
          <w:divBdr>
            <w:top w:val="none" w:sz="0" w:space="0" w:color="auto"/>
            <w:left w:val="none" w:sz="0" w:space="0" w:color="auto"/>
            <w:bottom w:val="none" w:sz="0" w:space="0" w:color="auto"/>
            <w:right w:val="none" w:sz="0" w:space="0" w:color="auto"/>
          </w:divBdr>
        </w:div>
        <w:div w:id="1074863061">
          <w:marLeft w:val="0"/>
          <w:marRight w:val="0"/>
          <w:marTop w:val="0"/>
          <w:marBottom w:val="600"/>
          <w:divBdr>
            <w:top w:val="none" w:sz="0" w:space="0" w:color="auto"/>
            <w:left w:val="none" w:sz="0" w:space="0" w:color="auto"/>
            <w:bottom w:val="none" w:sz="0" w:space="0" w:color="auto"/>
            <w:right w:val="none" w:sz="0" w:space="0" w:color="auto"/>
          </w:divBdr>
        </w:div>
      </w:divsChild>
    </w:div>
    <w:div w:id="1199660635">
      <w:marLeft w:val="0"/>
      <w:marRight w:val="0"/>
      <w:marTop w:val="0"/>
      <w:marBottom w:val="0"/>
      <w:divBdr>
        <w:top w:val="none" w:sz="0" w:space="0" w:color="auto"/>
        <w:left w:val="none" w:sz="0" w:space="0" w:color="auto"/>
        <w:bottom w:val="none" w:sz="0" w:space="0" w:color="auto"/>
        <w:right w:val="none" w:sz="0" w:space="0" w:color="auto"/>
      </w:divBdr>
      <w:divsChild>
        <w:div w:id="1873763691">
          <w:marLeft w:val="0"/>
          <w:marRight w:val="0"/>
          <w:marTop w:val="432"/>
          <w:marBottom w:val="0"/>
          <w:divBdr>
            <w:top w:val="none" w:sz="0" w:space="0" w:color="auto"/>
            <w:left w:val="none" w:sz="0" w:space="0" w:color="auto"/>
            <w:bottom w:val="none" w:sz="0" w:space="0" w:color="auto"/>
            <w:right w:val="none" w:sz="0" w:space="0" w:color="auto"/>
          </w:divBdr>
        </w:div>
        <w:div w:id="1739785684">
          <w:marLeft w:val="0"/>
          <w:marRight w:val="0"/>
          <w:marTop w:val="0"/>
          <w:marBottom w:val="0"/>
          <w:divBdr>
            <w:top w:val="none" w:sz="0" w:space="0" w:color="auto"/>
            <w:left w:val="none" w:sz="0" w:space="0" w:color="auto"/>
            <w:bottom w:val="none" w:sz="0" w:space="0" w:color="auto"/>
            <w:right w:val="none" w:sz="0" w:space="0" w:color="auto"/>
          </w:divBdr>
        </w:div>
        <w:div w:id="665673553">
          <w:marLeft w:val="0"/>
          <w:marRight w:val="0"/>
          <w:marTop w:val="0"/>
          <w:marBottom w:val="600"/>
          <w:divBdr>
            <w:top w:val="none" w:sz="0" w:space="0" w:color="auto"/>
            <w:left w:val="none" w:sz="0" w:space="0" w:color="auto"/>
            <w:bottom w:val="none" w:sz="0" w:space="0" w:color="auto"/>
            <w:right w:val="none" w:sz="0" w:space="0" w:color="auto"/>
          </w:divBdr>
        </w:div>
      </w:divsChild>
    </w:div>
    <w:div w:id="1225526598">
      <w:marLeft w:val="0"/>
      <w:marRight w:val="0"/>
      <w:marTop w:val="0"/>
      <w:marBottom w:val="0"/>
      <w:divBdr>
        <w:top w:val="none" w:sz="0" w:space="0" w:color="auto"/>
        <w:left w:val="none" w:sz="0" w:space="0" w:color="auto"/>
        <w:bottom w:val="none" w:sz="0" w:space="0" w:color="auto"/>
        <w:right w:val="none" w:sz="0" w:space="0" w:color="auto"/>
      </w:divBdr>
      <w:divsChild>
        <w:div w:id="1714038091">
          <w:marLeft w:val="0"/>
          <w:marRight w:val="0"/>
          <w:marTop w:val="432"/>
          <w:marBottom w:val="0"/>
          <w:divBdr>
            <w:top w:val="none" w:sz="0" w:space="0" w:color="auto"/>
            <w:left w:val="none" w:sz="0" w:space="0" w:color="auto"/>
            <w:bottom w:val="none" w:sz="0" w:space="0" w:color="auto"/>
            <w:right w:val="none" w:sz="0" w:space="0" w:color="auto"/>
          </w:divBdr>
        </w:div>
        <w:div w:id="1238858057">
          <w:marLeft w:val="0"/>
          <w:marRight w:val="0"/>
          <w:marTop w:val="0"/>
          <w:marBottom w:val="0"/>
          <w:divBdr>
            <w:top w:val="none" w:sz="0" w:space="0" w:color="auto"/>
            <w:left w:val="none" w:sz="0" w:space="0" w:color="auto"/>
            <w:bottom w:val="none" w:sz="0" w:space="0" w:color="auto"/>
            <w:right w:val="none" w:sz="0" w:space="0" w:color="auto"/>
          </w:divBdr>
          <w:divsChild>
            <w:div w:id="1982344579">
              <w:marLeft w:val="0"/>
              <w:marRight w:val="0"/>
              <w:marTop w:val="0"/>
              <w:marBottom w:val="0"/>
              <w:divBdr>
                <w:top w:val="none" w:sz="0" w:space="0" w:color="auto"/>
                <w:left w:val="none" w:sz="0" w:space="0" w:color="auto"/>
                <w:bottom w:val="none" w:sz="0" w:space="0" w:color="auto"/>
                <w:right w:val="none" w:sz="0" w:space="0" w:color="auto"/>
              </w:divBdr>
              <w:divsChild>
                <w:div w:id="1063597793">
                  <w:marLeft w:val="0"/>
                  <w:marRight w:val="0"/>
                  <w:marTop w:val="0"/>
                  <w:marBottom w:val="0"/>
                  <w:divBdr>
                    <w:top w:val="none" w:sz="0" w:space="0" w:color="auto"/>
                    <w:left w:val="none" w:sz="0" w:space="0" w:color="auto"/>
                    <w:bottom w:val="none" w:sz="0" w:space="0" w:color="auto"/>
                    <w:right w:val="none" w:sz="0" w:space="0" w:color="auto"/>
                  </w:divBdr>
                </w:div>
              </w:divsChild>
            </w:div>
            <w:div w:id="546837945">
              <w:marLeft w:val="0"/>
              <w:marRight w:val="0"/>
              <w:marTop w:val="0"/>
              <w:marBottom w:val="0"/>
              <w:divBdr>
                <w:top w:val="none" w:sz="0" w:space="0" w:color="auto"/>
                <w:left w:val="none" w:sz="0" w:space="0" w:color="auto"/>
                <w:bottom w:val="none" w:sz="0" w:space="0" w:color="auto"/>
                <w:right w:val="none" w:sz="0" w:space="0" w:color="auto"/>
              </w:divBdr>
              <w:divsChild>
                <w:div w:id="69618867">
                  <w:marLeft w:val="0"/>
                  <w:marRight w:val="0"/>
                  <w:marTop w:val="0"/>
                  <w:marBottom w:val="0"/>
                  <w:divBdr>
                    <w:top w:val="none" w:sz="0" w:space="0" w:color="auto"/>
                    <w:left w:val="none" w:sz="0" w:space="0" w:color="auto"/>
                    <w:bottom w:val="none" w:sz="0" w:space="0" w:color="auto"/>
                    <w:right w:val="none" w:sz="0" w:space="0" w:color="auto"/>
                  </w:divBdr>
                </w:div>
              </w:divsChild>
            </w:div>
            <w:div w:id="639579231">
              <w:marLeft w:val="0"/>
              <w:marRight w:val="0"/>
              <w:marTop w:val="0"/>
              <w:marBottom w:val="0"/>
              <w:divBdr>
                <w:top w:val="none" w:sz="0" w:space="0" w:color="auto"/>
                <w:left w:val="none" w:sz="0" w:space="0" w:color="auto"/>
                <w:bottom w:val="none" w:sz="0" w:space="0" w:color="auto"/>
                <w:right w:val="none" w:sz="0" w:space="0" w:color="auto"/>
              </w:divBdr>
              <w:divsChild>
                <w:div w:id="1549339026">
                  <w:marLeft w:val="0"/>
                  <w:marRight w:val="0"/>
                  <w:marTop w:val="0"/>
                  <w:marBottom w:val="0"/>
                  <w:divBdr>
                    <w:top w:val="none" w:sz="0" w:space="0" w:color="auto"/>
                    <w:left w:val="none" w:sz="0" w:space="0" w:color="auto"/>
                    <w:bottom w:val="none" w:sz="0" w:space="0" w:color="auto"/>
                    <w:right w:val="none" w:sz="0" w:space="0" w:color="auto"/>
                  </w:divBdr>
                </w:div>
              </w:divsChild>
            </w:div>
            <w:div w:id="1574389663">
              <w:marLeft w:val="0"/>
              <w:marRight w:val="0"/>
              <w:marTop w:val="0"/>
              <w:marBottom w:val="0"/>
              <w:divBdr>
                <w:top w:val="none" w:sz="0" w:space="0" w:color="auto"/>
                <w:left w:val="none" w:sz="0" w:space="0" w:color="auto"/>
                <w:bottom w:val="none" w:sz="0" w:space="0" w:color="auto"/>
                <w:right w:val="none" w:sz="0" w:space="0" w:color="auto"/>
              </w:divBdr>
              <w:divsChild>
                <w:div w:id="949239187">
                  <w:marLeft w:val="0"/>
                  <w:marRight w:val="0"/>
                  <w:marTop w:val="0"/>
                  <w:marBottom w:val="0"/>
                  <w:divBdr>
                    <w:top w:val="none" w:sz="0" w:space="0" w:color="auto"/>
                    <w:left w:val="none" w:sz="0" w:space="0" w:color="auto"/>
                    <w:bottom w:val="none" w:sz="0" w:space="0" w:color="auto"/>
                    <w:right w:val="none" w:sz="0" w:space="0" w:color="auto"/>
                  </w:divBdr>
                </w:div>
              </w:divsChild>
            </w:div>
            <w:div w:id="1974090177">
              <w:marLeft w:val="0"/>
              <w:marRight w:val="0"/>
              <w:marTop w:val="0"/>
              <w:marBottom w:val="0"/>
              <w:divBdr>
                <w:top w:val="none" w:sz="0" w:space="0" w:color="auto"/>
                <w:left w:val="none" w:sz="0" w:space="0" w:color="auto"/>
                <w:bottom w:val="none" w:sz="0" w:space="0" w:color="auto"/>
                <w:right w:val="none" w:sz="0" w:space="0" w:color="auto"/>
              </w:divBdr>
              <w:divsChild>
                <w:div w:id="742992865">
                  <w:marLeft w:val="0"/>
                  <w:marRight w:val="0"/>
                  <w:marTop w:val="0"/>
                  <w:marBottom w:val="0"/>
                  <w:divBdr>
                    <w:top w:val="none" w:sz="0" w:space="0" w:color="auto"/>
                    <w:left w:val="none" w:sz="0" w:space="0" w:color="auto"/>
                    <w:bottom w:val="none" w:sz="0" w:space="0" w:color="auto"/>
                    <w:right w:val="none" w:sz="0" w:space="0" w:color="auto"/>
                  </w:divBdr>
                </w:div>
              </w:divsChild>
            </w:div>
            <w:div w:id="681705969">
              <w:marLeft w:val="0"/>
              <w:marRight w:val="0"/>
              <w:marTop w:val="0"/>
              <w:marBottom w:val="0"/>
              <w:divBdr>
                <w:top w:val="none" w:sz="0" w:space="0" w:color="auto"/>
                <w:left w:val="none" w:sz="0" w:space="0" w:color="auto"/>
                <w:bottom w:val="none" w:sz="0" w:space="0" w:color="auto"/>
                <w:right w:val="none" w:sz="0" w:space="0" w:color="auto"/>
              </w:divBdr>
              <w:divsChild>
                <w:div w:id="725109292">
                  <w:marLeft w:val="0"/>
                  <w:marRight w:val="0"/>
                  <w:marTop w:val="0"/>
                  <w:marBottom w:val="0"/>
                  <w:divBdr>
                    <w:top w:val="none" w:sz="0" w:space="0" w:color="auto"/>
                    <w:left w:val="none" w:sz="0" w:space="0" w:color="auto"/>
                    <w:bottom w:val="none" w:sz="0" w:space="0" w:color="auto"/>
                    <w:right w:val="none" w:sz="0" w:space="0" w:color="auto"/>
                  </w:divBdr>
                </w:div>
              </w:divsChild>
            </w:div>
            <w:div w:id="1396900315">
              <w:marLeft w:val="0"/>
              <w:marRight w:val="0"/>
              <w:marTop w:val="0"/>
              <w:marBottom w:val="0"/>
              <w:divBdr>
                <w:top w:val="none" w:sz="0" w:space="0" w:color="auto"/>
                <w:left w:val="none" w:sz="0" w:space="0" w:color="auto"/>
                <w:bottom w:val="none" w:sz="0" w:space="0" w:color="auto"/>
                <w:right w:val="none" w:sz="0" w:space="0" w:color="auto"/>
              </w:divBdr>
              <w:divsChild>
                <w:div w:id="167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4479">
          <w:marLeft w:val="0"/>
          <w:marRight w:val="0"/>
          <w:marTop w:val="0"/>
          <w:marBottom w:val="600"/>
          <w:divBdr>
            <w:top w:val="none" w:sz="0" w:space="0" w:color="auto"/>
            <w:left w:val="none" w:sz="0" w:space="0" w:color="auto"/>
            <w:bottom w:val="none" w:sz="0" w:space="0" w:color="auto"/>
            <w:right w:val="none" w:sz="0" w:space="0" w:color="auto"/>
          </w:divBdr>
        </w:div>
      </w:divsChild>
    </w:div>
    <w:div w:id="1279022231">
      <w:marLeft w:val="0"/>
      <w:marRight w:val="0"/>
      <w:marTop w:val="0"/>
      <w:marBottom w:val="0"/>
      <w:divBdr>
        <w:top w:val="none" w:sz="0" w:space="0" w:color="auto"/>
        <w:left w:val="none" w:sz="0" w:space="0" w:color="auto"/>
        <w:bottom w:val="none" w:sz="0" w:space="0" w:color="auto"/>
        <w:right w:val="none" w:sz="0" w:space="0" w:color="auto"/>
      </w:divBdr>
      <w:divsChild>
        <w:div w:id="1270620831">
          <w:marLeft w:val="0"/>
          <w:marRight w:val="0"/>
          <w:marTop w:val="432"/>
          <w:marBottom w:val="0"/>
          <w:divBdr>
            <w:top w:val="none" w:sz="0" w:space="0" w:color="auto"/>
            <w:left w:val="none" w:sz="0" w:space="0" w:color="auto"/>
            <w:bottom w:val="none" w:sz="0" w:space="0" w:color="auto"/>
            <w:right w:val="none" w:sz="0" w:space="0" w:color="auto"/>
          </w:divBdr>
        </w:div>
        <w:div w:id="235480204">
          <w:marLeft w:val="0"/>
          <w:marRight w:val="0"/>
          <w:marTop w:val="0"/>
          <w:marBottom w:val="0"/>
          <w:divBdr>
            <w:top w:val="none" w:sz="0" w:space="0" w:color="auto"/>
            <w:left w:val="none" w:sz="0" w:space="0" w:color="auto"/>
            <w:bottom w:val="none" w:sz="0" w:space="0" w:color="auto"/>
            <w:right w:val="none" w:sz="0" w:space="0" w:color="auto"/>
          </w:divBdr>
          <w:divsChild>
            <w:div w:id="1642878628">
              <w:marLeft w:val="0"/>
              <w:marRight w:val="0"/>
              <w:marTop w:val="0"/>
              <w:marBottom w:val="0"/>
              <w:divBdr>
                <w:top w:val="none" w:sz="0" w:space="0" w:color="auto"/>
                <w:left w:val="none" w:sz="0" w:space="0" w:color="auto"/>
                <w:bottom w:val="none" w:sz="0" w:space="0" w:color="auto"/>
                <w:right w:val="none" w:sz="0" w:space="0" w:color="auto"/>
              </w:divBdr>
              <w:divsChild>
                <w:div w:id="1092167011">
                  <w:marLeft w:val="0"/>
                  <w:marRight w:val="0"/>
                  <w:marTop w:val="0"/>
                  <w:marBottom w:val="0"/>
                  <w:divBdr>
                    <w:top w:val="none" w:sz="0" w:space="0" w:color="auto"/>
                    <w:left w:val="none" w:sz="0" w:space="0" w:color="auto"/>
                    <w:bottom w:val="none" w:sz="0" w:space="0" w:color="auto"/>
                    <w:right w:val="none" w:sz="0" w:space="0" w:color="auto"/>
                  </w:divBdr>
                </w:div>
              </w:divsChild>
            </w:div>
            <w:div w:id="1584408418">
              <w:marLeft w:val="0"/>
              <w:marRight w:val="0"/>
              <w:marTop w:val="0"/>
              <w:marBottom w:val="0"/>
              <w:divBdr>
                <w:top w:val="none" w:sz="0" w:space="0" w:color="auto"/>
                <w:left w:val="none" w:sz="0" w:space="0" w:color="auto"/>
                <w:bottom w:val="none" w:sz="0" w:space="0" w:color="auto"/>
                <w:right w:val="none" w:sz="0" w:space="0" w:color="auto"/>
              </w:divBdr>
              <w:divsChild>
                <w:div w:id="1779711516">
                  <w:marLeft w:val="0"/>
                  <w:marRight w:val="0"/>
                  <w:marTop w:val="0"/>
                  <w:marBottom w:val="0"/>
                  <w:divBdr>
                    <w:top w:val="none" w:sz="0" w:space="0" w:color="auto"/>
                    <w:left w:val="none" w:sz="0" w:space="0" w:color="auto"/>
                    <w:bottom w:val="none" w:sz="0" w:space="0" w:color="auto"/>
                    <w:right w:val="none" w:sz="0" w:space="0" w:color="auto"/>
                  </w:divBdr>
                </w:div>
              </w:divsChild>
            </w:div>
            <w:div w:id="1911843207">
              <w:marLeft w:val="0"/>
              <w:marRight w:val="0"/>
              <w:marTop w:val="0"/>
              <w:marBottom w:val="0"/>
              <w:divBdr>
                <w:top w:val="none" w:sz="0" w:space="0" w:color="auto"/>
                <w:left w:val="none" w:sz="0" w:space="0" w:color="auto"/>
                <w:bottom w:val="none" w:sz="0" w:space="0" w:color="auto"/>
                <w:right w:val="none" w:sz="0" w:space="0" w:color="auto"/>
              </w:divBdr>
              <w:divsChild>
                <w:div w:id="1859003234">
                  <w:marLeft w:val="0"/>
                  <w:marRight w:val="0"/>
                  <w:marTop w:val="0"/>
                  <w:marBottom w:val="0"/>
                  <w:divBdr>
                    <w:top w:val="none" w:sz="0" w:space="0" w:color="auto"/>
                    <w:left w:val="none" w:sz="0" w:space="0" w:color="auto"/>
                    <w:bottom w:val="none" w:sz="0" w:space="0" w:color="auto"/>
                    <w:right w:val="none" w:sz="0" w:space="0" w:color="auto"/>
                  </w:divBdr>
                </w:div>
              </w:divsChild>
            </w:div>
            <w:div w:id="2088187605">
              <w:marLeft w:val="0"/>
              <w:marRight w:val="0"/>
              <w:marTop w:val="0"/>
              <w:marBottom w:val="0"/>
              <w:divBdr>
                <w:top w:val="none" w:sz="0" w:space="0" w:color="auto"/>
                <w:left w:val="none" w:sz="0" w:space="0" w:color="auto"/>
                <w:bottom w:val="none" w:sz="0" w:space="0" w:color="auto"/>
                <w:right w:val="none" w:sz="0" w:space="0" w:color="auto"/>
              </w:divBdr>
              <w:divsChild>
                <w:div w:id="201402934">
                  <w:marLeft w:val="0"/>
                  <w:marRight w:val="0"/>
                  <w:marTop w:val="0"/>
                  <w:marBottom w:val="0"/>
                  <w:divBdr>
                    <w:top w:val="none" w:sz="0" w:space="0" w:color="auto"/>
                    <w:left w:val="none" w:sz="0" w:space="0" w:color="auto"/>
                    <w:bottom w:val="none" w:sz="0" w:space="0" w:color="auto"/>
                    <w:right w:val="none" w:sz="0" w:space="0" w:color="auto"/>
                  </w:divBdr>
                </w:div>
              </w:divsChild>
            </w:div>
            <w:div w:id="1069110619">
              <w:marLeft w:val="0"/>
              <w:marRight w:val="0"/>
              <w:marTop w:val="0"/>
              <w:marBottom w:val="0"/>
              <w:divBdr>
                <w:top w:val="none" w:sz="0" w:space="0" w:color="auto"/>
                <w:left w:val="none" w:sz="0" w:space="0" w:color="auto"/>
                <w:bottom w:val="none" w:sz="0" w:space="0" w:color="auto"/>
                <w:right w:val="none" w:sz="0" w:space="0" w:color="auto"/>
              </w:divBdr>
              <w:divsChild>
                <w:div w:id="380788507">
                  <w:marLeft w:val="0"/>
                  <w:marRight w:val="0"/>
                  <w:marTop w:val="0"/>
                  <w:marBottom w:val="0"/>
                  <w:divBdr>
                    <w:top w:val="none" w:sz="0" w:space="0" w:color="auto"/>
                    <w:left w:val="none" w:sz="0" w:space="0" w:color="auto"/>
                    <w:bottom w:val="none" w:sz="0" w:space="0" w:color="auto"/>
                    <w:right w:val="none" w:sz="0" w:space="0" w:color="auto"/>
                  </w:divBdr>
                </w:div>
              </w:divsChild>
            </w:div>
            <w:div w:id="24603501">
              <w:marLeft w:val="0"/>
              <w:marRight w:val="0"/>
              <w:marTop w:val="0"/>
              <w:marBottom w:val="0"/>
              <w:divBdr>
                <w:top w:val="none" w:sz="0" w:space="0" w:color="auto"/>
                <w:left w:val="none" w:sz="0" w:space="0" w:color="auto"/>
                <w:bottom w:val="none" w:sz="0" w:space="0" w:color="auto"/>
                <w:right w:val="none" w:sz="0" w:space="0" w:color="auto"/>
              </w:divBdr>
              <w:divsChild>
                <w:div w:id="594629694">
                  <w:marLeft w:val="0"/>
                  <w:marRight w:val="0"/>
                  <w:marTop w:val="0"/>
                  <w:marBottom w:val="0"/>
                  <w:divBdr>
                    <w:top w:val="none" w:sz="0" w:space="0" w:color="auto"/>
                    <w:left w:val="none" w:sz="0" w:space="0" w:color="auto"/>
                    <w:bottom w:val="none" w:sz="0" w:space="0" w:color="auto"/>
                    <w:right w:val="none" w:sz="0" w:space="0" w:color="auto"/>
                  </w:divBdr>
                </w:div>
              </w:divsChild>
            </w:div>
            <w:div w:id="1784879139">
              <w:marLeft w:val="0"/>
              <w:marRight w:val="0"/>
              <w:marTop w:val="0"/>
              <w:marBottom w:val="0"/>
              <w:divBdr>
                <w:top w:val="none" w:sz="0" w:space="0" w:color="auto"/>
                <w:left w:val="none" w:sz="0" w:space="0" w:color="auto"/>
                <w:bottom w:val="none" w:sz="0" w:space="0" w:color="auto"/>
                <w:right w:val="none" w:sz="0" w:space="0" w:color="auto"/>
              </w:divBdr>
              <w:divsChild>
                <w:div w:id="1863469457">
                  <w:marLeft w:val="0"/>
                  <w:marRight w:val="0"/>
                  <w:marTop w:val="0"/>
                  <w:marBottom w:val="0"/>
                  <w:divBdr>
                    <w:top w:val="none" w:sz="0" w:space="0" w:color="auto"/>
                    <w:left w:val="none" w:sz="0" w:space="0" w:color="auto"/>
                    <w:bottom w:val="none" w:sz="0" w:space="0" w:color="auto"/>
                    <w:right w:val="none" w:sz="0" w:space="0" w:color="auto"/>
                  </w:divBdr>
                </w:div>
              </w:divsChild>
            </w:div>
            <w:div w:id="736588963">
              <w:marLeft w:val="0"/>
              <w:marRight w:val="0"/>
              <w:marTop w:val="0"/>
              <w:marBottom w:val="0"/>
              <w:divBdr>
                <w:top w:val="none" w:sz="0" w:space="0" w:color="auto"/>
                <w:left w:val="none" w:sz="0" w:space="0" w:color="auto"/>
                <w:bottom w:val="none" w:sz="0" w:space="0" w:color="auto"/>
                <w:right w:val="none" w:sz="0" w:space="0" w:color="auto"/>
              </w:divBdr>
              <w:divsChild>
                <w:div w:id="90517935">
                  <w:marLeft w:val="0"/>
                  <w:marRight w:val="0"/>
                  <w:marTop w:val="0"/>
                  <w:marBottom w:val="0"/>
                  <w:divBdr>
                    <w:top w:val="none" w:sz="0" w:space="0" w:color="auto"/>
                    <w:left w:val="none" w:sz="0" w:space="0" w:color="auto"/>
                    <w:bottom w:val="none" w:sz="0" w:space="0" w:color="auto"/>
                    <w:right w:val="none" w:sz="0" w:space="0" w:color="auto"/>
                  </w:divBdr>
                </w:div>
              </w:divsChild>
            </w:div>
            <w:div w:id="1404336355">
              <w:marLeft w:val="0"/>
              <w:marRight w:val="0"/>
              <w:marTop w:val="0"/>
              <w:marBottom w:val="0"/>
              <w:divBdr>
                <w:top w:val="none" w:sz="0" w:space="0" w:color="auto"/>
                <w:left w:val="none" w:sz="0" w:space="0" w:color="auto"/>
                <w:bottom w:val="none" w:sz="0" w:space="0" w:color="auto"/>
                <w:right w:val="none" w:sz="0" w:space="0" w:color="auto"/>
              </w:divBdr>
              <w:divsChild>
                <w:div w:id="729350199">
                  <w:marLeft w:val="0"/>
                  <w:marRight w:val="0"/>
                  <w:marTop w:val="0"/>
                  <w:marBottom w:val="0"/>
                  <w:divBdr>
                    <w:top w:val="none" w:sz="0" w:space="0" w:color="auto"/>
                    <w:left w:val="none" w:sz="0" w:space="0" w:color="auto"/>
                    <w:bottom w:val="none" w:sz="0" w:space="0" w:color="auto"/>
                    <w:right w:val="none" w:sz="0" w:space="0" w:color="auto"/>
                  </w:divBdr>
                </w:div>
              </w:divsChild>
            </w:div>
            <w:div w:id="222910020">
              <w:marLeft w:val="0"/>
              <w:marRight w:val="0"/>
              <w:marTop w:val="0"/>
              <w:marBottom w:val="0"/>
              <w:divBdr>
                <w:top w:val="none" w:sz="0" w:space="0" w:color="auto"/>
                <w:left w:val="none" w:sz="0" w:space="0" w:color="auto"/>
                <w:bottom w:val="none" w:sz="0" w:space="0" w:color="auto"/>
                <w:right w:val="none" w:sz="0" w:space="0" w:color="auto"/>
              </w:divBdr>
              <w:divsChild>
                <w:div w:id="1401754439">
                  <w:marLeft w:val="0"/>
                  <w:marRight w:val="0"/>
                  <w:marTop w:val="0"/>
                  <w:marBottom w:val="0"/>
                  <w:divBdr>
                    <w:top w:val="none" w:sz="0" w:space="0" w:color="auto"/>
                    <w:left w:val="none" w:sz="0" w:space="0" w:color="auto"/>
                    <w:bottom w:val="none" w:sz="0" w:space="0" w:color="auto"/>
                    <w:right w:val="none" w:sz="0" w:space="0" w:color="auto"/>
                  </w:divBdr>
                </w:div>
              </w:divsChild>
            </w:div>
            <w:div w:id="925579568">
              <w:marLeft w:val="0"/>
              <w:marRight w:val="0"/>
              <w:marTop w:val="0"/>
              <w:marBottom w:val="0"/>
              <w:divBdr>
                <w:top w:val="none" w:sz="0" w:space="0" w:color="auto"/>
                <w:left w:val="none" w:sz="0" w:space="0" w:color="auto"/>
                <w:bottom w:val="none" w:sz="0" w:space="0" w:color="auto"/>
                <w:right w:val="none" w:sz="0" w:space="0" w:color="auto"/>
              </w:divBdr>
              <w:divsChild>
                <w:div w:id="340161709">
                  <w:marLeft w:val="0"/>
                  <w:marRight w:val="0"/>
                  <w:marTop w:val="0"/>
                  <w:marBottom w:val="0"/>
                  <w:divBdr>
                    <w:top w:val="none" w:sz="0" w:space="0" w:color="auto"/>
                    <w:left w:val="none" w:sz="0" w:space="0" w:color="auto"/>
                    <w:bottom w:val="none" w:sz="0" w:space="0" w:color="auto"/>
                    <w:right w:val="none" w:sz="0" w:space="0" w:color="auto"/>
                  </w:divBdr>
                </w:div>
              </w:divsChild>
            </w:div>
            <w:div w:id="1091244258">
              <w:marLeft w:val="0"/>
              <w:marRight w:val="0"/>
              <w:marTop w:val="0"/>
              <w:marBottom w:val="0"/>
              <w:divBdr>
                <w:top w:val="none" w:sz="0" w:space="0" w:color="auto"/>
                <w:left w:val="none" w:sz="0" w:space="0" w:color="auto"/>
                <w:bottom w:val="none" w:sz="0" w:space="0" w:color="auto"/>
                <w:right w:val="none" w:sz="0" w:space="0" w:color="auto"/>
              </w:divBdr>
              <w:divsChild>
                <w:div w:id="1859808155">
                  <w:marLeft w:val="0"/>
                  <w:marRight w:val="0"/>
                  <w:marTop w:val="0"/>
                  <w:marBottom w:val="0"/>
                  <w:divBdr>
                    <w:top w:val="none" w:sz="0" w:space="0" w:color="auto"/>
                    <w:left w:val="none" w:sz="0" w:space="0" w:color="auto"/>
                    <w:bottom w:val="none" w:sz="0" w:space="0" w:color="auto"/>
                    <w:right w:val="none" w:sz="0" w:space="0" w:color="auto"/>
                  </w:divBdr>
                </w:div>
              </w:divsChild>
            </w:div>
            <w:div w:id="1381323873">
              <w:marLeft w:val="0"/>
              <w:marRight w:val="0"/>
              <w:marTop w:val="0"/>
              <w:marBottom w:val="0"/>
              <w:divBdr>
                <w:top w:val="none" w:sz="0" w:space="0" w:color="auto"/>
                <w:left w:val="none" w:sz="0" w:space="0" w:color="auto"/>
                <w:bottom w:val="none" w:sz="0" w:space="0" w:color="auto"/>
                <w:right w:val="none" w:sz="0" w:space="0" w:color="auto"/>
              </w:divBdr>
              <w:divsChild>
                <w:div w:id="10787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0870">
          <w:marLeft w:val="0"/>
          <w:marRight w:val="0"/>
          <w:marTop w:val="0"/>
          <w:marBottom w:val="600"/>
          <w:divBdr>
            <w:top w:val="none" w:sz="0" w:space="0" w:color="auto"/>
            <w:left w:val="none" w:sz="0" w:space="0" w:color="auto"/>
            <w:bottom w:val="none" w:sz="0" w:space="0" w:color="auto"/>
            <w:right w:val="none" w:sz="0" w:space="0" w:color="auto"/>
          </w:divBdr>
        </w:div>
      </w:divsChild>
    </w:div>
    <w:div w:id="1311592138">
      <w:marLeft w:val="0"/>
      <w:marRight w:val="0"/>
      <w:marTop w:val="0"/>
      <w:marBottom w:val="0"/>
      <w:divBdr>
        <w:top w:val="none" w:sz="0" w:space="0" w:color="auto"/>
        <w:left w:val="none" w:sz="0" w:space="0" w:color="auto"/>
        <w:bottom w:val="none" w:sz="0" w:space="0" w:color="auto"/>
        <w:right w:val="none" w:sz="0" w:space="0" w:color="auto"/>
      </w:divBdr>
      <w:divsChild>
        <w:div w:id="2063139443">
          <w:marLeft w:val="0"/>
          <w:marRight w:val="0"/>
          <w:marTop w:val="432"/>
          <w:marBottom w:val="0"/>
          <w:divBdr>
            <w:top w:val="none" w:sz="0" w:space="0" w:color="auto"/>
            <w:left w:val="none" w:sz="0" w:space="0" w:color="auto"/>
            <w:bottom w:val="none" w:sz="0" w:space="0" w:color="auto"/>
            <w:right w:val="none" w:sz="0" w:space="0" w:color="auto"/>
          </w:divBdr>
        </w:div>
        <w:div w:id="113446551">
          <w:marLeft w:val="0"/>
          <w:marRight w:val="0"/>
          <w:marTop w:val="0"/>
          <w:marBottom w:val="0"/>
          <w:divBdr>
            <w:top w:val="none" w:sz="0" w:space="0" w:color="auto"/>
            <w:left w:val="none" w:sz="0" w:space="0" w:color="auto"/>
            <w:bottom w:val="none" w:sz="0" w:space="0" w:color="auto"/>
            <w:right w:val="none" w:sz="0" w:space="0" w:color="auto"/>
          </w:divBdr>
          <w:divsChild>
            <w:div w:id="1765760733">
              <w:marLeft w:val="0"/>
              <w:marRight w:val="0"/>
              <w:marTop w:val="0"/>
              <w:marBottom w:val="0"/>
              <w:divBdr>
                <w:top w:val="none" w:sz="0" w:space="0" w:color="auto"/>
                <w:left w:val="none" w:sz="0" w:space="0" w:color="auto"/>
                <w:bottom w:val="none" w:sz="0" w:space="0" w:color="auto"/>
                <w:right w:val="none" w:sz="0" w:space="0" w:color="auto"/>
              </w:divBdr>
              <w:divsChild>
                <w:div w:id="228077584">
                  <w:marLeft w:val="0"/>
                  <w:marRight w:val="0"/>
                  <w:marTop w:val="0"/>
                  <w:marBottom w:val="0"/>
                  <w:divBdr>
                    <w:top w:val="none" w:sz="0" w:space="0" w:color="auto"/>
                    <w:left w:val="none" w:sz="0" w:space="0" w:color="auto"/>
                    <w:bottom w:val="none" w:sz="0" w:space="0" w:color="auto"/>
                    <w:right w:val="none" w:sz="0" w:space="0" w:color="auto"/>
                  </w:divBdr>
                </w:div>
              </w:divsChild>
            </w:div>
            <w:div w:id="579562064">
              <w:marLeft w:val="0"/>
              <w:marRight w:val="0"/>
              <w:marTop w:val="0"/>
              <w:marBottom w:val="0"/>
              <w:divBdr>
                <w:top w:val="none" w:sz="0" w:space="0" w:color="auto"/>
                <w:left w:val="none" w:sz="0" w:space="0" w:color="auto"/>
                <w:bottom w:val="none" w:sz="0" w:space="0" w:color="auto"/>
                <w:right w:val="none" w:sz="0" w:space="0" w:color="auto"/>
              </w:divBdr>
              <w:divsChild>
                <w:div w:id="1993560668">
                  <w:marLeft w:val="0"/>
                  <w:marRight w:val="0"/>
                  <w:marTop w:val="0"/>
                  <w:marBottom w:val="0"/>
                  <w:divBdr>
                    <w:top w:val="none" w:sz="0" w:space="0" w:color="auto"/>
                    <w:left w:val="none" w:sz="0" w:space="0" w:color="auto"/>
                    <w:bottom w:val="none" w:sz="0" w:space="0" w:color="auto"/>
                    <w:right w:val="none" w:sz="0" w:space="0" w:color="auto"/>
                  </w:divBdr>
                </w:div>
              </w:divsChild>
            </w:div>
            <w:div w:id="379285399">
              <w:marLeft w:val="0"/>
              <w:marRight w:val="0"/>
              <w:marTop w:val="0"/>
              <w:marBottom w:val="0"/>
              <w:divBdr>
                <w:top w:val="none" w:sz="0" w:space="0" w:color="auto"/>
                <w:left w:val="none" w:sz="0" w:space="0" w:color="auto"/>
                <w:bottom w:val="none" w:sz="0" w:space="0" w:color="auto"/>
                <w:right w:val="none" w:sz="0" w:space="0" w:color="auto"/>
              </w:divBdr>
              <w:divsChild>
                <w:div w:id="488526114">
                  <w:marLeft w:val="0"/>
                  <w:marRight w:val="0"/>
                  <w:marTop w:val="0"/>
                  <w:marBottom w:val="0"/>
                  <w:divBdr>
                    <w:top w:val="none" w:sz="0" w:space="0" w:color="auto"/>
                    <w:left w:val="none" w:sz="0" w:space="0" w:color="auto"/>
                    <w:bottom w:val="none" w:sz="0" w:space="0" w:color="auto"/>
                    <w:right w:val="none" w:sz="0" w:space="0" w:color="auto"/>
                  </w:divBdr>
                </w:div>
              </w:divsChild>
            </w:div>
            <w:div w:id="58946843">
              <w:marLeft w:val="0"/>
              <w:marRight w:val="0"/>
              <w:marTop w:val="0"/>
              <w:marBottom w:val="0"/>
              <w:divBdr>
                <w:top w:val="none" w:sz="0" w:space="0" w:color="auto"/>
                <w:left w:val="none" w:sz="0" w:space="0" w:color="auto"/>
                <w:bottom w:val="none" w:sz="0" w:space="0" w:color="auto"/>
                <w:right w:val="none" w:sz="0" w:space="0" w:color="auto"/>
              </w:divBdr>
              <w:divsChild>
                <w:div w:id="500394732">
                  <w:marLeft w:val="0"/>
                  <w:marRight w:val="0"/>
                  <w:marTop w:val="0"/>
                  <w:marBottom w:val="0"/>
                  <w:divBdr>
                    <w:top w:val="none" w:sz="0" w:space="0" w:color="auto"/>
                    <w:left w:val="none" w:sz="0" w:space="0" w:color="auto"/>
                    <w:bottom w:val="none" w:sz="0" w:space="0" w:color="auto"/>
                    <w:right w:val="none" w:sz="0" w:space="0" w:color="auto"/>
                  </w:divBdr>
                </w:div>
              </w:divsChild>
            </w:div>
            <w:div w:id="1691955342">
              <w:marLeft w:val="0"/>
              <w:marRight w:val="0"/>
              <w:marTop w:val="0"/>
              <w:marBottom w:val="0"/>
              <w:divBdr>
                <w:top w:val="none" w:sz="0" w:space="0" w:color="auto"/>
                <w:left w:val="none" w:sz="0" w:space="0" w:color="auto"/>
                <w:bottom w:val="none" w:sz="0" w:space="0" w:color="auto"/>
                <w:right w:val="none" w:sz="0" w:space="0" w:color="auto"/>
              </w:divBdr>
              <w:divsChild>
                <w:div w:id="899907232">
                  <w:marLeft w:val="0"/>
                  <w:marRight w:val="0"/>
                  <w:marTop w:val="0"/>
                  <w:marBottom w:val="0"/>
                  <w:divBdr>
                    <w:top w:val="none" w:sz="0" w:space="0" w:color="auto"/>
                    <w:left w:val="none" w:sz="0" w:space="0" w:color="auto"/>
                    <w:bottom w:val="none" w:sz="0" w:space="0" w:color="auto"/>
                    <w:right w:val="none" w:sz="0" w:space="0" w:color="auto"/>
                  </w:divBdr>
                </w:div>
              </w:divsChild>
            </w:div>
            <w:div w:id="1251159929">
              <w:marLeft w:val="0"/>
              <w:marRight w:val="0"/>
              <w:marTop w:val="0"/>
              <w:marBottom w:val="0"/>
              <w:divBdr>
                <w:top w:val="none" w:sz="0" w:space="0" w:color="auto"/>
                <w:left w:val="none" w:sz="0" w:space="0" w:color="auto"/>
                <w:bottom w:val="none" w:sz="0" w:space="0" w:color="auto"/>
                <w:right w:val="none" w:sz="0" w:space="0" w:color="auto"/>
              </w:divBdr>
              <w:divsChild>
                <w:div w:id="1028801543">
                  <w:marLeft w:val="0"/>
                  <w:marRight w:val="0"/>
                  <w:marTop w:val="0"/>
                  <w:marBottom w:val="0"/>
                  <w:divBdr>
                    <w:top w:val="none" w:sz="0" w:space="0" w:color="auto"/>
                    <w:left w:val="none" w:sz="0" w:space="0" w:color="auto"/>
                    <w:bottom w:val="none" w:sz="0" w:space="0" w:color="auto"/>
                    <w:right w:val="none" w:sz="0" w:space="0" w:color="auto"/>
                  </w:divBdr>
                </w:div>
              </w:divsChild>
            </w:div>
            <w:div w:id="1709141262">
              <w:marLeft w:val="0"/>
              <w:marRight w:val="0"/>
              <w:marTop w:val="0"/>
              <w:marBottom w:val="0"/>
              <w:divBdr>
                <w:top w:val="none" w:sz="0" w:space="0" w:color="auto"/>
                <w:left w:val="none" w:sz="0" w:space="0" w:color="auto"/>
                <w:bottom w:val="none" w:sz="0" w:space="0" w:color="auto"/>
                <w:right w:val="none" w:sz="0" w:space="0" w:color="auto"/>
              </w:divBdr>
              <w:divsChild>
                <w:div w:id="1479958204">
                  <w:marLeft w:val="0"/>
                  <w:marRight w:val="0"/>
                  <w:marTop w:val="0"/>
                  <w:marBottom w:val="0"/>
                  <w:divBdr>
                    <w:top w:val="none" w:sz="0" w:space="0" w:color="auto"/>
                    <w:left w:val="none" w:sz="0" w:space="0" w:color="auto"/>
                    <w:bottom w:val="none" w:sz="0" w:space="0" w:color="auto"/>
                    <w:right w:val="none" w:sz="0" w:space="0" w:color="auto"/>
                  </w:divBdr>
                </w:div>
              </w:divsChild>
            </w:div>
            <w:div w:id="1625112844">
              <w:marLeft w:val="0"/>
              <w:marRight w:val="0"/>
              <w:marTop w:val="0"/>
              <w:marBottom w:val="0"/>
              <w:divBdr>
                <w:top w:val="none" w:sz="0" w:space="0" w:color="auto"/>
                <w:left w:val="none" w:sz="0" w:space="0" w:color="auto"/>
                <w:bottom w:val="none" w:sz="0" w:space="0" w:color="auto"/>
                <w:right w:val="none" w:sz="0" w:space="0" w:color="auto"/>
              </w:divBdr>
              <w:divsChild>
                <w:div w:id="1689091166">
                  <w:marLeft w:val="0"/>
                  <w:marRight w:val="0"/>
                  <w:marTop w:val="0"/>
                  <w:marBottom w:val="0"/>
                  <w:divBdr>
                    <w:top w:val="none" w:sz="0" w:space="0" w:color="auto"/>
                    <w:left w:val="none" w:sz="0" w:space="0" w:color="auto"/>
                    <w:bottom w:val="none" w:sz="0" w:space="0" w:color="auto"/>
                    <w:right w:val="none" w:sz="0" w:space="0" w:color="auto"/>
                  </w:divBdr>
                </w:div>
              </w:divsChild>
            </w:div>
            <w:div w:id="1335381079">
              <w:marLeft w:val="0"/>
              <w:marRight w:val="0"/>
              <w:marTop w:val="0"/>
              <w:marBottom w:val="0"/>
              <w:divBdr>
                <w:top w:val="none" w:sz="0" w:space="0" w:color="auto"/>
                <w:left w:val="none" w:sz="0" w:space="0" w:color="auto"/>
                <w:bottom w:val="none" w:sz="0" w:space="0" w:color="auto"/>
                <w:right w:val="none" w:sz="0" w:space="0" w:color="auto"/>
              </w:divBdr>
              <w:divsChild>
                <w:div w:id="1973368124">
                  <w:marLeft w:val="0"/>
                  <w:marRight w:val="0"/>
                  <w:marTop w:val="0"/>
                  <w:marBottom w:val="0"/>
                  <w:divBdr>
                    <w:top w:val="none" w:sz="0" w:space="0" w:color="auto"/>
                    <w:left w:val="none" w:sz="0" w:space="0" w:color="auto"/>
                    <w:bottom w:val="none" w:sz="0" w:space="0" w:color="auto"/>
                    <w:right w:val="none" w:sz="0" w:space="0" w:color="auto"/>
                  </w:divBdr>
                </w:div>
              </w:divsChild>
            </w:div>
            <w:div w:id="616835014">
              <w:marLeft w:val="0"/>
              <w:marRight w:val="0"/>
              <w:marTop w:val="0"/>
              <w:marBottom w:val="0"/>
              <w:divBdr>
                <w:top w:val="none" w:sz="0" w:space="0" w:color="auto"/>
                <w:left w:val="none" w:sz="0" w:space="0" w:color="auto"/>
                <w:bottom w:val="none" w:sz="0" w:space="0" w:color="auto"/>
                <w:right w:val="none" w:sz="0" w:space="0" w:color="auto"/>
              </w:divBdr>
              <w:divsChild>
                <w:div w:id="1163816959">
                  <w:marLeft w:val="0"/>
                  <w:marRight w:val="0"/>
                  <w:marTop w:val="0"/>
                  <w:marBottom w:val="0"/>
                  <w:divBdr>
                    <w:top w:val="none" w:sz="0" w:space="0" w:color="auto"/>
                    <w:left w:val="none" w:sz="0" w:space="0" w:color="auto"/>
                    <w:bottom w:val="none" w:sz="0" w:space="0" w:color="auto"/>
                    <w:right w:val="none" w:sz="0" w:space="0" w:color="auto"/>
                  </w:divBdr>
                </w:div>
              </w:divsChild>
            </w:div>
            <w:div w:id="1781099771">
              <w:marLeft w:val="0"/>
              <w:marRight w:val="0"/>
              <w:marTop w:val="0"/>
              <w:marBottom w:val="0"/>
              <w:divBdr>
                <w:top w:val="none" w:sz="0" w:space="0" w:color="auto"/>
                <w:left w:val="none" w:sz="0" w:space="0" w:color="auto"/>
                <w:bottom w:val="none" w:sz="0" w:space="0" w:color="auto"/>
                <w:right w:val="none" w:sz="0" w:space="0" w:color="auto"/>
              </w:divBdr>
              <w:divsChild>
                <w:div w:id="1716005703">
                  <w:marLeft w:val="0"/>
                  <w:marRight w:val="0"/>
                  <w:marTop w:val="0"/>
                  <w:marBottom w:val="0"/>
                  <w:divBdr>
                    <w:top w:val="none" w:sz="0" w:space="0" w:color="auto"/>
                    <w:left w:val="none" w:sz="0" w:space="0" w:color="auto"/>
                    <w:bottom w:val="none" w:sz="0" w:space="0" w:color="auto"/>
                    <w:right w:val="none" w:sz="0" w:space="0" w:color="auto"/>
                  </w:divBdr>
                </w:div>
              </w:divsChild>
            </w:div>
            <w:div w:id="774985183">
              <w:marLeft w:val="0"/>
              <w:marRight w:val="0"/>
              <w:marTop w:val="0"/>
              <w:marBottom w:val="0"/>
              <w:divBdr>
                <w:top w:val="none" w:sz="0" w:space="0" w:color="auto"/>
                <w:left w:val="none" w:sz="0" w:space="0" w:color="auto"/>
                <w:bottom w:val="none" w:sz="0" w:space="0" w:color="auto"/>
                <w:right w:val="none" w:sz="0" w:space="0" w:color="auto"/>
              </w:divBdr>
              <w:divsChild>
                <w:div w:id="2103453349">
                  <w:marLeft w:val="0"/>
                  <w:marRight w:val="0"/>
                  <w:marTop w:val="0"/>
                  <w:marBottom w:val="0"/>
                  <w:divBdr>
                    <w:top w:val="none" w:sz="0" w:space="0" w:color="auto"/>
                    <w:left w:val="none" w:sz="0" w:space="0" w:color="auto"/>
                    <w:bottom w:val="none" w:sz="0" w:space="0" w:color="auto"/>
                    <w:right w:val="none" w:sz="0" w:space="0" w:color="auto"/>
                  </w:divBdr>
                </w:div>
              </w:divsChild>
            </w:div>
            <w:div w:id="1891645122">
              <w:marLeft w:val="0"/>
              <w:marRight w:val="0"/>
              <w:marTop w:val="0"/>
              <w:marBottom w:val="0"/>
              <w:divBdr>
                <w:top w:val="none" w:sz="0" w:space="0" w:color="auto"/>
                <w:left w:val="none" w:sz="0" w:space="0" w:color="auto"/>
                <w:bottom w:val="none" w:sz="0" w:space="0" w:color="auto"/>
                <w:right w:val="none" w:sz="0" w:space="0" w:color="auto"/>
              </w:divBdr>
              <w:divsChild>
                <w:div w:id="18312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1202">
          <w:marLeft w:val="0"/>
          <w:marRight w:val="0"/>
          <w:marTop w:val="0"/>
          <w:marBottom w:val="600"/>
          <w:divBdr>
            <w:top w:val="none" w:sz="0" w:space="0" w:color="auto"/>
            <w:left w:val="none" w:sz="0" w:space="0" w:color="auto"/>
            <w:bottom w:val="none" w:sz="0" w:space="0" w:color="auto"/>
            <w:right w:val="none" w:sz="0" w:space="0" w:color="auto"/>
          </w:divBdr>
        </w:div>
      </w:divsChild>
    </w:div>
    <w:div w:id="1314914818">
      <w:marLeft w:val="0"/>
      <w:marRight w:val="0"/>
      <w:marTop w:val="0"/>
      <w:marBottom w:val="0"/>
      <w:divBdr>
        <w:top w:val="none" w:sz="0" w:space="0" w:color="auto"/>
        <w:left w:val="none" w:sz="0" w:space="0" w:color="auto"/>
        <w:bottom w:val="none" w:sz="0" w:space="0" w:color="auto"/>
        <w:right w:val="none" w:sz="0" w:space="0" w:color="auto"/>
      </w:divBdr>
      <w:divsChild>
        <w:div w:id="1793865644">
          <w:marLeft w:val="0"/>
          <w:marRight w:val="0"/>
          <w:marTop w:val="432"/>
          <w:marBottom w:val="0"/>
          <w:divBdr>
            <w:top w:val="none" w:sz="0" w:space="0" w:color="auto"/>
            <w:left w:val="none" w:sz="0" w:space="0" w:color="auto"/>
            <w:bottom w:val="none" w:sz="0" w:space="0" w:color="auto"/>
            <w:right w:val="none" w:sz="0" w:space="0" w:color="auto"/>
          </w:divBdr>
        </w:div>
        <w:div w:id="610358356">
          <w:marLeft w:val="0"/>
          <w:marRight w:val="0"/>
          <w:marTop w:val="0"/>
          <w:marBottom w:val="0"/>
          <w:divBdr>
            <w:top w:val="none" w:sz="0" w:space="0" w:color="auto"/>
            <w:left w:val="none" w:sz="0" w:space="0" w:color="auto"/>
            <w:bottom w:val="none" w:sz="0" w:space="0" w:color="auto"/>
            <w:right w:val="none" w:sz="0" w:space="0" w:color="auto"/>
          </w:divBdr>
          <w:divsChild>
            <w:div w:id="1403212973">
              <w:marLeft w:val="0"/>
              <w:marRight w:val="0"/>
              <w:marTop w:val="0"/>
              <w:marBottom w:val="0"/>
              <w:divBdr>
                <w:top w:val="none" w:sz="0" w:space="0" w:color="auto"/>
                <w:left w:val="none" w:sz="0" w:space="0" w:color="auto"/>
                <w:bottom w:val="none" w:sz="0" w:space="0" w:color="auto"/>
                <w:right w:val="none" w:sz="0" w:space="0" w:color="auto"/>
              </w:divBdr>
              <w:divsChild>
                <w:div w:id="1421681061">
                  <w:marLeft w:val="0"/>
                  <w:marRight w:val="0"/>
                  <w:marTop w:val="0"/>
                  <w:marBottom w:val="0"/>
                  <w:divBdr>
                    <w:top w:val="none" w:sz="0" w:space="0" w:color="auto"/>
                    <w:left w:val="none" w:sz="0" w:space="0" w:color="auto"/>
                    <w:bottom w:val="none" w:sz="0" w:space="0" w:color="auto"/>
                    <w:right w:val="none" w:sz="0" w:space="0" w:color="auto"/>
                  </w:divBdr>
                </w:div>
              </w:divsChild>
            </w:div>
            <w:div w:id="1525053282">
              <w:marLeft w:val="0"/>
              <w:marRight w:val="0"/>
              <w:marTop w:val="0"/>
              <w:marBottom w:val="0"/>
              <w:divBdr>
                <w:top w:val="none" w:sz="0" w:space="0" w:color="auto"/>
                <w:left w:val="none" w:sz="0" w:space="0" w:color="auto"/>
                <w:bottom w:val="none" w:sz="0" w:space="0" w:color="auto"/>
                <w:right w:val="none" w:sz="0" w:space="0" w:color="auto"/>
              </w:divBdr>
              <w:divsChild>
                <w:div w:id="544369550">
                  <w:marLeft w:val="0"/>
                  <w:marRight w:val="0"/>
                  <w:marTop w:val="0"/>
                  <w:marBottom w:val="0"/>
                  <w:divBdr>
                    <w:top w:val="none" w:sz="0" w:space="0" w:color="auto"/>
                    <w:left w:val="none" w:sz="0" w:space="0" w:color="auto"/>
                    <w:bottom w:val="none" w:sz="0" w:space="0" w:color="auto"/>
                    <w:right w:val="none" w:sz="0" w:space="0" w:color="auto"/>
                  </w:divBdr>
                </w:div>
              </w:divsChild>
            </w:div>
            <w:div w:id="1694957581">
              <w:marLeft w:val="0"/>
              <w:marRight w:val="0"/>
              <w:marTop w:val="0"/>
              <w:marBottom w:val="0"/>
              <w:divBdr>
                <w:top w:val="none" w:sz="0" w:space="0" w:color="auto"/>
                <w:left w:val="none" w:sz="0" w:space="0" w:color="auto"/>
                <w:bottom w:val="none" w:sz="0" w:space="0" w:color="auto"/>
                <w:right w:val="none" w:sz="0" w:space="0" w:color="auto"/>
              </w:divBdr>
              <w:divsChild>
                <w:div w:id="137919459">
                  <w:marLeft w:val="0"/>
                  <w:marRight w:val="0"/>
                  <w:marTop w:val="0"/>
                  <w:marBottom w:val="0"/>
                  <w:divBdr>
                    <w:top w:val="none" w:sz="0" w:space="0" w:color="auto"/>
                    <w:left w:val="none" w:sz="0" w:space="0" w:color="auto"/>
                    <w:bottom w:val="none" w:sz="0" w:space="0" w:color="auto"/>
                    <w:right w:val="none" w:sz="0" w:space="0" w:color="auto"/>
                  </w:divBdr>
                </w:div>
              </w:divsChild>
            </w:div>
            <w:div w:id="1189640769">
              <w:marLeft w:val="0"/>
              <w:marRight w:val="0"/>
              <w:marTop w:val="0"/>
              <w:marBottom w:val="0"/>
              <w:divBdr>
                <w:top w:val="none" w:sz="0" w:space="0" w:color="auto"/>
                <w:left w:val="none" w:sz="0" w:space="0" w:color="auto"/>
                <w:bottom w:val="none" w:sz="0" w:space="0" w:color="auto"/>
                <w:right w:val="none" w:sz="0" w:space="0" w:color="auto"/>
              </w:divBdr>
              <w:divsChild>
                <w:div w:id="2090347498">
                  <w:marLeft w:val="0"/>
                  <w:marRight w:val="0"/>
                  <w:marTop w:val="0"/>
                  <w:marBottom w:val="0"/>
                  <w:divBdr>
                    <w:top w:val="none" w:sz="0" w:space="0" w:color="auto"/>
                    <w:left w:val="none" w:sz="0" w:space="0" w:color="auto"/>
                    <w:bottom w:val="none" w:sz="0" w:space="0" w:color="auto"/>
                    <w:right w:val="none" w:sz="0" w:space="0" w:color="auto"/>
                  </w:divBdr>
                </w:div>
              </w:divsChild>
            </w:div>
            <w:div w:id="571739550">
              <w:marLeft w:val="0"/>
              <w:marRight w:val="0"/>
              <w:marTop w:val="0"/>
              <w:marBottom w:val="0"/>
              <w:divBdr>
                <w:top w:val="none" w:sz="0" w:space="0" w:color="auto"/>
                <w:left w:val="none" w:sz="0" w:space="0" w:color="auto"/>
                <w:bottom w:val="none" w:sz="0" w:space="0" w:color="auto"/>
                <w:right w:val="none" w:sz="0" w:space="0" w:color="auto"/>
              </w:divBdr>
              <w:divsChild>
                <w:div w:id="924800861">
                  <w:marLeft w:val="0"/>
                  <w:marRight w:val="0"/>
                  <w:marTop w:val="0"/>
                  <w:marBottom w:val="0"/>
                  <w:divBdr>
                    <w:top w:val="none" w:sz="0" w:space="0" w:color="auto"/>
                    <w:left w:val="none" w:sz="0" w:space="0" w:color="auto"/>
                    <w:bottom w:val="none" w:sz="0" w:space="0" w:color="auto"/>
                    <w:right w:val="none" w:sz="0" w:space="0" w:color="auto"/>
                  </w:divBdr>
                </w:div>
              </w:divsChild>
            </w:div>
            <w:div w:id="846024509">
              <w:marLeft w:val="0"/>
              <w:marRight w:val="0"/>
              <w:marTop w:val="0"/>
              <w:marBottom w:val="0"/>
              <w:divBdr>
                <w:top w:val="none" w:sz="0" w:space="0" w:color="auto"/>
                <w:left w:val="none" w:sz="0" w:space="0" w:color="auto"/>
                <w:bottom w:val="none" w:sz="0" w:space="0" w:color="auto"/>
                <w:right w:val="none" w:sz="0" w:space="0" w:color="auto"/>
              </w:divBdr>
              <w:divsChild>
                <w:div w:id="2015380022">
                  <w:marLeft w:val="0"/>
                  <w:marRight w:val="0"/>
                  <w:marTop w:val="0"/>
                  <w:marBottom w:val="0"/>
                  <w:divBdr>
                    <w:top w:val="none" w:sz="0" w:space="0" w:color="auto"/>
                    <w:left w:val="none" w:sz="0" w:space="0" w:color="auto"/>
                    <w:bottom w:val="none" w:sz="0" w:space="0" w:color="auto"/>
                    <w:right w:val="none" w:sz="0" w:space="0" w:color="auto"/>
                  </w:divBdr>
                </w:div>
              </w:divsChild>
            </w:div>
            <w:div w:id="864556326">
              <w:marLeft w:val="0"/>
              <w:marRight w:val="0"/>
              <w:marTop w:val="0"/>
              <w:marBottom w:val="0"/>
              <w:divBdr>
                <w:top w:val="none" w:sz="0" w:space="0" w:color="auto"/>
                <w:left w:val="none" w:sz="0" w:space="0" w:color="auto"/>
                <w:bottom w:val="none" w:sz="0" w:space="0" w:color="auto"/>
                <w:right w:val="none" w:sz="0" w:space="0" w:color="auto"/>
              </w:divBdr>
              <w:divsChild>
                <w:div w:id="13001740">
                  <w:marLeft w:val="0"/>
                  <w:marRight w:val="0"/>
                  <w:marTop w:val="0"/>
                  <w:marBottom w:val="0"/>
                  <w:divBdr>
                    <w:top w:val="none" w:sz="0" w:space="0" w:color="auto"/>
                    <w:left w:val="none" w:sz="0" w:space="0" w:color="auto"/>
                    <w:bottom w:val="none" w:sz="0" w:space="0" w:color="auto"/>
                    <w:right w:val="none" w:sz="0" w:space="0" w:color="auto"/>
                  </w:divBdr>
                </w:div>
              </w:divsChild>
            </w:div>
            <w:div w:id="1057701527">
              <w:marLeft w:val="0"/>
              <w:marRight w:val="0"/>
              <w:marTop w:val="0"/>
              <w:marBottom w:val="0"/>
              <w:divBdr>
                <w:top w:val="none" w:sz="0" w:space="0" w:color="auto"/>
                <w:left w:val="none" w:sz="0" w:space="0" w:color="auto"/>
                <w:bottom w:val="none" w:sz="0" w:space="0" w:color="auto"/>
                <w:right w:val="none" w:sz="0" w:space="0" w:color="auto"/>
              </w:divBdr>
              <w:divsChild>
                <w:div w:id="1807157777">
                  <w:marLeft w:val="0"/>
                  <w:marRight w:val="0"/>
                  <w:marTop w:val="0"/>
                  <w:marBottom w:val="0"/>
                  <w:divBdr>
                    <w:top w:val="none" w:sz="0" w:space="0" w:color="auto"/>
                    <w:left w:val="none" w:sz="0" w:space="0" w:color="auto"/>
                    <w:bottom w:val="none" w:sz="0" w:space="0" w:color="auto"/>
                    <w:right w:val="none" w:sz="0" w:space="0" w:color="auto"/>
                  </w:divBdr>
                </w:div>
              </w:divsChild>
            </w:div>
            <w:div w:id="544567255">
              <w:marLeft w:val="0"/>
              <w:marRight w:val="0"/>
              <w:marTop w:val="0"/>
              <w:marBottom w:val="0"/>
              <w:divBdr>
                <w:top w:val="none" w:sz="0" w:space="0" w:color="auto"/>
                <w:left w:val="none" w:sz="0" w:space="0" w:color="auto"/>
                <w:bottom w:val="none" w:sz="0" w:space="0" w:color="auto"/>
                <w:right w:val="none" w:sz="0" w:space="0" w:color="auto"/>
              </w:divBdr>
              <w:divsChild>
                <w:div w:id="840857139">
                  <w:marLeft w:val="0"/>
                  <w:marRight w:val="0"/>
                  <w:marTop w:val="0"/>
                  <w:marBottom w:val="0"/>
                  <w:divBdr>
                    <w:top w:val="none" w:sz="0" w:space="0" w:color="auto"/>
                    <w:left w:val="none" w:sz="0" w:space="0" w:color="auto"/>
                    <w:bottom w:val="none" w:sz="0" w:space="0" w:color="auto"/>
                    <w:right w:val="none" w:sz="0" w:space="0" w:color="auto"/>
                  </w:divBdr>
                </w:div>
              </w:divsChild>
            </w:div>
            <w:div w:id="821308051">
              <w:marLeft w:val="0"/>
              <w:marRight w:val="0"/>
              <w:marTop w:val="0"/>
              <w:marBottom w:val="0"/>
              <w:divBdr>
                <w:top w:val="none" w:sz="0" w:space="0" w:color="auto"/>
                <w:left w:val="none" w:sz="0" w:space="0" w:color="auto"/>
                <w:bottom w:val="none" w:sz="0" w:space="0" w:color="auto"/>
                <w:right w:val="none" w:sz="0" w:space="0" w:color="auto"/>
              </w:divBdr>
              <w:divsChild>
                <w:div w:id="1001927007">
                  <w:marLeft w:val="0"/>
                  <w:marRight w:val="0"/>
                  <w:marTop w:val="0"/>
                  <w:marBottom w:val="0"/>
                  <w:divBdr>
                    <w:top w:val="none" w:sz="0" w:space="0" w:color="auto"/>
                    <w:left w:val="none" w:sz="0" w:space="0" w:color="auto"/>
                    <w:bottom w:val="none" w:sz="0" w:space="0" w:color="auto"/>
                    <w:right w:val="none" w:sz="0" w:space="0" w:color="auto"/>
                  </w:divBdr>
                </w:div>
              </w:divsChild>
            </w:div>
            <w:div w:id="1283461019">
              <w:marLeft w:val="0"/>
              <w:marRight w:val="0"/>
              <w:marTop w:val="0"/>
              <w:marBottom w:val="0"/>
              <w:divBdr>
                <w:top w:val="none" w:sz="0" w:space="0" w:color="auto"/>
                <w:left w:val="none" w:sz="0" w:space="0" w:color="auto"/>
                <w:bottom w:val="none" w:sz="0" w:space="0" w:color="auto"/>
                <w:right w:val="none" w:sz="0" w:space="0" w:color="auto"/>
              </w:divBdr>
              <w:divsChild>
                <w:div w:id="1499417597">
                  <w:marLeft w:val="0"/>
                  <w:marRight w:val="0"/>
                  <w:marTop w:val="0"/>
                  <w:marBottom w:val="0"/>
                  <w:divBdr>
                    <w:top w:val="none" w:sz="0" w:space="0" w:color="auto"/>
                    <w:left w:val="none" w:sz="0" w:space="0" w:color="auto"/>
                    <w:bottom w:val="none" w:sz="0" w:space="0" w:color="auto"/>
                    <w:right w:val="none" w:sz="0" w:space="0" w:color="auto"/>
                  </w:divBdr>
                </w:div>
              </w:divsChild>
            </w:div>
            <w:div w:id="1519082754">
              <w:marLeft w:val="0"/>
              <w:marRight w:val="0"/>
              <w:marTop w:val="0"/>
              <w:marBottom w:val="0"/>
              <w:divBdr>
                <w:top w:val="none" w:sz="0" w:space="0" w:color="auto"/>
                <w:left w:val="none" w:sz="0" w:space="0" w:color="auto"/>
                <w:bottom w:val="none" w:sz="0" w:space="0" w:color="auto"/>
                <w:right w:val="none" w:sz="0" w:space="0" w:color="auto"/>
              </w:divBdr>
              <w:divsChild>
                <w:div w:id="1098138801">
                  <w:marLeft w:val="0"/>
                  <w:marRight w:val="0"/>
                  <w:marTop w:val="0"/>
                  <w:marBottom w:val="0"/>
                  <w:divBdr>
                    <w:top w:val="none" w:sz="0" w:space="0" w:color="auto"/>
                    <w:left w:val="none" w:sz="0" w:space="0" w:color="auto"/>
                    <w:bottom w:val="none" w:sz="0" w:space="0" w:color="auto"/>
                    <w:right w:val="none" w:sz="0" w:space="0" w:color="auto"/>
                  </w:divBdr>
                </w:div>
              </w:divsChild>
            </w:div>
            <w:div w:id="947853603">
              <w:marLeft w:val="0"/>
              <w:marRight w:val="0"/>
              <w:marTop w:val="0"/>
              <w:marBottom w:val="0"/>
              <w:divBdr>
                <w:top w:val="none" w:sz="0" w:space="0" w:color="auto"/>
                <w:left w:val="none" w:sz="0" w:space="0" w:color="auto"/>
                <w:bottom w:val="none" w:sz="0" w:space="0" w:color="auto"/>
                <w:right w:val="none" w:sz="0" w:space="0" w:color="auto"/>
              </w:divBdr>
              <w:divsChild>
                <w:div w:id="1278368939">
                  <w:marLeft w:val="0"/>
                  <w:marRight w:val="0"/>
                  <w:marTop w:val="0"/>
                  <w:marBottom w:val="0"/>
                  <w:divBdr>
                    <w:top w:val="none" w:sz="0" w:space="0" w:color="auto"/>
                    <w:left w:val="none" w:sz="0" w:space="0" w:color="auto"/>
                    <w:bottom w:val="none" w:sz="0" w:space="0" w:color="auto"/>
                    <w:right w:val="none" w:sz="0" w:space="0" w:color="auto"/>
                  </w:divBdr>
                </w:div>
              </w:divsChild>
            </w:div>
            <w:div w:id="479351668">
              <w:marLeft w:val="0"/>
              <w:marRight w:val="0"/>
              <w:marTop w:val="0"/>
              <w:marBottom w:val="0"/>
              <w:divBdr>
                <w:top w:val="none" w:sz="0" w:space="0" w:color="auto"/>
                <w:left w:val="none" w:sz="0" w:space="0" w:color="auto"/>
                <w:bottom w:val="none" w:sz="0" w:space="0" w:color="auto"/>
                <w:right w:val="none" w:sz="0" w:space="0" w:color="auto"/>
              </w:divBdr>
              <w:divsChild>
                <w:div w:id="1601644257">
                  <w:marLeft w:val="0"/>
                  <w:marRight w:val="0"/>
                  <w:marTop w:val="0"/>
                  <w:marBottom w:val="0"/>
                  <w:divBdr>
                    <w:top w:val="none" w:sz="0" w:space="0" w:color="auto"/>
                    <w:left w:val="none" w:sz="0" w:space="0" w:color="auto"/>
                    <w:bottom w:val="none" w:sz="0" w:space="0" w:color="auto"/>
                    <w:right w:val="none" w:sz="0" w:space="0" w:color="auto"/>
                  </w:divBdr>
                </w:div>
              </w:divsChild>
            </w:div>
            <w:div w:id="1799835800">
              <w:marLeft w:val="0"/>
              <w:marRight w:val="0"/>
              <w:marTop w:val="0"/>
              <w:marBottom w:val="0"/>
              <w:divBdr>
                <w:top w:val="none" w:sz="0" w:space="0" w:color="auto"/>
                <w:left w:val="none" w:sz="0" w:space="0" w:color="auto"/>
                <w:bottom w:val="none" w:sz="0" w:space="0" w:color="auto"/>
                <w:right w:val="none" w:sz="0" w:space="0" w:color="auto"/>
              </w:divBdr>
              <w:divsChild>
                <w:div w:id="840042856">
                  <w:marLeft w:val="0"/>
                  <w:marRight w:val="0"/>
                  <w:marTop w:val="0"/>
                  <w:marBottom w:val="0"/>
                  <w:divBdr>
                    <w:top w:val="none" w:sz="0" w:space="0" w:color="auto"/>
                    <w:left w:val="none" w:sz="0" w:space="0" w:color="auto"/>
                    <w:bottom w:val="none" w:sz="0" w:space="0" w:color="auto"/>
                    <w:right w:val="none" w:sz="0" w:space="0" w:color="auto"/>
                  </w:divBdr>
                </w:div>
              </w:divsChild>
            </w:div>
            <w:div w:id="1268125915">
              <w:marLeft w:val="0"/>
              <w:marRight w:val="0"/>
              <w:marTop w:val="0"/>
              <w:marBottom w:val="0"/>
              <w:divBdr>
                <w:top w:val="none" w:sz="0" w:space="0" w:color="auto"/>
                <w:left w:val="none" w:sz="0" w:space="0" w:color="auto"/>
                <w:bottom w:val="none" w:sz="0" w:space="0" w:color="auto"/>
                <w:right w:val="none" w:sz="0" w:space="0" w:color="auto"/>
              </w:divBdr>
              <w:divsChild>
                <w:div w:id="1977490669">
                  <w:marLeft w:val="0"/>
                  <w:marRight w:val="0"/>
                  <w:marTop w:val="0"/>
                  <w:marBottom w:val="0"/>
                  <w:divBdr>
                    <w:top w:val="none" w:sz="0" w:space="0" w:color="auto"/>
                    <w:left w:val="none" w:sz="0" w:space="0" w:color="auto"/>
                    <w:bottom w:val="none" w:sz="0" w:space="0" w:color="auto"/>
                    <w:right w:val="none" w:sz="0" w:space="0" w:color="auto"/>
                  </w:divBdr>
                </w:div>
              </w:divsChild>
            </w:div>
            <w:div w:id="2107115541">
              <w:marLeft w:val="0"/>
              <w:marRight w:val="0"/>
              <w:marTop w:val="0"/>
              <w:marBottom w:val="0"/>
              <w:divBdr>
                <w:top w:val="none" w:sz="0" w:space="0" w:color="auto"/>
                <w:left w:val="none" w:sz="0" w:space="0" w:color="auto"/>
                <w:bottom w:val="none" w:sz="0" w:space="0" w:color="auto"/>
                <w:right w:val="none" w:sz="0" w:space="0" w:color="auto"/>
              </w:divBdr>
              <w:divsChild>
                <w:div w:id="1073357726">
                  <w:marLeft w:val="0"/>
                  <w:marRight w:val="0"/>
                  <w:marTop w:val="0"/>
                  <w:marBottom w:val="0"/>
                  <w:divBdr>
                    <w:top w:val="none" w:sz="0" w:space="0" w:color="auto"/>
                    <w:left w:val="none" w:sz="0" w:space="0" w:color="auto"/>
                    <w:bottom w:val="none" w:sz="0" w:space="0" w:color="auto"/>
                    <w:right w:val="none" w:sz="0" w:space="0" w:color="auto"/>
                  </w:divBdr>
                </w:div>
              </w:divsChild>
            </w:div>
            <w:div w:id="602229790">
              <w:marLeft w:val="0"/>
              <w:marRight w:val="0"/>
              <w:marTop w:val="0"/>
              <w:marBottom w:val="0"/>
              <w:divBdr>
                <w:top w:val="none" w:sz="0" w:space="0" w:color="auto"/>
                <w:left w:val="none" w:sz="0" w:space="0" w:color="auto"/>
                <w:bottom w:val="none" w:sz="0" w:space="0" w:color="auto"/>
                <w:right w:val="none" w:sz="0" w:space="0" w:color="auto"/>
              </w:divBdr>
              <w:divsChild>
                <w:div w:id="505286658">
                  <w:marLeft w:val="0"/>
                  <w:marRight w:val="0"/>
                  <w:marTop w:val="0"/>
                  <w:marBottom w:val="0"/>
                  <w:divBdr>
                    <w:top w:val="none" w:sz="0" w:space="0" w:color="auto"/>
                    <w:left w:val="none" w:sz="0" w:space="0" w:color="auto"/>
                    <w:bottom w:val="none" w:sz="0" w:space="0" w:color="auto"/>
                    <w:right w:val="none" w:sz="0" w:space="0" w:color="auto"/>
                  </w:divBdr>
                </w:div>
              </w:divsChild>
            </w:div>
            <w:div w:id="724991336">
              <w:marLeft w:val="0"/>
              <w:marRight w:val="0"/>
              <w:marTop w:val="0"/>
              <w:marBottom w:val="0"/>
              <w:divBdr>
                <w:top w:val="none" w:sz="0" w:space="0" w:color="auto"/>
                <w:left w:val="none" w:sz="0" w:space="0" w:color="auto"/>
                <w:bottom w:val="none" w:sz="0" w:space="0" w:color="auto"/>
                <w:right w:val="none" w:sz="0" w:space="0" w:color="auto"/>
              </w:divBdr>
              <w:divsChild>
                <w:div w:id="1123887265">
                  <w:marLeft w:val="0"/>
                  <w:marRight w:val="0"/>
                  <w:marTop w:val="0"/>
                  <w:marBottom w:val="0"/>
                  <w:divBdr>
                    <w:top w:val="none" w:sz="0" w:space="0" w:color="auto"/>
                    <w:left w:val="none" w:sz="0" w:space="0" w:color="auto"/>
                    <w:bottom w:val="none" w:sz="0" w:space="0" w:color="auto"/>
                    <w:right w:val="none" w:sz="0" w:space="0" w:color="auto"/>
                  </w:divBdr>
                </w:div>
              </w:divsChild>
            </w:div>
            <w:div w:id="1680349139">
              <w:marLeft w:val="0"/>
              <w:marRight w:val="0"/>
              <w:marTop w:val="0"/>
              <w:marBottom w:val="0"/>
              <w:divBdr>
                <w:top w:val="none" w:sz="0" w:space="0" w:color="auto"/>
                <w:left w:val="none" w:sz="0" w:space="0" w:color="auto"/>
                <w:bottom w:val="none" w:sz="0" w:space="0" w:color="auto"/>
                <w:right w:val="none" w:sz="0" w:space="0" w:color="auto"/>
              </w:divBdr>
              <w:divsChild>
                <w:div w:id="1209027785">
                  <w:marLeft w:val="0"/>
                  <w:marRight w:val="0"/>
                  <w:marTop w:val="0"/>
                  <w:marBottom w:val="0"/>
                  <w:divBdr>
                    <w:top w:val="none" w:sz="0" w:space="0" w:color="auto"/>
                    <w:left w:val="none" w:sz="0" w:space="0" w:color="auto"/>
                    <w:bottom w:val="none" w:sz="0" w:space="0" w:color="auto"/>
                    <w:right w:val="none" w:sz="0" w:space="0" w:color="auto"/>
                  </w:divBdr>
                </w:div>
              </w:divsChild>
            </w:div>
            <w:div w:id="2781431">
              <w:marLeft w:val="0"/>
              <w:marRight w:val="0"/>
              <w:marTop w:val="0"/>
              <w:marBottom w:val="0"/>
              <w:divBdr>
                <w:top w:val="none" w:sz="0" w:space="0" w:color="auto"/>
                <w:left w:val="none" w:sz="0" w:space="0" w:color="auto"/>
                <w:bottom w:val="none" w:sz="0" w:space="0" w:color="auto"/>
                <w:right w:val="none" w:sz="0" w:space="0" w:color="auto"/>
              </w:divBdr>
              <w:divsChild>
                <w:div w:id="2027125525">
                  <w:marLeft w:val="0"/>
                  <w:marRight w:val="0"/>
                  <w:marTop w:val="0"/>
                  <w:marBottom w:val="0"/>
                  <w:divBdr>
                    <w:top w:val="none" w:sz="0" w:space="0" w:color="auto"/>
                    <w:left w:val="none" w:sz="0" w:space="0" w:color="auto"/>
                    <w:bottom w:val="none" w:sz="0" w:space="0" w:color="auto"/>
                    <w:right w:val="none" w:sz="0" w:space="0" w:color="auto"/>
                  </w:divBdr>
                </w:div>
              </w:divsChild>
            </w:div>
            <w:div w:id="1629817654">
              <w:marLeft w:val="0"/>
              <w:marRight w:val="0"/>
              <w:marTop w:val="0"/>
              <w:marBottom w:val="0"/>
              <w:divBdr>
                <w:top w:val="none" w:sz="0" w:space="0" w:color="auto"/>
                <w:left w:val="none" w:sz="0" w:space="0" w:color="auto"/>
                <w:bottom w:val="none" w:sz="0" w:space="0" w:color="auto"/>
                <w:right w:val="none" w:sz="0" w:space="0" w:color="auto"/>
              </w:divBdr>
              <w:divsChild>
                <w:div w:id="1600672876">
                  <w:marLeft w:val="0"/>
                  <w:marRight w:val="0"/>
                  <w:marTop w:val="0"/>
                  <w:marBottom w:val="0"/>
                  <w:divBdr>
                    <w:top w:val="none" w:sz="0" w:space="0" w:color="auto"/>
                    <w:left w:val="none" w:sz="0" w:space="0" w:color="auto"/>
                    <w:bottom w:val="none" w:sz="0" w:space="0" w:color="auto"/>
                    <w:right w:val="none" w:sz="0" w:space="0" w:color="auto"/>
                  </w:divBdr>
                </w:div>
              </w:divsChild>
            </w:div>
            <w:div w:id="870918970">
              <w:marLeft w:val="0"/>
              <w:marRight w:val="0"/>
              <w:marTop w:val="0"/>
              <w:marBottom w:val="0"/>
              <w:divBdr>
                <w:top w:val="none" w:sz="0" w:space="0" w:color="auto"/>
                <w:left w:val="none" w:sz="0" w:space="0" w:color="auto"/>
                <w:bottom w:val="none" w:sz="0" w:space="0" w:color="auto"/>
                <w:right w:val="none" w:sz="0" w:space="0" w:color="auto"/>
              </w:divBdr>
              <w:divsChild>
                <w:div w:id="573004851">
                  <w:marLeft w:val="0"/>
                  <w:marRight w:val="0"/>
                  <w:marTop w:val="0"/>
                  <w:marBottom w:val="0"/>
                  <w:divBdr>
                    <w:top w:val="none" w:sz="0" w:space="0" w:color="auto"/>
                    <w:left w:val="none" w:sz="0" w:space="0" w:color="auto"/>
                    <w:bottom w:val="none" w:sz="0" w:space="0" w:color="auto"/>
                    <w:right w:val="none" w:sz="0" w:space="0" w:color="auto"/>
                  </w:divBdr>
                </w:div>
              </w:divsChild>
            </w:div>
            <w:div w:id="2044091013">
              <w:marLeft w:val="0"/>
              <w:marRight w:val="0"/>
              <w:marTop w:val="0"/>
              <w:marBottom w:val="0"/>
              <w:divBdr>
                <w:top w:val="none" w:sz="0" w:space="0" w:color="auto"/>
                <w:left w:val="none" w:sz="0" w:space="0" w:color="auto"/>
                <w:bottom w:val="none" w:sz="0" w:space="0" w:color="auto"/>
                <w:right w:val="none" w:sz="0" w:space="0" w:color="auto"/>
              </w:divBdr>
              <w:divsChild>
                <w:div w:id="1839734579">
                  <w:marLeft w:val="0"/>
                  <w:marRight w:val="0"/>
                  <w:marTop w:val="0"/>
                  <w:marBottom w:val="0"/>
                  <w:divBdr>
                    <w:top w:val="none" w:sz="0" w:space="0" w:color="auto"/>
                    <w:left w:val="none" w:sz="0" w:space="0" w:color="auto"/>
                    <w:bottom w:val="none" w:sz="0" w:space="0" w:color="auto"/>
                    <w:right w:val="none" w:sz="0" w:space="0" w:color="auto"/>
                  </w:divBdr>
                </w:div>
              </w:divsChild>
            </w:div>
            <w:div w:id="647707011">
              <w:marLeft w:val="0"/>
              <w:marRight w:val="0"/>
              <w:marTop w:val="0"/>
              <w:marBottom w:val="0"/>
              <w:divBdr>
                <w:top w:val="none" w:sz="0" w:space="0" w:color="auto"/>
                <w:left w:val="none" w:sz="0" w:space="0" w:color="auto"/>
                <w:bottom w:val="none" w:sz="0" w:space="0" w:color="auto"/>
                <w:right w:val="none" w:sz="0" w:space="0" w:color="auto"/>
              </w:divBdr>
              <w:divsChild>
                <w:div w:id="1374500135">
                  <w:marLeft w:val="0"/>
                  <w:marRight w:val="0"/>
                  <w:marTop w:val="0"/>
                  <w:marBottom w:val="0"/>
                  <w:divBdr>
                    <w:top w:val="none" w:sz="0" w:space="0" w:color="auto"/>
                    <w:left w:val="none" w:sz="0" w:space="0" w:color="auto"/>
                    <w:bottom w:val="none" w:sz="0" w:space="0" w:color="auto"/>
                    <w:right w:val="none" w:sz="0" w:space="0" w:color="auto"/>
                  </w:divBdr>
                </w:div>
              </w:divsChild>
            </w:div>
            <w:div w:id="616065912">
              <w:marLeft w:val="0"/>
              <w:marRight w:val="0"/>
              <w:marTop w:val="0"/>
              <w:marBottom w:val="0"/>
              <w:divBdr>
                <w:top w:val="none" w:sz="0" w:space="0" w:color="auto"/>
                <w:left w:val="none" w:sz="0" w:space="0" w:color="auto"/>
                <w:bottom w:val="none" w:sz="0" w:space="0" w:color="auto"/>
                <w:right w:val="none" w:sz="0" w:space="0" w:color="auto"/>
              </w:divBdr>
              <w:divsChild>
                <w:div w:id="1880703305">
                  <w:marLeft w:val="0"/>
                  <w:marRight w:val="0"/>
                  <w:marTop w:val="0"/>
                  <w:marBottom w:val="0"/>
                  <w:divBdr>
                    <w:top w:val="none" w:sz="0" w:space="0" w:color="auto"/>
                    <w:left w:val="none" w:sz="0" w:space="0" w:color="auto"/>
                    <w:bottom w:val="none" w:sz="0" w:space="0" w:color="auto"/>
                    <w:right w:val="none" w:sz="0" w:space="0" w:color="auto"/>
                  </w:divBdr>
                </w:div>
              </w:divsChild>
            </w:div>
            <w:div w:id="68697494">
              <w:marLeft w:val="0"/>
              <w:marRight w:val="0"/>
              <w:marTop w:val="0"/>
              <w:marBottom w:val="0"/>
              <w:divBdr>
                <w:top w:val="none" w:sz="0" w:space="0" w:color="auto"/>
                <w:left w:val="none" w:sz="0" w:space="0" w:color="auto"/>
                <w:bottom w:val="none" w:sz="0" w:space="0" w:color="auto"/>
                <w:right w:val="none" w:sz="0" w:space="0" w:color="auto"/>
              </w:divBdr>
              <w:divsChild>
                <w:div w:id="2021160274">
                  <w:marLeft w:val="0"/>
                  <w:marRight w:val="0"/>
                  <w:marTop w:val="0"/>
                  <w:marBottom w:val="0"/>
                  <w:divBdr>
                    <w:top w:val="none" w:sz="0" w:space="0" w:color="auto"/>
                    <w:left w:val="none" w:sz="0" w:space="0" w:color="auto"/>
                    <w:bottom w:val="none" w:sz="0" w:space="0" w:color="auto"/>
                    <w:right w:val="none" w:sz="0" w:space="0" w:color="auto"/>
                  </w:divBdr>
                </w:div>
              </w:divsChild>
            </w:div>
            <w:div w:id="834295599">
              <w:marLeft w:val="0"/>
              <w:marRight w:val="0"/>
              <w:marTop w:val="0"/>
              <w:marBottom w:val="0"/>
              <w:divBdr>
                <w:top w:val="none" w:sz="0" w:space="0" w:color="auto"/>
                <w:left w:val="none" w:sz="0" w:space="0" w:color="auto"/>
                <w:bottom w:val="none" w:sz="0" w:space="0" w:color="auto"/>
                <w:right w:val="none" w:sz="0" w:space="0" w:color="auto"/>
              </w:divBdr>
              <w:divsChild>
                <w:div w:id="1080130346">
                  <w:marLeft w:val="0"/>
                  <w:marRight w:val="0"/>
                  <w:marTop w:val="0"/>
                  <w:marBottom w:val="0"/>
                  <w:divBdr>
                    <w:top w:val="none" w:sz="0" w:space="0" w:color="auto"/>
                    <w:left w:val="none" w:sz="0" w:space="0" w:color="auto"/>
                    <w:bottom w:val="none" w:sz="0" w:space="0" w:color="auto"/>
                    <w:right w:val="none" w:sz="0" w:space="0" w:color="auto"/>
                  </w:divBdr>
                </w:div>
              </w:divsChild>
            </w:div>
            <w:div w:id="1320185419">
              <w:marLeft w:val="0"/>
              <w:marRight w:val="0"/>
              <w:marTop w:val="0"/>
              <w:marBottom w:val="0"/>
              <w:divBdr>
                <w:top w:val="none" w:sz="0" w:space="0" w:color="auto"/>
                <w:left w:val="none" w:sz="0" w:space="0" w:color="auto"/>
                <w:bottom w:val="none" w:sz="0" w:space="0" w:color="auto"/>
                <w:right w:val="none" w:sz="0" w:space="0" w:color="auto"/>
              </w:divBdr>
              <w:divsChild>
                <w:div w:id="1364331546">
                  <w:marLeft w:val="0"/>
                  <w:marRight w:val="0"/>
                  <w:marTop w:val="0"/>
                  <w:marBottom w:val="0"/>
                  <w:divBdr>
                    <w:top w:val="none" w:sz="0" w:space="0" w:color="auto"/>
                    <w:left w:val="none" w:sz="0" w:space="0" w:color="auto"/>
                    <w:bottom w:val="none" w:sz="0" w:space="0" w:color="auto"/>
                    <w:right w:val="none" w:sz="0" w:space="0" w:color="auto"/>
                  </w:divBdr>
                </w:div>
              </w:divsChild>
            </w:div>
            <w:div w:id="2143771827">
              <w:marLeft w:val="0"/>
              <w:marRight w:val="0"/>
              <w:marTop w:val="0"/>
              <w:marBottom w:val="0"/>
              <w:divBdr>
                <w:top w:val="none" w:sz="0" w:space="0" w:color="auto"/>
                <w:left w:val="none" w:sz="0" w:space="0" w:color="auto"/>
                <w:bottom w:val="none" w:sz="0" w:space="0" w:color="auto"/>
                <w:right w:val="none" w:sz="0" w:space="0" w:color="auto"/>
              </w:divBdr>
              <w:divsChild>
                <w:div w:id="1353998680">
                  <w:marLeft w:val="0"/>
                  <w:marRight w:val="0"/>
                  <w:marTop w:val="0"/>
                  <w:marBottom w:val="0"/>
                  <w:divBdr>
                    <w:top w:val="none" w:sz="0" w:space="0" w:color="auto"/>
                    <w:left w:val="none" w:sz="0" w:space="0" w:color="auto"/>
                    <w:bottom w:val="none" w:sz="0" w:space="0" w:color="auto"/>
                    <w:right w:val="none" w:sz="0" w:space="0" w:color="auto"/>
                  </w:divBdr>
                </w:div>
              </w:divsChild>
            </w:div>
            <w:div w:id="1521166804">
              <w:marLeft w:val="0"/>
              <w:marRight w:val="0"/>
              <w:marTop w:val="0"/>
              <w:marBottom w:val="0"/>
              <w:divBdr>
                <w:top w:val="none" w:sz="0" w:space="0" w:color="auto"/>
                <w:left w:val="none" w:sz="0" w:space="0" w:color="auto"/>
                <w:bottom w:val="none" w:sz="0" w:space="0" w:color="auto"/>
                <w:right w:val="none" w:sz="0" w:space="0" w:color="auto"/>
              </w:divBdr>
              <w:divsChild>
                <w:div w:id="1931231873">
                  <w:marLeft w:val="0"/>
                  <w:marRight w:val="0"/>
                  <w:marTop w:val="0"/>
                  <w:marBottom w:val="0"/>
                  <w:divBdr>
                    <w:top w:val="none" w:sz="0" w:space="0" w:color="auto"/>
                    <w:left w:val="none" w:sz="0" w:space="0" w:color="auto"/>
                    <w:bottom w:val="none" w:sz="0" w:space="0" w:color="auto"/>
                    <w:right w:val="none" w:sz="0" w:space="0" w:color="auto"/>
                  </w:divBdr>
                </w:div>
              </w:divsChild>
            </w:div>
            <w:div w:id="1598951640">
              <w:marLeft w:val="0"/>
              <w:marRight w:val="0"/>
              <w:marTop w:val="0"/>
              <w:marBottom w:val="0"/>
              <w:divBdr>
                <w:top w:val="none" w:sz="0" w:space="0" w:color="auto"/>
                <w:left w:val="none" w:sz="0" w:space="0" w:color="auto"/>
                <w:bottom w:val="none" w:sz="0" w:space="0" w:color="auto"/>
                <w:right w:val="none" w:sz="0" w:space="0" w:color="auto"/>
              </w:divBdr>
              <w:divsChild>
                <w:div w:id="800656237">
                  <w:marLeft w:val="0"/>
                  <w:marRight w:val="0"/>
                  <w:marTop w:val="0"/>
                  <w:marBottom w:val="0"/>
                  <w:divBdr>
                    <w:top w:val="none" w:sz="0" w:space="0" w:color="auto"/>
                    <w:left w:val="none" w:sz="0" w:space="0" w:color="auto"/>
                    <w:bottom w:val="none" w:sz="0" w:space="0" w:color="auto"/>
                    <w:right w:val="none" w:sz="0" w:space="0" w:color="auto"/>
                  </w:divBdr>
                </w:div>
              </w:divsChild>
            </w:div>
            <w:div w:id="1391807583">
              <w:marLeft w:val="0"/>
              <w:marRight w:val="0"/>
              <w:marTop w:val="0"/>
              <w:marBottom w:val="0"/>
              <w:divBdr>
                <w:top w:val="none" w:sz="0" w:space="0" w:color="auto"/>
                <w:left w:val="none" w:sz="0" w:space="0" w:color="auto"/>
                <w:bottom w:val="none" w:sz="0" w:space="0" w:color="auto"/>
                <w:right w:val="none" w:sz="0" w:space="0" w:color="auto"/>
              </w:divBdr>
              <w:divsChild>
                <w:div w:id="1032223741">
                  <w:marLeft w:val="0"/>
                  <w:marRight w:val="0"/>
                  <w:marTop w:val="0"/>
                  <w:marBottom w:val="0"/>
                  <w:divBdr>
                    <w:top w:val="none" w:sz="0" w:space="0" w:color="auto"/>
                    <w:left w:val="none" w:sz="0" w:space="0" w:color="auto"/>
                    <w:bottom w:val="none" w:sz="0" w:space="0" w:color="auto"/>
                    <w:right w:val="none" w:sz="0" w:space="0" w:color="auto"/>
                  </w:divBdr>
                </w:div>
              </w:divsChild>
            </w:div>
            <w:div w:id="1196776098">
              <w:marLeft w:val="0"/>
              <w:marRight w:val="0"/>
              <w:marTop w:val="0"/>
              <w:marBottom w:val="0"/>
              <w:divBdr>
                <w:top w:val="none" w:sz="0" w:space="0" w:color="auto"/>
                <w:left w:val="none" w:sz="0" w:space="0" w:color="auto"/>
                <w:bottom w:val="none" w:sz="0" w:space="0" w:color="auto"/>
                <w:right w:val="none" w:sz="0" w:space="0" w:color="auto"/>
              </w:divBdr>
              <w:divsChild>
                <w:div w:id="1724206928">
                  <w:marLeft w:val="0"/>
                  <w:marRight w:val="0"/>
                  <w:marTop w:val="0"/>
                  <w:marBottom w:val="0"/>
                  <w:divBdr>
                    <w:top w:val="none" w:sz="0" w:space="0" w:color="auto"/>
                    <w:left w:val="none" w:sz="0" w:space="0" w:color="auto"/>
                    <w:bottom w:val="none" w:sz="0" w:space="0" w:color="auto"/>
                    <w:right w:val="none" w:sz="0" w:space="0" w:color="auto"/>
                  </w:divBdr>
                </w:div>
              </w:divsChild>
            </w:div>
            <w:div w:id="132985548">
              <w:marLeft w:val="0"/>
              <w:marRight w:val="0"/>
              <w:marTop w:val="0"/>
              <w:marBottom w:val="0"/>
              <w:divBdr>
                <w:top w:val="none" w:sz="0" w:space="0" w:color="auto"/>
                <w:left w:val="none" w:sz="0" w:space="0" w:color="auto"/>
                <w:bottom w:val="none" w:sz="0" w:space="0" w:color="auto"/>
                <w:right w:val="none" w:sz="0" w:space="0" w:color="auto"/>
              </w:divBdr>
              <w:divsChild>
                <w:div w:id="169950419">
                  <w:marLeft w:val="0"/>
                  <w:marRight w:val="0"/>
                  <w:marTop w:val="0"/>
                  <w:marBottom w:val="0"/>
                  <w:divBdr>
                    <w:top w:val="none" w:sz="0" w:space="0" w:color="auto"/>
                    <w:left w:val="none" w:sz="0" w:space="0" w:color="auto"/>
                    <w:bottom w:val="none" w:sz="0" w:space="0" w:color="auto"/>
                    <w:right w:val="none" w:sz="0" w:space="0" w:color="auto"/>
                  </w:divBdr>
                </w:div>
              </w:divsChild>
            </w:div>
            <w:div w:id="1311472743">
              <w:marLeft w:val="0"/>
              <w:marRight w:val="0"/>
              <w:marTop w:val="0"/>
              <w:marBottom w:val="0"/>
              <w:divBdr>
                <w:top w:val="none" w:sz="0" w:space="0" w:color="auto"/>
                <w:left w:val="none" w:sz="0" w:space="0" w:color="auto"/>
                <w:bottom w:val="none" w:sz="0" w:space="0" w:color="auto"/>
                <w:right w:val="none" w:sz="0" w:space="0" w:color="auto"/>
              </w:divBdr>
              <w:divsChild>
                <w:div w:id="1145313057">
                  <w:marLeft w:val="0"/>
                  <w:marRight w:val="0"/>
                  <w:marTop w:val="0"/>
                  <w:marBottom w:val="0"/>
                  <w:divBdr>
                    <w:top w:val="none" w:sz="0" w:space="0" w:color="auto"/>
                    <w:left w:val="none" w:sz="0" w:space="0" w:color="auto"/>
                    <w:bottom w:val="none" w:sz="0" w:space="0" w:color="auto"/>
                    <w:right w:val="none" w:sz="0" w:space="0" w:color="auto"/>
                  </w:divBdr>
                </w:div>
              </w:divsChild>
            </w:div>
            <w:div w:id="1124956817">
              <w:marLeft w:val="0"/>
              <w:marRight w:val="0"/>
              <w:marTop w:val="0"/>
              <w:marBottom w:val="0"/>
              <w:divBdr>
                <w:top w:val="none" w:sz="0" w:space="0" w:color="auto"/>
                <w:left w:val="none" w:sz="0" w:space="0" w:color="auto"/>
                <w:bottom w:val="none" w:sz="0" w:space="0" w:color="auto"/>
                <w:right w:val="none" w:sz="0" w:space="0" w:color="auto"/>
              </w:divBdr>
              <w:divsChild>
                <w:div w:id="761292859">
                  <w:marLeft w:val="0"/>
                  <w:marRight w:val="0"/>
                  <w:marTop w:val="0"/>
                  <w:marBottom w:val="0"/>
                  <w:divBdr>
                    <w:top w:val="none" w:sz="0" w:space="0" w:color="auto"/>
                    <w:left w:val="none" w:sz="0" w:space="0" w:color="auto"/>
                    <w:bottom w:val="none" w:sz="0" w:space="0" w:color="auto"/>
                    <w:right w:val="none" w:sz="0" w:space="0" w:color="auto"/>
                  </w:divBdr>
                </w:div>
              </w:divsChild>
            </w:div>
            <w:div w:id="211582947">
              <w:marLeft w:val="0"/>
              <w:marRight w:val="0"/>
              <w:marTop w:val="0"/>
              <w:marBottom w:val="0"/>
              <w:divBdr>
                <w:top w:val="none" w:sz="0" w:space="0" w:color="auto"/>
                <w:left w:val="none" w:sz="0" w:space="0" w:color="auto"/>
                <w:bottom w:val="none" w:sz="0" w:space="0" w:color="auto"/>
                <w:right w:val="none" w:sz="0" w:space="0" w:color="auto"/>
              </w:divBdr>
              <w:divsChild>
                <w:div w:id="1084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9269">
          <w:marLeft w:val="0"/>
          <w:marRight w:val="0"/>
          <w:marTop w:val="0"/>
          <w:marBottom w:val="600"/>
          <w:divBdr>
            <w:top w:val="none" w:sz="0" w:space="0" w:color="auto"/>
            <w:left w:val="none" w:sz="0" w:space="0" w:color="auto"/>
            <w:bottom w:val="none" w:sz="0" w:space="0" w:color="auto"/>
            <w:right w:val="none" w:sz="0" w:space="0" w:color="auto"/>
          </w:divBdr>
        </w:div>
      </w:divsChild>
    </w:div>
    <w:div w:id="1341200359">
      <w:marLeft w:val="0"/>
      <w:marRight w:val="0"/>
      <w:marTop w:val="0"/>
      <w:marBottom w:val="0"/>
      <w:divBdr>
        <w:top w:val="none" w:sz="0" w:space="0" w:color="auto"/>
        <w:left w:val="none" w:sz="0" w:space="0" w:color="auto"/>
        <w:bottom w:val="none" w:sz="0" w:space="0" w:color="auto"/>
        <w:right w:val="none" w:sz="0" w:space="0" w:color="auto"/>
      </w:divBdr>
      <w:divsChild>
        <w:div w:id="112723000">
          <w:marLeft w:val="0"/>
          <w:marRight w:val="0"/>
          <w:marTop w:val="432"/>
          <w:marBottom w:val="0"/>
          <w:divBdr>
            <w:top w:val="none" w:sz="0" w:space="0" w:color="auto"/>
            <w:left w:val="none" w:sz="0" w:space="0" w:color="auto"/>
            <w:bottom w:val="none" w:sz="0" w:space="0" w:color="auto"/>
            <w:right w:val="none" w:sz="0" w:space="0" w:color="auto"/>
          </w:divBdr>
        </w:div>
        <w:div w:id="688995647">
          <w:marLeft w:val="0"/>
          <w:marRight w:val="0"/>
          <w:marTop w:val="0"/>
          <w:marBottom w:val="0"/>
          <w:divBdr>
            <w:top w:val="none" w:sz="0" w:space="0" w:color="auto"/>
            <w:left w:val="none" w:sz="0" w:space="0" w:color="auto"/>
            <w:bottom w:val="none" w:sz="0" w:space="0" w:color="auto"/>
            <w:right w:val="none" w:sz="0" w:space="0" w:color="auto"/>
          </w:divBdr>
          <w:divsChild>
            <w:div w:id="2121217689">
              <w:marLeft w:val="0"/>
              <w:marRight w:val="0"/>
              <w:marTop w:val="0"/>
              <w:marBottom w:val="0"/>
              <w:divBdr>
                <w:top w:val="none" w:sz="0" w:space="0" w:color="auto"/>
                <w:left w:val="none" w:sz="0" w:space="0" w:color="auto"/>
                <w:bottom w:val="none" w:sz="0" w:space="0" w:color="auto"/>
                <w:right w:val="none" w:sz="0" w:space="0" w:color="auto"/>
              </w:divBdr>
              <w:divsChild>
                <w:div w:id="1651903539">
                  <w:marLeft w:val="0"/>
                  <w:marRight w:val="0"/>
                  <w:marTop w:val="0"/>
                  <w:marBottom w:val="0"/>
                  <w:divBdr>
                    <w:top w:val="none" w:sz="0" w:space="0" w:color="auto"/>
                    <w:left w:val="none" w:sz="0" w:space="0" w:color="auto"/>
                    <w:bottom w:val="none" w:sz="0" w:space="0" w:color="auto"/>
                    <w:right w:val="none" w:sz="0" w:space="0" w:color="auto"/>
                  </w:divBdr>
                </w:div>
              </w:divsChild>
            </w:div>
            <w:div w:id="270477407">
              <w:marLeft w:val="0"/>
              <w:marRight w:val="0"/>
              <w:marTop w:val="0"/>
              <w:marBottom w:val="0"/>
              <w:divBdr>
                <w:top w:val="none" w:sz="0" w:space="0" w:color="auto"/>
                <w:left w:val="none" w:sz="0" w:space="0" w:color="auto"/>
                <w:bottom w:val="none" w:sz="0" w:space="0" w:color="auto"/>
                <w:right w:val="none" w:sz="0" w:space="0" w:color="auto"/>
              </w:divBdr>
              <w:divsChild>
                <w:div w:id="622031280">
                  <w:marLeft w:val="0"/>
                  <w:marRight w:val="0"/>
                  <w:marTop w:val="0"/>
                  <w:marBottom w:val="0"/>
                  <w:divBdr>
                    <w:top w:val="none" w:sz="0" w:space="0" w:color="auto"/>
                    <w:left w:val="none" w:sz="0" w:space="0" w:color="auto"/>
                    <w:bottom w:val="none" w:sz="0" w:space="0" w:color="auto"/>
                    <w:right w:val="none" w:sz="0" w:space="0" w:color="auto"/>
                  </w:divBdr>
                </w:div>
              </w:divsChild>
            </w:div>
            <w:div w:id="888686548">
              <w:marLeft w:val="0"/>
              <w:marRight w:val="0"/>
              <w:marTop w:val="0"/>
              <w:marBottom w:val="0"/>
              <w:divBdr>
                <w:top w:val="none" w:sz="0" w:space="0" w:color="auto"/>
                <w:left w:val="none" w:sz="0" w:space="0" w:color="auto"/>
                <w:bottom w:val="none" w:sz="0" w:space="0" w:color="auto"/>
                <w:right w:val="none" w:sz="0" w:space="0" w:color="auto"/>
              </w:divBdr>
              <w:divsChild>
                <w:div w:id="1769544704">
                  <w:marLeft w:val="0"/>
                  <w:marRight w:val="0"/>
                  <w:marTop w:val="0"/>
                  <w:marBottom w:val="0"/>
                  <w:divBdr>
                    <w:top w:val="none" w:sz="0" w:space="0" w:color="auto"/>
                    <w:left w:val="none" w:sz="0" w:space="0" w:color="auto"/>
                    <w:bottom w:val="none" w:sz="0" w:space="0" w:color="auto"/>
                    <w:right w:val="none" w:sz="0" w:space="0" w:color="auto"/>
                  </w:divBdr>
                </w:div>
              </w:divsChild>
            </w:div>
            <w:div w:id="688723629">
              <w:marLeft w:val="0"/>
              <w:marRight w:val="0"/>
              <w:marTop w:val="0"/>
              <w:marBottom w:val="0"/>
              <w:divBdr>
                <w:top w:val="none" w:sz="0" w:space="0" w:color="auto"/>
                <w:left w:val="none" w:sz="0" w:space="0" w:color="auto"/>
                <w:bottom w:val="none" w:sz="0" w:space="0" w:color="auto"/>
                <w:right w:val="none" w:sz="0" w:space="0" w:color="auto"/>
              </w:divBdr>
              <w:divsChild>
                <w:div w:id="715860666">
                  <w:marLeft w:val="0"/>
                  <w:marRight w:val="0"/>
                  <w:marTop w:val="0"/>
                  <w:marBottom w:val="0"/>
                  <w:divBdr>
                    <w:top w:val="none" w:sz="0" w:space="0" w:color="auto"/>
                    <w:left w:val="none" w:sz="0" w:space="0" w:color="auto"/>
                    <w:bottom w:val="none" w:sz="0" w:space="0" w:color="auto"/>
                    <w:right w:val="none" w:sz="0" w:space="0" w:color="auto"/>
                  </w:divBdr>
                </w:div>
              </w:divsChild>
            </w:div>
            <w:div w:id="2138328982">
              <w:marLeft w:val="0"/>
              <w:marRight w:val="0"/>
              <w:marTop w:val="0"/>
              <w:marBottom w:val="0"/>
              <w:divBdr>
                <w:top w:val="none" w:sz="0" w:space="0" w:color="auto"/>
                <w:left w:val="none" w:sz="0" w:space="0" w:color="auto"/>
                <w:bottom w:val="none" w:sz="0" w:space="0" w:color="auto"/>
                <w:right w:val="none" w:sz="0" w:space="0" w:color="auto"/>
              </w:divBdr>
              <w:divsChild>
                <w:div w:id="8266377">
                  <w:marLeft w:val="0"/>
                  <w:marRight w:val="0"/>
                  <w:marTop w:val="0"/>
                  <w:marBottom w:val="0"/>
                  <w:divBdr>
                    <w:top w:val="none" w:sz="0" w:space="0" w:color="auto"/>
                    <w:left w:val="none" w:sz="0" w:space="0" w:color="auto"/>
                    <w:bottom w:val="none" w:sz="0" w:space="0" w:color="auto"/>
                    <w:right w:val="none" w:sz="0" w:space="0" w:color="auto"/>
                  </w:divBdr>
                </w:div>
              </w:divsChild>
            </w:div>
            <w:div w:id="1423524610">
              <w:marLeft w:val="0"/>
              <w:marRight w:val="0"/>
              <w:marTop w:val="0"/>
              <w:marBottom w:val="0"/>
              <w:divBdr>
                <w:top w:val="none" w:sz="0" w:space="0" w:color="auto"/>
                <w:left w:val="none" w:sz="0" w:space="0" w:color="auto"/>
                <w:bottom w:val="none" w:sz="0" w:space="0" w:color="auto"/>
                <w:right w:val="none" w:sz="0" w:space="0" w:color="auto"/>
              </w:divBdr>
              <w:divsChild>
                <w:div w:id="1429156236">
                  <w:marLeft w:val="0"/>
                  <w:marRight w:val="0"/>
                  <w:marTop w:val="0"/>
                  <w:marBottom w:val="0"/>
                  <w:divBdr>
                    <w:top w:val="none" w:sz="0" w:space="0" w:color="auto"/>
                    <w:left w:val="none" w:sz="0" w:space="0" w:color="auto"/>
                    <w:bottom w:val="none" w:sz="0" w:space="0" w:color="auto"/>
                    <w:right w:val="none" w:sz="0" w:space="0" w:color="auto"/>
                  </w:divBdr>
                </w:div>
              </w:divsChild>
            </w:div>
            <w:div w:id="283466156">
              <w:marLeft w:val="0"/>
              <w:marRight w:val="0"/>
              <w:marTop w:val="0"/>
              <w:marBottom w:val="0"/>
              <w:divBdr>
                <w:top w:val="none" w:sz="0" w:space="0" w:color="auto"/>
                <w:left w:val="none" w:sz="0" w:space="0" w:color="auto"/>
                <w:bottom w:val="none" w:sz="0" w:space="0" w:color="auto"/>
                <w:right w:val="none" w:sz="0" w:space="0" w:color="auto"/>
              </w:divBdr>
              <w:divsChild>
                <w:div w:id="9217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0758">
          <w:marLeft w:val="0"/>
          <w:marRight w:val="0"/>
          <w:marTop w:val="0"/>
          <w:marBottom w:val="600"/>
          <w:divBdr>
            <w:top w:val="none" w:sz="0" w:space="0" w:color="auto"/>
            <w:left w:val="none" w:sz="0" w:space="0" w:color="auto"/>
            <w:bottom w:val="none" w:sz="0" w:space="0" w:color="auto"/>
            <w:right w:val="none" w:sz="0" w:space="0" w:color="auto"/>
          </w:divBdr>
        </w:div>
      </w:divsChild>
    </w:div>
    <w:div w:id="1420717606">
      <w:marLeft w:val="0"/>
      <w:marRight w:val="0"/>
      <w:marTop w:val="0"/>
      <w:marBottom w:val="0"/>
      <w:divBdr>
        <w:top w:val="none" w:sz="0" w:space="0" w:color="auto"/>
        <w:left w:val="none" w:sz="0" w:space="0" w:color="auto"/>
        <w:bottom w:val="none" w:sz="0" w:space="0" w:color="auto"/>
        <w:right w:val="none" w:sz="0" w:space="0" w:color="auto"/>
      </w:divBdr>
      <w:divsChild>
        <w:div w:id="761796602">
          <w:marLeft w:val="0"/>
          <w:marRight w:val="0"/>
          <w:marTop w:val="432"/>
          <w:marBottom w:val="0"/>
          <w:divBdr>
            <w:top w:val="none" w:sz="0" w:space="0" w:color="auto"/>
            <w:left w:val="none" w:sz="0" w:space="0" w:color="auto"/>
            <w:bottom w:val="none" w:sz="0" w:space="0" w:color="auto"/>
            <w:right w:val="none" w:sz="0" w:space="0" w:color="auto"/>
          </w:divBdr>
        </w:div>
        <w:div w:id="1718507464">
          <w:marLeft w:val="0"/>
          <w:marRight w:val="0"/>
          <w:marTop w:val="0"/>
          <w:marBottom w:val="0"/>
          <w:divBdr>
            <w:top w:val="none" w:sz="0" w:space="0" w:color="auto"/>
            <w:left w:val="none" w:sz="0" w:space="0" w:color="auto"/>
            <w:bottom w:val="none" w:sz="0" w:space="0" w:color="auto"/>
            <w:right w:val="none" w:sz="0" w:space="0" w:color="auto"/>
          </w:divBdr>
        </w:div>
        <w:div w:id="1021667017">
          <w:marLeft w:val="0"/>
          <w:marRight w:val="0"/>
          <w:marTop w:val="0"/>
          <w:marBottom w:val="600"/>
          <w:divBdr>
            <w:top w:val="none" w:sz="0" w:space="0" w:color="auto"/>
            <w:left w:val="none" w:sz="0" w:space="0" w:color="auto"/>
            <w:bottom w:val="none" w:sz="0" w:space="0" w:color="auto"/>
            <w:right w:val="none" w:sz="0" w:space="0" w:color="auto"/>
          </w:divBdr>
        </w:div>
      </w:divsChild>
    </w:div>
    <w:div w:id="1463383404">
      <w:marLeft w:val="0"/>
      <w:marRight w:val="0"/>
      <w:marTop w:val="0"/>
      <w:marBottom w:val="0"/>
      <w:divBdr>
        <w:top w:val="none" w:sz="0" w:space="0" w:color="auto"/>
        <w:left w:val="none" w:sz="0" w:space="0" w:color="auto"/>
        <w:bottom w:val="none" w:sz="0" w:space="0" w:color="auto"/>
        <w:right w:val="none" w:sz="0" w:space="0" w:color="auto"/>
      </w:divBdr>
      <w:divsChild>
        <w:div w:id="1653213407">
          <w:marLeft w:val="0"/>
          <w:marRight w:val="0"/>
          <w:marTop w:val="432"/>
          <w:marBottom w:val="0"/>
          <w:divBdr>
            <w:top w:val="none" w:sz="0" w:space="0" w:color="auto"/>
            <w:left w:val="none" w:sz="0" w:space="0" w:color="auto"/>
            <w:bottom w:val="none" w:sz="0" w:space="0" w:color="auto"/>
            <w:right w:val="none" w:sz="0" w:space="0" w:color="auto"/>
          </w:divBdr>
        </w:div>
        <w:div w:id="2073429479">
          <w:marLeft w:val="0"/>
          <w:marRight w:val="0"/>
          <w:marTop w:val="0"/>
          <w:marBottom w:val="0"/>
          <w:divBdr>
            <w:top w:val="none" w:sz="0" w:space="0" w:color="auto"/>
            <w:left w:val="none" w:sz="0" w:space="0" w:color="auto"/>
            <w:bottom w:val="none" w:sz="0" w:space="0" w:color="auto"/>
            <w:right w:val="none" w:sz="0" w:space="0" w:color="auto"/>
          </w:divBdr>
          <w:divsChild>
            <w:div w:id="119108513">
              <w:marLeft w:val="0"/>
              <w:marRight w:val="0"/>
              <w:marTop w:val="0"/>
              <w:marBottom w:val="0"/>
              <w:divBdr>
                <w:top w:val="none" w:sz="0" w:space="0" w:color="auto"/>
                <w:left w:val="none" w:sz="0" w:space="0" w:color="auto"/>
                <w:bottom w:val="none" w:sz="0" w:space="0" w:color="auto"/>
                <w:right w:val="none" w:sz="0" w:space="0" w:color="auto"/>
              </w:divBdr>
              <w:divsChild>
                <w:div w:id="1458332155">
                  <w:marLeft w:val="0"/>
                  <w:marRight w:val="0"/>
                  <w:marTop w:val="0"/>
                  <w:marBottom w:val="0"/>
                  <w:divBdr>
                    <w:top w:val="none" w:sz="0" w:space="0" w:color="auto"/>
                    <w:left w:val="none" w:sz="0" w:space="0" w:color="auto"/>
                    <w:bottom w:val="none" w:sz="0" w:space="0" w:color="auto"/>
                    <w:right w:val="none" w:sz="0" w:space="0" w:color="auto"/>
                  </w:divBdr>
                </w:div>
              </w:divsChild>
            </w:div>
            <w:div w:id="1618095599">
              <w:marLeft w:val="0"/>
              <w:marRight w:val="0"/>
              <w:marTop w:val="0"/>
              <w:marBottom w:val="0"/>
              <w:divBdr>
                <w:top w:val="none" w:sz="0" w:space="0" w:color="auto"/>
                <w:left w:val="none" w:sz="0" w:space="0" w:color="auto"/>
                <w:bottom w:val="none" w:sz="0" w:space="0" w:color="auto"/>
                <w:right w:val="none" w:sz="0" w:space="0" w:color="auto"/>
              </w:divBdr>
              <w:divsChild>
                <w:div w:id="514999016">
                  <w:marLeft w:val="0"/>
                  <w:marRight w:val="0"/>
                  <w:marTop w:val="0"/>
                  <w:marBottom w:val="0"/>
                  <w:divBdr>
                    <w:top w:val="none" w:sz="0" w:space="0" w:color="auto"/>
                    <w:left w:val="none" w:sz="0" w:space="0" w:color="auto"/>
                    <w:bottom w:val="none" w:sz="0" w:space="0" w:color="auto"/>
                    <w:right w:val="none" w:sz="0" w:space="0" w:color="auto"/>
                  </w:divBdr>
                </w:div>
              </w:divsChild>
            </w:div>
            <w:div w:id="2009015798">
              <w:marLeft w:val="0"/>
              <w:marRight w:val="0"/>
              <w:marTop w:val="0"/>
              <w:marBottom w:val="0"/>
              <w:divBdr>
                <w:top w:val="none" w:sz="0" w:space="0" w:color="auto"/>
                <w:left w:val="none" w:sz="0" w:space="0" w:color="auto"/>
                <w:bottom w:val="none" w:sz="0" w:space="0" w:color="auto"/>
                <w:right w:val="none" w:sz="0" w:space="0" w:color="auto"/>
              </w:divBdr>
              <w:divsChild>
                <w:div w:id="1074813591">
                  <w:marLeft w:val="0"/>
                  <w:marRight w:val="0"/>
                  <w:marTop w:val="0"/>
                  <w:marBottom w:val="0"/>
                  <w:divBdr>
                    <w:top w:val="none" w:sz="0" w:space="0" w:color="auto"/>
                    <w:left w:val="none" w:sz="0" w:space="0" w:color="auto"/>
                    <w:bottom w:val="none" w:sz="0" w:space="0" w:color="auto"/>
                    <w:right w:val="none" w:sz="0" w:space="0" w:color="auto"/>
                  </w:divBdr>
                </w:div>
              </w:divsChild>
            </w:div>
            <w:div w:id="304815733">
              <w:marLeft w:val="0"/>
              <w:marRight w:val="0"/>
              <w:marTop w:val="0"/>
              <w:marBottom w:val="0"/>
              <w:divBdr>
                <w:top w:val="none" w:sz="0" w:space="0" w:color="auto"/>
                <w:left w:val="none" w:sz="0" w:space="0" w:color="auto"/>
                <w:bottom w:val="none" w:sz="0" w:space="0" w:color="auto"/>
                <w:right w:val="none" w:sz="0" w:space="0" w:color="auto"/>
              </w:divBdr>
              <w:divsChild>
                <w:div w:id="1622222204">
                  <w:marLeft w:val="0"/>
                  <w:marRight w:val="0"/>
                  <w:marTop w:val="0"/>
                  <w:marBottom w:val="0"/>
                  <w:divBdr>
                    <w:top w:val="none" w:sz="0" w:space="0" w:color="auto"/>
                    <w:left w:val="none" w:sz="0" w:space="0" w:color="auto"/>
                    <w:bottom w:val="none" w:sz="0" w:space="0" w:color="auto"/>
                    <w:right w:val="none" w:sz="0" w:space="0" w:color="auto"/>
                  </w:divBdr>
                </w:div>
              </w:divsChild>
            </w:div>
            <w:div w:id="1378436716">
              <w:marLeft w:val="0"/>
              <w:marRight w:val="0"/>
              <w:marTop w:val="0"/>
              <w:marBottom w:val="0"/>
              <w:divBdr>
                <w:top w:val="none" w:sz="0" w:space="0" w:color="auto"/>
                <w:left w:val="none" w:sz="0" w:space="0" w:color="auto"/>
                <w:bottom w:val="none" w:sz="0" w:space="0" w:color="auto"/>
                <w:right w:val="none" w:sz="0" w:space="0" w:color="auto"/>
              </w:divBdr>
              <w:divsChild>
                <w:div w:id="1996687603">
                  <w:marLeft w:val="0"/>
                  <w:marRight w:val="0"/>
                  <w:marTop w:val="0"/>
                  <w:marBottom w:val="0"/>
                  <w:divBdr>
                    <w:top w:val="none" w:sz="0" w:space="0" w:color="auto"/>
                    <w:left w:val="none" w:sz="0" w:space="0" w:color="auto"/>
                    <w:bottom w:val="none" w:sz="0" w:space="0" w:color="auto"/>
                    <w:right w:val="none" w:sz="0" w:space="0" w:color="auto"/>
                  </w:divBdr>
                </w:div>
              </w:divsChild>
            </w:div>
            <w:div w:id="743797089">
              <w:marLeft w:val="0"/>
              <w:marRight w:val="0"/>
              <w:marTop w:val="0"/>
              <w:marBottom w:val="0"/>
              <w:divBdr>
                <w:top w:val="none" w:sz="0" w:space="0" w:color="auto"/>
                <w:left w:val="none" w:sz="0" w:space="0" w:color="auto"/>
                <w:bottom w:val="none" w:sz="0" w:space="0" w:color="auto"/>
                <w:right w:val="none" w:sz="0" w:space="0" w:color="auto"/>
              </w:divBdr>
              <w:divsChild>
                <w:div w:id="1066148160">
                  <w:marLeft w:val="0"/>
                  <w:marRight w:val="0"/>
                  <w:marTop w:val="0"/>
                  <w:marBottom w:val="0"/>
                  <w:divBdr>
                    <w:top w:val="none" w:sz="0" w:space="0" w:color="auto"/>
                    <w:left w:val="none" w:sz="0" w:space="0" w:color="auto"/>
                    <w:bottom w:val="none" w:sz="0" w:space="0" w:color="auto"/>
                    <w:right w:val="none" w:sz="0" w:space="0" w:color="auto"/>
                  </w:divBdr>
                </w:div>
              </w:divsChild>
            </w:div>
            <w:div w:id="632715236">
              <w:marLeft w:val="0"/>
              <w:marRight w:val="0"/>
              <w:marTop w:val="0"/>
              <w:marBottom w:val="0"/>
              <w:divBdr>
                <w:top w:val="none" w:sz="0" w:space="0" w:color="auto"/>
                <w:left w:val="none" w:sz="0" w:space="0" w:color="auto"/>
                <w:bottom w:val="none" w:sz="0" w:space="0" w:color="auto"/>
                <w:right w:val="none" w:sz="0" w:space="0" w:color="auto"/>
              </w:divBdr>
              <w:divsChild>
                <w:div w:id="1177161373">
                  <w:marLeft w:val="0"/>
                  <w:marRight w:val="0"/>
                  <w:marTop w:val="0"/>
                  <w:marBottom w:val="0"/>
                  <w:divBdr>
                    <w:top w:val="none" w:sz="0" w:space="0" w:color="auto"/>
                    <w:left w:val="none" w:sz="0" w:space="0" w:color="auto"/>
                    <w:bottom w:val="none" w:sz="0" w:space="0" w:color="auto"/>
                    <w:right w:val="none" w:sz="0" w:space="0" w:color="auto"/>
                  </w:divBdr>
                </w:div>
              </w:divsChild>
            </w:div>
            <w:div w:id="723797964">
              <w:marLeft w:val="0"/>
              <w:marRight w:val="0"/>
              <w:marTop w:val="0"/>
              <w:marBottom w:val="0"/>
              <w:divBdr>
                <w:top w:val="none" w:sz="0" w:space="0" w:color="auto"/>
                <w:left w:val="none" w:sz="0" w:space="0" w:color="auto"/>
                <w:bottom w:val="none" w:sz="0" w:space="0" w:color="auto"/>
                <w:right w:val="none" w:sz="0" w:space="0" w:color="auto"/>
              </w:divBdr>
              <w:divsChild>
                <w:div w:id="254556795">
                  <w:marLeft w:val="0"/>
                  <w:marRight w:val="0"/>
                  <w:marTop w:val="0"/>
                  <w:marBottom w:val="0"/>
                  <w:divBdr>
                    <w:top w:val="none" w:sz="0" w:space="0" w:color="auto"/>
                    <w:left w:val="none" w:sz="0" w:space="0" w:color="auto"/>
                    <w:bottom w:val="none" w:sz="0" w:space="0" w:color="auto"/>
                    <w:right w:val="none" w:sz="0" w:space="0" w:color="auto"/>
                  </w:divBdr>
                </w:div>
              </w:divsChild>
            </w:div>
            <w:div w:id="937638503">
              <w:marLeft w:val="0"/>
              <w:marRight w:val="0"/>
              <w:marTop w:val="0"/>
              <w:marBottom w:val="0"/>
              <w:divBdr>
                <w:top w:val="none" w:sz="0" w:space="0" w:color="auto"/>
                <w:left w:val="none" w:sz="0" w:space="0" w:color="auto"/>
                <w:bottom w:val="none" w:sz="0" w:space="0" w:color="auto"/>
                <w:right w:val="none" w:sz="0" w:space="0" w:color="auto"/>
              </w:divBdr>
              <w:divsChild>
                <w:div w:id="2069037681">
                  <w:marLeft w:val="0"/>
                  <w:marRight w:val="0"/>
                  <w:marTop w:val="0"/>
                  <w:marBottom w:val="0"/>
                  <w:divBdr>
                    <w:top w:val="none" w:sz="0" w:space="0" w:color="auto"/>
                    <w:left w:val="none" w:sz="0" w:space="0" w:color="auto"/>
                    <w:bottom w:val="none" w:sz="0" w:space="0" w:color="auto"/>
                    <w:right w:val="none" w:sz="0" w:space="0" w:color="auto"/>
                  </w:divBdr>
                </w:div>
              </w:divsChild>
            </w:div>
            <w:div w:id="156846407">
              <w:marLeft w:val="0"/>
              <w:marRight w:val="0"/>
              <w:marTop w:val="0"/>
              <w:marBottom w:val="0"/>
              <w:divBdr>
                <w:top w:val="none" w:sz="0" w:space="0" w:color="auto"/>
                <w:left w:val="none" w:sz="0" w:space="0" w:color="auto"/>
                <w:bottom w:val="none" w:sz="0" w:space="0" w:color="auto"/>
                <w:right w:val="none" w:sz="0" w:space="0" w:color="auto"/>
              </w:divBdr>
              <w:divsChild>
                <w:div w:id="712920590">
                  <w:marLeft w:val="0"/>
                  <w:marRight w:val="0"/>
                  <w:marTop w:val="0"/>
                  <w:marBottom w:val="0"/>
                  <w:divBdr>
                    <w:top w:val="none" w:sz="0" w:space="0" w:color="auto"/>
                    <w:left w:val="none" w:sz="0" w:space="0" w:color="auto"/>
                    <w:bottom w:val="none" w:sz="0" w:space="0" w:color="auto"/>
                    <w:right w:val="none" w:sz="0" w:space="0" w:color="auto"/>
                  </w:divBdr>
                </w:div>
              </w:divsChild>
            </w:div>
            <w:div w:id="945388268">
              <w:marLeft w:val="0"/>
              <w:marRight w:val="0"/>
              <w:marTop w:val="0"/>
              <w:marBottom w:val="0"/>
              <w:divBdr>
                <w:top w:val="none" w:sz="0" w:space="0" w:color="auto"/>
                <w:left w:val="none" w:sz="0" w:space="0" w:color="auto"/>
                <w:bottom w:val="none" w:sz="0" w:space="0" w:color="auto"/>
                <w:right w:val="none" w:sz="0" w:space="0" w:color="auto"/>
              </w:divBdr>
              <w:divsChild>
                <w:div w:id="1484931048">
                  <w:marLeft w:val="0"/>
                  <w:marRight w:val="0"/>
                  <w:marTop w:val="0"/>
                  <w:marBottom w:val="0"/>
                  <w:divBdr>
                    <w:top w:val="none" w:sz="0" w:space="0" w:color="auto"/>
                    <w:left w:val="none" w:sz="0" w:space="0" w:color="auto"/>
                    <w:bottom w:val="none" w:sz="0" w:space="0" w:color="auto"/>
                    <w:right w:val="none" w:sz="0" w:space="0" w:color="auto"/>
                  </w:divBdr>
                </w:div>
              </w:divsChild>
            </w:div>
            <w:div w:id="1916432475">
              <w:marLeft w:val="0"/>
              <w:marRight w:val="0"/>
              <w:marTop w:val="0"/>
              <w:marBottom w:val="0"/>
              <w:divBdr>
                <w:top w:val="none" w:sz="0" w:space="0" w:color="auto"/>
                <w:left w:val="none" w:sz="0" w:space="0" w:color="auto"/>
                <w:bottom w:val="none" w:sz="0" w:space="0" w:color="auto"/>
                <w:right w:val="none" w:sz="0" w:space="0" w:color="auto"/>
              </w:divBdr>
              <w:divsChild>
                <w:div w:id="1674914318">
                  <w:marLeft w:val="0"/>
                  <w:marRight w:val="0"/>
                  <w:marTop w:val="0"/>
                  <w:marBottom w:val="0"/>
                  <w:divBdr>
                    <w:top w:val="none" w:sz="0" w:space="0" w:color="auto"/>
                    <w:left w:val="none" w:sz="0" w:space="0" w:color="auto"/>
                    <w:bottom w:val="none" w:sz="0" w:space="0" w:color="auto"/>
                    <w:right w:val="none" w:sz="0" w:space="0" w:color="auto"/>
                  </w:divBdr>
                </w:div>
              </w:divsChild>
            </w:div>
            <w:div w:id="471170320">
              <w:marLeft w:val="0"/>
              <w:marRight w:val="0"/>
              <w:marTop w:val="0"/>
              <w:marBottom w:val="0"/>
              <w:divBdr>
                <w:top w:val="none" w:sz="0" w:space="0" w:color="auto"/>
                <w:left w:val="none" w:sz="0" w:space="0" w:color="auto"/>
                <w:bottom w:val="none" w:sz="0" w:space="0" w:color="auto"/>
                <w:right w:val="none" w:sz="0" w:space="0" w:color="auto"/>
              </w:divBdr>
              <w:divsChild>
                <w:div w:id="2398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075">
          <w:marLeft w:val="0"/>
          <w:marRight w:val="0"/>
          <w:marTop w:val="0"/>
          <w:marBottom w:val="600"/>
          <w:divBdr>
            <w:top w:val="none" w:sz="0" w:space="0" w:color="auto"/>
            <w:left w:val="none" w:sz="0" w:space="0" w:color="auto"/>
            <w:bottom w:val="none" w:sz="0" w:space="0" w:color="auto"/>
            <w:right w:val="none" w:sz="0" w:space="0" w:color="auto"/>
          </w:divBdr>
        </w:div>
      </w:divsChild>
    </w:div>
    <w:div w:id="1513379527">
      <w:marLeft w:val="0"/>
      <w:marRight w:val="0"/>
      <w:marTop w:val="0"/>
      <w:marBottom w:val="0"/>
      <w:divBdr>
        <w:top w:val="none" w:sz="0" w:space="0" w:color="auto"/>
        <w:left w:val="none" w:sz="0" w:space="0" w:color="auto"/>
        <w:bottom w:val="none" w:sz="0" w:space="0" w:color="auto"/>
        <w:right w:val="none" w:sz="0" w:space="0" w:color="auto"/>
      </w:divBdr>
      <w:divsChild>
        <w:div w:id="1061755399">
          <w:marLeft w:val="0"/>
          <w:marRight w:val="0"/>
          <w:marTop w:val="432"/>
          <w:marBottom w:val="0"/>
          <w:divBdr>
            <w:top w:val="none" w:sz="0" w:space="0" w:color="auto"/>
            <w:left w:val="none" w:sz="0" w:space="0" w:color="auto"/>
            <w:bottom w:val="none" w:sz="0" w:space="0" w:color="auto"/>
            <w:right w:val="none" w:sz="0" w:space="0" w:color="auto"/>
          </w:divBdr>
        </w:div>
        <w:div w:id="87652834">
          <w:marLeft w:val="0"/>
          <w:marRight w:val="0"/>
          <w:marTop w:val="0"/>
          <w:marBottom w:val="0"/>
          <w:divBdr>
            <w:top w:val="none" w:sz="0" w:space="0" w:color="auto"/>
            <w:left w:val="none" w:sz="0" w:space="0" w:color="auto"/>
            <w:bottom w:val="none" w:sz="0" w:space="0" w:color="auto"/>
            <w:right w:val="none" w:sz="0" w:space="0" w:color="auto"/>
          </w:divBdr>
        </w:div>
        <w:div w:id="2113696244">
          <w:marLeft w:val="0"/>
          <w:marRight w:val="0"/>
          <w:marTop w:val="0"/>
          <w:marBottom w:val="600"/>
          <w:divBdr>
            <w:top w:val="none" w:sz="0" w:space="0" w:color="auto"/>
            <w:left w:val="none" w:sz="0" w:space="0" w:color="auto"/>
            <w:bottom w:val="none" w:sz="0" w:space="0" w:color="auto"/>
            <w:right w:val="none" w:sz="0" w:space="0" w:color="auto"/>
          </w:divBdr>
        </w:div>
      </w:divsChild>
    </w:div>
    <w:div w:id="1534612368">
      <w:marLeft w:val="0"/>
      <w:marRight w:val="0"/>
      <w:marTop w:val="0"/>
      <w:marBottom w:val="0"/>
      <w:divBdr>
        <w:top w:val="none" w:sz="0" w:space="0" w:color="auto"/>
        <w:left w:val="none" w:sz="0" w:space="0" w:color="auto"/>
        <w:bottom w:val="none" w:sz="0" w:space="0" w:color="auto"/>
        <w:right w:val="none" w:sz="0" w:space="0" w:color="auto"/>
      </w:divBdr>
      <w:divsChild>
        <w:div w:id="964312714">
          <w:marLeft w:val="0"/>
          <w:marRight w:val="0"/>
          <w:marTop w:val="432"/>
          <w:marBottom w:val="0"/>
          <w:divBdr>
            <w:top w:val="none" w:sz="0" w:space="0" w:color="auto"/>
            <w:left w:val="none" w:sz="0" w:space="0" w:color="auto"/>
            <w:bottom w:val="none" w:sz="0" w:space="0" w:color="auto"/>
            <w:right w:val="none" w:sz="0" w:space="0" w:color="auto"/>
          </w:divBdr>
        </w:div>
        <w:div w:id="1031876424">
          <w:marLeft w:val="0"/>
          <w:marRight w:val="0"/>
          <w:marTop w:val="0"/>
          <w:marBottom w:val="0"/>
          <w:divBdr>
            <w:top w:val="none" w:sz="0" w:space="0" w:color="auto"/>
            <w:left w:val="none" w:sz="0" w:space="0" w:color="auto"/>
            <w:bottom w:val="none" w:sz="0" w:space="0" w:color="auto"/>
            <w:right w:val="none" w:sz="0" w:space="0" w:color="auto"/>
          </w:divBdr>
        </w:div>
        <w:div w:id="1670058354">
          <w:marLeft w:val="0"/>
          <w:marRight w:val="0"/>
          <w:marTop w:val="0"/>
          <w:marBottom w:val="600"/>
          <w:divBdr>
            <w:top w:val="none" w:sz="0" w:space="0" w:color="auto"/>
            <w:left w:val="none" w:sz="0" w:space="0" w:color="auto"/>
            <w:bottom w:val="none" w:sz="0" w:space="0" w:color="auto"/>
            <w:right w:val="none" w:sz="0" w:space="0" w:color="auto"/>
          </w:divBdr>
        </w:div>
      </w:divsChild>
    </w:div>
    <w:div w:id="1555505929">
      <w:marLeft w:val="0"/>
      <w:marRight w:val="0"/>
      <w:marTop w:val="0"/>
      <w:marBottom w:val="0"/>
      <w:divBdr>
        <w:top w:val="none" w:sz="0" w:space="0" w:color="auto"/>
        <w:left w:val="none" w:sz="0" w:space="0" w:color="auto"/>
        <w:bottom w:val="none" w:sz="0" w:space="0" w:color="auto"/>
        <w:right w:val="none" w:sz="0" w:space="0" w:color="auto"/>
      </w:divBdr>
      <w:divsChild>
        <w:div w:id="2002007052">
          <w:marLeft w:val="0"/>
          <w:marRight w:val="0"/>
          <w:marTop w:val="432"/>
          <w:marBottom w:val="0"/>
          <w:divBdr>
            <w:top w:val="none" w:sz="0" w:space="0" w:color="auto"/>
            <w:left w:val="none" w:sz="0" w:space="0" w:color="auto"/>
            <w:bottom w:val="none" w:sz="0" w:space="0" w:color="auto"/>
            <w:right w:val="none" w:sz="0" w:space="0" w:color="auto"/>
          </w:divBdr>
        </w:div>
        <w:div w:id="942801917">
          <w:marLeft w:val="0"/>
          <w:marRight w:val="0"/>
          <w:marTop w:val="0"/>
          <w:marBottom w:val="0"/>
          <w:divBdr>
            <w:top w:val="none" w:sz="0" w:space="0" w:color="auto"/>
            <w:left w:val="none" w:sz="0" w:space="0" w:color="auto"/>
            <w:bottom w:val="none" w:sz="0" w:space="0" w:color="auto"/>
            <w:right w:val="none" w:sz="0" w:space="0" w:color="auto"/>
          </w:divBdr>
        </w:div>
        <w:div w:id="108206791">
          <w:marLeft w:val="0"/>
          <w:marRight w:val="0"/>
          <w:marTop w:val="0"/>
          <w:marBottom w:val="600"/>
          <w:divBdr>
            <w:top w:val="none" w:sz="0" w:space="0" w:color="auto"/>
            <w:left w:val="none" w:sz="0" w:space="0" w:color="auto"/>
            <w:bottom w:val="none" w:sz="0" w:space="0" w:color="auto"/>
            <w:right w:val="none" w:sz="0" w:space="0" w:color="auto"/>
          </w:divBdr>
        </w:div>
      </w:divsChild>
    </w:div>
    <w:div w:id="1635477636">
      <w:marLeft w:val="0"/>
      <w:marRight w:val="0"/>
      <w:marTop w:val="0"/>
      <w:marBottom w:val="0"/>
      <w:divBdr>
        <w:top w:val="none" w:sz="0" w:space="0" w:color="auto"/>
        <w:left w:val="none" w:sz="0" w:space="0" w:color="auto"/>
        <w:bottom w:val="none" w:sz="0" w:space="0" w:color="auto"/>
        <w:right w:val="none" w:sz="0" w:space="0" w:color="auto"/>
      </w:divBdr>
      <w:divsChild>
        <w:div w:id="772096575">
          <w:marLeft w:val="0"/>
          <w:marRight w:val="0"/>
          <w:marTop w:val="432"/>
          <w:marBottom w:val="0"/>
          <w:divBdr>
            <w:top w:val="none" w:sz="0" w:space="0" w:color="auto"/>
            <w:left w:val="none" w:sz="0" w:space="0" w:color="auto"/>
            <w:bottom w:val="none" w:sz="0" w:space="0" w:color="auto"/>
            <w:right w:val="none" w:sz="0" w:space="0" w:color="auto"/>
          </w:divBdr>
        </w:div>
        <w:div w:id="407505599">
          <w:marLeft w:val="0"/>
          <w:marRight w:val="0"/>
          <w:marTop w:val="0"/>
          <w:marBottom w:val="0"/>
          <w:divBdr>
            <w:top w:val="none" w:sz="0" w:space="0" w:color="auto"/>
            <w:left w:val="none" w:sz="0" w:space="0" w:color="auto"/>
            <w:bottom w:val="none" w:sz="0" w:space="0" w:color="auto"/>
            <w:right w:val="none" w:sz="0" w:space="0" w:color="auto"/>
          </w:divBdr>
        </w:div>
        <w:div w:id="1493258538">
          <w:marLeft w:val="0"/>
          <w:marRight w:val="0"/>
          <w:marTop w:val="0"/>
          <w:marBottom w:val="600"/>
          <w:divBdr>
            <w:top w:val="none" w:sz="0" w:space="0" w:color="auto"/>
            <w:left w:val="none" w:sz="0" w:space="0" w:color="auto"/>
            <w:bottom w:val="none" w:sz="0" w:space="0" w:color="auto"/>
            <w:right w:val="none" w:sz="0" w:space="0" w:color="auto"/>
          </w:divBdr>
        </w:div>
      </w:divsChild>
    </w:div>
    <w:div w:id="1670786250">
      <w:marLeft w:val="0"/>
      <w:marRight w:val="0"/>
      <w:marTop w:val="0"/>
      <w:marBottom w:val="0"/>
      <w:divBdr>
        <w:top w:val="none" w:sz="0" w:space="0" w:color="auto"/>
        <w:left w:val="none" w:sz="0" w:space="0" w:color="auto"/>
        <w:bottom w:val="none" w:sz="0" w:space="0" w:color="auto"/>
        <w:right w:val="none" w:sz="0" w:space="0" w:color="auto"/>
      </w:divBdr>
      <w:divsChild>
        <w:div w:id="1643073542">
          <w:marLeft w:val="0"/>
          <w:marRight w:val="0"/>
          <w:marTop w:val="432"/>
          <w:marBottom w:val="0"/>
          <w:divBdr>
            <w:top w:val="none" w:sz="0" w:space="0" w:color="auto"/>
            <w:left w:val="none" w:sz="0" w:space="0" w:color="auto"/>
            <w:bottom w:val="none" w:sz="0" w:space="0" w:color="auto"/>
            <w:right w:val="none" w:sz="0" w:space="0" w:color="auto"/>
          </w:divBdr>
        </w:div>
        <w:div w:id="431249092">
          <w:marLeft w:val="0"/>
          <w:marRight w:val="0"/>
          <w:marTop w:val="0"/>
          <w:marBottom w:val="0"/>
          <w:divBdr>
            <w:top w:val="none" w:sz="0" w:space="0" w:color="auto"/>
            <w:left w:val="none" w:sz="0" w:space="0" w:color="auto"/>
            <w:bottom w:val="none" w:sz="0" w:space="0" w:color="auto"/>
            <w:right w:val="none" w:sz="0" w:space="0" w:color="auto"/>
          </w:divBdr>
        </w:div>
        <w:div w:id="872883869">
          <w:marLeft w:val="0"/>
          <w:marRight w:val="0"/>
          <w:marTop w:val="0"/>
          <w:marBottom w:val="600"/>
          <w:divBdr>
            <w:top w:val="none" w:sz="0" w:space="0" w:color="auto"/>
            <w:left w:val="none" w:sz="0" w:space="0" w:color="auto"/>
            <w:bottom w:val="none" w:sz="0" w:space="0" w:color="auto"/>
            <w:right w:val="none" w:sz="0" w:space="0" w:color="auto"/>
          </w:divBdr>
        </w:div>
      </w:divsChild>
    </w:div>
    <w:div w:id="1693219538">
      <w:marLeft w:val="0"/>
      <w:marRight w:val="0"/>
      <w:marTop w:val="0"/>
      <w:marBottom w:val="0"/>
      <w:divBdr>
        <w:top w:val="none" w:sz="0" w:space="0" w:color="auto"/>
        <w:left w:val="none" w:sz="0" w:space="0" w:color="auto"/>
        <w:bottom w:val="none" w:sz="0" w:space="0" w:color="auto"/>
        <w:right w:val="none" w:sz="0" w:space="0" w:color="auto"/>
      </w:divBdr>
      <w:divsChild>
        <w:div w:id="29917074">
          <w:marLeft w:val="0"/>
          <w:marRight w:val="0"/>
          <w:marTop w:val="432"/>
          <w:marBottom w:val="0"/>
          <w:divBdr>
            <w:top w:val="none" w:sz="0" w:space="0" w:color="auto"/>
            <w:left w:val="none" w:sz="0" w:space="0" w:color="auto"/>
            <w:bottom w:val="none" w:sz="0" w:space="0" w:color="auto"/>
            <w:right w:val="none" w:sz="0" w:space="0" w:color="auto"/>
          </w:divBdr>
        </w:div>
        <w:div w:id="477261240">
          <w:marLeft w:val="0"/>
          <w:marRight w:val="0"/>
          <w:marTop w:val="0"/>
          <w:marBottom w:val="0"/>
          <w:divBdr>
            <w:top w:val="none" w:sz="0" w:space="0" w:color="auto"/>
            <w:left w:val="none" w:sz="0" w:space="0" w:color="auto"/>
            <w:bottom w:val="none" w:sz="0" w:space="0" w:color="auto"/>
            <w:right w:val="none" w:sz="0" w:space="0" w:color="auto"/>
          </w:divBdr>
          <w:divsChild>
            <w:div w:id="309022103">
              <w:marLeft w:val="0"/>
              <w:marRight w:val="0"/>
              <w:marTop w:val="0"/>
              <w:marBottom w:val="0"/>
              <w:divBdr>
                <w:top w:val="none" w:sz="0" w:space="0" w:color="auto"/>
                <w:left w:val="none" w:sz="0" w:space="0" w:color="auto"/>
                <w:bottom w:val="none" w:sz="0" w:space="0" w:color="auto"/>
                <w:right w:val="none" w:sz="0" w:space="0" w:color="auto"/>
              </w:divBdr>
              <w:divsChild>
                <w:div w:id="702095456">
                  <w:marLeft w:val="0"/>
                  <w:marRight w:val="0"/>
                  <w:marTop w:val="0"/>
                  <w:marBottom w:val="0"/>
                  <w:divBdr>
                    <w:top w:val="none" w:sz="0" w:space="0" w:color="auto"/>
                    <w:left w:val="none" w:sz="0" w:space="0" w:color="auto"/>
                    <w:bottom w:val="none" w:sz="0" w:space="0" w:color="auto"/>
                    <w:right w:val="none" w:sz="0" w:space="0" w:color="auto"/>
                  </w:divBdr>
                </w:div>
              </w:divsChild>
            </w:div>
            <w:div w:id="368649266">
              <w:marLeft w:val="0"/>
              <w:marRight w:val="0"/>
              <w:marTop w:val="0"/>
              <w:marBottom w:val="0"/>
              <w:divBdr>
                <w:top w:val="none" w:sz="0" w:space="0" w:color="auto"/>
                <w:left w:val="none" w:sz="0" w:space="0" w:color="auto"/>
                <w:bottom w:val="none" w:sz="0" w:space="0" w:color="auto"/>
                <w:right w:val="none" w:sz="0" w:space="0" w:color="auto"/>
              </w:divBdr>
              <w:divsChild>
                <w:div w:id="788015758">
                  <w:marLeft w:val="0"/>
                  <w:marRight w:val="0"/>
                  <w:marTop w:val="0"/>
                  <w:marBottom w:val="0"/>
                  <w:divBdr>
                    <w:top w:val="none" w:sz="0" w:space="0" w:color="auto"/>
                    <w:left w:val="none" w:sz="0" w:space="0" w:color="auto"/>
                    <w:bottom w:val="none" w:sz="0" w:space="0" w:color="auto"/>
                    <w:right w:val="none" w:sz="0" w:space="0" w:color="auto"/>
                  </w:divBdr>
                </w:div>
              </w:divsChild>
            </w:div>
            <w:div w:id="1285187734">
              <w:marLeft w:val="0"/>
              <w:marRight w:val="0"/>
              <w:marTop w:val="0"/>
              <w:marBottom w:val="0"/>
              <w:divBdr>
                <w:top w:val="none" w:sz="0" w:space="0" w:color="auto"/>
                <w:left w:val="none" w:sz="0" w:space="0" w:color="auto"/>
                <w:bottom w:val="none" w:sz="0" w:space="0" w:color="auto"/>
                <w:right w:val="none" w:sz="0" w:space="0" w:color="auto"/>
              </w:divBdr>
              <w:divsChild>
                <w:div w:id="313609407">
                  <w:marLeft w:val="0"/>
                  <w:marRight w:val="0"/>
                  <w:marTop w:val="0"/>
                  <w:marBottom w:val="0"/>
                  <w:divBdr>
                    <w:top w:val="none" w:sz="0" w:space="0" w:color="auto"/>
                    <w:left w:val="none" w:sz="0" w:space="0" w:color="auto"/>
                    <w:bottom w:val="none" w:sz="0" w:space="0" w:color="auto"/>
                    <w:right w:val="none" w:sz="0" w:space="0" w:color="auto"/>
                  </w:divBdr>
                </w:div>
              </w:divsChild>
            </w:div>
            <w:div w:id="1138188698">
              <w:marLeft w:val="0"/>
              <w:marRight w:val="0"/>
              <w:marTop w:val="0"/>
              <w:marBottom w:val="0"/>
              <w:divBdr>
                <w:top w:val="none" w:sz="0" w:space="0" w:color="auto"/>
                <w:left w:val="none" w:sz="0" w:space="0" w:color="auto"/>
                <w:bottom w:val="none" w:sz="0" w:space="0" w:color="auto"/>
                <w:right w:val="none" w:sz="0" w:space="0" w:color="auto"/>
              </w:divBdr>
              <w:divsChild>
                <w:div w:id="1706321235">
                  <w:marLeft w:val="0"/>
                  <w:marRight w:val="0"/>
                  <w:marTop w:val="0"/>
                  <w:marBottom w:val="0"/>
                  <w:divBdr>
                    <w:top w:val="none" w:sz="0" w:space="0" w:color="auto"/>
                    <w:left w:val="none" w:sz="0" w:space="0" w:color="auto"/>
                    <w:bottom w:val="none" w:sz="0" w:space="0" w:color="auto"/>
                    <w:right w:val="none" w:sz="0" w:space="0" w:color="auto"/>
                  </w:divBdr>
                </w:div>
              </w:divsChild>
            </w:div>
            <w:div w:id="791822442">
              <w:marLeft w:val="0"/>
              <w:marRight w:val="0"/>
              <w:marTop w:val="0"/>
              <w:marBottom w:val="0"/>
              <w:divBdr>
                <w:top w:val="none" w:sz="0" w:space="0" w:color="auto"/>
                <w:left w:val="none" w:sz="0" w:space="0" w:color="auto"/>
                <w:bottom w:val="none" w:sz="0" w:space="0" w:color="auto"/>
                <w:right w:val="none" w:sz="0" w:space="0" w:color="auto"/>
              </w:divBdr>
              <w:divsChild>
                <w:div w:id="1922829704">
                  <w:marLeft w:val="0"/>
                  <w:marRight w:val="0"/>
                  <w:marTop w:val="0"/>
                  <w:marBottom w:val="0"/>
                  <w:divBdr>
                    <w:top w:val="none" w:sz="0" w:space="0" w:color="auto"/>
                    <w:left w:val="none" w:sz="0" w:space="0" w:color="auto"/>
                    <w:bottom w:val="none" w:sz="0" w:space="0" w:color="auto"/>
                    <w:right w:val="none" w:sz="0" w:space="0" w:color="auto"/>
                  </w:divBdr>
                </w:div>
              </w:divsChild>
            </w:div>
            <w:div w:id="810438086">
              <w:marLeft w:val="0"/>
              <w:marRight w:val="0"/>
              <w:marTop w:val="0"/>
              <w:marBottom w:val="0"/>
              <w:divBdr>
                <w:top w:val="none" w:sz="0" w:space="0" w:color="auto"/>
                <w:left w:val="none" w:sz="0" w:space="0" w:color="auto"/>
                <w:bottom w:val="none" w:sz="0" w:space="0" w:color="auto"/>
                <w:right w:val="none" w:sz="0" w:space="0" w:color="auto"/>
              </w:divBdr>
              <w:divsChild>
                <w:div w:id="1177236325">
                  <w:marLeft w:val="0"/>
                  <w:marRight w:val="0"/>
                  <w:marTop w:val="0"/>
                  <w:marBottom w:val="0"/>
                  <w:divBdr>
                    <w:top w:val="none" w:sz="0" w:space="0" w:color="auto"/>
                    <w:left w:val="none" w:sz="0" w:space="0" w:color="auto"/>
                    <w:bottom w:val="none" w:sz="0" w:space="0" w:color="auto"/>
                    <w:right w:val="none" w:sz="0" w:space="0" w:color="auto"/>
                  </w:divBdr>
                </w:div>
              </w:divsChild>
            </w:div>
            <w:div w:id="904755691">
              <w:marLeft w:val="0"/>
              <w:marRight w:val="0"/>
              <w:marTop w:val="0"/>
              <w:marBottom w:val="0"/>
              <w:divBdr>
                <w:top w:val="none" w:sz="0" w:space="0" w:color="auto"/>
                <w:left w:val="none" w:sz="0" w:space="0" w:color="auto"/>
                <w:bottom w:val="none" w:sz="0" w:space="0" w:color="auto"/>
                <w:right w:val="none" w:sz="0" w:space="0" w:color="auto"/>
              </w:divBdr>
              <w:divsChild>
                <w:div w:id="13585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5279">
          <w:marLeft w:val="0"/>
          <w:marRight w:val="0"/>
          <w:marTop w:val="0"/>
          <w:marBottom w:val="600"/>
          <w:divBdr>
            <w:top w:val="none" w:sz="0" w:space="0" w:color="auto"/>
            <w:left w:val="none" w:sz="0" w:space="0" w:color="auto"/>
            <w:bottom w:val="none" w:sz="0" w:space="0" w:color="auto"/>
            <w:right w:val="none" w:sz="0" w:space="0" w:color="auto"/>
          </w:divBdr>
        </w:div>
      </w:divsChild>
    </w:div>
    <w:div w:id="1745180065">
      <w:marLeft w:val="0"/>
      <w:marRight w:val="0"/>
      <w:marTop w:val="0"/>
      <w:marBottom w:val="0"/>
      <w:divBdr>
        <w:top w:val="none" w:sz="0" w:space="0" w:color="auto"/>
        <w:left w:val="none" w:sz="0" w:space="0" w:color="auto"/>
        <w:bottom w:val="none" w:sz="0" w:space="0" w:color="auto"/>
        <w:right w:val="none" w:sz="0" w:space="0" w:color="auto"/>
      </w:divBdr>
      <w:divsChild>
        <w:div w:id="2089383774">
          <w:marLeft w:val="0"/>
          <w:marRight w:val="0"/>
          <w:marTop w:val="432"/>
          <w:marBottom w:val="0"/>
          <w:divBdr>
            <w:top w:val="none" w:sz="0" w:space="0" w:color="auto"/>
            <w:left w:val="none" w:sz="0" w:space="0" w:color="auto"/>
            <w:bottom w:val="none" w:sz="0" w:space="0" w:color="auto"/>
            <w:right w:val="none" w:sz="0" w:space="0" w:color="auto"/>
          </w:divBdr>
        </w:div>
        <w:div w:id="1785074079">
          <w:marLeft w:val="0"/>
          <w:marRight w:val="0"/>
          <w:marTop w:val="0"/>
          <w:marBottom w:val="0"/>
          <w:divBdr>
            <w:top w:val="none" w:sz="0" w:space="0" w:color="auto"/>
            <w:left w:val="none" w:sz="0" w:space="0" w:color="auto"/>
            <w:bottom w:val="none" w:sz="0" w:space="0" w:color="auto"/>
            <w:right w:val="none" w:sz="0" w:space="0" w:color="auto"/>
          </w:divBdr>
        </w:div>
        <w:div w:id="363135386">
          <w:marLeft w:val="0"/>
          <w:marRight w:val="0"/>
          <w:marTop w:val="0"/>
          <w:marBottom w:val="600"/>
          <w:divBdr>
            <w:top w:val="none" w:sz="0" w:space="0" w:color="auto"/>
            <w:left w:val="none" w:sz="0" w:space="0" w:color="auto"/>
            <w:bottom w:val="none" w:sz="0" w:space="0" w:color="auto"/>
            <w:right w:val="none" w:sz="0" w:space="0" w:color="auto"/>
          </w:divBdr>
        </w:div>
      </w:divsChild>
    </w:div>
    <w:div w:id="1749233817">
      <w:marLeft w:val="0"/>
      <w:marRight w:val="0"/>
      <w:marTop w:val="0"/>
      <w:marBottom w:val="0"/>
      <w:divBdr>
        <w:top w:val="none" w:sz="0" w:space="0" w:color="auto"/>
        <w:left w:val="none" w:sz="0" w:space="0" w:color="auto"/>
        <w:bottom w:val="none" w:sz="0" w:space="0" w:color="auto"/>
        <w:right w:val="none" w:sz="0" w:space="0" w:color="auto"/>
      </w:divBdr>
      <w:divsChild>
        <w:div w:id="933708263">
          <w:marLeft w:val="0"/>
          <w:marRight w:val="0"/>
          <w:marTop w:val="432"/>
          <w:marBottom w:val="0"/>
          <w:divBdr>
            <w:top w:val="none" w:sz="0" w:space="0" w:color="auto"/>
            <w:left w:val="none" w:sz="0" w:space="0" w:color="auto"/>
            <w:bottom w:val="none" w:sz="0" w:space="0" w:color="auto"/>
            <w:right w:val="none" w:sz="0" w:space="0" w:color="auto"/>
          </w:divBdr>
        </w:div>
        <w:div w:id="1587373529">
          <w:marLeft w:val="0"/>
          <w:marRight w:val="0"/>
          <w:marTop w:val="0"/>
          <w:marBottom w:val="0"/>
          <w:divBdr>
            <w:top w:val="none" w:sz="0" w:space="0" w:color="auto"/>
            <w:left w:val="none" w:sz="0" w:space="0" w:color="auto"/>
            <w:bottom w:val="none" w:sz="0" w:space="0" w:color="auto"/>
            <w:right w:val="none" w:sz="0" w:space="0" w:color="auto"/>
          </w:divBdr>
        </w:div>
        <w:div w:id="1683893164">
          <w:marLeft w:val="0"/>
          <w:marRight w:val="0"/>
          <w:marTop w:val="0"/>
          <w:marBottom w:val="600"/>
          <w:divBdr>
            <w:top w:val="none" w:sz="0" w:space="0" w:color="auto"/>
            <w:left w:val="none" w:sz="0" w:space="0" w:color="auto"/>
            <w:bottom w:val="none" w:sz="0" w:space="0" w:color="auto"/>
            <w:right w:val="none" w:sz="0" w:space="0" w:color="auto"/>
          </w:divBdr>
        </w:div>
      </w:divsChild>
    </w:div>
    <w:div w:id="1756200383">
      <w:marLeft w:val="0"/>
      <w:marRight w:val="0"/>
      <w:marTop w:val="0"/>
      <w:marBottom w:val="0"/>
      <w:divBdr>
        <w:top w:val="none" w:sz="0" w:space="0" w:color="auto"/>
        <w:left w:val="none" w:sz="0" w:space="0" w:color="auto"/>
        <w:bottom w:val="none" w:sz="0" w:space="0" w:color="auto"/>
        <w:right w:val="none" w:sz="0" w:space="0" w:color="auto"/>
      </w:divBdr>
      <w:divsChild>
        <w:div w:id="832373591">
          <w:marLeft w:val="0"/>
          <w:marRight w:val="0"/>
          <w:marTop w:val="432"/>
          <w:marBottom w:val="0"/>
          <w:divBdr>
            <w:top w:val="none" w:sz="0" w:space="0" w:color="auto"/>
            <w:left w:val="none" w:sz="0" w:space="0" w:color="auto"/>
            <w:bottom w:val="none" w:sz="0" w:space="0" w:color="auto"/>
            <w:right w:val="none" w:sz="0" w:space="0" w:color="auto"/>
          </w:divBdr>
        </w:div>
        <w:div w:id="16322282">
          <w:marLeft w:val="0"/>
          <w:marRight w:val="0"/>
          <w:marTop w:val="0"/>
          <w:marBottom w:val="0"/>
          <w:divBdr>
            <w:top w:val="none" w:sz="0" w:space="0" w:color="auto"/>
            <w:left w:val="none" w:sz="0" w:space="0" w:color="auto"/>
            <w:bottom w:val="none" w:sz="0" w:space="0" w:color="auto"/>
            <w:right w:val="none" w:sz="0" w:space="0" w:color="auto"/>
          </w:divBdr>
          <w:divsChild>
            <w:div w:id="1603996301">
              <w:marLeft w:val="0"/>
              <w:marRight w:val="0"/>
              <w:marTop w:val="0"/>
              <w:marBottom w:val="0"/>
              <w:divBdr>
                <w:top w:val="none" w:sz="0" w:space="0" w:color="auto"/>
                <w:left w:val="none" w:sz="0" w:space="0" w:color="auto"/>
                <w:bottom w:val="none" w:sz="0" w:space="0" w:color="auto"/>
                <w:right w:val="none" w:sz="0" w:space="0" w:color="auto"/>
              </w:divBdr>
              <w:divsChild>
                <w:div w:id="552080304">
                  <w:marLeft w:val="0"/>
                  <w:marRight w:val="0"/>
                  <w:marTop w:val="0"/>
                  <w:marBottom w:val="0"/>
                  <w:divBdr>
                    <w:top w:val="none" w:sz="0" w:space="0" w:color="auto"/>
                    <w:left w:val="none" w:sz="0" w:space="0" w:color="auto"/>
                    <w:bottom w:val="none" w:sz="0" w:space="0" w:color="auto"/>
                    <w:right w:val="none" w:sz="0" w:space="0" w:color="auto"/>
                  </w:divBdr>
                </w:div>
              </w:divsChild>
            </w:div>
            <w:div w:id="1816334028">
              <w:marLeft w:val="0"/>
              <w:marRight w:val="0"/>
              <w:marTop w:val="0"/>
              <w:marBottom w:val="0"/>
              <w:divBdr>
                <w:top w:val="none" w:sz="0" w:space="0" w:color="auto"/>
                <w:left w:val="none" w:sz="0" w:space="0" w:color="auto"/>
                <w:bottom w:val="none" w:sz="0" w:space="0" w:color="auto"/>
                <w:right w:val="none" w:sz="0" w:space="0" w:color="auto"/>
              </w:divBdr>
              <w:divsChild>
                <w:div w:id="1315723850">
                  <w:marLeft w:val="0"/>
                  <w:marRight w:val="0"/>
                  <w:marTop w:val="0"/>
                  <w:marBottom w:val="0"/>
                  <w:divBdr>
                    <w:top w:val="none" w:sz="0" w:space="0" w:color="auto"/>
                    <w:left w:val="none" w:sz="0" w:space="0" w:color="auto"/>
                    <w:bottom w:val="none" w:sz="0" w:space="0" w:color="auto"/>
                    <w:right w:val="none" w:sz="0" w:space="0" w:color="auto"/>
                  </w:divBdr>
                </w:div>
              </w:divsChild>
            </w:div>
            <w:div w:id="1560820323">
              <w:marLeft w:val="0"/>
              <w:marRight w:val="0"/>
              <w:marTop w:val="0"/>
              <w:marBottom w:val="0"/>
              <w:divBdr>
                <w:top w:val="none" w:sz="0" w:space="0" w:color="auto"/>
                <w:left w:val="none" w:sz="0" w:space="0" w:color="auto"/>
                <w:bottom w:val="none" w:sz="0" w:space="0" w:color="auto"/>
                <w:right w:val="none" w:sz="0" w:space="0" w:color="auto"/>
              </w:divBdr>
              <w:divsChild>
                <w:div w:id="884104541">
                  <w:marLeft w:val="0"/>
                  <w:marRight w:val="0"/>
                  <w:marTop w:val="0"/>
                  <w:marBottom w:val="0"/>
                  <w:divBdr>
                    <w:top w:val="none" w:sz="0" w:space="0" w:color="auto"/>
                    <w:left w:val="none" w:sz="0" w:space="0" w:color="auto"/>
                    <w:bottom w:val="none" w:sz="0" w:space="0" w:color="auto"/>
                    <w:right w:val="none" w:sz="0" w:space="0" w:color="auto"/>
                  </w:divBdr>
                </w:div>
              </w:divsChild>
            </w:div>
            <w:div w:id="1025785968">
              <w:marLeft w:val="0"/>
              <w:marRight w:val="0"/>
              <w:marTop w:val="0"/>
              <w:marBottom w:val="0"/>
              <w:divBdr>
                <w:top w:val="none" w:sz="0" w:space="0" w:color="auto"/>
                <w:left w:val="none" w:sz="0" w:space="0" w:color="auto"/>
                <w:bottom w:val="none" w:sz="0" w:space="0" w:color="auto"/>
                <w:right w:val="none" w:sz="0" w:space="0" w:color="auto"/>
              </w:divBdr>
              <w:divsChild>
                <w:div w:id="228149918">
                  <w:marLeft w:val="0"/>
                  <w:marRight w:val="0"/>
                  <w:marTop w:val="0"/>
                  <w:marBottom w:val="0"/>
                  <w:divBdr>
                    <w:top w:val="none" w:sz="0" w:space="0" w:color="auto"/>
                    <w:left w:val="none" w:sz="0" w:space="0" w:color="auto"/>
                    <w:bottom w:val="none" w:sz="0" w:space="0" w:color="auto"/>
                    <w:right w:val="none" w:sz="0" w:space="0" w:color="auto"/>
                  </w:divBdr>
                </w:div>
              </w:divsChild>
            </w:div>
            <w:div w:id="674846840">
              <w:marLeft w:val="0"/>
              <w:marRight w:val="0"/>
              <w:marTop w:val="0"/>
              <w:marBottom w:val="0"/>
              <w:divBdr>
                <w:top w:val="none" w:sz="0" w:space="0" w:color="auto"/>
                <w:left w:val="none" w:sz="0" w:space="0" w:color="auto"/>
                <w:bottom w:val="none" w:sz="0" w:space="0" w:color="auto"/>
                <w:right w:val="none" w:sz="0" w:space="0" w:color="auto"/>
              </w:divBdr>
              <w:divsChild>
                <w:div w:id="874081692">
                  <w:marLeft w:val="0"/>
                  <w:marRight w:val="0"/>
                  <w:marTop w:val="0"/>
                  <w:marBottom w:val="0"/>
                  <w:divBdr>
                    <w:top w:val="none" w:sz="0" w:space="0" w:color="auto"/>
                    <w:left w:val="none" w:sz="0" w:space="0" w:color="auto"/>
                    <w:bottom w:val="none" w:sz="0" w:space="0" w:color="auto"/>
                    <w:right w:val="none" w:sz="0" w:space="0" w:color="auto"/>
                  </w:divBdr>
                </w:div>
              </w:divsChild>
            </w:div>
            <w:div w:id="1761872777">
              <w:marLeft w:val="0"/>
              <w:marRight w:val="0"/>
              <w:marTop w:val="0"/>
              <w:marBottom w:val="0"/>
              <w:divBdr>
                <w:top w:val="none" w:sz="0" w:space="0" w:color="auto"/>
                <w:left w:val="none" w:sz="0" w:space="0" w:color="auto"/>
                <w:bottom w:val="none" w:sz="0" w:space="0" w:color="auto"/>
                <w:right w:val="none" w:sz="0" w:space="0" w:color="auto"/>
              </w:divBdr>
              <w:divsChild>
                <w:div w:id="99571858">
                  <w:marLeft w:val="0"/>
                  <w:marRight w:val="0"/>
                  <w:marTop w:val="0"/>
                  <w:marBottom w:val="0"/>
                  <w:divBdr>
                    <w:top w:val="none" w:sz="0" w:space="0" w:color="auto"/>
                    <w:left w:val="none" w:sz="0" w:space="0" w:color="auto"/>
                    <w:bottom w:val="none" w:sz="0" w:space="0" w:color="auto"/>
                    <w:right w:val="none" w:sz="0" w:space="0" w:color="auto"/>
                  </w:divBdr>
                </w:div>
              </w:divsChild>
            </w:div>
            <w:div w:id="1823277568">
              <w:marLeft w:val="0"/>
              <w:marRight w:val="0"/>
              <w:marTop w:val="0"/>
              <w:marBottom w:val="0"/>
              <w:divBdr>
                <w:top w:val="none" w:sz="0" w:space="0" w:color="auto"/>
                <w:left w:val="none" w:sz="0" w:space="0" w:color="auto"/>
                <w:bottom w:val="none" w:sz="0" w:space="0" w:color="auto"/>
                <w:right w:val="none" w:sz="0" w:space="0" w:color="auto"/>
              </w:divBdr>
              <w:divsChild>
                <w:div w:id="363796134">
                  <w:marLeft w:val="0"/>
                  <w:marRight w:val="0"/>
                  <w:marTop w:val="0"/>
                  <w:marBottom w:val="0"/>
                  <w:divBdr>
                    <w:top w:val="none" w:sz="0" w:space="0" w:color="auto"/>
                    <w:left w:val="none" w:sz="0" w:space="0" w:color="auto"/>
                    <w:bottom w:val="none" w:sz="0" w:space="0" w:color="auto"/>
                    <w:right w:val="none" w:sz="0" w:space="0" w:color="auto"/>
                  </w:divBdr>
                </w:div>
              </w:divsChild>
            </w:div>
            <w:div w:id="282658157">
              <w:marLeft w:val="0"/>
              <w:marRight w:val="0"/>
              <w:marTop w:val="0"/>
              <w:marBottom w:val="0"/>
              <w:divBdr>
                <w:top w:val="none" w:sz="0" w:space="0" w:color="auto"/>
                <w:left w:val="none" w:sz="0" w:space="0" w:color="auto"/>
                <w:bottom w:val="none" w:sz="0" w:space="0" w:color="auto"/>
                <w:right w:val="none" w:sz="0" w:space="0" w:color="auto"/>
              </w:divBdr>
              <w:divsChild>
                <w:div w:id="799230017">
                  <w:marLeft w:val="0"/>
                  <w:marRight w:val="0"/>
                  <w:marTop w:val="0"/>
                  <w:marBottom w:val="0"/>
                  <w:divBdr>
                    <w:top w:val="none" w:sz="0" w:space="0" w:color="auto"/>
                    <w:left w:val="none" w:sz="0" w:space="0" w:color="auto"/>
                    <w:bottom w:val="none" w:sz="0" w:space="0" w:color="auto"/>
                    <w:right w:val="none" w:sz="0" w:space="0" w:color="auto"/>
                  </w:divBdr>
                </w:div>
              </w:divsChild>
            </w:div>
            <w:div w:id="670135148">
              <w:marLeft w:val="0"/>
              <w:marRight w:val="0"/>
              <w:marTop w:val="0"/>
              <w:marBottom w:val="0"/>
              <w:divBdr>
                <w:top w:val="none" w:sz="0" w:space="0" w:color="auto"/>
                <w:left w:val="none" w:sz="0" w:space="0" w:color="auto"/>
                <w:bottom w:val="none" w:sz="0" w:space="0" w:color="auto"/>
                <w:right w:val="none" w:sz="0" w:space="0" w:color="auto"/>
              </w:divBdr>
              <w:divsChild>
                <w:div w:id="760368561">
                  <w:marLeft w:val="0"/>
                  <w:marRight w:val="0"/>
                  <w:marTop w:val="0"/>
                  <w:marBottom w:val="0"/>
                  <w:divBdr>
                    <w:top w:val="none" w:sz="0" w:space="0" w:color="auto"/>
                    <w:left w:val="none" w:sz="0" w:space="0" w:color="auto"/>
                    <w:bottom w:val="none" w:sz="0" w:space="0" w:color="auto"/>
                    <w:right w:val="none" w:sz="0" w:space="0" w:color="auto"/>
                  </w:divBdr>
                </w:div>
              </w:divsChild>
            </w:div>
            <w:div w:id="673604479">
              <w:marLeft w:val="0"/>
              <w:marRight w:val="0"/>
              <w:marTop w:val="0"/>
              <w:marBottom w:val="0"/>
              <w:divBdr>
                <w:top w:val="none" w:sz="0" w:space="0" w:color="auto"/>
                <w:left w:val="none" w:sz="0" w:space="0" w:color="auto"/>
                <w:bottom w:val="none" w:sz="0" w:space="0" w:color="auto"/>
                <w:right w:val="none" w:sz="0" w:space="0" w:color="auto"/>
              </w:divBdr>
              <w:divsChild>
                <w:div w:id="475537565">
                  <w:marLeft w:val="0"/>
                  <w:marRight w:val="0"/>
                  <w:marTop w:val="0"/>
                  <w:marBottom w:val="0"/>
                  <w:divBdr>
                    <w:top w:val="none" w:sz="0" w:space="0" w:color="auto"/>
                    <w:left w:val="none" w:sz="0" w:space="0" w:color="auto"/>
                    <w:bottom w:val="none" w:sz="0" w:space="0" w:color="auto"/>
                    <w:right w:val="none" w:sz="0" w:space="0" w:color="auto"/>
                  </w:divBdr>
                </w:div>
              </w:divsChild>
            </w:div>
            <w:div w:id="770977567">
              <w:marLeft w:val="0"/>
              <w:marRight w:val="0"/>
              <w:marTop w:val="0"/>
              <w:marBottom w:val="0"/>
              <w:divBdr>
                <w:top w:val="none" w:sz="0" w:space="0" w:color="auto"/>
                <w:left w:val="none" w:sz="0" w:space="0" w:color="auto"/>
                <w:bottom w:val="none" w:sz="0" w:space="0" w:color="auto"/>
                <w:right w:val="none" w:sz="0" w:space="0" w:color="auto"/>
              </w:divBdr>
              <w:divsChild>
                <w:div w:id="560334790">
                  <w:marLeft w:val="0"/>
                  <w:marRight w:val="0"/>
                  <w:marTop w:val="0"/>
                  <w:marBottom w:val="0"/>
                  <w:divBdr>
                    <w:top w:val="none" w:sz="0" w:space="0" w:color="auto"/>
                    <w:left w:val="none" w:sz="0" w:space="0" w:color="auto"/>
                    <w:bottom w:val="none" w:sz="0" w:space="0" w:color="auto"/>
                    <w:right w:val="none" w:sz="0" w:space="0" w:color="auto"/>
                  </w:divBdr>
                </w:div>
              </w:divsChild>
            </w:div>
            <w:div w:id="838077120">
              <w:marLeft w:val="0"/>
              <w:marRight w:val="0"/>
              <w:marTop w:val="0"/>
              <w:marBottom w:val="0"/>
              <w:divBdr>
                <w:top w:val="none" w:sz="0" w:space="0" w:color="auto"/>
                <w:left w:val="none" w:sz="0" w:space="0" w:color="auto"/>
                <w:bottom w:val="none" w:sz="0" w:space="0" w:color="auto"/>
                <w:right w:val="none" w:sz="0" w:space="0" w:color="auto"/>
              </w:divBdr>
              <w:divsChild>
                <w:div w:id="1194222490">
                  <w:marLeft w:val="0"/>
                  <w:marRight w:val="0"/>
                  <w:marTop w:val="0"/>
                  <w:marBottom w:val="0"/>
                  <w:divBdr>
                    <w:top w:val="none" w:sz="0" w:space="0" w:color="auto"/>
                    <w:left w:val="none" w:sz="0" w:space="0" w:color="auto"/>
                    <w:bottom w:val="none" w:sz="0" w:space="0" w:color="auto"/>
                    <w:right w:val="none" w:sz="0" w:space="0" w:color="auto"/>
                  </w:divBdr>
                </w:div>
              </w:divsChild>
            </w:div>
            <w:div w:id="834802844">
              <w:marLeft w:val="0"/>
              <w:marRight w:val="0"/>
              <w:marTop w:val="0"/>
              <w:marBottom w:val="0"/>
              <w:divBdr>
                <w:top w:val="none" w:sz="0" w:space="0" w:color="auto"/>
                <w:left w:val="none" w:sz="0" w:space="0" w:color="auto"/>
                <w:bottom w:val="none" w:sz="0" w:space="0" w:color="auto"/>
                <w:right w:val="none" w:sz="0" w:space="0" w:color="auto"/>
              </w:divBdr>
              <w:divsChild>
                <w:div w:id="16498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1780">
          <w:marLeft w:val="0"/>
          <w:marRight w:val="0"/>
          <w:marTop w:val="0"/>
          <w:marBottom w:val="600"/>
          <w:divBdr>
            <w:top w:val="none" w:sz="0" w:space="0" w:color="auto"/>
            <w:left w:val="none" w:sz="0" w:space="0" w:color="auto"/>
            <w:bottom w:val="none" w:sz="0" w:space="0" w:color="auto"/>
            <w:right w:val="none" w:sz="0" w:space="0" w:color="auto"/>
          </w:divBdr>
        </w:div>
      </w:divsChild>
    </w:div>
    <w:div w:id="1789468646">
      <w:marLeft w:val="0"/>
      <w:marRight w:val="0"/>
      <w:marTop w:val="0"/>
      <w:marBottom w:val="0"/>
      <w:divBdr>
        <w:top w:val="none" w:sz="0" w:space="0" w:color="auto"/>
        <w:left w:val="none" w:sz="0" w:space="0" w:color="auto"/>
        <w:bottom w:val="none" w:sz="0" w:space="0" w:color="auto"/>
        <w:right w:val="none" w:sz="0" w:space="0" w:color="auto"/>
      </w:divBdr>
      <w:divsChild>
        <w:div w:id="1289626178">
          <w:marLeft w:val="0"/>
          <w:marRight w:val="0"/>
          <w:marTop w:val="432"/>
          <w:marBottom w:val="0"/>
          <w:divBdr>
            <w:top w:val="none" w:sz="0" w:space="0" w:color="auto"/>
            <w:left w:val="none" w:sz="0" w:space="0" w:color="auto"/>
            <w:bottom w:val="none" w:sz="0" w:space="0" w:color="auto"/>
            <w:right w:val="none" w:sz="0" w:space="0" w:color="auto"/>
          </w:divBdr>
        </w:div>
        <w:div w:id="1243877739">
          <w:marLeft w:val="0"/>
          <w:marRight w:val="0"/>
          <w:marTop w:val="0"/>
          <w:marBottom w:val="0"/>
          <w:divBdr>
            <w:top w:val="none" w:sz="0" w:space="0" w:color="auto"/>
            <w:left w:val="none" w:sz="0" w:space="0" w:color="auto"/>
            <w:bottom w:val="none" w:sz="0" w:space="0" w:color="auto"/>
            <w:right w:val="none" w:sz="0" w:space="0" w:color="auto"/>
          </w:divBdr>
        </w:div>
        <w:div w:id="1440224193">
          <w:marLeft w:val="0"/>
          <w:marRight w:val="0"/>
          <w:marTop w:val="0"/>
          <w:marBottom w:val="600"/>
          <w:divBdr>
            <w:top w:val="none" w:sz="0" w:space="0" w:color="auto"/>
            <w:left w:val="none" w:sz="0" w:space="0" w:color="auto"/>
            <w:bottom w:val="none" w:sz="0" w:space="0" w:color="auto"/>
            <w:right w:val="none" w:sz="0" w:space="0" w:color="auto"/>
          </w:divBdr>
        </w:div>
      </w:divsChild>
    </w:div>
    <w:div w:id="1831211819">
      <w:marLeft w:val="0"/>
      <w:marRight w:val="0"/>
      <w:marTop w:val="0"/>
      <w:marBottom w:val="0"/>
      <w:divBdr>
        <w:top w:val="none" w:sz="0" w:space="0" w:color="auto"/>
        <w:left w:val="none" w:sz="0" w:space="0" w:color="auto"/>
        <w:bottom w:val="none" w:sz="0" w:space="0" w:color="auto"/>
        <w:right w:val="none" w:sz="0" w:space="0" w:color="auto"/>
      </w:divBdr>
      <w:divsChild>
        <w:div w:id="554896272">
          <w:marLeft w:val="0"/>
          <w:marRight w:val="0"/>
          <w:marTop w:val="432"/>
          <w:marBottom w:val="0"/>
          <w:divBdr>
            <w:top w:val="none" w:sz="0" w:space="0" w:color="auto"/>
            <w:left w:val="none" w:sz="0" w:space="0" w:color="auto"/>
            <w:bottom w:val="none" w:sz="0" w:space="0" w:color="auto"/>
            <w:right w:val="none" w:sz="0" w:space="0" w:color="auto"/>
          </w:divBdr>
        </w:div>
        <w:div w:id="1702198131">
          <w:marLeft w:val="0"/>
          <w:marRight w:val="0"/>
          <w:marTop w:val="0"/>
          <w:marBottom w:val="0"/>
          <w:divBdr>
            <w:top w:val="none" w:sz="0" w:space="0" w:color="auto"/>
            <w:left w:val="none" w:sz="0" w:space="0" w:color="auto"/>
            <w:bottom w:val="none" w:sz="0" w:space="0" w:color="auto"/>
            <w:right w:val="none" w:sz="0" w:space="0" w:color="auto"/>
          </w:divBdr>
          <w:divsChild>
            <w:div w:id="323097027">
              <w:marLeft w:val="0"/>
              <w:marRight w:val="0"/>
              <w:marTop w:val="0"/>
              <w:marBottom w:val="0"/>
              <w:divBdr>
                <w:top w:val="none" w:sz="0" w:space="0" w:color="auto"/>
                <w:left w:val="none" w:sz="0" w:space="0" w:color="auto"/>
                <w:bottom w:val="none" w:sz="0" w:space="0" w:color="auto"/>
                <w:right w:val="none" w:sz="0" w:space="0" w:color="auto"/>
              </w:divBdr>
              <w:divsChild>
                <w:div w:id="255796877">
                  <w:marLeft w:val="0"/>
                  <w:marRight w:val="0"/>
                  <w:marTop w:val="0"/>
                  <w:marBottom w:val="0"/>
                  <w:divBdr>
                    <w:top w:val="none" w:sz="0" w:space="0" w:color="auto"/>
                    <w:left w:val="none" w:sz="0" w:space="0" w:color="auto"/>
                    <w:bottom w:val="none" w:sz="0" w:space="0" w:color="auto"/>
                    <w:right w:val="none" w:sz="0" w:space="0" w:color="auto"/>
                  </w:divBdr>
                </w:div>
              </w:divsChild>
            </w:div>
            <w:div w:id="1955791580">
              <w:marLeft w:val="0"/>
              <w:marRight w:val="0"/>
              <w:marTop w:val="0"/>
              <w:marBottom w:val="0"/>
              <w:divBdr>
                <w:top w:val="none" w:sz="0" w:space="0" w:color="auto"/>
                <w:left w:val="none" w:sz="0" w:space="0" w:color="auto"/>
                <w:bottom w:val="none" w:sz="0" w:space="0" w:color="auto"/>
                <w:right w:val="none" w:sz="0" w:space="0" w:color="auto"/>
              </w:divBdr>
              <w:divsChild>
                <w:div w:id="1989245456">
                  <w:marLeft w:val="0"/>
                  <w:marRight w:val="0"/>
                  <w:marTop w:val="0"/>
                  <w:marBottom w:val="0"/>
                  <w:divBdr>
                    <w:top w:val="none" w:sz="0" w:space="0" w:color="auto"/>
                    <w:left w:val="none" w:sz="0" w:space="0" w:color="auto"/>
                    <w:bottom w:val="none" w:sz="0" w:space="0" w:color="auto"/>
                    <w:right w:val="none" w:sz="0" w:space="0" w:color="auto"/>
                  </w:divBdr>
                </w:div>
              </w:divsChild>
            </w:div>
            <w:div w:id="719089722">
              <w:marLeft w:val="0"/>
              <w:marRight w:val="0"/>
              <w:marTop w:val="0"/>
              <w:marBottom w:val="0"/>
              <w:divBdr>
                <w:top w:val="none" w:sz="0" w:space="0" w:color="auto"/>
                <w:left w:val="none" w:sz="0" w:space="0" w:color="auto"/>
                <w:bottom w:val="none" w:sz="0" w:space="0" w:color="auto"/>
                <w:right w:val="none" w:sz="0" w:space="0" w:color="auto"/>
              </w:divBdr>
              <w:divsChild>
                <w:div w:id="1166435202">
                  <w:marLeft w:val="0"/>
                  <w:marRight w:val="0"/>
                  <w:marTop w:val="0"/>
                  <w:marBottom w:val="0"/>
                  <w:divBdr>
                    <w:top w:val="none" w:sz="0" w:space="0" w:color="auto"/>
                    <w:left w:val="none" w:sz="0" w:space="0" w:color="auto"/>
                    <w:bottom w:val="none" w:sz="0" w:space="0" w:color="auto"/>
                    <w:right w:val="none" w:sz="0" w:space="0" w:color="auto"/>
                  </w:divBdr>
                </w:div>
              </w:divsChild>
            </w:div>
            <w:div w:id="258147549">
              <w:marLeft w:val="0"/>
              <w:marRight w:val="0"/>
              <w:marTop w:val="0"/>
              <w:marBottom w:val="0"/>
              <w:divBdr>
                <w:top w:val="none" w:sz="0" w:space="0" w:color="auto"/>
                <w:left w:val="none" w:sz="0" w:space="0" w:color="auto"/>
                <w:bottom w:val="none" w:sz="0" w:space="0" w:color="auto"/>
                <w:right w:val="none" w:sz="0" w:space="0" w:color="auto"/>
              </w:divBdr>
              <w:divsChild>
                <w:div w:id="2114006556">
                  <w:marLeft w:val="0"/>
                  <w:marRight w:val="0"/>
                  <w:marTop w:val="0"/>
                  <w:marBottom w:val="0"/>
                  <w:divBdr>
                    <w:top w:val="none" w:sz="0" w:space="0" w:color="auto"/>
                    <w:left w:val="none" w:sz="0" w:space="0" w:color="auto"/>
                    <w:bottom w:val="none" w:sz="0" w:space="0" w:color="auto"/>
                    <w:right w:val="none" w:sz="0" w:space="0" w:color="auto"/>
                  </w:divBdr>
                </w:div>
              </w:divsChild>
            </w:div>
            <w:div w:id="933510993">
              <w:marLeft w:val="0"/>
              <w:marRight w:val="0"/>
              <w:marTop w:val="0"/>
              <w:marBottom w:val="0"/>
              <w:divBdr>
                <w:top w:val="none" w:sz="0" w:space="0" w:color="auto"/>
                <w:left w:val="none" w:sz="0" w:space="0" w:color="auto"/>
                <w:bottom w:val="none" w:sz="0" w:space="0" w:color="auto"/>
                <w:right w:val="none" w:sz="0" w:space="0" w:color="auto"/>
              </w:divBdr>
              <w:divsChild>
                <w:div w:id="365252888">
                  <w:marLeft w:val="0"/>
                  <w:marRight w:val="0"/>
                  <w:marTop w:val="0"/>
                  <w:marBottom w:val="0"/>
                  <w:divBdr>
                    <w:top w:val="none" w:sz="0" w:space="0" w:color="auto"/>
                    <w:left w:val="none" w:sz="0" w:space="0" w:color="auto"/>
                    <w:bottom w:val="none" w:sz="0" w:space="0" w:color="auto"/>
                    <w:right w:val="none" w:sz="0" w:space="0" w:color="auto"/>
                  </w:divBdr>
                </w:div>
              </w:divsChild>
            </w:div>
            <w:div w:id="298145213">
              <w:marLeft w:val="0"/>
              <w:marRight w:val="0"/>
              <w:marTop w:val="0"/>
              <w:marBottom w:val="0"/>
              <w:divBdr>
                <w:top w:val="none" w:sz="0" w:space="0" w:color="auto"/>
                <w:left w:val="none" w:sz="0" w:space="0" w:color="auto"/>
                <w:bottom w:val="none" w:sz="0" w:space="0" w:color="auto"/>
                <w:right w:val="none" w:sz="0" w:space="0" w:color="auto"/>
              </w:divBdr>
              <w:divsChild>
                <w:div w:id="841243274">
                  <w:marLeft w:val="0"/>
                  <w:marRight w:val="0"/>
                  <w:marTop w:val="0"/>
                  <w:marBottom w:val="0"/>
                  <w:divBdr>
                    <w:top w:val="none" w:sz="0" w:space="0" w:color="auto"/>
                    <w:left w:val="none" w:sz="0" w:space="0" w:color="auto"/>
                    <w:bottom w:val="none" w:sz="0" w:space="0" w:color="auto"/>
                    <w:right w:val="none" w:sz="0" w:space="0" w:color="auto"/>
                  </w:divBdr>
                </w:div>
              </w:divsChild>
            </w:div>
            <w:div w:id="187986331">
              <w:marLeft w:val="0"/>
              <w:marRight w:val="0"/>
              <w:marTop w:val="0"/>
              <w:marBottom w:val="0"/>
              <w:divBdr>
                <w:top w:val="none" w:sz="0" w:space="0" w:color="auto"/>
                <w:left w:val="none" w:sz="0" w:space="0" w:color="auto"/>
                <w:bottom w:val="none" w:sz="0" w:space="0" w:color="auto"/>
                <w:right w:val="none" w:sz="0" w:space="0" w:color="auto"/>
              </w:divBdr>
              <w:divsChild>
                <w:div w:id="16696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3166">
          <w:marLeft w:val="0"/>
          <w:marRight w:val="0"/>
          <w:marTop w:val="0"/>
          <w:marBottom w:val="600"/>
          <w:divBdr>
            <w:top w:val="none" w:sz="0" w:space="0" w:color="auto"/>
            <w:left w:val="none" w:sz="0" w:space="0" w:color="auto"/>
            <w:bottom w:val="none" w:sz="0" w:space="0" w:color="auto"/>
            <w:right w:val="none" w:sz="0" w:space="0" w:color="auto"/>
          </w:divBdr>
        </w:div>
      </w:divsChild>
    </w:div>
    <w:div w:id="1837115324">
      <w:marLeft w:val="0"/>
      <w:marRight w:val="0"/>
      <w:marTop w:val="0"/>
      <w:marBottom w:val="0"/>
      <w:divBdr>
        <w:top w:val="none" w:sz="0" w:space="0" w:color="auto"/>
        <w:left w:val="none" w:sz="0" w:space="0" w:color="auto"/>
        <w:bottom w:val="none" w:sz="0" w:space="0" w:color="auto"/>
        <w:right w:val="none" w:sz="0" w:space="0" w:color="auto"/>
      </w:divBdr>
      <w:divsChild>
        <w:div w:id="1452357287">
          <w:marLeft w:val="0"/>
          <w:marRight w:val="0"/>
          <w:marTop w:val="432"/>
          <w:marBottom w:val="0"/>
          <w:divBdr>
            <w:top w:val="none" w:sz="0" w:space="0" w:color="auto"/>
            <w:left w:val="none" w:sz="0" w:space="0" w:color="auto"/>
            <w:bottom w:val="none" w:sz="0" w:space="0" w:color="auto"/>
            <w:right w:val="none" w:sz="0" w:space="0" w:color="auto"/>
          </w:divBdr>
        </w:div>
        <w:div w:id="533421110">
          <w:marLeft w:val="0"/>
          <w:marRight w:val="0"/>
          <w:marTop w:val="0"/>
          <w:marBottom w:val="0"/>
          <w:divBdr>
            <w:top w:val="none" w:sz="0" w:space="0" w:color="auto"/>
            <w:left w:val="none" w:sz="0" w:space="0" w:color="auto"/>
            <w:bottom w:val="none" w:sz="0" w:space="0" w:color="auto"/>
            <w:right w:val="none" w:sz="0" w:space="0" w:color="auto"/>
          </w:divBdr>
          <w:divsChild>
            <w:div w:id="792402642">
              <w:marLeft w:val="0"/>
              <w:marRight w:val="0"/>
              <w:marTop w:val="0"/>
              <w:marBottom w:val="0"/>
              <w:divBdr>
                <w:top w:val="none" w:sz="0" w:space="0" w:color="auto"/>
                <w:left w:val="none" w:sz="0" w:space="0" w:color="auto"/>
                <w:bottom w:val="none" w:sz="0" w:space="0" w:color="auto"/>
                <w:right w:val="none" w:sz="0" w:space="0" w:color="auto"/>
              </w:divBdr>
              <w:divsChild>
                <w:div w:id="899439647">
                  <w:marLeft w:val="0"/>
                  <w:marRight w:val="0"/>
                  <w:marTop w:val="0"/>
                  <w:marBottom w:val="0"/>
                  <w:divBdr>
                    <w:top w:val="none" w:sz="0" w:space="0" w:color="auto"/>
                    <w:left w:val="none" w:sz="0" w:space="0" w:color="auto"/>
                    <w:bottom w:val="none" w:sz="0" w:space="0" w:color="auto"/>
                    <w:right w:val="none" w:sz="0" w:space="0" w:color="auto"/>
                  </w:divBdr>
                </w:div>
              </w:divsChild>
            </w:div>
            <w:div w:id="183397080">
              <w:marLeft w:val="0"/>
              <w:marRight w:val="0"/>
              <w:marTop w:val="0"/>
              <w:marBottom w:val="0"/>
              <w:divBdr>
                <w:top w:val="none" w:sz="0" w:space="0" w:color="auto"/>
                <w:left w:val="none" w:sz="0" w:space="0" w:color="auto"/>
                <w:bottom w:val="none" w:sz="0" w:space="0" w:color="auto"/>
                <w:right w:val="none" w:sz="0" w:space="0" w:color="auto"/>
              </w:divBdr>
              <w:divsChild>
                <w:div w:id="143934028">
                  <w:marLeft w:val="0"/>
                  <w:marRight w:val="0"/>
                  <w:marTop w:val="0"/>
                  <w:marBottom w:val="0"/>
                  <w:divBdr>
                    <w:top w:val="none" w:sz="0" w:space="0" w:color="auto"/>
                    <w:left w:val="none" w:sz="0" w:space="0" w:color="auto"/>
                    <w:bottom w:val="none" w:sz="0" w:space="0" w:color="auto"/>
                    <w:right w:val="none" w:sz="0" w:space="0" w:color="auto"/>
                  </w:divBdr>
                </w:div>
              </w:divsChild>
            </w:div>
            <w:div w:id="1297951422">
              <w:marLeft w:val="0"/>
              <w:marRight w:val="0"/>
              <w:marTop w:val="0"/>
              <w:marBottom w:val="0"/>
              <w:divBdr>
                <w:top w:val="none" w:sz="0" w:space="0" w:color="auto"/>
                <w:left w:val="none" w:sz="0" w:space="0" w:color="auto"/>
                <w:bottom w:val="none" w:sz="0" w:space="0" w:color="auto"/>
                <w:right w:val="none" w:sz="0" w:space="0" w:color="auto"/>
              </w:divBdr>
              <w:divsChild>
                <w:div w:id="74672634">
                  <w:marLeft w:val="0"/>
                  <w:marRight w:val="0"/>
                  <w:marTop w:val="0"/>
                  <w:marBottom w:val="0"/>
                  <w:divBdr>
                    <w:top w:val="none" w:sz="0" w:space="0" w:color="auto"/>
                    <w:left w:val="none" w:sz="0" w:space="0" w:color="auto"/>
                    <w:bottom w:val="none" w:sz="0" w:space="0" w:color="auto"/>
                    <w:right w:val="none" w:sz="0" w:space="0" w:color="auto"/>
                  </w:divBdr>
                </w:div>
              </w:divsChild>
            </w:div>
            <w:div w:id="2077048747">
              <w:marLeft w:val="0"/>
              <w:marRight w:val="0"/>
              <w:marTop w:val="0"/>
              <w:marBottom w:val="0"/>
              <w:divBdr>
                <w:top w:val="none" w:sz="0" w:space="0" w:color="auto"/>
                <w:left w:val="none" w:sz="0" w:space="0" w:color="auto"/>
                <w:bottom w:val="none" w:sz="0" w:space="0" w:color="auto"/>
                <w:right w:val="none" w:sz="0" w:space="0" w:color="auto"/>
              </w:divBdr>
              <w:divsChild>
                <w:div w:id="1255094813">
                  <w:marLeft w:val="0"/>
                  <w:marRight w:val="0"/>
                  <w:marTop w:val="0"/>
                  <w:marBottom w:val="0"/>
                  <w:divBdr>
                    <w:top w:val="none" w:sz="0" w:space="0" w:color="auto"/>
                    <w:left w:val="none" w:sz="0" w:space="0" w:color="auto"/>
                    <w:bottom w:val="none" w:sz="0" w:space="0" w:color="auto"/>
                    <w:right w:val="none" w:sz="0" w:space="0" w:color="auto"/>
                  </w:divBdr>
                </w:div>
              </w:divsChild>
            </w:div>
            <w:div w:id="1033270247">
              <w:marLeft w:val="0"/>
              <w:marRight w:val="0"/>
              <w:marTop w:val="0"/>
              <w:marBottom w:val="0"/>
              <w:divBdr>
                <w:top w:val="none" w:sz="0" w:space="0" w:color="auto"/>
                <w:left w:val="none" w:sz="0" w:space="0" w:color="auto"/>
                <w:bottom w:val="none" w:sz="0" w:space="0" w:color="auto"/>
                <w:right w:val="none" w:sz="0" w:space="0" w:color="auto"/>
              </w:divBdr>
              <w:divsChild>
                <w:div w:id="573861143">
                  <w:marLeft w:val="0"/>
                  <w:marRight w:val="0"/>
                  <w:marTop w:val="0"/>
                  <w:marBottom w:val="0"/>
                  <w:divBdr>
                    <w:top w:val="none" w:sz="0" w:space="0" w:color="auto"/>
                    <w:left w:val="none" w:sz="0" w:space="0" w:color="auto"/>
                    <w:bottom w:val="none" w:sz="0" w:space="0" w:color="auto"/>
                    <w:right w:val="none" w:sz="0" w:space="0" w:color="auto"/>
                  </w:divBdr>
                </w:div>
              </w:divsChild>
            </w:div>
            <w:div w:id="1173296618">
              <w:marLeft w:val="0"/>
              <w:marRight w:val="0"/>
              <w:marTop w:val="0"/>
              <w:marBottom w:val="0"/>
              <w:divBdr>
                <w:top w:val="none" w:sz="0" w:space="0" w:color="auto"/>
                <w:left w:val="none" w:sz="0" w:space="0" w:color="auto"/>
                <w:bottom w:val="none" w:sz="0" w:space="0" w:color="auto"/>
                <w:right w:val="none" w:sz="0" w:space="0" w:color="auto"/>
              </w:divBdr>
              <w:divsChild>
                <w:div w:id="100034068">
                  <w:marLeft w:val="0"/>
                  <w:marRight w:val="0"/>
                  <w:marTop w:val="0"/>
                  <w:marBottom w:val="0"/>
                  <w:divBdr>
                    <w:top w:val="none" w:sz="0" w:space="0" w:color="auto"/>
                    <w:left w:val="none" w:sz="0" w:space="0" w:color="auto"/>
                    <w:bottom w:val="none" w:sz="0" w:space="0" w:color="auto"/>
                    <w:right w:val="none" w:sz="0" w:space="0" w:color="auto"/>
                  </w:divBdr>
                </w:div>
              </w:divsChild>
            </w:div>
            <w:div w:id="871649628">
              <w:marLeft w:val="0"/>
              <w:marRight w:val="0"/>
              <w:marTop w:val="0"/>
              <w:marBottom w:val="0"/>
              <w:divBdr>
                <w:top w:val="none" w:sz="0" w:space="0" w:color="auto"/>
                <w:left w:val="none" w:sz="0" w:space="0" w:color="auto"/>
                <w:bottom w:val="none" w:sz="0" w:space="0" w:color="auto"/>
                <w:right w:val="none" w:sz="0" w:space="0" w:color="auto"/>
              </w:divBdr>
              <w:divsChild>
                <w:div w:id="10449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6096">
          <w:marLeft w:val="0"/>
          <w:marRight w:val="0"/>
          <w:marTop w:val="0"/>
          <w:marBottom w:val="600"/>
          <w:divBdr>
            <w:top w:val="none" w:sz="0" w:space="0" w:color="auto"/>
            <w:left w:val="none" w:sz="0" w:space="0" w:color="auto"/>
            <w:bottom w:val="none" w:sz="0" w:space="0" w:color="auto"/>
            <w:right w:val="none" w:sz="0" w:space="0" w:color="auto"/>
          </w:divBdr>
        </w:div>
      </w:divsChild>
    </w:div>
    <w:div w:id="1847549202">
      <w:marLeft w:val="0"/>
      <w:marRight w:val="0"/>
      <w:marTop w:val="0"/>
      <w:marBottom w:val="0"/>
      <w:divBdr>
        <w:top w:val="none" w:sz="0" w:space="0" w:color="auto"/>
        <w:left w:val="none" w:sz="0" w:space="0" w:color="auto"/>
        <w:bottom w:val="none" w:sz="0" w:space="0" w:color="auto"/>
        <w:right w:val="none" w:sz="0" w:space="0" w:color="auto"/>
      </w:divBdr>
      <w:divsChild>
        <w:div w:id="1689331811">
          <w:marLeft w:val="0"/>
          <w:marRight w:val="0"/>
          <w:marTop w:val="432"/>
          <w:marBottom w:val="0"/>
          <w:divBdr>
            <w:top w:val="none" w:sz="0" w:space="0" w:color="auto"/>
            <w:left w:val="none" w:sz="0" w:space="0" w:color="auto"/>
            <w:bottom w:val="none" w:sz="0" w:space="0" w:color="auto"/>
            <w:right w:val="none" w:sz="0" w:space="0" w:color="auto"/>
          </w:divBdr>
        </w:div>
        <w:div w:id="1996953191">
          <w:marLeft w:val="0"/>
          <w:marRight w:val="0"/>
          <w:marTop w:val="0"/>
          <w:marBottom w:val="0"/>
          <w:divBdr>
            <w:top w:val="none" w:sz="0" w:space="0" w:color="auto"/>
            <w:left w:val="none" w:sz="0" w:space="0" w:color="auto"/>
            <w:bottom w:val="none" w:sz="0" w:space="0" w:color="auto"/>
            <w:right w:val="none" w:sz="0" w:space="0" w:color="auto"/>
          </w:divBdr>
          <w:divsChild>
            <w:div w:id="1199512590">
              <w:marLeft w:val="0"/>
              <w:marRight w:val="0"/>
              <w:marTop w:val="0"/>
              <w:marBottom w:val="0"/>
              <w:divBdr>
                <w:top w:val="none" w:sz="0" w:space="0" w:color="auto"/>
                <w:left w:val="none" w:sz="0" w:space="0" w:color="auto"/>
                <w:bottom w:val="none" w:sz="0" w:space="0" w:color="auto"/>
                <w:right w:val="none" w:sz="0" w:space="0" w:color="auto"/>
              </w:divBdr>
              <w:divsChild>
                <w:div w:id="1731270853">
                  <w:marLeft w:val="0"/>
                  <w:marRight w:val="0"/>
                  <w:marTop w:val="0"/>
                  <w:marBottom w:val="0"/>
                  <w:divBdr>
                    <w:top w:val="none" w:sz="0" w:space="0" w:color="auto"/>
                    <w:left w:val="none" w:sz="0" w:space="0" w:color="auto"/>
                    <w:bottom w:val="none" w:sz="0" w:space="0" w:color="auto"/>
                    <w:right w:val="none" w:sz="0" w:space="0" w:color="auto"/>
                  </w:divBdr>
                </w:div>
              </w:divsChild>
            </w:div>
            <w:div w:id="1903053922">
              <w:marLeft w:val="0"/>
              <w:marRight w:val="0"/>
              <w:marTop w:val="0"/>
              <w:marBottom w:val="0"/>
              <w:divBdr>
                <w:top w:val="none" w:sz="0" w:space="0" w:color="auto"/>
                <w:left w:val="none" w:sz="0" w:space="0" w:color="auto"/>
                <w:bottom w:val="none" w:sz="0" w:space="0" w:color="auto"/>
                <w:right w:val="none" w:sz="0" w:space="0" w:color="auto"/>
              </w:divBdr>
              <w:divsChild>
                <w:div w:id="1749112027">
                  <w:marLeft w:val="0"/>
                  <w:marRight w:val="0"/>
                  <w:marTop w:val="0"/>
                  <w:marBottom w:val="0"/>
                  <w:divBdr>
                    <w:top w:val="none" w:sz="0" w:space="0" w:color="auto"/>
                    <w:left w:val="none" w:sz="0" w:space="0" w:color="auto"/>
                    <w:bottom w:val="none" w:sz="0" w:space="0" w:color="auto"/>
                    <w:right w:val="none" w:sz="0" w:space="0" w:color="auto"/>
                  </w:divBdr>
                </w:div>
              </w:divsChild>
            </w:div>
            <w:div w:id="1083451813">
              <w:marLeft w:val="0"/>
              <w:marRight w:val="0"/>
              <w:marTop w:val="0"/>
              <w:marBottom w:val="0"/>
              <w:divBdr>
                <w:top w:val="none" w:sz="0" w:space="0" w:color="auto"/>
                <w:left w:val="none" w:sz="0" w:space="0" w:color="auto"/>
                <w:bottom w:val="none" w:sz="0" w:space="0" w:color="auto"/>
                <w:right w:val="none" w:sz="0" w:space="0" w:color="auto"/>
              </w:divBdr>
              <w:divsChild>
                <w:div w:id="2019774985">
                  <w:marLeft w:val="0"/>
                  <w:marRight w:val="0"/>
                  <w:marTop w:val="0"/>
                  <w:marBottom w:val="0"/>
                  <w:divBdr>
                    <w:top w:val="none" w:sz="0" w:space="0" w:color="auto"/>
                    <w:left w:val="none" w:sz="0" w:space="0" w:color="auto"/>
                    <w:bottom w:val="none" w:sz="0" w:space="0" w:color="auto"/>
                    <w:right w:val="none" w:sz="0" w:space="0" w:color="auto"/>
                  </w:divBdr>
                </w:div>
              </w:divsChild>
            </w:div>
            <w:div w:id="61488655">
              <w:marLeft w:val="0"/>
              <w:marRight w:val="0"/>
              <w:marTop w:val="0"/>
              <w:marBottom w:val="0"/>
              <w:divBdr>
                <w:top w:val="none" w:sz="0" w:space="0" w:color="auto"/>
                <w:left w:val="none" w:sz="0" w:space="0" w:color="auto"/>
                <w:bottom w:val="none" w:sz="0" w:space="0" w:color="auto"/>
                <w:right w:val="none" w:sz="0" w:space="0" w:color="auto"/>
              </w:divBdr>
              <w:divsChild>
                <w:div w:id="979699599">
                  <w:marLeft w:val="0"/>
                  <w:marRight w:val="0"/>
                  <w:marTop w:val="0"/>
                  <w:marBottom w:val="0"/>
                  <w:divBdr>
                    <w:top w:val="none" w:sz="0" w:space="0" w:color="auto"/>
                    <w:left w:val="none" w:sz="0" w:space="0" w:color="auto"/>
                    <w:bottom w:val="none" w:sz="0" w:space="0" w:color="auto"/>
                    <w:right w:val="none" w:sz="0" w:space="0" w:color="auto"/>
                  </w:divBdr>
                </w:div>
              </w:divsChild>
            </w:div>
            <w:div w:id="2051564112">
              <w:marLeft w:val="0"/>
              <w:marRight w:val="0"/>
              <w:marTop w:val="0"/>
              <w:marBottom w:val="0"/>
              <w:divBdr>
                <w:top w:val="none" w:sz="0" w:space="0" w:color="auto"/>
                <w:left w:val="none" w:sz="0" w:space="0" w:color="auto"/>
                <w:bottom w:val="none" w:sz="0" w:space="0" w:color="auto"/>
                <w:right w:val="none" w:sz="0" w:space="0" w:color="auto"/>
              </w:divBdr>
              <w:divsChild>
                <w:div w:id="1557281516">
                  <w:marLeft w:val="0"/>
                  <w:marRight w:val="0"/>
                  <w:marTop w:val="0"/>
                  <w:marBottom w:val="0"/>
                  <w:divBdr>
                    <w:top w:val="none" w:sz="0" w:space="0" w:color="auto"/>
                    <w:left w:val="none" w:sz="0" w:space="0" w:color="auto"/>
                    <w:bottom w:val="none" w:sz="0" w:space="0" w:color="auto"/>
                    <w:right w:val="none" w:sz="0" w:space="0" w:color="auto"/>
                  </w:divBdr>
                </w:div>
              </w:divsChild>
            </w:div>
            <w:div w:id="652759900">
              <w:marLeft w:val="0"/>
              <w:marRight w:val="0"/>
              <w:marTop w:val="0"/>
              <w:marBottom w:val="0"/>
              <w:divBdr>
                <w:top w:val="none" w:sz="0" w:space="0" w:color="auto"/>
                <w:left w:val="none" w:sz="0" w:space="0" w:color="auto"/>
                <w:bottom w:val="none" w:sz="0" w:space="0" w:color="auto"/>
                <w:right w:val="none" w:sz="0" w:space="0" w:color="auto"/>
              </w:divBdr>
              <w:divsChild>
                <w:div w:id="1164861945">
                  <w:marLeft w:val="0"/>
                  <w:marRight w:val="0"/>
                  <w:marTop w:val="0"/>
                  <w:marBottom w:val="0"/>
                  <w:divBdr>
                    <w:top w:val="none" w:sz="0" w:space="0" w:color="auto"/>
                    <w:left w:val="none" w:sz="0" w:space="0" w:color="auto"/>
                    <w:bottom w:val="none" w:sz="0" w:space="0" w:color="auto"/>
                    <w:right w:val="none" w:sz="0" w:space="0" w:color="auto"/>
                  </w:divBdr>
                </w:div>
              </w:divsChild>
            </w:div>
            <w:div w:id="1341929788">
              <w:marLeft w:val="0"/>
              <w:marRight w:val="0"/>
              <w:marTop w:val="0"/>
              <w:marBottom w:val="0"/>
              <w:divBdr>
                <w:top w:val="none" w:sz="0" w:space="0" w:color="auto"/>
                <w:left w:val="none" w:sz="0" w:space="0" w:color="auto"/>
                <w:bottom w:val="none" w:sz="0" w:space="0" w:color="auto"/>
                <w:right w:val="none" w:sz="0" w:space="0" w:color="auto"/>
              </w:divBdr>
              <w:divsChild>
                <w:div w:id="391972843">
                  <w:marLeft w:val="0"/>
                  <w:marRight w:val="0"/>
                  <w:marTop w:val="0"/>
                  <w:marBottom w:val="0"/>
                  <w:divBdr>
                    <w:top w:val="none" w:sz="0" w:space="0" w:color="auto"/>
                    <w:left w:val="none" w:sz="0" w:space="0" w:color="auto"/>
                    <w:bottom w:val="none" w:sz="0" w:space="0" w:color="auto"/>
                    <w:right w:val="none" w:sz="0" w:space="0" w:color="auto"/>
                  </w:divBdr>
                </w:div>
              </w:divsChild>
            </w:div>
            <w:div w:id="1267422739">
              <w:marLeft w:val="0"/>
              <w:marRight w:val="0"/>
              <w:marTop w:val="0"/>
              <w:marBottom w:val="0"/>
              <w:divBdr>
                <w:top w:val="none" w:sz="0" w:space="0" w:color="auto"/>
                <w:left w:val="none" w:sz="0" w:space="0" w:color="auto"/>
                <w:bottom w:val="none" w:sz="0" w:space="0" w:color="auto"/>
                <w:right w:val="none" w:sz="0" w:space="0" w:color="auto"/>
              </w:divBdr>
              <w:divsChild>
                <w:div w:id="986545980">
                  <w:marLeft w:val="0"/>
                  <w:marRight w:val="0"/>
                  <w:marTop w:val="0"/>
                  <w:marBottom w:val="0"/>
                  <w:divBdr>
                    <w:top w:val="none" w:sz="0" w:space="0" w:color="auto"/>
                    <w:left w:val="none" w:sz="0" w:space="0" w:color="auto"/>
                    <w:bottom w:val="none" w:sz="0" w:space="0" w:color="auto"/>
                    <w:right w:val="none" w:sz="0" w:space="0" w:color="auto"/>
                  </w:divBdr>
                </w:div>
              </w:divsChild>
            </w:div>
            <w:div w:id="683940300">
              <w:marLeft w:val="0"/>
              <w:marRight w:val="0"/>
              <w:marTop w:val="0"/>
              <w:marBottom w:val="0"/>
              <w:divBdr>
                <w:top w:val="none" w:sz="0" w:space="0" w:color="auto"/>
                <w:left w:val="none" w:sz="0" w:space="0" w:color="auto"/>
                <w:bottom w:val="none" w:sz="0" w:space="0" w:color="auto"/>
                <w:right w:val="none" w:sz="0" w:space="0" w:color="auto"/>
              </w:divBdr>
              <w:divsChild>
                <w:div w:id="1182738406">
                  <w:marLeft w:val="0"/>
                  <w:marRight w:val="0"/>
                  <w:marTop w:val="0"/>
                  <w:marBottom w:val="0"/>
                  <w:divBdr>
                    <w:top w:val="none" w:sz="0" w:space="0" w:color="auto"/>
                    <w:left w:val="none" w:sz="0" w:space="0" w:color="auto"/>
                    <w:bottom w:val="none" w:sz="0" w:space="0" w:color="auto"/>
                    <w:right w:val="none" w:sz="0" w:space="0" w:color="auto"/>
                  </w:divBdr>
                </w:div>
              </w:divsChild>
            </w:div>
            <w:div w:id="528690293">
              <w:marLeft w:val="0"/>
              <w:marRight w:val="0"/>
              <w:marTop w:val="0"/>
              <w:marBottom w:val="0"/>
              <w:divBdr>
                <w:top w:val="none" w:sz="0" w:space="0" w:color="auto"/>
                <w:left w:val="none" w:sz="0" w:space="0" w:color="auto"/>
                <w:bottom w:val="none" w:sz="0" w:space="0" w:color="auto"/>
                <w:right w:val="none" w:sz="0" w:space="0" w:color="auto"/>
              </w:divBdr>
              <w:divsChild>
                <w:div w:id="700475350">
                  <w:marLeft w:val="0"/>
                  <w:marRight w:val="0"/>
                  <w:marTop w:val="0"/>
                  <w:marBottom w:val="0"/>
                  <w:divBdr>
                    <w:top w:val="none" w:sz="0" w:space="0" w:color="auto"/>
                    <w:left w:val="none" w:sz="0" w:space="0" w:color="auto"/>
                    <w:bottom w:val="none" w:sz="0" w:space="0" w:color="auto"/>
                    <w:right w:val="none" w:sz="0" w:space="0" w:color="auto"/>
                  </w:divBdr>
                </w:div>
              </w:divsChild>
            </w:div>
            <w:div w:id="1717926310">
              <w:marLeft w:val="0"/>
              <w:marRight w:val="0"/>
              <w:marTop w:val="0"/>
              <w:marBottom w:val="0"/>
              <w:divBdr>
                <w:top w:val="none" w:sz="0" w:space="0" w:color="auto"/>
                <w:left w:val="none" w:sz="0" w:space="0" w:color="auto"/>
                <w:bottom w:val="none" w:sz="0" w:space="0" w:color="auto"/>
                <w:right w:val="none" w:sz="0" w:space="0" w:color="auto"/>
              </w:divBdr>
              <w:divsChild>
                <w:div w:id="628979576">
                  <w:marLeft w:val="0"/>
                  <w:marRight w:val="0"/>
                  <w:marTop w:val="0"/>
                  <w:marBottom w:val="0"/>
                  <w:divBdr>
                    <w:top w:val="none" w:sz="0" w:space="0" w:color="auto"/>
                    <w:left w:val="none" w:sz="0" w:space="0" w:color="auto"/>
                    <w:bottom w:val="none" w:sz="0" w:space="0" w:color="auto"/>
                    <w:right w:val="none" w:sz="0" w:space="0" w:color="auto"/>
                  </w:divBdr>
                </w:div>
              </w:divsChild>
            </w:div>
            <w:div w:id="1056783288">
              <w:marLeft w:val="0"/>
              <w:marRight w:val="0"/>
              <w:marTop w:val="0"/>
              <w:marBottom w:val="0"/>
              <w:divBdr>
                <w:top w:val="none" w:sz="0" w:space="0" w:color="auto"/>
                <w:left w:val="none" w:sz="0" w:space="0" w:color="auto"/>
                <w:bottom w:val="none" w:sz="0" w:space="0" w:color="auto"/>
                <w:right w:val="none" w:sz="0" w:space="0" w:color="auto"/>
              </w:divBdr>
              <w:divsChild>
                <w:div w:id="178937447">
                  <w:marLeft w:val="0"/>
                  <w:marRight w:val="0"/>
                  <w:marTop w:val="0"/>
                  <w:marBottom w:val="0"/>
                  <w:divBdr>
                    <w:top w:val="none" w:sz="0" w:space="0" w:color="auto"/>
                    <w:left w:val="none" w:sz="0" w:space="0" w:color="auto"/>
                    <w:bottom w:val="none" w:sz="0" w:space="0" w:color="auto"/>
                    <w:right w:val="none" w:sz="0" w:space="0" w:color="auto"/>
                  </w:divBdr>
                </w:div>
              </w:divsChild>
            </w:div>
            <w:div w:id="520318179">
              <w:marLeft w:val="0"/>
              <w:marRight w:val="0"/>
              <w:marTop w:val="0"/>
              <w:marBottom w:val="0"/>
              <w:divBdr>
                <w:top w:val="none" w:sz="0" w:space="0" w:color="auto"/>
                <w:left w:val="none" w:sz="0" w:space="0" w:color="auto"/>
                <w:bottom w:val="none" w:sz="0" w:space="0" w:color="auto"/>
                <w:right w:val="none" w:sz="0" w:space="0" w:color="auto"/>
              </w:divBdr>
              <w:divsChild>
                <w:div w:id="1756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5050">
          <w:marLeft w:val="0"/>
          <w:marRight w:val="0"/>
          <w:marTop w:val="0"/>
          <w:marBottom w:val="600"/>
          <w:divBdr>
            <w:top w:val="none" w:sz="0" w:space="0" w:color="auto"/>
            <w:left w:val="none" w:sz="0" w:space="0" w:color="auto"/>
            <w:bottom w:val="none" w:sz="0" w:space="0" w:color="auto"/>
            <w:right w:val="none" w:sz="0" w:space="0" w:color="auto"/>
          </w:divBdr>
        </w:div>
      </w:divsChild>
    </w:div>
    <w:div w:id="1851335209">
      <w:marLeft w:val="0"/>
      <w:marRight w:val="0"/>
      <w:marTop w:val="0"/>
      <w:marBottom w:val="0"/>
      <w:divBdr>
        <w:top w:val="none" w:sz="0" w:space="0" w:color="auto"/>
        <w:left w:val="none" w:sz="0" w:space="0" w:color="auto"/>
        <w:bottom w:val="none" w:sz="0" w:space="0" w:color="auto"/>
        <w:right w:val="none" w:sz="0" w:space="0" w:color="auto"/>
      </w:divBdr>
      <w:divsChild>
        <w:div w:id="801465417">
          <w:marLeft w:val="0"/>
          <w:marRight w:val="0"/>
          <w:marTop w:val="432"/>
          <w:marBottom w:val="0"/>
          <w:divBdr>
            <w:top w:val="none" w:sz="0" w:space="0" w:color="auto"/>
            <w:left w:val="none" w:sz="0" w:space="0" w:color="auto"/>
            <w:bottom w:val="none" w:sz="0" w:space="0" w:color="auto"/>
            <w:right w:val="none" w:sz="0" w:space="0" w:color="auto"/>
          </w:divBdr>
        </w:div>
        <w:div w:id="2083094033">
          <w:marLeft w:val="0"/>
          <w:marRight w:val="0"/>
          <w:marTop w:val="0"/>
          <w:marBottom w:val="0"/>
          <w:divBdr>
            <w:top w:val="none" w:sz="0" w:space="0" w:color="auto"/>
            <w:left w:val="none" w:sz="0" w:space="0" w:color="auto"/>
            <w:bottom w:val="none" w:sz="0" w:space="0" w:color="auto"/>
            <w:right w:val="none" w:sz="0" w:space="0" w:color="auto"/>
          </w:divBdr>
          <w:divsChild>
            <w:div w:id="163597143">
              <w:marLeft w:val="0"/>
              <w:marRight w:val="0"/>
              <w:marTop w:val="0"/>
              <w:marBottom w:val="0"/>
              <w:divBdr>
                <w:top w:val="none" w:sz="0" w:space="0" w:color="auto"/>
                <w:left w:val="none" w:sz="0" w:space="0" w:color="auto"/>
                <w:bottom w:val="none" w:sz="0" w:space="0" w:color="auto"/>
                <w:right w:val="none" w:sz="0" w:space="0" w:color="auto"/>
              </w:divBdr>
              <w:divsChild>
                <w:div w:id="1575818171">
                  <w:marLeft w:val="0"/>
                  <w:marRight w:val="0"/>
                  <w:marTop w:val="0"/>
                  <w:marBottom w:val="0"/>
                  <w:divBdr>
                    <w:top w:val="none" w:sz="0" w:space="0" w:color="auto"/>
                    <w:left w:val="none" w:sz="0" w:space="0" w:color="auto"/>
                    <w:bottom w:val="none" w:sz="0" w:space="0" w:color="auto"/>
                    <w:right w:val="none" w:sz="0" w:space="0" w:color="auto"/>
                  </w:divBdr>
                </w:div>
              </w:divsChild>
            </w:div>
            <w:div w:id="1025406096">
              <w:marLeft w:val="0"/>
              <w:marRight w:val="0"/>
              <w:marTop w:val="0"/>
              <w:marBottom w:val="0"/>
              <w:divBdr>
                <w:top w:val="none" w:sz="0" w:space="0" w:color="auto"/>
                <w:left w:val="none" w:sz="0" w:space="0" w:color="auto"/>
                <w:bottom w:val="none" w:sz="0" w:space="0" w:color="auto"/>
                <w:right w:val="none" w:sz="0" w:space="0" w:color="auto"/>
              </w:divBdr>
              <w:divsChild>
                <w:div w:id="1848251375">
                  <w:marLeft w:val="0"/>
                  <w:marRight w:val="0"/>
                  <w:marTop w:val="0"/>
                  <w:marBottom w:val="0"/>
                  <w:divBdr>
                    <w:top w:val="none" w:sz="0" w:space="0" w:color="auto"/>
                    <w:left w:val="none" w:sz="0" w:space="0" w:color="auto"/>
                    <w:bottom w:val="none" w:sz="0" w:space="0" w:color="auto"/>
                    <w:right w:val="none" w:sz="0" w:space="0" w:color="auto"/>
                  </w:divBdr>
                </w:div>
              </w:divsChild>
            </w:div>
            <w:div w:id="1561356696">
              <w:marLeft w:val="0"/>
              <w:marRight w:val="0"/>
              <w:marTop w:val="0"/>
              <w:marBottom w:val="0"/>
              <w:divBdr>
                <w:top w:val="none" w:sz="0" w:space="0" w:color="auto"/>
                <w:left w:val="none" w:sz="0" w:space="0" w:color="auto"/>
                <w:bottom w:val="none" w:sz="0" w:space="0" w:color="auto"/>
                <w:right w:val="none" w:sz="0" w:space="0" w:color="auto"/>
              </w:divBdr>
              <w:divsChild>
                <w:div w:id="1510946188">
                  <w:marLeft w:val="0"/>
                  <w:marRight w:val="0"/>
                  <w:marTop w:val="0"/>
                  <w:marBottom w:val="0"/>
                  <w:divBdr>
                    <w:top w:val="none" w:sz="0" w:space="0" w:color="auto"/>
                    <w:left w:val="none" w:sz="0" w:space="0" w:color="auto"/>
                    <w:bottom w:val="none" w:sz="0" w:space="0" w:color="auto"/>
                    <w:right w:val="none" w:sz="0" w:space="0" w:color="auto"/>
                  </w:divBdr>
                </w:div>
              </w:divsChild>
            </w:div>
            <w:div w:id="737091140">
              <w:marLeft w:val="0"/>
              <w:marRight w:val="0"/>
              <w:marTop w:val="0"/>
              <w:marBottom w:val="0"/>
              <w:divBdr>
                <w:top w:val="none" w:sz="0" w:space="0" w:color="auto"/>
                <w:left w:val="none" w:sz="0" w:space="0" w:color="auto"/>
                <w:bottom w:val="none" w:sz="0" w:space="0" w:color="auto"/>
                <w:right w:val="none" w:sz="0" w:space="0" w:color="auto"/>
              </w:divBdr>
              <w:divsChild>
                <w:div w:id="519465325">
                  <w:marLeft w:val="0"/>
                  <w:marRight w:val="0"/>
                  <w:marTop w:val="0"/>
                  <w:marBottom w:val="0"/>
                  <w:divBdr>
                    <w:top w:val="none" w:sz="0" w:space="0" w:color="auto"/>
                    <w:left w:val="none" w:sz="0" w:space="0" w:color="auto"/>
                    <w:bottom w:val="none" w:sz="0" w:space="0" w:color="auto"/>
                    <w:right w:val="none" w:sz="0" w:space="0" w:color="auto"/>
                  </w:divBdr>
                </w:div>
              </w:divsChild>
            </w:div>
            <w:div w:id="1933200822">
              <w:marLeft w:val="0"/>
              <w:marRight w:val="0"/>
              <w:marTop w:val="0"/>
              <w:marBottom w:val="0"/>
              <w:divBdr>
                <w:top w:val="none" w:sz="0" w:space="0" w:color="auto"/>
                <w:left w:val="none" w:sz="0" w:space="0" w:color="auto"/>
                <w:bottom w:val="none" w:sz="0" w:space="0" w:color="auto"/>
                <w:right w:val="none" w:sz="0" w:space="0" w:color="auto"/>
              </w:divBdr>
              <w:divsChild>
                <w:div w:id="392119340">
                  <w:marLeft w:val="0"/>
                  <w:marRight w:val="0"/>
                  <w:marTop w:val="0"/>
                  <w:marBottom w:val="0"/>
                  <w:divBdr>
                    <w:top w:val="none" w:sz="0" w:space="0" w:color="auto"/>
                    <w:left w:val="none" w:sz="0" w:space="0" w:color="auto"/>
                    <w:bottom w:val="none" w:sz="0" w:space="0" w:color="auto"/>
                    <w:right w:val="none" w:sz="0" w:space="0" w:color="auto"/>
                  </w:divBdr>
                </w:div>
              </w:divsChild>
            </w:div>
            <w:div w:id="1803229078">
              <w:marLeft w:val="0"/>
              <w:marRight w:val="0"/>
              <w:marTop w:val="0"/>
              <w:marBottom w:val="0"/>
              <w:divBdr>
                <w:top w:val="none" w:sz="0" w:space="0" w:color="auto"/>
                <w:left w:val="none" w:sz="0" w:space="0" w:color="auto"/>
                <w:bottom w:val="none" w:sz="0" w:space="0" w:color="auto"/>
                <w:right w:val="none" w:sz="0" w:space="0" w:color="auto"/>
              </w:divBdr>
              <w:divsChild>
                <w:div w:id="1525902346">
                  <w:marLeft w:val="0"/>
                  <w:marRight w:val="0"/>
                  <w:marTop w:val="0"/>
                  <w:marBottom w:val="0"/>
                  <w:divBdr>
                    <w:top w:val="none" w:sz="0" w:space="0" w:color="auto"/>
                    <w:left w:val="none" w:sz="0" w:space="0" w:color="auto"/>
                    <w:bottom w:val="none" w:sz="0" w:space="0" w:color="auto"/>
                    <w:right w:val="none" w:sz="0" w:space="0" w:color="auto"/>
                  </w:divBdr>
                </w:div>
              </w:divsChild>
            </w:div>
            <w:div w:id="50270476">
              <w:marLeft w:val="0"/>
              <w:marRight w:val="0"/>
              <w:marTop w:val="0"/>
              <w:marBottom w:val="0"/>
              <w:divBdr>
                <w:top w:val="none" w:sz="0" w:space="0" w:color="auto"/>
                <w:left w:val="none" w:sz="0" w:space="0" w:color="auto"/>
                <w:bottom w:val="none" w:sz="0" w:space="0" w:color="auto"/>
                <w:right w:val="none" w:sz="0" w:space="0" w:color="auto"/>
              </w:divBdr>
              <w:divsChild>
                <w:div w:id="1602494753">
                  <w:marLeft w:val="0"/>
                  <w:marRight w:val="0"/>
                  <w:marTop w:val="0"/>
                  <w:marBottom w:val="0"/>
                  <w:divBdr>
                    <w:top w:val="none" w:sz="0" w:space="0" w:color="auto"/>
                    <w:left w:val="none" w:sz="0" w:space="0" w:color="auto"/>
                    <w:bottom w:val="none" w:sz="0" w:space="0" w:color="auto"/>
                    <w:right w:val="none" w:sz="0" w:space="0" w:color="auto"/>
                  </w:divBdr>
                </w:div>
              </w:divsChild>
            </w:div>
            <w:div w:id="928779699">
              <w:marLeft w:val="0"/>
              <w:marRight w:val="0"/>
              <w:marTop w:val="0"/>
              <w:marBottom w:val="0"/>
              <w:divBdr>
                <w:top w:val="none" w:sz="0" w:space="0" w:color="auto"/>
                <w:left w:val="none" w:sz="0" w:space="0" w:color="auto"/>
                <w:bottom w:val="none" w:sz="0" w:space="0" w:color="auto"/>
                <w:right w:val="none" w:sz="0" w:space="0" w:color="auto"/>
              </w:divBdr>
              <w:divsChild>
                <w:div w:id="1425345498">
                  <w:marLeft w:val="0"/>
                  <w:marRight w:val="0"/>
                  <w:marTop w:val="0"/>
                  <w:marBottom w:val="0"/>
                  <w:divBdr>
                    <w:top w:val="none" w:sz="0" w:space="0" w:color="auto"/>
                    <w:left w:val="none" w:sz="0" w:space="0" w:color="auto"/>
                    <w:bottom w:val="none" w:sz="0" w:space="0" w:color="auto"/>
                    <w:right w:val="none" w:sz="0" w:space="0" w:color="auto"/>
                  </w:divBdr>
                </w:div>
              </w:divsChild>
            </w:div>
            <w:div w:id="222833688">
              <w:marLeft w:val="0"/>
              <w:marRight w:val="0"/>
              <w:marTop w:val="0"/>
              <w:marBottom w:val="0"/>
              <w:divBdr>
                <w:top w:val="none" w:sz="0" w:space="0" w:color="auto"/>
                <w:left w:val="none" w:sz="0" w:space="0" w:color="auto"/>
                <w:bottom w:val="none" w:sz="0" w:space="0" w:color="auto"/>
                <w:right w:val="none" w:sz="0" w:space="0" w:color="auto"/>
              </w:divBdr>
              <w:divsChild>
                <w:div w:id="621150629">
                  <w:marLeft w:val="0"/>
                  <w:marRight w:val="0"/>
                  <w:marTop w:val="0"/>
                  <w:marBottom w:val="0"/>
                  <w:divBdr>
                    <w:top w:val="none" w:sz="0" w:space="0" w:color="auto"/>
                    <w:left w:val="none" w:sz="0" w:space="0" w:color="auto"/>
                    <w:bottom w:val="none" w:sz="0" w:space="0" w:color="auto"/>
                    <w:right w:val="none" w:sz="0" w:space="0" w:color="auto"/>
                  </w:divBdr>
                </w:div>
              </w:divsChild>
            </w:div>
            <w:div w:id="1241789998">
              <w:marLeft w:val="0"/>
              <w:marRight w:val="0"/>
              <w:marTop w:val="0"/>
              <w:marBottom w:val="0"/>
              <w:divBdr>
                <w:top w:val="none" w:sz="0" w:space="0" w:color="auto"/>
                <w:left w:val="none" w:sz="0" w:space="0" w:color="auto"/>
                <w:bottom w:val="none" w:sz="0" w:space="0" w:color="auto"/>
                <w:right w:val="none" w:sz="0" w:space="0" w:color="auto"/>
              </w:divBdr>
              <w:divsChild>
                <w:div w:id="732000219">
                  <w:marLeft w:val="0"/>
                  <w:marRight w:val="0"/>
                  <w:marTop w:val="0"/>
                  <w:marBottom w:val="0"/>
                  <w:divBdr>
                    <w:top w:val="none" w:sz="0" w:space="0" w:color="auto"/>
                    <w:left w:val="none" w:sz="0" w:space="0" w:color="auto"/>
                    <w:bottom w:val="none" w:sz="0" w:space="0" w:color="auto"/>
                    <w:right w:val="none" w:sz="0" w:space="0" w:color="auto"/>
                  </w:divBdr>
                </w:div>
              </w:divsChild>
            </w:div>
            <w:div w:id="578247640">
              <w:marLeft w:val="0"/>
              <w:marRight w:val="0"/>
              <w:marTop w:val="0"/>
              <w:marBottom w:val="0"/>
              <w:divBdr>
                <w:top w:val="none" w:sz="0" w:space="0" w:color="auto"/>
                <w:left w:val="none" w:sz="0" w:space="0" w:color="auto"/>
                <w:bottom w:val="none" w:sz="0" w:space="0" w:color="auto"/>
                <w:right w:val="none" w:sz="0" w:space="0" w:color="auto"/>
              </w:divBdr>
              <w:divsChild>
                <w:div w:id="1448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1894">
          <w:marLeft w:val="0"/>
          <w:marRight w:val="0"/>
          <w:marTop w:val="0"/>
          <w:marBottom w:val="600"/>
          <w:divBdr>
            <w:top w:val="none" w:sz="0" w:space="0" w:color="auto"/>
            <w:left w:val="none" w:sz="0" w:space="0" w:color="auto"/>
            <w:bottom w:val="none" w:sz="0" w:space="0" w:color="auto"/>
            <w:right w:val="none" w:sz="0" w:space="0" w:color="auto"/>
          </w:divBdr>
        </w:div>
      </w:divsChild>
    </w:div>
    <w:div w:id="1878160831">
      <w:marLeft w:val="0"/>
      <w:marRight w:val="0"/>
      <w:marTop w:val="0"/>
      <w:marBottom w:val="0"/>
      <w:divBdr>
        <w:top w:val="none" w:sz="0" w:space="0" w:color="auto"/>
        <w:left w:val="none" w:sz="0" w:space="0" w:color="auto"/>
        <w:bottom w:val="none" w:sz="0" w:space="0" w:color="auto"/>
        <w:right w:val="none" w:sz="0" w:space="0" w:color="auto"/>
      </w:divBdr>
      <w:divsChild>
        <w:div w:id="798958999">
          <w:marLeft w:val="0"/>
          <w:marRight w:val="0"/>
          <w:marTop w:val="432"/>
          <w:marBottom w:val="0"/>
          <w:divBdr>
            <w:top w:val="none" w:sz="0" w:space="0" w:color="auto"/>
            <w:left w:val="none" w:sz="0" w:space="0" w:color="auto"/>
            <w:bottom w:val="none" w:sz="0" w:space="0" w:color="auto"/>
            <w:right w:val="none" w:sz="0" w:space="0" w:color="auto"/>
          </w:divBdr>
        </w:div>
        <w:div w:id="492600966">
          <w:marLeft w:val="0"/>
          <w:marRight w:val="0"/>
          <w:marTop w:val="0"/>
          <w:marBottom w:val="0"/>
          <w:divBdr>
            <w:top w:val="none" w:sz="0" w:space="0" w:color="auto"/>
            <w:left w:val="none" w:sz="0" w:space="0" w:color="auto"/>
            <w:bottom w:val="none" w:sz="0" w:space="0" w:color="auto"/>
            <w:right w:val="none" w:sz="0" w:space="0" w:color="auto"/>
          </w:divBdr>
          <w:divsChild>
            <w:div w:id="970329363">
              <w:marLeft w:val="0"/>
              <w:marRight w:val="0"/>
              <w:marTop w:val="0"/>
              <w:marBottom w:val="0"/>
              <w:divBdr>
                <w:top w:val="none" w:sz="0" w:space="0" w:color="auto"/>
                <w:left w:val="none" w:sz="0" w:space="0" w:color="auto"/>
                <w:bottom w:val="none" w:sz="0" w:space="0" w:color="auto"/>
                <w:right w:val="none" w:sz="0" w:space="0" w:color="auto"/>
              </w:divBdr>
              <w:divsChild>
                <w:div w:id="511527596">
                  <w:marLeft w:val="0"/>
                  <w:marRight w:val="0"/>
                  <w:marTop w:val="0"/>
                  <w:marBottom w:val="0"/>
                  <w:divBdr>
                    <w:top w:val="none" w:sz="0" w:space="0" w:color="auto"/>
                    <w:left w:val="none" w:sz="0" w:space="0" w:color="auto"/>
                    <w:bottom w:val="none" w:sz="0" w:space="0" w:color="auto"/>
                    <w:right w:val="none" w:sz="0" w:space="0" w:color="auto"/>
                  </w:divBdr>
                </w:div>
              </w:divsChild>
            </w:div>
            <w:div w:id="490486867">
              <w:marLeft w:val="0"/>
              <w:marRight w:val="0"/>
              <w:marTop w:val="0"/>
              <w:marBottom w:val="0"/>
              <w:divBdr>
                <w:top w:val="none" w:sz="0" w:space="0" w:color="auto"/>
                <w:left w:val="none" w:sz="0" w:space="0" w:color="auto"/>
                <w:bottom w:val="none" w:sz="0" w:space="0" w:color="auto"/>
                <w:right w:val="none" w:sz="0" w:space="0" w:color="auto"/>
              </w:divBdr>
              <w:divsChild>
                <w:div w:id="230971686">
                  <w:marLeft w:val="0"/>
                  <w:marRight w:val="0"/>
                  <w:marTop w:val="0"/>
                  <w:marBottom w:val="0"/>
                  <w:divBdr>
                    <w:top w:val="none" w:sz="0" w:space="0" w:color="auto"/>
                    <w:left w:val="none" w:sz="0" w:space="0" w:color="auto"/>
                    <w:bottom w:val="none" w:sz="0" w:space="0" w:color="auto"/>
                    <w:right w:val="none" w:sz="0" w:space="0" w:color="auto"/>
                  </w:divBdr>
                </w:div>
              </w:divsChild>
            </w:div>
            <w:div w:id="536814371">
              <w:marLeft w:val="0"/>
              <w:marRight w:val="0"/>
              <w:marTop w:val="0"/>
              <w:marBottom w:val="0"/>
              <w:divBdr>
                <w:top w:val="none" w:sz="0" w:space="0" w:color="auto"/>
                <w:left w:val="none" w:sz="0" w:space="0" w:color="auto"/>
                <w:bottom w:val="none" w:sz="0" w:space="0" w:color="auto"/>
                <w:right w:val="none" w:sz="0" w:space="0" w:color="auto"/>
              </w:divBdr>
              <w:divsChild>
                <w:div w:id="1237204083">
                  <w:marLeft w:val="0"/>
                  <w:marRight w:val="0"/>
                  <w:marTop w:val="0"/>
                  <w:marBottom w:val="0"/>
                  <w:divBdr>
                    <w:top w:val="none" w:sz="0" w:space="0" w:color="auto"/>
                    <w:left w:val="none" w:sz="0" w:space="0" w:color="auto"/>
                    <w:bottom w:val="none" w:sz="0" w:space="0" w:color="auto"/>
                    <w:right w:val="none" w:sz="0" w:space="0" w:color="auto"/>
                  </w:divBdr>
                </w:div>
              </w:divsChild>
            </w:div>
            <w:div w:id="1503660943">
              <w:marLeft w:val="0"/>
              <w:marRight w:val="0"/>
              <w:marTop w:val="0"/>
              <w:marBottom w:val="0"/>
              <w:divBdr>
                <w:top w:val="none" w:sz="0" w:space="0" w:color="auto"/>
                <w:left w:val="none" w:sz="0" w:space="0" w:color="auto"/>
                <w:bottom w:val="none" w:sz="0" w:space="0" w:color="auto"/>
                <w:right w:val="none" w:sz="0" w:space="0" w:color="auto"/>
              </w:divBdr>
              <w:divsChild>
                <w:div w:id="399910897">
                  <w:marLeft w:val="0"/>
                  <w:marRight w:val="0"/>
                  <w:marTop w:val="0"/>
                  <w:marBottom w:val="0"/>
                  <w:divBdr>
                    <w:top w:val="none" w:sz="0" w:space="0" w:color="auto"/>
                    <w:left w:val="none" w:sz="0" w:space="0" w:color="auto"/>
                    <w:bottom w:val="none" w:sz="0" w:space="0" w:color="auto"/>
                    <w:right w:val="none" w:sz="0" w:space="0" w:color="auto"/>
                  </w:divBdr>
                </w:div>
              </w:divsChild>
            </w:div>
            <w:div w:id="126510061">
              <w:marLeft w:val="0"/>
              <w:marRight w:val="0"/>
              <w:marTop w:val="0"/>
              <w:marBottom w:val="0"/>
              <w:divBdr>
                <w:top w:val="none" w:sz="0" w:space="0" w:color="auto"/>
                <w:left w:val="none" w:sz="0" w:space="0" w:color="auto"/>
                <w:bottom w:val="none" w:sz="0" w:space="0" w:color="auto"/>
                <w:right w:val="none" w:sz="0" w:space="0" w:color="auto"/>
              </w:divBdr>
              <w:divsChild>
                <w:div w:id="2074424921">
                  <w:marLeft w:val="0"/>
                  <w:marRight w:val="0"/>
                  <w:marTop w:val="0"/>
                  <w:marBottom w:val="0"/>
                  <w:divBdr>
                    <w:top w:val="none" w:sz="0" w:space="0" w:color="auto"/>
                    <w:left w:val="none" w:sz="0" w:space="0" w:color="auto"/>
                    <w:bottom w:val="none" w:sz="0" w:space="0" w:color="auto"/>
                    <w:right w:val="none" w:sz="0" w:space="0" w:color="auto"/>
                  </w:divBdr>
                </w:div>
              </w:divsChild>
            </w:div>
            <w:div w:id="775100367">
              <w:marLeft w:val="0"/>
              <w:marRight w:val="0"/>
              <w:marTop w:val="0"/>
              <w:marBottom w:val="0"/>
              <w:divBdr>
                <w:top w:val="none" w:sz="0" w:space="0" w:color="auto"/>
                <w:left w:val="none" w:sz="0" w:space="0" w:color="auto"/>
                <w:bottom w:val="none" w:sz="0" w:space="0" w:color="auto"/>
                <w:right w:val="none" w:sz="0" w:space="0" w:color="auto"/>
              </w:divBdr>
              <w:divsChild>
                <w:div w:id="663238788">
                  <w:marLeft w:val="0"/>
                  <w:marRight w:val="0"/>
                  <w:marTop w:val="0"/>
                  <w:marBottom w:val="0"/>
                  <w:divBdr>
                    <w:top w:val="none" w:sz="0" w:space="0" w:color="auto"/>
                    <w:left w:val="none" w:sz="0" w:space="0" w:color="auto"/>
                    <w:bottom w:val="none" w:sz="0" w:space="0" w:color="auto"/>
                    <w:right w:val="none" w:sz="0" w:space="0" w:color="auto"/>
                  </w:divBdr>
                </w:div>
              </w:divsChild>
            </w:div>
            <w:div w:id="2089110711">
              <w:marLeft w:val="0"/>
              <w:marRight w:val="0"/>
              <w:marTop w:val="0"/>
              <w:marBottom w:val="0"/>
              <w:divBdr>
                <w:top w:val="none" w:sz="0" w:space="0" w:color="auto"/>
                <w:left w:val="none" w:sz="0" w:space="0" w:color="auto"/>
                <w:bottom w:val="none" w:sz="0" w:space="0" w:color="auto"/>
                <w:right w:val="none" w:sz="0" w:space="0" w:color="auto"/>
              </w:divBdr>
              <w:divsChild>
                <w:div w:id="7487018">
                  <w:marLeft w:val="0"/>
                  <w:marRight w:val="0"/>
                  <w:marTop w:val="0"/>
                  <w:marBottom w:val="0"/>
                  <w:divBdr>
                    <w:top w:val="none" w:sz="0" w:space="0" w:color="auto"/>
                    <w:left w:val="none" w:sz="0" w:space="0" w:color="auto"/>
                    <w:bottom w:val="none" w:sz="0" w:space="0" w:color="auto"/>
                    <w:right w:val="none" w:sz="0" w:space="0" w:color="auto"/>
                  </w:divBdr>
                </w:div>
              </w:divsChild>
            </w:div>
            <w:div w:id="1681009494">
              <w:marLeft w:val="0"/>
              <w:marRight w:val="0"/>
              <w:marTop w:val="0"/>
              <w:marBottom w:val="0"/>
              <w:divBdr>
                <w:top w:val="none" w:sz="0" w:space="0" w:color="auto"/>
                <w:left w:val="none" w:sz="0" w:space="0" w:color="auto"/>
                <w:bottom w:val="none" w:sz="0" w:space="0" w:color="auto"/>
                <w:right w:val="none" w:sz="0" w:space="0" w:color="auto"/>
              </w:divBdr>
              <w:divsChild>
                <w:div w:id="1633711929">
                  <w:marLeft w:val="0"/>
                  <w:marRight w:val="0"/>
                  <w:marTop w:val="0"/>
                  <w:marBottom w:val="0"/>
                  <w:divBdr>
                    <w:top w:val="none" w:sz="0" w:space="0" w:color="auto"/>
                    <w:left w:val="none" w:sz="0" w:space="0" w:color="auto"/>
                    <w:bottom w:val="none" w:sz="0" w:space="0" w:color="auto"/>
                    <w:right w:val="none" w:sz="0" w:space="0" w:color="auto"/>
                  </w:divBdr>
                </w:div>
              </w:divsChild>
            </w:div>
            <w:div w:id="831139569">
              <w:marLeft w:val="0"/>
              <w:marRight w:val="0"/>
              <w:marTop w:val="0"/>
              <w:marBottom w:val="0"/>
              <w:divBdr>
                <w:top w:val="none" w:sz="0" w:space="0" w:color="auto"/>
                <w:left w:val="none" w:sz="0" w:space="0" w:color="auto"/>
                <w:bottom w:val="none" w:sz="0" w:space="0" w:color="auto"/>
                <w:right w:val="none" w:sz="0" w:space="0" w:color="auto"/>
              </w:divBdr>
              <w:divsChild>
                <w:div w:id="293489657">
                  <w:marLeft w:val="0"/>
                  <w:marRight w:val="0"/>
                  <w:marTop w:val="0"/>
                  <w:marBottom w:val="0"/>
                  <w:divBdr>
                    <w:top w:val="none" w:sz="0" w:space="0" w:color="auto"/>
                    <w:left w:val="none" w:sz="0" w:space="0" w:color="auto"/>
                    <w:bottom w:val="none" w:sz="0" w:space="0" w:color="auto"/>
                    <w:right w:val="none" w:sz="0" w:space="0" w:color="auto"/>
                  </w:divBdr>
                </w:div>
              </w:divsChild>
            </w:div>
            <w:div w:id="1246919812">
              <w:marLeft w:val="0"/>
              <w:marRight w:val="0"/>
              <w:marTop w:val="0"/>
              <w:marBottom w:val="0"/>
              <w:divBdr>
                <w:top w:val="none" w:sz="0" w:space="0" w:color="auto"/>
                <w:left w:val="none" w:sz="0" w:space="0" w:color="auto"/>
                <w:bottom w:val="none" w:sz="0" w:space="0" w:color="auto"/>
                <w:right w:val="none" w:sz="0" w:space="0" w:color="auto"/>
              </w:divBdr>
              <w:divsChild>
                <w:div w:id="2069452614">
                  <w:marLeft w:val="0"/>
                  <w:marRight w:val="0"/>
                  <w:marTop w:val="0"/>
                  <w:marBottom w:val="0"/>
                  <w:divBdr>
                    <w:top w:val="none" w:sz="0" w:space="0" w:color="auto"/>
                    <w:left w:val="none" w:sz="0" w:space="0" w:color="auto"/>
                    <w:bottom w:val="none" w:sz="0" w:space="0" w:color="auto"/>
                    <w:right w:val="none" w:sz="0" w:space="0" w:color="auto"/>
                  </w:divBdr>
                </w:div>
              </w:divsChild>
            </w:div>
            <w:div w:id="593979950">
              <w:marLeft w:val="0"/>
              <w:marRight w:val="0"/>
              <w:marTop w:val="0"/>
              <w:marBottom w:val="0"/>
              <w:divBdr>
                <w:top w:val="none" w:sz="0" w:space="0" w:color="auto"/>
                <w:left w:val="none" w:sz="0" w:space="0" w:color="auto"/>
                <w:bottom w:val="none" w:sz="0" w:space="0" w:color="auto"/>
                <w:right w:val="none" w:sz="0" w:space="0" w:color="auto"/>
              </w:divBdr>
              <w:divsChild>
                <w:div w:id="2057468273">
                  <w:marLeft w:val="0"/>
                  <w:marRight w:val="0"/>
                  <w:marTop w:val="0"/>
                  <w:marBottom w:val="0"/>
                  <w:divBdr>
                    <w:top w:val="none" w:sz="0" w:space="0" w:color="auto"/>
                    <w:left w:val="none" w:sz="0" w:space="0" w:color="auto"/>
                    <w:bottom w:val="none" w:sz="0" w:space="0" w:color="auto"/>
                    <w:right w:val="none" w:sz="0" w:space="0" w:color="auto"/>
                  </w:divBdr>
                </w:div>
              </w:divsChild>
            </w:div>
            <w:div w:id="489907431">
              <w:marLeft w:val="0"/>
              <w:marRight w:val="0"/>
              <w:marTop w:val="0"/>
              <w:marBottom w:val="0"/>
              <w:divBdr>
                <w:top w:val="none" w:sz="0" w:space="0" w:color="auto"/>
                <w:left w:val="none" w:sz="0" w:space="0" w:color="auto"/>
                <w:bottom w:val="none" w:sz="0" w:space="0" w:color="auto"/>
                <w:right w:val="none" w:sz="0" w:space="0" w:color="auto"/>
              </w:divBdr>
              <w:divsChild>
                <w:div w:id="2084989186">
                  <w:marLeft w:val="0"/>
                  <w:marRight w:val="0"/>
                  <w:marTop w:val="0"/>
                  <w:marBottom w:val="0"/>
                  <w:divBdr>
                    <w:top w:val="none" w:sz="0" w:space="0" w:color="auto"/>
                    <w:left w:val="none" w:sz="0" w:space="0" w:color="auto"/>
                    <w:bottom w:val="none" w:sz="0" w:space="0" w:color="auto"/>
                    <w:right w:val="none" w:sz="0" w:space="0" w:color="auto"/>
                  </w:divBdr>
                </w:div>
              </w:divsChild>
            </w:div>
            <w:div w:id="119612383">
              <w:marLeft w:val="0"/>
              <w:marRight w:val="0"/>
              <w:marTop w:val="0"/>
              <w:marBottom w:val="0"/>
              <w:divBdr>
                <w:top w:val="none" w:sz="0" w:space="0" w:color="auto"/>
                <w:left w:val="none" w:sz="0" w:space="0" w:color="auto"/>
                <w:bottom w:val="none" w:sz="0" w:space="0" w:color="auto"/>
                <w:right w:val="none" w:sz="0" w:space="0" w:color="auto"/>
              </w:divBdr>
              <w:divsChild>
                <w:div w:id="702873850">
                  <w:marLeft w:val="0"/>
                  <w:marRight w:val="0"/>
                  <w:marTop w:val="0"/>
                  <w:marBottom w:val="0"/>
                  <w:divBdr>
                    <w:top w:val="none" w:sz="0" w:space="0" w:color="auto"/>
                    <w:left w:val="none" w:sz="0" w:space="0" w:color="auto"/>
                    <w:bottom w:val="none" w:sz="0" w:space="0" w:color="auto"/>
                    <w:right w:val="none" w:sz="0" w:space="0" w:color="auto"/>
                  </w:divBdr>
                </w:div>
              </w:divsChild>
            </w:div>
            <w:div w:id="2113818258">
              <w:marLeft w:val="0"/>
              <w:marRight w:val="0"/>
              <w:marTop w:val="0"/>
              <w:marBottom w:val="0"/>
              <w:divBdr>
                <w:top w:val="none" w:sz="0" w:space="0" w:color="auto"/>
                <w:left w:val="none" w:sz="0" w:space="0" w:color="auto"/>
                <w:bottom w:val="none" w:sz="0" w:space="0" w:color="auto"/>
                <w:right w:val="none" w:sz="0" w:space="0" w:color="auto"/>
              </w:divBdr>
              <w:divsChild>
                <w:div w:id="746194257">
                  <w:marLeft w:val="0"/>
                  <w:marRight w:val="0"/>
                  <w:marTop w:val="0"/>
                  <w:marBottom w:val="0"/>
                  <w:divBdr>
                    <w:top w:val="none" w:sz="0" w:space="0" w:color="auto"/>
                    <w:left w:val="none" w:sz="0" w:space="0" w:color="auto"/>
                    <w:bottom w:val="none" w:sz="0" w:space="0" w:color="auto"/>
                    <w:right w:val="none" w:sz="0" w:space="0" w:color="auto"/>
                  </w:divBdr>
                </w:div>
              </w:divsChild>
            </w:div>
            <w:div w:id="262956696">
              <w:marLeft w:val="0"/>
              <w:marRight w:val="0"/>
              <w:marTop w:val="0"/>
              <w:marBottom w:val="0"/>
              <w:divBdr>
                <w:top w:val="none" w:sz="0" w:space="0" w:color="auto"/>
                <w:left w:val="none" w:sz="0" w:space="0" w:color="auto"/>
                <w:bottom w:val="none" w:sz="0" w:space="0" w:color="auto"/>
                <w:right w:val="none" w:sz="0" w:space="0" w:color="auto"/>
              </w:divBdr>
              <w:divsChild>
                <w:div w:id="1287007285">
                  <w:marLeft w:val="0"/>
                  <w:marRight w:val="0"/>
                  <w:marTop w:val="0"/>
                  <w:marBottom w:val="0"/>
                  <w:divBdr>
                    <w:top w:val="none" w:sz="0" w:space="0" w:color="auto"/>
                    <w:left w:val="none" w:sz="0" w:space="0" w:color="auto"/>
                    <w:bottom w:val="none" w:sz="0" w:space="0" w:color="auto"/>
                    <w:right w:val="none" w:sz="0" w:space="0" w:color="auto"/>
                  </w:divBdr>
                </w:div>
              </w:divsChild>
            </w:div>
            <w:div w:id="887187450">
              <w:marLeft w:val="0"/>
              <w:marRight w:val="0"/>
              <w:marTop w:val="0"/>
              <w:marBottom w:val="0"/>
              <w:divBdr>
                <w:top w:val="none" w:sz="0" w:space="0" w:color="auto"/>
                <w:left w:val="none" w:sz="0" w:space="0" w:color="auto"/>
                <w:bottom w:val="none" w:sz="0" w:space="0" w:color="auto"/>
                <w:right w:val="none" w:sz="0" w:space="0" w:color="auto"/>
              </w:divBdr>
              <w:divsChild>
                <w:div w:id="2091535633">
                  <w:marLeft w:val="0"/>
                  <w:marRight w:val="0"/>
                  <w:marTop w:val="0"/>
                  <w:marBottom w:val="0"/>
                  <w:divBdr>
                    <w:top w:val="none" w:sz="0" w:space="0" w:color="auto"/>
                    <w:left w:val="none" w:sz="0" w:space="0" w:color="auto"/>
                    <w:bottom w:val="none" w:sz="0" w:space="0" w:color="auto"/>
                    <w:right w:val="none" w:sz="0" w:space="0" w:color="auto"/>
                  </w:divBdr>
                </w:div>
              </w:divsChild>
            </w:div>
            <w:div w:id="1466389185">
              <w:marLeft w:val="0"/>
              <w:marRight w:val="0"/>
              <w:marTop w:val="0"/>
              <w:marBottom w:val="0"/>
              <w:divBdr>
                <w:top w:val="none" w:sz="0" w:space="0" w:color="auto"/>
                <w:left w:val="none" w:sz="0" w:space="0" w:color="auto"/>
                <w:bottom w:val="none" w:sz="0" w:space="0" w:color="auto"/>
                <w:right w:val="none" w:sz="0" w:space="0" w:color="auto"/>
              </w:divBdr>
              <w:divsChild>
                <w:div w:id="2135247539">
                  <w:marLeft w:val="0"/>
                  <w:marRight w:val="0"/>
                  <w:marTop w:val="0"/>
                  <w:marBottom w:val="0"/>
                  <w:divBdr>
                    <w:top w:val="none" w:sz="0" w:space="0" w:color="auto"/>
                    <w:left w:val="none" w:sz="0" w:space="0" w:color="auto"/>
                    <w:bottom w:val="none" w:sz="0" w:space="0" w:color="auto"/>
                    <w:right w:val="none" w:sz="0" w:space="0" w:color="auto"/>
                  </w:divBdr>
                </w:div>
              </w:divsChild>
            </w:div>
            <w:div w:id="708720154">
              <w:marLeft w:val="0"/>
              <w:marRight w:val="0"/>
              <w:marTop w:val="0"/>
              <w:marBottom w:val="0"/>
              <w:divBdr>
                <w:top w:val="none" w:sz="0" w:space="0" w:color="auto"/>
                <w:left w:val="none" w:sz="0" w:space="0" w:color="auto"/>
                <w:bottom w:val="none" w:sz="0" w:space="0" w:color="auto"/>
                <w:right w:val="none" w:sz="0" w:space="0" w:color="auto"/>
              </w:divBdr>
              <w:divsChild>
                <w:div w:id="1254977888">
                  <w:marLeft w:val="0"/>
                  <w:marRight w:val="0"/>
                  <w:marTop w:val="0"/>
                  <w:marBottom w:val="0"/>
                  <w:divBdr>
                    <w:top w:val="none" w:sz="0" w:space="0" w:color="auto"/>
                    <w:left w:val="none" w:sz="0" w:space="0" w:color="auto"/>
                    <w:bottom w:val="none" w:sz="0" w:space="0" w:color="auto"/>
                    <w:right w:val="none" w:sz="0" w:space="0" w:color="auto"/>
                  </w:divBdr>
                </w:div>
              </w:divsChild>
            </w:div>
            <w:div w:id="449394687">
              <w:marLeft w:val="0"/>
              <w:marRight w:val="0"/>
              <w:marTop w:val="0"/>
              <w:marBottom w:val="0"/>
              <w:divBdr>
                <w:top w:val="none" w:sz="0" w:space="0" w:color="auto"/>
                <w:left w:val="none" w:sz="0" w:space="0" w:color="auto"/>
                <w:bottom w:val="none" w:sz="0" w:space="0" w:color="auto"/>
                <w:right w:val="none" w:sz="0" w:space="0" w:color="auto"/>
              </w:divBdr>
              <w:divsChild>
                <w:div w:id="289674449">
                  <w:marLeft w:val="0"/>
                  <w:marRight w:val="0"/>
                  <w:marTop w:val="0"/>
                  <w:marBottom w:val="0"/>
                  <w:divBdr>
                    <w:top w:val="none" w:sz="0" w:space="0" w:color="auto"/>
                    <w:left w:val="none" w:sz="0" w:space="0" w:color="auto"/>
                    <w:bottom w:val="none" w:sz="0" w:space="0" w:color="auto"/>
                    <w:right w:val="none" w:sz="0" w:space="0" w:color="auto"/>
                  </w:divBdr>
                </w:div>
              </w:divsChild>
            </w:div>
            <w:div w:id="2123643137">
              <w:marLeft w:val="0"/>
              <w:marRight w:val="0"/>
              <w:marTop w:val="0"/>
              <w:marBottom w:val="0"/>
              <w:divBdr>
                <w:top w:val="none" w:sz="0" w:space="0" w:color="auto"/>
                <w:left w:val="none" w:sz="0" w:space="0" w:color="auto"/>
                <w:bottom w:val="none" w:sz="0" w:space="0" w:color="auto"/>
                <w:right w:val="none" w:sz="0" w:space="0" w:color="auto"/>
              </w:divBdr>
              <w:divsChild>
                <w:div w:id="1499349697">
                  <w:marLeft w:val="0"/>
                  <w:marRight w:val="0"/>
                  <w:marTop w:val="0"/>
                  <w:marBottom w:val="0"/>
                  <w:divBdr>
                    <w:top w:val="none" w:sz="0" w:space="0" w:color="auto"/>
                    <w:left w:val="none" w:sz="0" w:space="0" w:color="auto"/>
                    <w:bottom w:val="none" w:sz="0" w:space="0" w:color="auto"/>
                    <w:right w:val="none" w:sz="0" w:space="0" w:color="auto"/>
                  </w:divBdr>
                </w:div>
              </w:divsChild>
            </w:div>
            <w:div w:id="1914004731">
              <w:marLeft w:val="0"/>
              <w:marRight w:val="0"/>
              <w:marTop w:val="0"/>
              <w:marBottom w:val="0"/>
              <w:divBdr>
                <w:top w:val="none" w:sz="0" w:space="0" w:color="auto"/>
                <w:left w:val="none" w:sz="0" w:space="0" w:color="auto"/>
                <w:bottom w:val="none" w:sz="0" w:space="0" w:color="auto"/>
                <w:right w:val="none" w:sz="0" w:space="0" w:color="auto"/>
              </w:divBdr>
              <w:divsChild>
                <w:div w:id="1792741507">
                  <w:marLeft w:val="0"/>
                  <w:marRight w:val="0"/>
                  <w:marTop w:val="0"/>
                  <w:marBottom w:val="0"/>
                  <w:divBdr>
                    <w:top w:val="none" w:sz="0" w:space="0" w:color="auto"/>
                    <w:left w:val="none" w:sz="0" w:space="0" w:color="auto"/>
                    <w:bottom w:val="none" w:sz="0" w:space="0" w:color="auto"/>
                    <w:right w:val="none" w:sz="0" w:space="0" w:color="auto"/>
                  </w:divBdr>
                </w:div>
              </w:divsChild>
            </w:div>
            <w:div w:id="1302033122">
              <w:marLeft w:val="0"/>
              <w:marRight w:val="0"/>
              <w:marTop w:val="0"/>
              <w:marBottom w:val="0"/>
              <w:divBdr>
                <w:top w:val="none" w:sz="0" w:space="0" w:color="auto"/>
                <w:left w:val="none" w:sz="0" w:space="0" w:color="auto"/>
                <w:bottom w:val="none" w:sz="0" w:space="0" w:color="auto"/>
                <w:right w:val="none" w:sz="0" w:space="0" w:color="auto"/>
              </w:divBdr>
              <w:divsChild>
                <w:div w:id="547642286">
                  <w:marLeft w:val="0"/>
                  <w:marRight w:val="0"/>
                  <w:marTop w:val="0"/>
                  <w:marBottom w:val="0"/>
                  <w:divBdr>
                    <w:top w:val="none" w:sz="0" w:space="0" w:color="auto"/>
                    <w:left w:val="none" w:sz="0" w:space="0" w:color="auto"/>
                    <w:bottom w:val="none" w:sz="0" w:space="0" w:color="auto"/>
                    <w:right w:val="none" w:sz="0" w:space="0" w:color="auto"/>
                  </w:divBdr>
                </w:div>
              </w:divsChild>
            </w:div>
            <w:div w:id="720861377">
              <w:marLeft w:val="0"/>
              <w:marRight w:val="0"/>
              <w:marTop w:val="0"/>
              <w:marBottom w:val="0"/>
              <w:divBdr>
                <w:top w:val="none" w:sz="0" w:space="0" w:color="auto"/>
                <w:left w:val="none" w:sz="0" w:space="0" w:color="auto"/>
                <w:bottom w:val="none" w:sz="0" w:space="0" w:color="auto"/>
                <w:right w:val="none" w:sz="0" w:space="0" w:color="auto"/>
              </w:divBdr>
              <w:divsChild>
                <w:div w:id="1763337554">
                  <w:marLeft w:val="0"/>
                  <w:marRight w:val="0"/>
                  <w:marTop w:val="0"/>
                  <w:marBottom w:val="0"/>
                  <w:divBdr>
                    <w:top w:val="none" w:sz="0" w:space="0" w:color="auto"/>
                    <w:left w:val="none" w:sz="0" w:space="0" w:color="auto"/>
                    <w:bottom w:val="none" w:sz="0" w:space="0" w:color="auto"/>
                    <w:right w:val="none" w:sz="0" w:space="0" w:color="auto"/>
                  </w:divBdr>
                </w:div>
              </w:divsChild>
            </w:div>
            <w:div w:id="1101343647">
              <w:marLeft w:val="0"/>
              <w:marRight w:val="0"/>
              <w:marTop w:val="0"/>
              <w:marBottom w:val="0"/>
              <w:divBdr>
                <w:top w:val="none" w:sz="0" w:space="0" w:color="auto"/>
                <w:left w:val="none" w:sz="0" w:space="0" w:color="auto"/>
                <w:bottom w:val="none" w:sz="0" w:space="0" w:color="auto"/>
                <w:right w:val="none" w:sz="0" w:space="0" w:color="auto"/>
              </w:divBdr>
              <w:divsChild>
                <w:div w:id="507795190">
                  <w:marLeft w:val="0"/>
                  <w:marRight w:val="0"/>
                  <w:marTop w:val="0"/>
                  <w:marBottom w:val="0"/>
                  <w:divBdr>
                    <w:top w:val="none" w:sz="0" w:space="0" w:color="auto"/>
                    <w:left w:val="none" w:sz="0" w:space="0" w:color="auto"/>
                    <w:bottom w:val="none" w:sz="0" w:space="0" w:color="auto"/>
                    <w:right w:val="none" w:sz="0" w:space="0" w:color="auto"/>
                  </w:divBdr>
                </w:div>
              </w:divsChild>
            </w:div>
            <w:div w:id="1969621176">
              <w:marLeft w:val="0"/>
              <w:marRight w:val="0"/>
              <w:marTop w:val="0"/>
              <w:marBottom w:val="0"/>
              <w:divBdr>
                <w:top w:val="none" w:sz="0" w:space="0" w:color="auto"/>
                <w:left w:val="none" w:sz="0" w:space="0" w:color="auto"/>
                <w:bottom w:val="none" w:sz="0" w:space="0" w:color="auto"/>
                <w:right w:val="none" w:sz="0" w:space="0" w:color="auto"/>
              </w:divBdr>
              <w:divsChild>
                <w:div w:id="2143964091">
                  <w:marLeft w:val="0"/>
                  <w:marRight w:val="0"/>
                  <w:marTop w:val="0"/>
                  <w:marBottom w:val="0"/>
                  <w:divBdr>
                    <w:top w:val="none" w:sz="0" w:space="0" w:color="auto"/>
                    <w:left w:val="none" w:sz="0" w:space="0" w:color="auto"/>
                    <w:bottom w:val="none" w:sz="0" w:space="0" w:color="auto"/>
                    <w:right w:val="none" w:sz="0" w:space="0" w:color="auto"/>
                  </w:divBdr>
                </w:div>
              </w:divsChild>
            </w:div>
            <w:div w:id="189606651">
              <w:marLeft w:val="0"/>
              <w:marRight w:val="0"/>
              <w:marTop w:val="0"/>
              <w:marBottom w:val="0"/>
              <w:divBdr>
                <w:top w:val="none" w:sz="0" w:space="0" w:color="auto"/>
                <w:left w:val="none" w:sz="0" w:space="0" w:color="auto"/>
                <w:bottom w:val="none" w:sz="0" w:space="0" w:color="auto"/>
                <w:right w:val="none" w:sz="0" w:space="0" w:color="auto"/>
              </w:divBdr>
              <w:divsChild>
                <w:div w:id="112675215">
                  <w:marLeft w:val="0"/>
                  <w:marRight w:val="0"/>
                  <w:marTop w:val="0"/>
                  <w:marBottom w:val="0"/>
                  <w:divBdr>
                    <w:top w:val="none" w:sz="0" w:space="0" w:color="auto"/>
                    <w:left w:val="none" w:sz="0" w:space="0" w:color="auto"/>
                    <w:bottom w:val="none" w:sz="0" w:space="0" w:color="auto"/>
                    <w:right w:val="none" w:sz="0" w:space="0" w:color="auto"/>
                  </w:divBdr>
                </w:div>
              </w:divsChild>
            </w:div>
            <w:div w:id="492648705">
              <w:marLeft w:val="0"/>
              <w:marRight w:val="0"/>
              <w:marTop w:val="0"/>
              <w:marBottom w:val="0"/>
              <w:divBdr>
                <w:top w:val="none" w:sz="0" w:space="0" w:color="auto"/>
                <w:left w:val="none" w:sz="0" w:space="0" w:color="auto"/>
                <w:bottom w:val="none" w:sz="0" w:space="0" w:color="auto"/>
                <w:right w:val="none" w:sz="0" w:space="0" w:color="auto"/>
              </w:divBdr>
              <w:divsChild>
                <w:div w:id="1790972903">
                  <w:marLeft w:val="0"/>
                  <w:marRight w:val="0"/>
                  <w:marTop w:val="0"/>
                  <w:marBottom w:val="0"/>
                  <w:divBdr>
                    <w:top w:val="none" w:sz="0" w:space="0" w:color="auto"/>
                    <w:left w:val="none" w:sz="0" w:space="0" w:color="auto"/>
                    <w:bottom w:val="none" w:sz="0" w:space="0" w:color="auto"/>
                    <w:right w:val="none" w:sz="0" w:space="0" w:color="auto"/>
                  </w:divBdr>
                </w:div>
              </w:divsChild>
            </w:div>
            <w:div w:id="706872289">
              <w:marLeft w:val="0"/>
              <w:marRight w:val="0"/>
              <w:marTop w:val="0"/>
              <w:marBottom w:val="0"/>
              <w:divBdr>
                <w:top w:val="none" w:sz="0" w:space="0" w:color="auto"/>
                <w:left w:val="none" w:sz="0" w:space="0" w:color="auto"/>
                <w:bottom w:val="none" w:sz="0" w:space="0" w:color="auto"/>
                <w:right w:val="none" w:sz="0" w:space="0" w:color="auto"/>
              </w:divBdr>
              <w:divsChild>
                <w:div w:id="1860780761">
                  <w:marLeft w:val="0"/>
                  <w:marRight w:val="0"/>
                  <w:marTop w:val="0"/>
                  <w:marBottom w:val="0"/>
                  <w:divBdr>
                    <w:top w:val="none" w:sz="0" w:space="0" w:color="auto"/>
                    <w:left w:val="none" w:sz="0" w:space="0" w:color="auto"/>
                    <w:bottom w:val="none" w:sz="0" w:space="0" w:color="auto"/>
                    <w:right w:val="none" w:sz="0" w:space="0" w:color="auto"/>
                  </w:divBdr>
                </w:div>
              </w:divsChild>
            </w:div>
            <w:div w:id="1435974234">
              <w:marLeft w:val="0"/>
              <w:marRight w:val="0"/>
              <w:marTop w:val="0"/>
              <w:marBottom w:val="0"/>
              <w:divBdr>
                <w:top w:val="none" w:sz="0" w:space="0" w:color="auto"/>
                <w:left w:val="none" w:sz="0" w:space="0" w:color="auto"/>
                <w:bottom w:val="none" w:sz="0" w:space="0" w:color="auto"/>
                <w:right w:val="none" w:sz="0" w:space="0" w:color="auto"/>
              </w:divBdr>
              <w:divsChild>
                <w:div w:id="1659648373">
                  <w:marLeft w:val="0"/>
                  <w:marRight w:val="0"/>
                  <w:marTop w:val="0"/>
                  <w:marBottom w:val="0"/>
                  <w:divBdr>
                    <w:top w:val="none" w:sz="0" w:space="0" w:color="auto"/>
                    <w:left w:val="none" w:sz="0" w:space="0" w:color="auto"/>
                    <w:bottom w:val="none" w:sz="0" w:space="0" w:color="auto"/>
                    <w:right w:val="none" w:sz="0" w:space="0" w:color="auto"/>
                  </w:divBdr>
                </w:div>
              </w:divsChild>
            </w:div>
            <w:div w:id="1828588376">
              <w:marLeft w:val="0"/>
              <w:marRight w:val="0"/>
              <w:marTop w:val="0"/>
              <w:marBottom w:val="0"/>
              <w:divBdr>
                <w:top w:val="none" w:sz="0" w:space="0" w:color="auto"/>
                <w:left w:val="none" w:sz="0" w:space="0" w:color="auto"/>
                <w:bottom w:val="none" w:sz="0" w:space="0" w:color="auto"/>
                <w:right w:val="none" w:sz="0" w:space="0" w:color="auto"/>
              </w:divBdr>
              <w:divsChild>
                <w:div w:id="583608112">
                  <w:marLeft w:val="0"/>
                  <w:marRight w:val="0"/>
                  <w:marTop w:val="0"/>
                  <w:marBottom w:val="0"/>
                  <w:divBdr>
                    <w:top w:val="none" w:sz="0" w:space="0" w:color="auto"/>
                    <w:left w:val="none" w:sz="0" w:space="0" w:color="auto"/>
                    <w:bottom w:val="none" w:sz="0" w:space="0" w:color="auto"/>
                    <w:right w:val="none" w:sz="0" w:space="0" w:color="auto"/>
                  </w:divBdr>
                </w:div>
              </w:divsChild>
            </w:div>
            <w:div w:id="549466225">
              <w:marLeft w:val="0"/>
              <w:marRight w:val="0"/>
              <w:marTop w:val="0"/>
              <w:marBottom w:val="0"/>
              <w:divBdr>
                <w:top w:val="none" w:sz="0" w:space="0" w:color="auto"/>
                <w:left w:val="none" w:sz="0" w:space="0" w:color="auto"/>
                <w:bottom w:val="none" w:sz="0" w:space="0" w:color="auto"/>
                <w:right w:val="none" w:sz="0" w:space="0" w:color="auto"/>
              </w:divBdr>
              <w:divsChild>
                <w:div w:id="1075592801">
                  <w:marLeft w:val="0"/>
                  <w:marRight w:val="0"/>
                  <w:marTop w:val="0"/>
                  <w:marBottom w:val="0"/>
                  <w:divBdr>
                    <w:top w:val="none" w:sz="0" w:space="0" w:color="auto"/>
                    <w:left w:val="none" w:sz="0" w:space="0" w:color="auto"/>
                    <w:bottom w:val="none" w:sz="0" w:space="0" w:color="auto"/>
                    <w:right w:val="none" w:sz="0" w:space="0" w:color="auto"/>
                  </w:divBdr>
                </w:div>
              </w:divsChild>
            </w:div>
            <w:div w:id="613101702">
              <w:marLeft w:val="0"/>
              <w:marRight w:val="0"/>
              <w:marTop w:val="0"/>
              <w:marBottom w:val="0"/>
              <w:divBdr>
                <w:top w:val="none" w:sz="0" w:space="0" w:color="auto"/>
                <w:left w:val="none" w:sz="0" w:space="0" w:color="auto"/>
                <w:bottom w:val="none" w:sz="0" w:space="0" w:color="auto"/>
                <w:right w:val="none" w:sz="0" w:space="0" w:color="auto"/>
              </w:divBdr>
              <w:divsChild>
                <w:div w:id="1791120271">
                  <w:marLeft w:val="0"/>
                  <w:marRight w:val="0"/>
                  <w:marTop w:val="0"/>
                  <w:marBottom w:val="0"/>
                  <w:divBdr>
                    <w:top w:val="none" w:sz="0" w:space="0" w:color="auto"/>
                    <w:left w:val="none" w:sz="0" w:space="0" w:color="auto"/>
                    <w:bottom w:val="none" w:sz="0" w:space="0" w:color="auto"/>
                    <w:right w:val="none" w:sz="0" w:space="0" w:color="auto"/>
                  </w:divBdr>
                </w:div>
              </w:divsChild>
            </w:div>
            <w:div w:id="754402172">
              <w:marLeft w:val="0"/>
              <w:marRight w:val="0"/>
              <w:marTop w:val="0"/>
              <w:marBottom w:val="0"/>
              <w:divBdr>
                <w:top w:val="none" w:sz="0" w:space="0" w:color="auto"/>
                <w:left w:val="none" w:sz="0" w:space="0" w:color="auto"/>
                <w:bottom w:val="none" w:sz="0" w:space="0" w:color="auto"/>
                <w:right w:val="none" w:sz="0" w:space="0" w:color="auto"/>
              </w:divBdr>
              <w:divsChild>
                <w:div w:id="328751495">
                  <w:marLeft w:val="0"/>
                  <w:marRight w:val="0"/>
                  <w:marTop w:val="0"/>
                  <w:marBottom w:val="0"/>
                  <w:divBdr>
                    <w:top w:val="none" w:sz="0" w:space="0" w:color="auto"/>
                    <w:left w:val="none" w:sz="0" w:space="0" w:color="auto"/>
                    <w:bottom w:val="none" w:sz="0" w:space="0" w:color="auto"/>
                    <w:right w:val="none" w:sz="0" w:space="0" w:color="auto"/>
                  </w:divBdr>
                </w:div>
              </w:divsChild>
            </w:div>
            <w:div w:id="1850636127">
              <w:marLeft w:val="0"/>
              <w:marRight w:val="0"/>
              <w:marTop w:val="0"/>
              <w:marBottom w:val="0"/>
              <w:divBdr>
                <w:top w:val="none" w:sz="0" w:space="0" w:color="auto"/>
                <w:left w:val="none" w:sz="0" w:space="0" w:color="auto"/>
                <w:bottom w:val="none" w:sz="0" w:space="0" w:color="auto"/>
                <w:right w:val="none" w:sz="0" w:space="0" w:color="auto"/>
              </w:divBdr>
              <w:divsChild>
                <w:div w:id="299120783">
                  <w:marLeft w:val="0"/>
                  <w:marRight w:val="0"/>
                  <w:marTop w:val="0"/>
                  <w:marBottom w:val="0"/>
                  <w:divBdr>
                    <w:top w:val="none" w:sz="0" w:space="0" w:color="auto"/>
                    <w:left w:val="none" w:sz="0" w:space="0" w:color="auto"/>
                    <w:bottom w:val="none" w:sz="0" w:space="0" w:color="auto"/>
                    <w:right w:val="none" w:sz="0" w:space="0" w:color="auto"/>
                  </w:divBdr>
                </w:div>
              </w:divsChild>
            </w:div>
            <w:div w:id="1796675966">
              <w:marLeft w:val="0"/>
              <w:marRight w:val="0"/>
              <w:marTop w:val="0"/>
              <w:marBottom w:val="0"/>
              <w:divBdr>
                <w:top w:val="none" w:sz="0" w:space="0" w:color="auto"/>
                <w:left w:val="none" w:sz="0" w:space="0" w:color="auto"/>
                <w:bottom w:val="none" w:sz="0" w:space="0" w:color="auto"/>
                <w:right w:val="none" w:sz="0" w:space="0" w:color="auto"/>
              </w:divBdr>
              <w:divsChild>
                <w:div w:id="436290220">
                  <w:marLeft w:val="0"/>
                  <w:marRight w:val="0"/>
                  <w:marTop w:val="0"/>
                  <w:marBottom w:val="0"/>
                  <w:divBdr>
                    <w:top w:val="none" w:sz="0" w:space="0" w:color="auto"/>
                    <w:left w:val="none" w:sz="0" w:space="0" w:color="auto"/>
                    <w:bottom w:val="none" w:sz="0" w:space="0" w:color="auto"/>
                    <w:right w:val="none" w:sz="0" w:space="0" w:color="auto"/>
                  </w:divBdr>
                </w:div>
              </w:divsChild>
            </w:div>
            <w:div w:id="1903758733">
              <w:marLeft w:val="0"/>
              <w:marRight w:val="0"/>
              <w:marTop w:val="0"/>
              <w:marBottom w:val="0"/>
              <w:divBdr>
                <w:top w:val="none" w:sz="0" w:space="0" w:color="auto"/>
                <w:left w:val="none" w:sz="0" w:space="0" w:color="auto"/>
                <w:bottom w:val="none" w:sz="0" w:space="0" w:color="auto"/>
                <w:right w:val="none" w:sz="0" w:space="0" w:color="auto"/>
              </w:divBdr>
              <w:divsChild>
                <w:div w:id="1993481491">
                  <w:marLeft w:val="0"/>
                  <w:marRight w:val="0"/>
                  <w:marTop w:val="0"/>
                  <w:marBottom w:val="0"/>
                  <w:divBdr>
                    <w:top w:val="none" w:sz="0" w:space="0" w:color="auto"/>
                    <w:left w:val="none" w:sz="0" w:space="0" w:color="auto"/>
                    <w:bottom w:val="none" w:sz="0" w:space="0" w:color="auto"/>
                    <w:right w:val="none" w:sz="0" w:space="0" w:color="auto"/>
                  </w:divBdr>
                </w:div>
              </w:divsChild>
            </w:div>
            <w:div w:id="1270091261">
              <w:marLeft w:val="0"/>
              <w:marRight w:val="0"/>
              <w:marTop w:val="0"/>
              <w:marBottom w:val="0"/>
              <w:divBdr>
                <w:top w:val="none" w:sz="0" w:space="0" w:color="auto"/>
                <w:left w:val="none" w:sz="0" w:space="0" w:color="auto"/>
                <w:bottom w:val="none" w:sz="0" w:space="0" w:color="auto"/>
                <w:right w:val="none" w:sz="0" w:space="0" w:color="auto"/>
              </w:divBdr>
              <w:divsChild>
                <w:div w:id="1500464248">
                  <w:marLeft w:val="0"/>
                  <w:marRight w:val="0"/>
                  <w:marTop w:val="0"/>
                  <w:marBottom w:val="0"/>
                  <w:divBdr>
                    <w:top w:val="none" w:sz="0" w:space="0" w:color="auto"/>
                    <w:left w:val="none" w:sz="0" w:space="0" w:color="auto"/>
                    <w:bottom w:val="none" w:sz="0" w:space="0" w:color="auto"/>
                    <w:right w:val="none" w:sz="0" w:space="0" w:color="auto"/>
                  </w:divBdr>
                </w:div>
              </w:divsChild>
            </w:div>
            <w:div w:id="71241556">
              <w:marLeft w:val="0"/>
              <w:marRight w:val="0"/>
              <w:marTop w:val="0"/>
              <w:marBottom w:val="0"/>
              <w:divBdr>
                <w:top w:val="none" w:sz="0" w:space="0" w:color="auto"/>
                <w:left w:val="none" w:sz="0" w:space="0" w:color="auto"/>
                <w:bottom w:val="none" w:sz="0" w:space="0" w:color="auto"/>
                <w:right w:val="none" w:sz="0" w:space="0" w:color="auto"/>
              </w:divBdr>
              <w:divsChild>
                <w:div w:id="707492656">
                  <w:marLeft w:val="0"/>
                  <w:marRight w:val="0"/>
                  <w:marTop w:val="0"/>
                  <w:marBottom w:val="0"/>
                  <w:divBdr>
                    <w:top w:val="none" w:sz="0" w:space="0" w:color="auto"/>
                    <w:left w:val="none" w:sz="0" w:space="0" w:color="auto"/>
                    <w:bottom w:val="none" w:sz="0" w:space="0" w:color="auto"/>
                    <w:right w:val="none" w:sz="0" w:space="0" w:color="auto"/>
                  </w:divBdr>
                </w:div>
              </w:divsChild>
            </w:div>
            <w:div w:id="1675910984">
              <w:marLeft w:val="0"/>
              <w:marRight w:val="0"/>
              <w:marTop w:val="0"/>
              <w:marBottom w:val="0"/>
              <w:divBdr>
                <w:top w:val="none" w:sz="0" w:space="0" w:color="auto"/>
                <w:left w:val="none" w:sz="0" w:space="0" w:color="auto"/>
                <w:bottom w:val="none" w:sz="0" w:space="0" w:color="auto"/>
                <w:right w:val="none" w:sz="0" w:space="0" w:color="auto"/>
              </w:divBdr>
              <w:divsChild>
                <w:div w:id="606542045">
                  <w:marLeft w:val="0"/>
                  <w:marRight w:val="0"/>
                  <w:marTop w:val="0"/>
                  <w:marBottom w:val="0"/>
                  <w:divBdr>
                    <w:top w:val="none" w:sz="0" w:space="0" w:color="auto"/>
                    <w:left w:val="none" w:sz="0" w:space="0" w:color="auto"/>
                    <w:bottom w:val="none" w:sz="0" w:space="0" w:color="auto"/>
                    <w:right w:val="none" w:sz="0" w:space="0" w:color="auto"/>
                  </w:divBdr>
                </w:div>
              </w:divsChild>
            </w:div>
            <w:div w:id="934896147">
              <w:marLeft w:val="0"/>
              <w:marRight w:val="0"/>
              <w:marTop w:val="0"/>
              <w:marBottom w:val="0"/>
              <w:divBdr>
                <w:top w:val="none" w:sz="0" w:space="0" w:color="auto"/>
                <w:left w:val="none" w:sz="0" w:space="0" w:color="auto"/>
                <w:bottom w:val="none" w:sz="0" w:space="0" w:color="auto"/>
                <w:right w:val="none" w:sz="0" w:space="0" w:color="auto"/>
              </w:divBdr>
              <w:divsChild>
                <w:div w:id="2112432636">
                  <w:marLeft w:val="0"/>
                  <w:marRight w:val="0"/>
                  <w:marTop w:val="0"/>
                  <w:marBottom w:val="0"/>
                  <w:divBdr>
                    <w:top w:val="none" w:sz="0" w:space="0" w:color="auto"/>
                    <w:left w:val="none" w:sz="0" w:space="0" w:color="auto"/>
                    <w:bottom w:val="none" w:sz="0" w:space="0" w:color="auto"/>
                    <w:right w:val="none" w:sz="0" w:space="0" w:color="auto"/>
                  </w:divBdr>
                </w:div>
              </w:divsChild>
            </w:div>
            <w:div w:id="26681596">
              <w:marLeft w:val="0"/>
              <w:marRight w:val="0"/>
              <w:marTop w:val="0"/>
              <w:marBottom w:val="0"/>
              <w:divBdr>
                <w:top w:val="none" w:sz="0" w:space="0" w:color="auto"/>
                <w:left w:val="none" w:sz="0" w:space="0" w:color="auto"/>
                <w:bottom w:val="none" w:sz="0" w:space="0" w:color="auto"/>
                <w:right w:val="none" w:sz="0" w:space="0" w:color="auto"/>
              </w:divBdr>
              <w:divsChild>
                <w:div w:id="100300078">
                  <w:marLeft w:val="0"/>
                  <w:marRight w:val="0"/>
                  <w:marTop w:val="0"/>
                  <w:marBottom w:val="0"/>
                  <w:divBdr>
                    <w:top w:val="none" w:sz="0" w:space="0" w:color="auto"/>
                    <w:left w:val="none" w:sz="0" w:space="0" w:color="auto"/>
                    <w:bottom w:val="none" w:sz="0" w:space="0" w:color="auto"/>
                    <w:right w:val="none" w:sz="0" w:space="0" w:color="auto"/>
                  </w:divBdr>
                </w:div>
              </w:divsChild>
            </w:div>
            <w:div w:id="743143673">
              <w:marLeft w:val="0"/>
              <w:marRight w:val="0"/>
              <w:marTop w:val="0"/>
              <w:marBottom w:val="0"/>
              <w:divBdr>
                <w:top w:val="none" w:sz="0" w:space="0" w:color="auto"/>
                <w:left w:val="none" w:sz="0" w:space="0" w:color="auto"/>
                <w:bottom w:val="none" w:sz="0" w:space="0" w:color="auto"/>
                <w:right w:val="none" w:sz="0" w:space="0" w:color="auto"/>
              </w:divBdr>
              <w:divsChild>
                <w:div w:id="2020082596">
                  <w:marLeft w:val="0"/>
                  <w:marRight w:val="0"/>
                  <w:marTop w:val="0"/>
                  <w:marBottom w:val="0"/>
                  <w:divBdr>
                    <w:top w:val="none" w:sz="0" w:space="0" w:color="auto"/>
                    <w:left w:val="none" w:sz="0" w:space="0" w:color="auto"/>
                    <w:bottom w:val="none" w:sz="0" w:space="0" w:color="auto"/>
                    <w:right w:val="none" w:sz="0" w:space="0" w:color="auto"/>
                  </w:divBdr>
                </w:div>
              </w:divsChild>
            </w:div>
            <w:div w:id="1801192104">
              <w:marLeft w:val="0"/>
              <w:marRight w:val="0"/>
              <w:marTop w:val="0"/>
              <w:marBottom w:val="0"/>
              <w:divBdr>
                <w:top w:val="none" w:sz="0" w:space="0" w:color="auto"/>
                <w:left w:val="none" w:sz="0" w:space="0" w:color="auto"/>
                <w:bottom w:val="none" w:sz="0" w:space="0" w:color="auto"/>
                <w:right w:val="none" w:sz="0" w:space="0" w:color="auto"/>
              </w:divBdr>
              <w:divsChild>
                <w:div w:id="392433184">
                  <w:marLeft w:val="0"/>
                  <w:marRight w:val="0"/>
                  <w:marTop w:val="0"/>
                  <w:marBottom w:val="0"/>
                  <w:divBdr>
                    <w:top w:val="none" w:sz="0" w:space="0" w:color="auto"/>
                    <w:left w:val="none" w:sz="0" w:space="0" w:color="auto"/>
                    <w:bottom w:val="none" w:sz="0" w:space="0" w:color="auto"/>
                    <w:right w:val="none" w:sz="0" w:space="0" w:color="auto"/>
                  </w:divBdr>
                </w:div>
              </w:divsChild>
            </w:div>
            <w:div w:id="799035779">
              <w:marLeft w:val="0"/>
              <w:marRight w:val="0"/>
              <w:marTop w:val="0"/>
              <w:marBottom w:val="0"/>
              <w:divBdr>
                <w:top w:val="none" w:sz="0" w:space="0" w:color="auto"/>
                <w:left w:val="none" w:sz="0" w:space="0" w:color="auto"/>
                <w:bottom w:val="none" w:sz="0" w:space="0" w:color="auto"/>
                <w:right w:val="none" w:sz="0" w:space="0" w:color="auto"/>
              </w:divBdr>
              <w:divsChild>
                <w:div w:id="2010138780">
                  <w:marLeft w:val="0"/>
                  <w:marRight w:val="0"/>
                  <w:marTop w:val="0"/>
                  <w:marBottom w:val="0"/>
                  <w:divBdr>
                    <w:top w:val="none" w:sz="0" w:space="0" w:color="auto"/>
                    <w:left w:val="none" w:sz="0" w:space="0" w:color="auto"/>
                    <w:bottom w:val="none" w:sz="0" w:space="0" w:color="auto"/>
                    <w:right w:val="none" w:sz="0" w:space="0" w:color="auto"/>
                  </w:divBdr>
                </w:div>
              </w:divsChild>
            </w:div>
            <w:div w:id="1692103420">
              <w:marLeft w:val="0"/>
              <w:marRight w:val="0"/>
              <w:marTop w:val="0"/>
              <w:marBottom w:val="0"/>
              <w:divBdr>
                <w:top w:val="none" w:sz="0" w:space="0" w:color="auto"/>
                <w:left w:val="none" w:sz="0" w:space="0" w:color="auto"/>
                <w:bottom w:val="none" w:sz="0" w:space="0" w:color="auto"/>
                <w:right w:val="none" w:sz="0" w:space="0" w:color="auto"/>
              </w:divBdr>
              <w:divsChild>
                <w:div w:id="7921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3970">
          <w:marLeft w:val="0"/>
          <w:marRight w:val="0"/>
          <w:marTop w:val="0"/>
          <w:marBottom w:val="600"/>
          <w:divBdr>
            <w:top w:val="none" w:sz="0" w:space="0" w:color="auto"/>
            <w:left w:val="none" w:sz="0" w:space="0" w:color="auto"/>
            <w:bottom w:val="none" w:sz="0" w:space="0" w:color="auto"/>
            <w:right w:val="none" w:sz="0" w:space="0" w:color="auto"/>
          </w:divBdr>
        </w:div>
      </w:divsChild>
    </w:div>
    <w:div w:id="1884635064">
      <w:marLeft w:val="0"/>
      <w:marRight w:val="0"/>
      <w:marTop w:val="0"/>
      <w:marBottom w:val="0"/>
      <w:divBdr>
        <w:top w:val="none" w:sz="0" w:space="0" w:color="auto"/>
        <w:left w:val="none" w:sz="0" w:space="0" w:color="auto"/>
        <w:bottom w:val="none" w:sz="0" w:space="0" w:color="auto"/>
        <w:right w:val="none" w:sz="0" w:space="0" w:color="auto"/>
      </w:divBdr>
      <w:divsChild>
        <w:div w:id="503470198">
          <w:marLeft w:val="0"/>
          <w:marRight w:val="0"/>
          <w:marTop w:val="432"/>
          <w:marBottom w:val="0"/>
          <w:divBdr>
            <w:top w:val="none" w:sz="0" w:space="0" w:color="auto"/>
            <w:left w:val="none" w:sz="0" w:space="0" w:color="auto"/>
            <w:bottom w:val="none" w:sz="0" w:space="0" w:color="auto"/>
            <w:right w:val="none" w:sz="0" w:space="0" w:color="auto"/>
          </w:divBdr>
        </w:div>
        <w:div w:id="2075856399">
          <w:marLeft w:val="0"/>
          <w:marRight w:val="0"/>
          <w:marTop w:val="0"/>
          <w:marBottom w:val="0"/>
          <w:divBdr>
            <w:top w:val="none" w:sz="0" w:space="0" w:color="auto"/>
            <w:left w:val="none" w:sz="0" w:space="0" w:color="auto"/>
            <w:bottom w:val="none" w:sz="0" w:space="0" w:color="auto"/>
            <w:right w:val="none" w:sz="0" w:space="0" w:color="auto"/>
          </w:divBdr>
          <w:divsChild>
            <w:div w:id="636840246">
              <w:marLeft w:val="0"/>
              <w:marRight w:val="0"/>
              <w:marTop w:val="0"/>
              <w:marBottom w:val="0"/>
              <w:divBdr>
                <w:top w:val="none" w:sz="0" w:space="0" w:color="auto"/>
                <w:left w:val="none" w:sz="0" w:space="0" w:color="auto"/>
                <w:bottom w:val="none" w:sz="0" w:space="0" w:color="auto"/>
                <w:right w:val="none" w:sz="0" w:space="0" w:color="auto"/>
              </w:divBdr>
              <w:divsChild>
                <w:div w:id="1098065200">
                  <w:marLeft w:val="0"/>
                  <w:marRight w:val="0"/>
                  <w:marTop w:val="0"/>
                  <w:marBottom w:val="0"/>
                  <w:divBdr>
                    <w:top w:val="none" w:sz="0" w:space="0" w:color="auto"/>
                    <w:left w:val="none" w:sz="0" w:space="0" w:color="auto"/>
                    <w:bottom w:val="none" w:sz="0" w:space="0" w:color="auto"/>
                    <w:right w:val="none" w:sz="0" w:space="0" w:color="auto"/>
                  </w:divBdr>
                </w:div>
              </w:divsChild>
            </w:div>
            <w:div w:id="88890496">
              <w:marLeft w:val="0"/>
              <w:marRight w:val="0"/>
              <w:marTop w:val="0"/>
              <w:marBottom w:val="0"/>
              <w:divBdr>
                <w:top w:val="none" w:sz="0" w:space="0" w:color="auto"/>
                <w:left w:val="none" w:sz="0" w:space="0" w:color="auto"/>
                <w:bottom w:val="none" w:sz="0" w:space="0" w:color="auto"/>
                <w:right w:val="none" w:sz="0" w:space="0" w:color="auto"/>
              </w:divBdr>
              <w:divsChild>
                <w:div w:id="1417360251">
                  <w:marLeft w:val="0"/>
                  <w:marRight w:val="0"/>
                  <w:marTop w:val="0"/>
                  <w:marBottom w:val="0"/>
                  <w:divBdr>
                    <w:top w:val="none" w:sz="0" w:space="0" w:color="auto"/>
                    <w:left w:val="none" w:sz="0" w:space="0" w:color="auto"/>
                    <w:bottom w:val="none" w:sz="0" w:space="0" w:color="auto"/>
                    <w:right w:val="none" w:sz="0" w:space="0" w:color="auto"/>
                  </w:divBdr>
                </w:div>
              </w:divsChild>
            </w:div>
            <w:div w:id="2135833147">
              <w:marLeft w:val="0"/>
              <w:marRight w:val="0"/>
              <w:marTop w:val="0"/>
              <w:marBottom w:val="0"/>
              <w:divBdr>
                <w:top w:val="none" w:sz="0" w:space="0" w:color="auto"/>
                <w:left w:val="none" w:sz="0" w:space="0" w:color="auto"/>
                <w:bottom w:val="none" w:sz="0" w:space="0" w:color="auto"/>
                <w:right w:val="none" w:sz="0" w:space="0" w:color="auto"/>
              </w:divBdr>
              <w:divsChild>
                <w:div w:id="817648502">
                  <w:marLeft w:val="0"/>
                  <w:marRight w:val="0"/>
                  <w:marTop w:val="0"/>
                  <w:marBottom w:val="0"/>
                  <w:divBdr>
                    <w:top w:val="none" w:sz="0" w:space="0" w:color="auto"/>
                    <w:left w:val="none" w:sz="0" w:space="0" w:color="auto"/>
                    <w:bottom w:val="none" w:sz="0" w:space="0" w:color="auto"/>
                    <w:right w:val="none" w:sz="0" w:space="0" w:color="auto"/>
                  </w:divBdr>
                </w:div>
              </w:divsChild>
            </w:div>
            <w:div w:id="861556597">
              <w:marLeft w:val="0"/>
              <w:marRight w:val="0"/>
              <w:marTop w:val="0"/>
              <w:marBottom w:val="0"/>
              <w:divBdr>
                <w:top w:val="none" w:sz="0" w:space="0" w:color="auto"/>
                <w:left w:val="none" w:sz="0" w:space="0" w:color="auto"/>
                <w:bottom w:val="none" w:sz="0" w:space="0" w:color="auto"/>
                <w:right w:val="none" w:sz="0" w:space="0" w:color="auto"/>
              </w:divBdr>
              <w:divsChild>
                <w:div w:id="65495495">
                  <w:marLeft w:val="0"/>
                  <w:marRight w:val="0"/>
                  <w:marTop w:val="0"/>
                  <w:marBottom w:val="0"/>
                  <w:divBdr>
                    <w:top w:val="none" w:sz="0" w:space="0" w:color="auto"/>
                    <w:left w:val="none" w:sz="0" w:space="0" w:color="auto"/>
                    <w:bottom w:val="none" w:sz="0" w:space="0" w:color="auto"/>
                    <w:right w:val="none" w:sz="0" w:space="0" w:color="auto"/>
                  </w:divBdr>
                </w:div>
              </w:divsChild>
            </w:div>
            <w:div w:id="561598814">
              <w:marLeft w:val="0"/>
              <w:marRight w:val="0"/>
              <w:marTop w:val="0"/>
              <w:marBottom w:val="0"/>
              <w:divBdr>
                <w:top w:val="none" w:sz="0" w:space="0" w:color="auto"/>
                <w:left w:val="none" w:sz="0" w:space="0" w:color="auto"/>
                <w:bottom w:val="none" w:sz="0" w:space="0" w:color="auto"/>
                <w:right w:val="none" w:sz="0" w:space="0" w:color="auto"/>
              </w:divBdr>
              <w:divsChild>
                <w:div w:id="1629780608">
                  <w:marLeft w:val="0"/>
                  <w:marRight w:val="0"/>
                  <w:marTop w:val="0"/>
                  <w:marBottom w:val="0"/>
                  <w:divBdr>
                    <w:top w:val="none" w:sz="0" w:space="0" w:color="auto"/>
                    <w:left w:val="none" w:sz="0" w:space="0" w:color="auto"/>
                    <w:bottom w:val="none" w:sz="0" w:space="0" w:color="auto"/>
                    <w:right w:val="none" w:sz="0" w:space="0" w:color="auto"/>
                  </w:divBdr>
                </w:div>
              </w:divsChild>
            </w:div>
            <w:div w:id="689570892">
              <w:marLeft w:val="0"/>
              <w:marRight w:val="0"/>
              <w:marTop w:val="0"/>
              <w:marBottom w:val="0"/>
              <w:divBdr>
                <w:top w:val="none" w:sz="0" w:space="0" w:color="auto"/>
                <w:left w:val="none" w:sz="0" w:space="0" w:color="auto"/>
                <w:bottom w:val="none" w:sz="0" w:space="0" w:color="auto"/>
                <w:right w:val="none" w:sz="0" w:space="0" w:color="auto"/>
              </w:divBdr>
              <w:divsChild>
                <w:div w:id="798373649">
                  <w:marLeft w:val="0"/>
                  <w:marRight w:val="0"/>
                  <w:marTop w:val="0"/>
                  <w:marBottom w:val="0"/>
                  <w:divBdr>
                    <w:top w:val="none" w:sz="0" w:space="0" w:color="auto"/>
                    <w:left w:val="none" w:sz="0" w:space="0" w:color="auto"/>
                    <w:bottom w:val="none" w:sz="0" w:space="0" w:color="auto"/>
                    <w:right w:val="none" w:sz="0" w:space="0" w:color="auto"/>
                  </w:divBdr>
                </w:div>
              </w:divsChild>
            </w:div>
            <w:div w:id="91363632">
              <w:marLeft w:val="0"/>
              <w:marRight w:val="0"/>
              <w:marTop w:val="0"/>
              <w:marBottom w:val="0"/>
              <w:divBdr>
                <w:top w:val="none" w:sz="0" w:space="0" w:color="auto"/>
                <w:left w:val="none" w:sz="0" w:space="0" w:color="auto"/>
                <w:bottom w:val="none" w:sz="0" w:space="0" w:color="auto"/>
                <w:right w:val="none" w:sz="0" w:space="0" w:color="auto"/>
              </w:divBdr>
              <w:divsChild>
                <w:div w:id="1827352800">
                  <w:marLeft w:val="0"/>
                  <w:marRight w:val="0"/>
                  <w:marTop w:val="0"/>
                  <w:marBottom w:val="0"/>
                  <w:divBdr>
                    <w:top w:val="none" w:sz="0" w:space="0" w:color="auto"/>
                    <w:left w:val="none" w:sz="0" w:space="0" w:color="auto"/>
                    <w:bottom w:val="none" w:sz="0" w:space="0" w:color="auto"/>
                    <w:right w:val="none" w:sz="0" w:space="0" w:color="auto"/>
                  </w:divBdr>
                </w:div>
              </w:divsChild>
            </w:div>
            <w:div w:id="1753426555">
              <w:marLeft w:val="0"/>
              <w:marRight w:val="0"/>
              <w:marTop w:val="0"/>
              <w:marBottom w:val="0"/>
              <w:divBdr>
                <w:top w:val="none" w:sz="0" w:space="0" w:color="auto"/>
                <w:left w:val="none" w:sz="0" w:space="0" w:color="auto"/>
                <w:bottom w:val="none" w:sz="0" w:space="0" w:color="auto"/>
                <w:right w:val="none" w:sz="0" w:space="0" w:color="auto"/>
              </w:divBdr>
              <w:divsChild>
                <w:div w:id="1201822265">
                  <w:marLeft w:val="0"/>
                  <w:marRight w:val="0"/>
                  <w:marTop w:val="0"/>
                  <w:marBottom w:val="0"/>
                  <w:divBdr>
                    <w:top w:val="none" w:sz="0" w:space="0" w:color="auto"/>
                    <w:left w:val="none" w:sz="0" w:space="0" w:color="auto"/>
                    <w:bottom w:val="none" w:sz="0" w:space="0" w:color="auto"/>
                    <w:right w:val="none" w:sz="0" w:space="0" w:color="auto"/>
                  </w:divBdr>
                </w:div>
              </w:divsChild>
            </w:div>
            <w:div w:id="1752312755">
              <w:marLeft w:val="0"/>
              <w:marRight w:val="0"/>
              <w:marTop w:val="0"/>
              <w:marBottom w:val="0"/>
              <w:divBdr>
                <w:top w:val="none" w:sz="0" w:space="0" w:color="auto"/>
                <w:left w:val="none" w:sz="0" w:space="0" w:color="auto"/>
                <w:bottom w:val="none" w:sz="0" w:space="0" w:color="auto"/>
                <w:right w:val="none" w:sz="0" w:space="0" w:color="auto"/>
              </w:divBdr>
              <w:divsChild>
                <w:div w:id="862938505">
                  <w:marLeft w:val="0"/>
                  <w:marRight w:val="0"/>
                  <w:marTop w:val="0"/>
                  <w:marBottom w:val="0"/>
                  <w:divBdr>
                    <w:top w:val="none" w:sz="0" w:space="0" w:color="auto"/>
                    <w:left w:val="none" w:sz="0" w:space="0" w:color="auto"/>
                    <w:bottom w:val="none" w:sz="0" w:space="0" w:color="auto"/>
                    <w:right w:val="none" w:sz="0" w:space="0" w:color="auto"/>
                  </w:divBdr>
                </w:div>
              </w:divsChild>
            </w:div>
            <w:div w:id="448822713">
              <w:marLeft w:val="0"/>
              <w:marRight w:val="0"/>
              <w:marTop w:val="0"/>
              <w:marBottom w:val="0"/>
              <w:divBdr>
                <w:top w:val="none" w:sz="0" w:space="0" w:color="auto"/>
                <w:left w:val="none" w:sz="0" w:space="0" w:color="auto"/>
                <w:bottom w:val="none" w:sz="0" w:space="0" w:color="auto"/>
                <w:right w:val="none" w:sz="0" w:space="0" w:color="auto"/>
              </w:divBdr>
              <w:divsChild>
                <w:div w:id="92358551">
                  <w:marLeft w:val="0"/>
                  <w:marRight w:val="0"/>
                  <w:marTop w:val="0"/>
                  <w:marBottom w:val="0"/>
                  <w:divBdr>
                    <w:top w:val="none" w:sz="0" w:space="0" w:color="auto"/>
                    <w:left w:val="none" w:sz="0" w:space="0" w:color="auto"/>
                    <w:bottom w:val="none" w:sz="0" w:space="0" w:color="auto"/>
                    <w:right w:val="none" w:sz="0" w:space="0" w:color="auto"/>
                  </w:divBdr>
                </w:div>
              </w:divsChild>
            </w:div>
            <w:div w:id="674765273">
              <w:marLeft w:val="0"/>
              <w:marRight w:val="0"/>
              <w:marTop w:val="0"/>
              <w:marBottom w:val="0"/>
              <w:divBdr>
                <w:top w:val="none" w:sz="0" w:space="0" w:color="auto"/>
                <w:left w:val="none" w:sz="0" w:space="0" w:color="auto"/>
                <w:bottom w:val="none" w:sz="0" w:space="0" w:color="auto"/>
                <w:right w:val="none" w:sz="0" w:space="0" w:color="auto"/>
              </w:divBdr>
              <w:divsChild>
                <w:div w:id="1591088527">
                  <w:marLeft w:val="0"/>
                  <w:marRight w:val="0"/>
                  <w:marTop w:val="0"/>
                  <w:marBottom w:val="0"/>
                  <w:divBdr>
                    <w:top w:val="none" w:sz="0" w:space="0" w:color="auto"/>
                    <w:left w:val="none" w:sz="0" w:space="0" w:color="auto"/>
                    <w:bottom w:val="none" w:sz="0" w:space="0" w:color="auto"/>
                    <w:right w:val="none" w:sz="0" w:space="0" w:color="auto"/>
                  </w:divBdr>
                </w:div>
              </w:divsChild>
            </w:div>
            <w:div w:id="1489245733">
              <w:marLeft w:val="0"/>
              <w:marRight w:val="0"/>
              <w:marTop w:val="0"/>
              <w:marBottom w:val="0"/>
              <w:divBdr>
                <w:top w:val="none" w:sz="0" w:space="0" w:color="auto"/>
                <w:left w:val="none" w:sz="0" w:space="0" w:color="auto"/>
                <w:bottom w:val="none" w:sz="0" w:space="0" w:color="auto"/>
                <w:right w:val="none" w:sz="0" w:space="0" w:color="auto"/>
              </w:divBdr>
              <w:divsChild>
                <w:div w:id="862405732">
                  <w:marLeft w:val="0"/>
                  <w:marRight w:val="0"/>
                  <w:marTop w:val="0"/>
                  <w:marBottom w:val="0"/>
                  <w:divBdr>
                    <w:top w:val="none" w:sz="0" w:space="0" w:color="auto"/>
                    <w:left w:val="none" w:sz="0" w:space="0" w:color="auto"/>
                    <w:bottom w:val="none" w:sz="0" w:space="0" w:color="auto"/>
                    <w:right w:val="none" w:sz="0" w:space="0" w:color="auto"/>
                  </w:divBdr>
                </w:div>
              </w:divsChild>
            </w:div>
            <w:div w:id="2030714169">
              <w:marLeft w:val="0"/>
              <w:marRight w:val="0"/>
              <w:marTop w:val="0"/>
              <w:marBottom w:val="0"/>
              <w:divBdr>
                <w:top w:val="none" w:sz="0" w:space="0" w:color="auto"/>
                <w:left w:val="none" w:sz="0" w:space="0" w:color="auto"/>
                <w:bottom w:val="none" w:sz="0" w:space="0" w:color="auto"/>
                <w:right w:val="none" w:sz="0" w:space="0" w:color="auto"/>
              </w:divBdr>
              <w:divsChild>
                <w:div w:id="1540587288">
                  <w:marLeft w:val="0"/>
                  <w:marRight w:val="0"/>
                  <w:marTop w:val="0"/>
                  <w:marBottom w:val="0"/>
                  <w:divBdr>
                    <w:top w:val="none" w:sz="0" w:space="0" w:color="auto"/>
                    <w:left w:val="none" w:sz="0" w:space="0" w:color="auto"/>
                    <w:bottom w:val="none" w:sz="0" w:space="0" w:color="auto"/>
                    <w:right w:val="none" w:sz="0" w:space="0" w:color="auto"/>
                  </w:divBdr>
                </w:div>
              </w:divsChild>
            </w:div>
            <w:div w:id="1941915308">
              <w:marLeft w:val="0"/>
              <w:marRight w:val="0"/>
              <w:marTop w:val="0"/>
              <w:marBottom w:val="0"/>
              <w:divBdr>
                <w:top w:val="none" w:sz="0" w:space="0" w:color="auto"/>
                <w:left w:val="none" w:sz="0" w:space="0" w:color="auto"/>
                <w:bottom w:val="none" w:sz="0" w:space="0" w:color="auto"/>
                <w:right w:val="none" w:sz="0" w:space="0" w:color="auto"/>
              </w:divBdr>
              <w:divsChild>
                <w:div w:id="1583484335">
                  <w:marLeft w:val="0"/>
                  <w:marRight w:val="0"/>
                  <w:marTop w:val="0"/>
                  <w:marBottom w:val="0"/>
                  <w:divBdr>
                    <w:top w:val="none" w:sz="0" w:space="0" w:color="auto"/>
                    <w:left w:val="none" w:sz="0" w:space="0" w:color="auto"/>
                    <w:bottom w:val="none" w:sz="0" w:space="0" w:color="auto"/>
                    <w:right w:val="none" w:sz="0" w:space="0" w:color="auto"/>
                  </w:divBdr>
                </w:div>
              </w:divsChild>
            </w:div>
            <w:div w:id="795098084">
              <w:marLeft w:val="0"/>
              <w:marRight w:val="0"/>
              <w:marTop w:val="0"/>
              <w:marBottom w:val="0"/>
              <w:divBdr>
                <w:top w:val="none" w:sz="0" w:space="0" w:color="auto"/>
                <w:left w:val="none" w:sz="0" w:space="0" w:color="auto"/>
                <w:bottom w:val="none" w:sz="0" w:space="0" w:color="auto"/>
                <w:right w:val="none" w:sz="0" w:space="0" w:color="auto"/>
              </w:divBdr>
              <w:divsChild>
                <w:div w:id="1313027350">
                  <w:marLeft w:val="0"/>
                  <w:marRight w:val="0"/>
                  <w:marTop w:val="0"/>
                  <w:marBottom w:val="0"/>
                  <w:divBdr>
                    <w:top w:val="none" w:sz="0" w:space="0" w:color="auto"/>
                    <w:left w:val="none" w:sz="0" w:space="0" w:color="auto"/>
                    <w:bottom w:val="none" w:sz="0" w:space="0" w:color="auto"/>
                    <w:right w:val="none" w:sz="0" w:space="0" w:color="auto"/>
                  </w:divBdr>
                </w:div>
              </w:divsChild>
            </w:div>
            <w:div w:id="358775399">
              <w:marLeft w:val="0"/>
              <w:marRight w:val="0"/>
              <w:marTop w:val="0"/>
              <w:marBottom w:val="0"/>
              <w:divBdr>
                <w:top w:val="none" w:sz="0" w:space="0" w:color="auto"/>
                <w:left w:val="none" w:sz="0" w:space="0" w:color="auto"/>
                <w:bottom w:val="none" w:sz="0" w:space="0" w:color="auto"/>
                <w:right w:val="none" w:sz="0" w:space="0" w:color="auto"/>
              </w:divBdr>
              <w:divsChild>
                <w:div w:id="551115963">
                  <w:marLeft w:val="0"/>
                  <w:marRight w:val="0"/>
                  <w:marTop w:val="0"/>
                  <w:marBottom w:val="0"/>
                  <w:divBdr>
                    <w:top w:val="none" w:sz="0" w:space="0" w:color="auto"/>
                    <w:left w:val="none" w:sz="0" w:space="0" w:color="auto"/>
                    <w:bottom w:val="none" w:sz="0" w:space="0" w:color="auto"/>
                    <w:right w:val="none" w:sz="0" w:space="0" w:color="auto"/>
                  </w:divBdr>
                </w:div>
              </w:divsChild>
            </w:div>
            <w:div w:id="1327705647">
              <w:marLeft w:val="0"/>
              <w:marRight w:val="0"/>
              <w:marTop w:val="0"/>
              <w:marBottom w:val="0"/>
              <w:divBdr>
                <w:top w:val="none" w:sz="0" w:space="0" w:color="auto"/>
                <w:left w:val="none" w:sz="0" w:space="0" w:color="auto"/>
                <w:bottom w:val="none" w:sz="0" w:space="0" w:color="auto"/>
                <w:right w:val="none" w:sz="0" w:space="0" w:color="auto"/>
              </w:divBdr>
              <w:divsChild>
                <w:div w:id="2072147091">
                  <w:marLeft w:val="0"/>
                  <w:marRight w:val="0"/>
                  <w:marTop w:val="0"/>
                  <w:marBottom w:val="0"/>
                  <w:divBdr>
                    <w:top w:val="none" w:sz="0" w:space="0" w:color="auto"/>
                    <w:left w:val="none" w:sz="0" w:space="0" w:color="auto"/>
                    <w:bottom w:val="none" w:sz="0" w:space="0" w:color="auto"/>
                    <w:right w:val="none" w:sz="0" w:space="0" w:color="auto"/>
                  </w:divBdr>
                </w:div>
              </w:divsChild>
            </w:div>
            <w:div w:id="1136488509">
              <w:marLeft w:val="0"/>
              <w:marRight w:val="0"/>
              <w:marTop w:val="0"/>
              <w:marBottom w:val="0"/>
              <w:divBdr>
                <w:top w:val="none" w:sz="0" w:space="0" w:color="auto"/>
                <w:left w:val="none" w:sz="0" w:space="0" w:color="auto"/>
                <w:bottom w:val="none" w:sz="0" w:space="0" w:color="auto"/>
                <w:right w:val="none" w:sz="0" w:space="0" w:color="auto"/>
              </w:divBdr>
              <w:divsChild>
                <w:div w:id="1366713613">
                  <w:marLeft w:val="0"/>
                  <w:marRight w:val="0"/>
                  <w:marTop w:val="0"/>
                  <w:marBottom w:val="0"/>
                  <w:divBdr>
                    <w:top w:val="none" w:sz="0" w:space="0" w:color="auto"/>
                    <w:left w:val="none" w:sz="0" w:space="0" w:color="auto"/>
                    <w:bottom w:val="none" w:sz="0" w:space="0" w:color="auto"/>
                    <w:right w:val="none" w:sz="0" w:space="0" w:color="auto"/>
                  </w:divBdr>
                </w:div>
              </w:divsChild>
            </w:div>
            <w:div w:id="923730425">
              <w:marLeft w:val="0"/>
              <w:marRight w:val="0"/>
              <w:marTop w:val="0"/>
              <w:marBottom w:val="0"/>
              <w:divBdr>
                <w:top w:val="none" w:sz="0" w:space="0" w:color="auto"/>
                <w:left w:val="none" w:sz="0" w:space="0" w:color="auto"/>
                <w:bottom w:val="none" w:sz="0" w:space="0" w:color="auto"/>
                <w:right w:val="none" w:sz="0" w:space="0" w:color="auto"/>
              </w:divBdr>
              <w:divsChild>
                <w:div w:id="2052000416">
                  <w:marLeft w:val="0"/>
                  <w:marRight w:val="0"/>
                  <w:marTop w:val="0"/>
                  <w:marBottom w:val="0"/>
                  <w:divBdr>
                    <w:top w:val="none" w:sz="0" w:space="0" w:color="auto"/>
                    <w:left w:val="none" w:sz="0" w:space="0" w:color="auto"/>
                    <w:bottom w:val="none" w:sz="0" w:space="0" w:color="auto"/>
                    <w:right w:val="none" w:sz="0" w:space="0" w:color="auto"/>
                  </w:divBdr>
                </w:div>
              </w:divsChild>
            </w:div>
            <w:div w:id="1750152788">
              <w:marLeft w:val="0"/>
              <w:marRight w:val="0"/>
              <w:marTop w:val="0"/>
              <w:marBottom w:val="0"/>
              <w:divBdr>
                <w:top w:val="none" w:sz="0" w:space="0" w:color="auto"/>
                <w:left w:val="none" w:sz="0" w:space="0" w:color="auto"/>
                <w:bottom w:val="none" w:sz="0" w:space="0" w:color="auto"/>
                <w:right w:val="none" w:sz="0" w:space="0" w:color="auto"/>
              </w:divBdr>
              <w:divsChild>
                <w:div w:id="1146825323">
                  <w:marLeft w:val="0"/>
                  <w:marRight w:val="0"/>
                  <w:marTop w:val="0"/>
                  <w:marBottom w:val="0"/>
                  <w:divBdr>
                    <w:top w:val="none" w:sz="0" w:space="0" w:color="auto"/>
                    <w:left w:val="none" w:sz="0" w:space="0" w:color="auto"/>
                    <w:bottom w:val="none" w:sz="0" w:space="0" w:color="auto"/>
                    <w:right w:val="none" w:sz="0" w:space="0" w:color="auto"/>
                  </w:divBdr>
                </w:div>
              </w:divsChild>
            </w:div>
            <w:div w:id="1899513410">
              <w:marLeft w:val="0"/>
              <w:marRight w:val="0"/>
              <w:marTop w:val="0"/>
              <w:marBottom w:val="0"/>
              <w:divBdr>
                <w:top w:val="none" w:sz="0" w:space="0" w:color="auto"/>
                <w:left w:val="none" w:sz="0" w:space="0" w:color="auto"/>
                <w:bottom w:val="none" w:sz="0" w:space="0" w:color="auto"/>
                <w:right w:val="none" w:sz="0" w:space="0" w:color="auto"/>
              </w:divBdr>
              <w:divsChild>
                <w:div w:id="472065470">
                  <w:marLeft w:val="0"/>
                  <w:marRight w:val="0"/>
                  <w:marTop w:val="0"/>
                  <w:marBottom w:val="0"/>
                  <w:divBdr>
                    <w:top w:val="none" w:sz="0" w:space="0" w:color="auto"/>
                    <w:left w:val="none" w:sz="0" w:space="0" w:color="auto"/>
                    <w:bottom w:val="none" w:sz="0" w:space="0" w:color="auto"/>
                    <w:right w:val="none" w:sz="0" w:space="0" w:color="auto"/>
                  </w:divBdr>
                </w:div>
              </w:divsChild>
            </w:div>
            <w:div w:id="792360421">
              <w:marLeft w:val="0"/>
              <w:marRight w:val="0"/>
              <w:marTop w:val="0"/>
              <w:marBottom w:val="0"/>
              <w:divBdr>
                <w:top w:val="none" w:sz="0" w:space="0" w:color="auto"/>
                <w:left w:val="none" w:sz="0" w:space="0" w:color="auto"/>
                <w:bottom w:val="none" w:sz="0" w:space="0" w:color="auto"/>
                <w:right w:val="none" w:sz="0" w:space="0" w:color="auto"/>
              </w:divBdr>
              <w:divsChild>
                <w:div w:id="1744643706">
                  <w:marLeft w:val="0"/>
                  <w:marRight w:val="0"/>
                  <w:marTop w:val="0"/>
                  <w:marBottom w:val="0"/>
                  <w:divBdr>
                    <w:top w:val="none" w:sz="0" w:space="0" w:color="auto"/>
                    <w:left w:val="none" w:sz="0" w:space="0" w:color="auto"/>
                    <w:bottom w:val="none" w:sz="0" w:space="0" w:color="auto"/>
                    <w:right w:val="none" w:sz="0" w:space="0" w:color="auto"/>
                  </w:divBdr>
                </w:div>
              </w:divsChild>
            </w:div>
            <w:div w:id="470364072">
              <w:marLeft w:val="0"/>
              <w:marRight w:val="0"/>
              <w:marTop w:val="0"/>
              <w:marBottom w:val="0"/>
              <w:divBdr>
                <w:top w:val="none" w:sz="0" w:space="0" w:color="auto"/>
                <w:left w:val="none" w:sz="0" w:space="0" w:color="auto"/>
                <w:bottom w:val="none" w:sz="0" w:space="0" w:color="auto"/>
                <w:right w:val="none" w:sz="0" w:space="0" w:color="auto"/>
              </w:divBdr>
              <w:divsChild>
                <w:div w:id="1935476714">
                  <w:marLeft w:val="0"/>
                  <w:marRight w:val="0"/>
                  <w:marTop w:val="0"/>
                  <w:marBottom w:val="0"/>
                  <w:divBdr>
                    <w:top w:val="none" w:sz="0" w:space="0" w:color="auto"/>
                    <w:left w:val="none" w:sz="0" w:space="0" w:color="auto"/>
                    <w:bottom w:val="none" w:sz="0" w:space="0" w:color="auto"/>
                    <w:right w:val="none" w:sz="0" w:space="0" w:color="auto"/>
                  </w:divBdr>
                </w:div>
              </w:divsChild>
            </w:div>
            <w:div w:id="427315920">
              <w:marLeft w:val="0"/>
              <w:marRight w:val="0"/>
              <w:marTop w:val="0"/>
              <w:marBottom w:val="0"/>
              <w:divBdr>
                <w:top w:val="none" w:sz="0" w:space="0" w:color="auto"/>
                <w:left w:val="none" w:sz="0" w:space="0" w:color="auto"/>
                <w:bottom w:val="none" w:sz="0" w:space="0" w:color="auto"/>
                <w:right w:val="none" w:sz="0" w:space="0" w:color="auto"/>
              </w:divBdr>
              <w:divsChild>
                <w:div w:id="1597865320">
                  <w:marLeft w:val="0"/>
                  <w:marRight w:val="0"/>
                  <w:marTop w:val="0"/>
                  <w:marBottom w:val="0"/>
                  <w:divBdr>
                    <w:top w:val="none" w:sz="0" w:space="0" w:color="auto"/>
                    <w:left w:val="none" w:sz="0" w:space="0" w:color="auto"/>
                    <w:bottom w:val="none" w:sz="0" w:space="0" w:color="auto"/>
                    <w:right w:val="none" w:sz="0" w:space="0" w:color="auto"/>
                  </w:divBdr>
                </w:div>
              </w:divsChild>
            </w:div>
            <w:div w:id="1042097324">
              <w:marLeft w:val="0"/>
              <w:marRight w:val="0"/>
              <w:marTop w:val="0"/>
              <w:marBottom w:val="0"/>
              <w:divBdr>
                <w:top w:val="none" w:sz="0" w:space="0" w:color="auto"/>
                <w:left w:val="none" w:sz="0" w:space="0" w:color="auto"/>
                <w:bottom w:val="none" w:sz="0" w:space="0" w:color="auto"/>
                <w:right w:val="none" w:sz="0" w:space="0" w:color="auto"/>
              </w:divBdr>
              <w:divsChild>
                <w:div w:id="676733619">
                  <w:marLeft w:val="0"/>
                  <w:marRight w:val="0"/>
                  <w:marTop w:val="0"/>
                  <w:marBottom w:val="0"/>
                  <w:divBdr>
                    <w:top w:val="none" w:sz="0" w:space="0" w:color="auto"/>
                    <w:left w:val="none" w:sz="0" w:space="0" w:color="auto"/>
                    <w:bottom w:val="none" w:sz="0" w:space="0" w:color="auto"/>
                    <w:right w:val="none" w:sz="0" w:space="0" w:color="auto"/>
                  </w:divBdr>
                </w:div>
              </w:divsChild>
            </w:div>
            <w:div w:id="1743333492">
              <w:marLeft w:val="0"/>
              <w:marRight w:val="0"/>
              <w:marTop w:val="0"/>
              <w:marBottom w:val="0"/>
              <w:divBdr>
                <w:top w:val="none" w:sz="0" w:space="0" w:color="auto"/>
                <w:left w:val="none" w:sz="0" w:space="0" w:color="auto"/>
                <w:bottom w:val="none" w:sz="0" w:space="0" w:color="auto"/>
                <w:right w:val="none" w:sz="0" w:space="0" w:color="auto"/>
              </w:divBdr>
              <w:divsChild>
                <w:div w:id="1851796429">
                  <w:marLeft w:val="0"/>
                  <w:marRight w:val="0"/>
                  <w:marTop w:val="0"/>
                  <w:marBottom w:val="0"/>
                  <w:divBdr>
                    <w:top w:val="none" w:sz="0" w:space="0" w:color="auto"/>
                    <w:left w:val="none" w:sz="0" w:space="0" w:color="auto"/>
                    <w:bottom w:val="none" w:sz="0" w:space="0" w:color="auto"/>
                    <w:right w:val="none" w:sz="0" w:space="0" w:color="auto"/>
                  </w:divBdr>
                </w:div>
              </w:divsChild>
            </w:div>
            <w:div w:id="1458184744">
              <w:marLeft w:val="0"/>
              <w:marRight w:val="0"/>
              <w:marTop w:val="0"/>
              <w:marBottom w:val="0"/>
              <w:divBdr>
                <w:top w:val="none" w:sz="0" w:space="0" w:color="auto"/>
                <w:left w:val="none" w:sz="0" w:space="0" w:color="auto"/>
                <w:bottom w:val="none" w:sz="0" w:space="0" w:color="auto"/>
                <w:right w:val="none" w:sz="0" w:space="0" w:color="auto"/>
              </w:divBdr>
              <w:divsChild>
                <w:div w:id="1605459193">
                  <w:marLeft w:val="0"/>
                  <w:marRight w:val="0"/>
                  <w:marTop w:val="0"/>
                  <w:marBottom w:val="0"/>
                  <w:divBdr>
                    <w:top w:val="none" w:sz="0" w:space="0" w:color="auto"/>
                    <w:left w:val="none" w:sz="0" w:space="0" w:color="auto"/>
                    <w:bottom w:val="none" w:sz="0" w:space="0" w:color="auto"/>
                    <w:right w:val="none" w:sz="0" w:space="0" w:color="auto"/>
                  </w:divBdr>
                </w:div>
              </w:divsChild>
            </w:div>
            <w:div w:id="2039501506">
              <w:marLeft w:val="0"/>
              <w:marRight w:val="0"/>
              <w:marTop w:val="0"/>
              <w:marBottom w:val="0"/>
              <w:divBdr>
                <w:top w:val="none" w:sz="0" w:space="0" w:color="auto"/>
                <w:left w:val="none" w:sz="0" w:space="0" w:color="auto"/>
                <w:bottom w:val="none" w:sz="0" w:space="0" w:color="auto"/>
                <w:right w:val="none" w:sz="0" w:space="0" w:color="auto"/>
              </w:divBdr>
              <w:divsChild>
                <w:div w:id="1739816852">
                  <w:marLeft w:val="0"/>
                  <w:marRight w:val="0"/>
                  <w:marTop w:val="0"/>
                  <w:marBottom w:val="0"/>
                  <w:divBdr>
                    <w:top w:val="none" w:sz="0" w:space="0" w:color="auto"/>
                    <w:left w:val="none" w:sz="0" w:space="0" w:color="auto"/>
                    <w:bottom w:val="none" w:sz="0" w:space="0" w:color="auto"/>
                    <w:right w:val="none" w:sz="0" w:space="0" w:color="auto"/>
                  </w:divBdr>
                </w:div>
              </w:divsChild>
            </w:div>
            <w:div w:id="1347949319">
              <w:marLeft w:val="0"/>
              <w:marRight w:val="0"/>
              <w:marTop w:val="0"/>
              <w:marBottom w:val="0"/>
              <w:divBdr>
                <w:top w:val="none" w:sz="0" w:space="0" w:color="auto"/>
                <w:left w:val="none" w:sz="0" w:space="0" w:color="auto"/>
                <w:bottom w:val="none" w:sz="0" w:space="0" w:color="auto"/>
                <w:right w:val="none" w:sz="0" w:space="0" w:color="auto"/>
              </w:divBdr>
              <w:divsChild>
                <w:div w:id="1976521702">
                  <w:marLeft w:val="0"/>
                  <w:marRight w:val="0"/>
                  <w:marTop w:val="0"/>
                  <w:marBottom w:val="0"/>
                  <w:divBdr>
                    <w:top w:val="none" w:sz="0" w:space="0" w:color="auto"/>
                    <w:left w:val="none" w:sz="0" w:space="0" w:color="auto"/>
                    <w:bottom w:val="none" w:sz="0" w:space="0" w:color="auto"/>
                    <w:right w:val="none" w:sz="0" w:space="0" w:color="auto"/>
                  </w:divBdr>
                </w:div>
              </w:divsChild>
            </w:div>
            <w:div w:id="1648778730">
              <w:marLeft w:val="0"/>
              <w:marRight w:val="0"/>
              <w:marTop w:val="0"/>
              <w:marBottom w:val="0"/>
              <w:divBdr>
                <w:top w:val="none" w:sz="0" w:space="0" w:color="auto"/>
                <w:left w:val="none" w:sz="0" w:space="0" w:color="auto"/>
                <w:bottom w:val="none" w:sz="0" w:space="0" w:color="auto"/>
                <w:right w:val="none" w:sz="0" w:space="0" w:color="auto"/>
              </w:divBdr>
              <w:divsChild>
                <w:div w:id="292640093">
                  <w:marLeft w:val="0"/>
                  <w:marRight w:val="0"/>
                  <w:marTop w:val="0"/>
                  <w:marBottom w:val="0"/>
                  <w:divBdr>
                    <w:top w:val="none" w:sz="0" w:space="0" w:color="auto"/>
                    <w:left w:val="none" w:sz="0" w:space="0" w:color="auto"/>
                    <w:bottom w:val="none" w:sz="0" w:space="0" w:color="auto"/>
                    <w:right w:val="none" w:sz="0" w:space="0" w:color="auto"/>
                  </w:divBdr>
                </w:div>
              </w:divsChild>
            </w:div>
            <w:div w:id="1346830810">
              <w:marLeft w:val="0"/>
              <w:marRight w:val="0"/>
              <w:marTop w:val="0"/>
              <w:marBottom w:val="0"/>
              <w:divBdr>
                <w:top w:val="none" w:sz="0" w:space="0" w:color="auto"/>
                <w:left w:val="none" w:sz="0" w:space="0" w:color="auto"/>
                <w:bottom w:val="none" w:sz="0" w:space="0" w:color="auto"/>
                <w:right w:val="none" w:sz="0" w:space="0" w:color="auto"/>
              </w:divBdr>
              <w:divsChild>
                <w:div w:id="83840214">
                  <w:marLeft w:val="0"/>
                  <w:marRight w:val="0"/>
                  <w:marTop w:val="0"/>
                  <w:marBottom w:val="0"/>
                  <w:divBdr>
                    <w:top w:val="none" w:sz="0" w:space="0" w:color="auto"/>
                    <w:left w:val="none" w:sz="0" w:space="0" w:color="auto"/>
                    <w:bottom w:val="none" w:sz="0" w:space="0" w:color="auto"/>
                    <w:right w:val="none" w:sz="0" w:space="0" w:color="auto"/>
                  </w:divBdr>
                </w:div>
              </w:divsChild>
            </w:div>
            <w:div w:id="119080559">
              <w:marLeft w:val="0"/>
              <w:marRight w:val="0"/>
              <w:marTop w:val="0"/>
              <w:marBottom w:val="0"/>
              <w:divBdr>
                <w:top w:val="none" w:sz="0" w:space="0" w:color="auto"/>
                <w:left w:val="none" w:sz="0" w:space="0" w:color="auto"/>
                <w:bottom w:val="none" w:sz="0" w:space="0" w:color="auto"/>
                <w:right w:val="none" w:sz="0" w:space="0" w:color="auto"/>
              </w:divBdr>
              <w:divsChild>
                <w:div w:id="2106995906">
                  <w:marLeft w:val="0"/>
                  <w:marRight w:val="0"/>
                  <w:marTop w:val="0"/>
                  <w:marBottom w:val="0"/>
                  <w:divBdr>
                    <w:top w:val="none" w:sz="0" w:space="0" w:color="auto"/>
                    <w:left w:val="none" w:sz="0" w:space="0" w:color="auto"/>
                    <w:bottom w:val="none" w:sz="0" w:space="0" w:color="auto"/>
                    <w:right w:val="none" w:sz="0" w:space="0" w:color="auto"/>
                  </w:divBdr>
                </w:div>
              </w:divsChild>
            </w:div>
            <w:div w:id="544366022">
              <w:marLeft w:val="0"/>
              <w:marRight w:val="0"/>
              <w:marTop w:val="0"/>
              <w:marBottom w:val="0"/>
              <w:divBdr>
                <w:top w:val="none" w:sz="0" w:space="0" w:color="auto"/>
                <w:left w:val="none" w:sz="0" w:space="0" w:color="auto"/>
                <w:bottom w:val="none" w:sz="0" w:space="0" w:color="auto"/>
                <w:right w:val="none" w:sz="0" w:space="0" w:color="auto"/>
              </w:divBdr>
              <w:divsChild>
                <w:div w:id="14939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77330">
      <w:marLeft w:val="0"/>
      <w:marRight w:val="0"/>
      <w:marTop w:val="0"/>
      <w:marBottom w:val="0"/>
      <w:divBdr>
        <w:top w:val="none" w:sz="0" w:space="0" w:color="auto"/>
        <w:left w:val="none" w:sz="0" w:space="0" w:color="auto"/>
        <w:bottom w:val="none" w:sz="0" w:space="0" w:color="auto"/>
        <w:right w:val="none" w:sz="0" w:space="0" w:color="auto"/>
      </w:divBdr>
      <w:divsChild>
        <w:div w:id="556625649">
          <w:marLeft w:val="0"/>
          <w:marRight w:val="0"/>
          <w:marTop w:val="432"/>
          <w:marBottom w:val="0"/>
          <w:divBdr>
            <w:top w:val="none" w:sz="0" w:space="0" w:color="auto"/>
            <w:left w:val="none" w:sz="0" w:space="0" w:color="auto"/>
            <w:bottom w:val="none" w:sz="0" w:space="0" w:color="auto"/>
            <w:right w:val="none" w:sz="0" w:space="0" w:color="auto"/>
          </w:divBdr>
        </w:div>
        <w:div w:id="1716125717">
          <w:marLeft w:val="0"/>
          <w:marRight w:val="0"/>
          <w:marTop w:val="0"/>
          <w:marBottom w:val="0"/>
          <w:divBdr>
            <w:top w:val="none" w:sz="0" w:space="0" w:color="auto"/>
            <w:left w:val="none" w:sz="0" w:space="0" w:color="auto"/>
            <w:bottom w:val="none" w:sz="0" w:space="0" w:color="auto"/>
            <w:right w:val="none" w:sz="0" w:space="0" w:color="auto"/>
          </w:divBdr>
          <w:divsChild>
            <w:div w:id="289289341">
              <w:marLeft w:val="0"/>
              <w:marRight w:val="0"/>
              <w:marTop w:val="0"/>
              <w:marBottom w:val="0"/>
              <w:divBdr>
                <w:top w:val="none" w:sz="0" w:space="0" w:color="auto"/>
                <w:left w:val="none" w:sz="0" w:space="0" w:color="auto"/>
                <w:bottom w:val="none" w:sz="0" w:space="0" w:color="auto"/>
                <w:right w:val="none" w:sz="0" w:space="0" w:color="auto"/>
              </w:divBdr>
              <w:divsChild>
                <w:div w:id="1265848269">
                  <w:marLeft w:val="0"/>
                  <w:marRight w:val="0"/>
                  <w:marTop w:val="0"/>
                  <w:marBottom w:val="0"/>
                  <w:divBdr>
                    <w:top w:val="none" w:sz="0" w:space="0" w:color="auto"/>
                    <w:left w:val="none" w:sz="0" w:space="0" w:color="auto"/>
                    <w:bottom w:val="none" w:sz="0" w:space="0" w:color="auto"/>
                    <w:right w:val="none" w:sz="0" w:space="0" w:color="auto"/>
                  </w:divBdr>
                </w:div>
              </w:divsChild>
            </w:div>
            <w:div w:id="52509542">
              <w:marLeft w:val="0"/>
              <w:marRight w:val="0"/>
              <w:marTop w:val="0"/>
              <w:marBottom w:val="0"/>
              <w:divBdr>
                <w:top w:val="none" w:sz="0" w:space="0" w:color="auto"/>
                <w:left w:val="none" w:sz="0" w:space="0" w:color="auto"/>
                <w:bottom w:val="none" w:sz="0" w:space="0" w:color="auto"/>
                <w:right w:val="none" w:sz="0" w:space="0" w:color="auto"/>
              </w:divBdr>
              <w:divsChild>
                <w:div w:id="871961014">
                  <w:marLeft w:val="0"/>
                  <w:marRight w:val="0"/>
                  <w:marTop w:val="0"/>
                  <w:marBottom w:val="0"/>
                  <w:divBdr>
                    <w:top w:val="none" w:sz="0" w:space="0" w:color="auto"/>
                    <w:left w:val="none" w:sz="0" w:space="0" w:color="auto"/>
                    <w:bottom w:val="none" w:sz="0" w:space="0" w:color="auto"/>
                    <w:right w:val="none" w:sz="0" w:space="0" w:color="auto"/>
                  </w:divBdr>
                </w:div>
              </w:divsChild>
            </w:div>
            <w:div w:id="1836190512">
              <w:marLeft w:val="0"/>
              <w:marRight w:val="0"/>
              <w:marTop w:val="0"/>
              <w:marBottom w:val="0"/>
              <w:divBdr>
                <w:top w:val="none" w:sz="0" w:space="0" w:color="auto"/>
                <w:left w:val="none" w:sz="0" w:space="0" w:color="auto"/>
                <w:bottom w:val="none" w:sz="0" w:space="0" w:color="auto"/>
                <w:right w:val="none" w:sz="0" w:space="0" w:color="auto"/>
              </w:divBdr>
              <w:divsChild>
                <w:div w:id="1136608587">
                  <w:marLeft w:val="0"/>
                  <w:marRight w:val="0"/>
                  <w:marTop w:val="0"/>
                  <w:marBottom w:val="0"/>
                  <w:divBdr>
                    <w:top w:val="none" w:sz="0" w:space="0" w:color="auto"/>
                    <w:left w:val="none" w:sz="0" w:space="0" w:color="auto"/>
                    <w:bottom w:val="none" w:sz="0" w:space="0" w:color="auto"/>
                    <w:right w:val="none" w:sz="0" w:space="0" w:color="auto"/>
                  </w:divBdr>
                </w:div>
              </w:divsChild>
            </w:div>
            <w:div w:id="1622877830">
              <w:marLeft w:val="0"/>
              <w:marRight w:val="0"/>
              <w:marTop w:val="0"/>
              <w:marBottom w:val="0"/>
              <w:divBdr>
                <w:top w:val="none" w:sz="0" w:space="0" w:color="auto"/>
                <w:left w:val="none" w:sz="0" w:space="0" w:color="auto"/>
                <w:bottom w:val="none" w:sz="0" w:space="0" w:color="auto"/>
                <w:right w:val="none" w:sz="0" w:space="0" w:color="auto"/>
              </w:divBdr>
              <w:divsChild>
                <w:div w:id="1040516659">
                  <w:marLeft w:val="0"/>
                  <w:marRight w:val="0"/>
                  <w:marTop w:val="0"/>
                  <w:marBottom w:val="0"/>
                  <w:divBdr>
                    <w:top w:val="none" w:sz="0" w:space="0" w:color="auto"/>
                    <w:left w:val="none" w:sz="0" w:space="0" w:color="auto"/>
                    <w:bottom w:val="none" w:sz="0" w:space="0" w:color="auto"/>
                    <w:right w:val="none" w:sz="0" w:space="0" w:color="auto"/>
                  </w:divBdr>
                </w:div>
              </w:divsChild>
            </w:div>
            <w:div w:id="2013144019">
              <w:marLeft w:val="0"/>
              <w:marRight w:val="0"/>
              <w:marTop w:val="0"/>
              <w:marBottom w:val="0"/>
              <w:divBdr>
                <w:top w:val="none" w:sz="0" w:space="0" w:color="auto"/>
                <w:left w:val="none" w:sz="0" w:space="0" w:color="auto"/>
                <w:bottom w:val="none" w:sz="0" w:space="0" w:color="auto"/>
                <w:right w:val="none" w:sz="0" w:space="0" w:color="auto"/>
              </w:divBdr>
              <w:divsChild>
                <w:div w:id="2091659144">
                  <w:marLeft w:val="0"/>
                  <w:marRight w:val="0"/>
                  <w:marTop w:val="0"/>
                  <w:marBottom w:val="0"/>
                  <w:divBdr>
                    <w:top w:val="none" w:sz="0" w:space="0" w:color="auto"/>
                    <w:left w:val="none" w:sz="0" w:space="0" w:color="auto"/>
                    <w:bottom w:val="none" w:sz="0" w:space="0" w:color="auto"/>
                    <w:right w:val="none" w:sz="0" w:space="0" w:color="auto"/>
                  </w:divBdr>
                </w:div>
              </w:divsChild>
            </w:div>
            <w:div w:id="1101335938">
              <w:marLeft w:val="0"/>
              <w:marRight w:val="0"/>
              <w:marTop w:val="0"/>
              <w:marBottom w:val="0"/>
              <w:divBdr>
                <w:top w:val="none" w:sz="0" w:space="0" w:color="auto"/>
                <w:left w:val="none" w:sz="0" w:space="0" w:color="auto"/>
                <w:bottom w:val="none" w:sz="0" w:space="0" w:color="auto"/>
                <w:right w:val="none" w:sz="0" w:space="0" w:color="auto"/>
              </w:divBdr>
              <w:divsChild>
                <w:div w:id="1504583237">
                  <w:marLeft w:val="0"/>
                  <w:marRight w:val="0"/>
                  <w:marTop w:val="0"/>
                  <w:marBottom w:val="0"/>
                  <w:divBdr>
                    <w:top w:val="none" w:sz="0" w:space="0" w:color="auto"/>
                    <w:left w:val="none" w:sz="0" w:space="0" w:color="auto"/>
                    <w:bottom w:val="none" w:sz="0" w:space="0" w:color="auto"/>
                    <w:right w:val="none" w:sz="0" w:space="0" w:color="auto"/>
                  </w:divBdr>
                </w:div>
              </w:divsChild>
            </w:div>
            <w:div w:id="566263553">
              <w:marLeft w:val="0"/>
              <w:marRight w:val="0"/>
              <w:marTop w:val="0"/>
              <w:marBottom w:val="0"/>
              <w:divBdr>
                <w:top w:val="none" w:sz="0" w:space="0" w:color="auto"/>
                <w:left w:val="none" w:sz="0" w:space="0" w:color="auto"/>
                <w:bottom w:val="none" w:sz="0" w:space="0" w:color="auto"/>
                <w:right w:val="none" w:sz="0" w:space="0" w:color="auto"/>
              </w:divBdr>
              <w:divsChild>
                <w:div w:id="11858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2347">
          <w:marLeft w:val="0"/>
          <w:marRight w:val="0"/>
          <w:marTop w:val="0"/>
          <w:marBottom w:val="600"/>
          <w:divBdr>
            <w:top w:val="none" w:sz="0" w:space="0" w:color="auto"/>
            <w:left w:val="none" w:sz="0" w:space="0" w:color="auto"/>
            <w:bottom w:val="none" w:sz="0" w:space="0" w:color="auto"/>
            <w:right w:val="none" w:sz="0" w:space="0" w:color="auto"/>
          </w:divBdr>
        </w:div>
      </w:divsChild>
    </w:div>
    <w:div w:id="1904945362">
      <w:marLeft w:val="0"/>
      <w:marRight w:val="0"/>
      <w:marTop w:val="0"/>
      <w:marBottom w:val="0"/>
      <w:divBdr>
        <w:top w:val="none" w:sz="0" w:space="0" w:color="auto"/>
        <w:left w:val="none" w:sz="0" w:space="0" w:color="auto"/>
        <w:bottom w:val="none" w:sz="0" w:space="0" w:color="auto"/>
        <w:right w:val="none" w:sz="0" w:space="0" w:color="auto"/>
      </w:divBdr>
      <w:divsChild>
        <w:div w:id="1682318733">
          <w:marLeft w:val="0"/>
          <w:marRight w:val="0"/>
          <w:marTop w:val="432"/>
          <w:marBottom w:val="0"/>
          <w:divBdr>
            <w:top w:val="none" w:sz="0" w:space="0" w:color="auto"/>
            <w:left w:val="none" w:sz="0" w:space="0" w:color="auto"/>
            <w:bottom w:val="none" w:sz="0" w:space="0" w:color="auto"/>
            <w:right w:val="none" w:sz="0" w:space="0" w:color="auto"/>
          </w:divBdr>
        </w:div>
        <w:div w:id="232157643">
          <w:marLeft w:val="0"/>
          <w:marRight w:val="0"/>
          <w:marTop w:val="0"/>
          <w:marBottom w:val="0"/>
          <w:divBdr>
            <w:top w:val="none" w:sz="0" w:space="0" w:color="auto"/>
            <w:left w:val="none" w:sz="0" w:space="0" w:color="auto"/>
            <w:bottom w:val="none" w:sz="0" w:space="0" w:color="auto"/>
            <w:right w:val="none" w:sz="0" w:space="0" w:color="auto"/>
          </w:divBdr>
          <w:divsChild>
            <w:div w:id="612980684">
              <w:marLeft w:val="0"/>
              <w:marRight w:val="0"/>
              <w:marTop w:val="0"/>
              <w:marBottom w:val="0"/>
              <w:divBdr>
                <w:top w:val="none" w:sz="0" w:space="0" w:color="auto"/>
                <w:left w:val="none" w:sz="0" w:space="0" w:color="auto"/>
                <w:bottom w:val="none" w:sz="0" w:space="0" w:color="auto"/>
                <w:right w:val="none" w:sz="0" w:space="0" w:color="auto"/>
              </w:divBdr>
              <w:divsChild>
                <w:div w:id="502862246">
                  <w:marLeft w:val="0"/>
                  <w:marRight w:val="0"/>
                  <w:marTop w:val="0"/>
                  <w:marBottom w:val="0"/>
                  <w:divBdr>
                    <w:top w:val="none" w:sz="0" w:space="0" w:color="auto"/>
                    <w:left w:val="none" w:sz="0" w:space="0" w:color="auto"/>
                    <w:bottom w:val="none" w:sz="0" w:space="0" w:color="auto"/>
                    <w:right w:val="none" w:sz="0" w:space="0" w:color="auto"/>
                  </w:divBdr>
                </w:div>
              </w:divsChild>
            </w:div>
            <w:div w:id="333194443">
              <w:marLeft w:val="0"/>
              <w:marRight w:val="0"/>
              <w:marTop w:val="0"/>
              <w:marBottom w:val="0"/>
              <w:divBdr>
                <w:top w:val="none" w:sz="0" w:space="0" w:color="auto"/>
                <w:left w:val="none" w:sz="0" w:space="0" w:color="auto"/>
                <w:bottom w:val="none" w:sz="0" w:space="0" w:color="auto"/>
                <w:right w:val="none" w:sz="0" w:space="0" w:color="auto"/>
              </w:divBdr>
              <w:divsChild>
                <w:div w:id="1067532503">
                  <w:marLeft w:val="0"/>
                  <w:marRight w:val="0"/>
                  <w:marTop w:val="0"/>
                  <w:marBottom w:val="0"/>
                  <w:divBdr>
                    <w:top w:val="none" w:sz="0" w:space="0" w:color="auto"/>
                    <w:left w:val="none" w:sz="0" w:space="0" w:color="auto"/>
                    <w:bottom w:val="none" w:sz="0" w:space="0" w:color="auto"/>
                    <w:right w:val="none" w:sz="0" w:space="0" w:color="auto"/>
                  </w:divBdr>
                </w:div>
              </w:divsChild>
            </w:div>
            <w:div w:id="628824410">
              <w:marLeft w:val="0"/>
              <w:marRight w:val="0"/>
              <w:marTop w:val="0"/>
              <w:marBottom w:val="0"/>
              <w:divBdr>
                <w:top w:val="none" w:sz="0" w:space="0" w:color="auto"/>
                <w:left w:val="none" w:sz="0" w:space="0" w:color="auto"/>
                <w:bottom w:val="none" w:sz="0" w:space="0" w:color="auto"/>
                <w:right w:val="none" w:sz="0" w:space="0" w:color="auto"/>
              </w:divBdr>
              <w:divsChild>
                <w:div w:id="534654263">
                  <w:marLeft w:val="0"/>
                  <w:marRight w:val="0"/>
                  <w:marTop w:val="0"/>
                  <w:marBottom w:val="0"/>
                  <w:divBdr>
                    <w:top w:val="none" w:sz="0" w:space="0" w:color="auto"/>
                    <w:left w:val="none" w:sz="0" w:space="0" w:color="auto"/>
                    <w:bottom w:val="none" w:sz="0" w:space="0" w:color="auto"/>
                    <w:right w:val="none" w:sz="0" w:space="0" w:color="auto"/>
                  </w:divBdr>
                </w:div>
              </w:divsChild>
            </w:div>
            <w:div w:id="656298213">
              <w:marLeft w:val="0"/>
              <w:marRight w:val="0"/>
              <w:marTop w:val="0"/>
              <w:marBottom w:val="0"/>
              <w:divBdr>
                <w:top w:val="none" w:sz="0" w:space="0" w:color="auto"/>
                <w:left w:val="none" w:sz="0" w:space="0" w:color="auto"/>
                <w:bottom w:val="none" w:sz="0" w:space="0" w:color="auto"/>
                <w:right w:val="none" w:sz="0" w:space="0" w:color="auto"/>
              </w:divBdr>
              <w:divsChild>
                <w:div w:id="418216396">
                  <w:marLeft w:val="0"/>
                  <w:marRight w:val="0"/>
                  <w:marTop w:val="0"/>
                  <w:marBottom w:val="0"/>
                  <w:divBdr>
                    <w:top w:val="none" w:sz="0" w:space="0" w:color="auto"/>
                    <w:left w:val="none" w:sz="0" w:space="0" w:color="auto"/>
                    <w:bottom w:val="none" w:sz="0" w:space="0" w:color="auto"/>
                    <w:right w:val="none" w:sz="0" w:space="0" w:color="auto"/>
                  </w:divBdr>
                </w:div>
              </w:divsChild>
            </w:div>
            <w:div w:id="1979870247">
              <w:marLeft w:val="0"/>
              <w:marRight w:val="0"/>
              <w:marTop w:val="0"/>
              <w:marBottom w:val="0"/>
              <w:divBdr>
                <w:top w:val="none" w:sz="0" w:space="0" w:color="auto"/>
                <w:left w:val="none" w:sz="0" w:space="0" w:color="auto"/>
                <w:bottom w:val="none" w:sz="0" w:space="0" w:color="auto"/>
                <w:right w:val="none" w:sz="0" w:space="0" w:color="auto"/>
              </w:divBdr>
              <w:divsChild>
                <w:div w:id="2028366501">
                  <w:marLeft w:val="0"/>
                  <w:marRight w:val="0"/>
                  <w:marTop w:val="0"/>
                  <w:marBottom w:val="0"/>
                  <w:divBdr>
                    <w:top w:val="none" w:sz="0" w:space="0" w:color="auto"/>
                    <w:left w:val="none" w:sz="0" w:space="0" w:color="auto"/>
                    <w:bottom w:val="none" w:sz="0" w:space="0" w:color="auto"/>
                    <w:right w:val="none" w:sz="0" w:space="0" w:color="auto"/>
                  </w:divBdr>
                </w:div>
              </w:divsChild>
            </w:div>
            <w:div w:id="2056193821">
              <w:marLeft w:val="0"/>
              <w:marRight w:val="0"/>
              <w:marTop w:val="0"/>
              <w:marBottom w:val="0"/>
              <w:divBdr>
                <w:top w:val="none" w:sz="0" w:space="0" w:color="auto"/>
                <w:left w:val="none" w:sz="0" w:space="0" w:color="auto"/>
                <w:bottom w:val="none" w:sz="0" w:space="0" w:color="auto"/>
                <w:right w:val="none" w:sz="0" w:space="0" w:color="auto"/>
              </w:divBdr>
              <w:divsChild>
                <w:div w:id="1264221900">
                  <w:marLeft w:val="0"/>
                  <w:marRight w:val="0"/>
                  <w:marTop w:val="0"/>
                  <w:marBottom w:val="0"/>
                  <w:divBdr>
                    <w:top w:val="none" w:sz="0" w:space="0" w:color="auto"/>
                    <w:left w:val="none" w:sz="0" w:space="0" w:color="auto"/>
                    <w:bottom w:val="none" w:sz="0" w:space="0" w:color="auto"/>
                    <w:right w:val="none" w:sz="0" w:space="0" w:color="auto"/>
                  </w:divBdr>
                </w:div>
              </w:divsChild>
            </w:div>
            <w:div w:id="1209951851">
              <w:marLeft w:val="0"/>
              <w:marRight w:val="0"/>
              <w:marTop w:val="0"/>
              <w:marBottom w:val="0"/>
              <w:divBdr>
                <w:top w:val="none" w:sz="0" w:space="0" w:color="auto"/>
                <w:left w:val="none" w:sz="0" w:space="0" w:color="auto"/>
                <w:bottom w:val="none" w:sz="0" w:space="0" w:color="auto"/>
                <w:right w:val="none" w:sz="0" w:space="0" w:color="auto"/>
              </w:divBdr>
              <w:divsChild>
                <w:div w:id="1942642286">
                  <w:marLeft w:val="0"/>
                  <w:marRight w:val="0"/>
                  <w:marTop w:val="0"/>
                  <w:marBottom w:val="0"/>
                  <w:divBdr>
                    <w:top w:val="none" w:sz="0" w:space="0" w:color="auto"/>
                    <w:left w:val="none" w:sz="0" w:space="0" w:color="auto"/>
                    <w:bottom w:val="none" w:sz="0" w:space="0" w:color="auto"/>
                    <w:right w:val="none" w:sz="0" w:space="0" w:color="auto"/>
                  </w:divBdr>
                </w:div>
              </w:divsChild>
            </w:div>
            <w:div w:id="1692145205">
              <w:marLeft w:val="0"/>
              <w:marRight w:val="0"/>
              <w:marTop w:val="0"/>
              <w:marBottom w:val="0"/>
              <w:divBdr>
                <w:top w:val="none" w:sz="0" w:space="0" w:color="auto"/>
                <w:left w:val="none" w:sz="0" w:space="0" w:color="auto"/>
                <w:bottom w:val="none" w:sz="0" w:space="0" w:color="auto"/>
                <w:right w:val="none" w:sz="0" w:space="0" w:color="auto"/>
              </w:divBdr>
              <w:divsChild>
                <w:div w:id="816603379">
                  <w:marLeft w:val="0"/>
                  <w:marRight w:val="0"/>
                  <w:marTop w:val="0"/>
                  <w:marBottom w:val="0"/>
                  <w:divBdr>
                    <w:top w:val="none" w:sz="0" w:space="0" w:color="auto"/>
                    <w:left w:val="none" w:sz="0" w:space="0" w:color="auto"/>
                    <w:bottom w:val="none" w:sz="0" w:space="0" w:color="auto"/>
                    <w:right w:val="none" w:sz="0" w:space="0" w:color="auto"/>
                  </w:divBdr>
                </w:div>
              </w:divsChild>
            </w:div>
            <w:div w:id="393552945">
              <w:marLeft w:val="0"/>
              <w:marRight w:val="0"/>
              <w:marTop w:val="0"/>
              <w:marBottom w:val="0"/>
              <w:divBdr>
                <w:top w:val="none" w:sz="0" w:space="0" w:color="auto"/>
                <w:left w:val="none" w:sz="0" w:space="0" w:color="auto"/>
                <w:bottom w:val="none" w:sz="0" w:space="0" w:color="auto"/>
                <w:right w:val="none" w:sz="0" w:space="0" w:color="auto"/>
              </w:divBdr>
              <w:divsChild>
                <w:div w:id="241840876">
                  <w:marLeft w:val="0"/>
                  <w:marRight w:val="0"/>
                  <w:marTop w:val="0"/>
                  <w:marBottom w:val="0"/>
                  <w:divBdr>
                    <w:top w:val="none" w:sz="0" w:space="0" w:color="auto"/>
                    <w:left w:val="none" w:sz="0" w:space="0" w:color="auto"/>
                    <w:bottom w:val="none" w:sz="0" w:space="0" w:color="auto"/>
                    <w:right w:val="none" w:sz="0" w:space="0" w:color="auto"/>
                  </w:divBdr>
                </w:div>
              </w:divsChild>
            </w:div>
            <w:div w:id="288324725">
              <w:marLeft w:val="0"/>
              <w:marRight w:val="0"/>
              <w:marTop w:val="0"/>
              <w:marBottom w:val="0"/>
              <w:divBdr>
                <w:top w:val="none" w:sz="0" w:space="0" w:color="auto"/>
                <w:left w:val="none" w:sz="0" w:space="0" w:color="auto"/>
                <w:bottom w:val="none" w:sz="0" w:space="0" w:color="auto"/>
                <w:right w:val="none" w:sz="0" w:space="0" w:color="auto"/>
              </w:divBdr>
              <w:divsChild>
                <w:div w:id="1815756938">
                  <w:marLeft w:val="0"/>
                  <w:marRight w:val="0"/>
                  <w:marTop w:val="0"/>
                  <w:marBottom w:val="0"/>
                  <w:divBdr>
                    <w:top w:val="none" w:sz="0" w:space="0" w:color="auto"/>
                    <w:left w:val="none" w:sz="0" w:space="0" w:color="auto"/>
                    <w:bottom w:val="none" w:sz="0" w:space="0" w:color="auto"/>
                    <w:right w:val="none" w:sz="0" w:space="0" w:color="auto"/>
                  </w:divBdr>
                </w:div>
              </w:divsChild>
            </w:div>
            <w:div w:id="1804539506">
              <w:marLeft w:val="0"/>
              <w:marRight w:val="0"/>
              <w:marTop w:val="0"/>
              <w:marBottom w:val="0"/>
              <w:divBdr>
                <w:top w:val="none" w:sz="0" w:space="0" w:color="auto"/>
                <w:left w:val="none" w:sz="0" w:space="0" w:color="auto"/>
                <w:bottom w:val="none" w:sz="0" w:space="0" w:color="auto"/>
                <w:right w:val="none" w:sz="0" w:space="0" w:color="auto"/>
              </w:divBdr>
              <w:divsChild>
                <w:div w:id="1064764372">
                  <w:marLeft w:val="0"/>
                  <w:marRight w:val="0"/>
                  <w:marTop w:val="0"/>
                  <w:marBottom w:val="0"/>
                  <w:divBdr>
                    <w:top w:val="none" w:sz="0" w:space="0" w:color="auto"/>
                    <w:left w:val="none" w:sz="0" w:space="0" w:color="auto"/>
                    <w:bottom w:val="none" w:sz="0" w:space="0" w:color="auto"/>
                    <w:right w:val="none" w:sz="0" w:space="0" w:color="auto"/>
                  </w:divBdr>
                </w:div>
              </w:divsChild>
            </w:div>
            <w:div w:id="1500924801">
              <w:marLeft w:val="0"/>
              <w:marRight w:val="0"/>
              <w:marTop w:val="0"/>
              <w:marBottom w:val="0"/>
              <w:divBdr>
                <w:top w:val="none" w:sz="0" w:space="0" w:color="auto"/>
                <w:left w:val="none" w:sz="0" w:space="0" w:color="auto"/>
                <w:bottom w:val="none" w:sz="0" w:space="0" w:color="auto"/>
                <w:right w:val="none" w:sz="0" w:space="0" w:color="auto"/>
              </w:divBdr>
              <w:divsChild>
                <w:div w:id="573930640">
                  <w:marLeft w:val="0"/>
                  <w:marRight w:val="0"/>
                  <w:marTop w:val="0"/>
                  <w:marBottom w:val="0"/>
                  <w:divBdr>
                    <w:top w:val="none" w:sz="0" w:space="0" w:color="auto"/>
                    <w:left w:val="none" w:sz="0" w:space="0" w:color="auto"/>
                    <w:bottom w:val="none" w:sz="0" w:space="0" w:color="auto"/>
                    <w:right w:val="none" w:sz="0" w:space="0" w:color="auto"/>
                  </w:divBdr>
                </w:div>
              </w:divsChild>
            </w:div>
            <w:div w:id="2016179905">
              <w:marLeft w:val="0"/>
              <w:marRight w:val="0"/>
              <w:marTop w:val="0"/>
              <w:marBottom w:val="0"/>
              <w:divBdr>
                <w:top w:val="none" w:sz="0" w:space="0" w:color="auto"/>
                <w:left w:val="none" w:sz="0" w:space="0" w:color="auto"/>
                <w:bottom w:val="none" w:sz="0" w:space="0" w:color="auto"/>
                <w:right w:val="none" w:sz="0" w:space="0" w:color="auto"/>
              </w:divBdr>
              <w:divsChild>
                <w:div w:id="1149520884">
                  <w:marLeft w:val="0"/>
                  <w:marRight w:val="0"/>
                  <w:marTop w:val="0"/>
                  <w:marBottom w:val="0"/>
                  <w:divBdr>
                    <w:top w:val="none" w:sz="0" w:space="0" w:color="auto"/>
                    <w:left w:val="none" w:sz="0" w:space="0" w:color="auto"/>
                    <w:bottom w:val="none" w:sz="0" w:space="0" w:color="auto"/>
                    <w:right w:val="none" w:sz="0" w:space="0" w:color="auto"/>
                  </w:divBdr>
                </w:div>
              </w:divsChild>
            </w:div>
            <w:div w:id="381637652">
              <w:marLeft w:val="0"/>
              <w:marRight w:val="0"/>
              <w:marTop w:val="0"/>
              <w:marBottom w:val="0"/>
              <w:divBdr>
                <w:top w:val="none" w:sz="0" w:space="0" w:color="auto"/>
                <w:left w:val="none" w:sz="0" w:space="0" w:color="auto"/>
                <w:bottom w:val="none" w:sz="0" w:space="0" w:color="auto"/>
                <w:right w:val="none" w:sz="0" w:space="0" w:color="auto"/>
              </w:divBdr>
              <w:divsChild>
                <w:div w:id="103888250">
                  <w:marLeft w:val="0"/>
                  <w:marRight w:val="0"/>
                  <w:marTop w:val="0"/>
                  <w:marBottom w:val="0"/>
                  <w:divBdr>
                    <w:top w:val="none" w:sz="0" w:space="0" w:color="auto"/>
                    <w:left w:val="none" w:sz="0" w:space="0" w:color="auto"/>
                    <w:bottom w:val="none" w:sz="0" w:space="0" w:color="auto"/>
                    <w:right w:val="none" w:sz="0" w:space="0" w:color="auto"/>
                  </w:divBdr>
                </w:div>
              </w:divsChild>
            </w:div>
            <w:div w:id="719020144">
              <w:marLeft w:val="0"/>
              <w:marRight w:val="0"/>
              <w:marTop w:val="0"/>
              <w:marBottom w:val="0"/>
              <w:divBdr>
                <w:top w:val="none" w:sz="0" w:space="0" w:color="auto"/>
                <w:left w:val="none" w:sz="0" w:space="0" w:color="auto"/>
                <w:bottom w:val="none" w:sz="0" w:space="0" w:color="auto"/>
                <w:right w:val="none" w:sz="0" w:space="0" w:color="auto"/>
              </w:divBdr>
              <w:divsChild>
                <w:div w:id="518859086">
                  <w:marLeft w:val="0"/>
                  <w:marRight w:val="0"/>
                  <w:marTop w:val="0"/>
                  <w:marBottom w:val="0"/>
                  <w:divBdr>
                    <w:top w:val="none" w:sz="0" w:space="0" w:color="auto"/>
                    <w:left w:val="none" w:sz="0" w:space="0" w:color="auto"/>
                    <w:bottom w:val="none" w:sz="0" w:space="0" w:color="auto"/>
                    <w:right w:val="none" w:sz="0" w:space="0" w:color="auto"/>
                  </w:divBdr>
                </w:div>
              </w:divsChild>
            </w:div>
            <w:div w:id="2034526683">
              <w:marLeft w:val="0"/>
              <w:marRight w:val="0"/>
              <w:marTop w:val="0"/>
              <w:marBottom w:val="0"/>
              <w:divBdr>
                <w:top w:val="none" w:sz="0" w:space="0" w:color="auto"/>
                <w:left w:val="none" w:sz="0" w:space="0" w:color="auto"/>
                <w:bottom w:val="none" w:sz="0" w:space="0" w:color="auto"/>
                <w:right w:val="none" w:sz="0" w:space="0" w:color="auto"/>
              </w:divBdr>
              <w:divsChild>
                <w:div w:id="1300769341">
                  <w:marLeft w:val="0"/>
                  <w:marRight w:val="0"/>
                  <w:marTop w:val="0"/>
                  <w:marBottom w:val="0"/>
                  <w:divBdr>
                    <w:top w:val="none" w:sz="0" w:space="0" w:color="auto"/>
                    <w:left w:val="none" w:sz="0" w:space="0" w:color="auto"/>
                    <w:bottom w:val="none" w:sz="0" w:space="0" w:color="auto"/>
                    <w:right w:val="none" w:sz="0" w:space="0" w:color="auto"/>
                  </w:divBdr>
                </w:div>
              </w:divsChild>
            </w:div>
            <w:div w:id="1340960271">
              <w:marLeft w:val="0"/>
              <w:marRight w:val="0"/>
              <w:marTop w:val="0"/>
              <w:marBottom w:val="0"/>
              <w:divBdr>
                <w:top w:val="none" w:sz="0" w:space="0" w:color="auto"/>
                <w:left w:val="none" w:sz="0" w:space="0" w:color="auto"/>
                <w:bottom w:val="none" w:sz="0" w:space="0" w:color="auto"/>
                <w:right w:val="none" w:sz="0" w:space="0" w:color="auto"/>
              </w:divBdr>
              <w:divsChild>
                <w:div w:id="818690908">
                  <w:marLeft w:val="0"/>
                  <w:marRight w:val="0"/>
                  <w:marTop w:val="0"/>
                  <w:marBottom w:val="0"/>
                  <w:divBdr>
                    <w:top w:val="none" w:sz="0" w:space="0" w:color="auto"/>
                    <w:left w:val="none" w:sz="0" w:space="0" w:color="auto"/>
                    <w:bottom w:val="none" w:sz="0" w:space="0" w:color="auto"/>
                    <w:right w:val="none" w:sz="0" w:space="0" w:color="auto"/>
                  </w:divBdr>
                </w:div>
              </w:divsChild>
            </w:div>
            <w:div w:id="2117433589">
              <w:marLeft w:val="0"/>
              <w:marRight w:val="0"/>
              <w:marTop w:val="0"/>
              <w:marBottom w:val="0"/>
              <w:divBdr>
                <w:top w:val="none" w:sz="0" w:space="0" w:color="auto"/>
                <w:left w:val="none" w:sz="0" w:space="0" w:color="auto"/>
                <w:bottom w:val="none" w:sz="0" w:space="0" w:color="auto"/>
                <w:right w:val="none" w:sz="0" w:space="0" w:color="auto"/>
              </w:divBdr>
              <w:divsChild>
                <w:div w:id="1550607587">
                  <w:marLeft w:val="0"/>
                  <w:marRight w:val="0"/>
                  <w:marTop w:val="0"/>
                  <w:marBottom w:val="0"/>
                  <w:divBdr>
                    <w:top w:val="none" w:sz="0" w:space="0" w:color="auto"/>
                    <w:left w:val="none" w:sz="0" w:space="0" w:color="auto"/>
                    <w:bottom w:val="none" w:sz="0" w:space="0" w:color="auto"/>
                    <w:right w:val="none" w:sz="0" w:space="0" w:color="auto"/>
                  </w:divBdr>
                </w:div>
              </w:divsChild>
            </w:div>
            <w:div w:id="1372799809">
              <w:marLeft w:val="0"/>
              <w:marRight w:val="0"/>
              <w:marTop w:val="0"/>
              <w:marBottom w:val="0"/>
              <w:divBdr>
                <w:top w:val="none" w:sz="0" w:space="0" w:color="auto"/>
                <w:left w:val="none" w:sz="0" w:space="0" w:color="auto"/>
                <w:bottom w:val="none" w:sz="0" w:space="0" w:color="auto"/>
                <w:right w:val="none" w:sz="0" w:space="0" w:color="auto"/>
              </w:divBdr>
              <w:divsChild>
                <w:div w:id="2068608294">
                  <w:marLeft w:val="0"/>
                  <w:marRight w:val="0"/>
                  <w:marTop w:val="0"/>
                  <w:marBottom w:val="0"/>
                  <w:divBdr>
                    <w:top w:val="none" w:sz="0" w:space="0" w:color="auto"/>
                    <w:left w:val="none" w:sz="0" w:space="0" w:color="auto"/>
                    <w:bottom w:val="none" w:sz="0" w:space="0" w:color="auto"/>
                    <w:right w:val="none" w:sz="0" w:space="0" w:color="auto"/>
                  </w:divBdr>
                </w:div>
              </w:divsChild>
            </w:div>
            <w:div w:id="899484737">
              <w:marLeft w:val="0"/>
              <w:marRight w:val="0"/>
              <w:marTop w:val="0"/>
              <w:marBottom w:val="0"/>
              <w:divBdr>
                <w:top w:val="none" w:sz="0" w:space="0" w:color="auto"/>
                <w:left w:val="none" w:sz="0" w:space="0" w:color="auto"/>
                <w:bottom w:val="none" w:sz="0" w:space="0" w:color="auto"/>
                <w:right w:val="none" w:sz="0" w:space="0" w:color="auto"/>
              </w:divBdr>
              <w:divsChild>
                <w:div w:id="778647587">
                  <w:marLeft w:val="0"/>
                  <w:marRight w:val="0"/>
                  <w:marTop w:val="0"/>
                  <w:marBottom w:val="0"/>
                  <w:divBdr>
                    <w:top w:val="none" w:sz="0" w:space="0" w:color="auto"/>
                    <w:left w:val="none" w:sz="0" w:space="0" w:color="auto"/>
                    <w:bottom w:val="none" w:sz="0" w:space="0" w:color="auto"/>
                    <w:right w:val="none" w:sz="0" w:space="0" w:color="auto"/>
                  </w:divBdr>
                </w:div>
              </w:divsChild>
            </w:div>
            <w:div w:id="1238049968">
              <w:marLeft w:val="0"/>
              <w:marRight w:val="0"/>
              <w:marTop w:val="0"/>
              <w:marBottom w:val="0"/>
              <w:divBdr>
                <w:top w:val="none" w:sz="0" w:space="0" w:color="auto"/>
                <w:left w:val="none" w:sz="0" w:space="0" w:color="auto"/>
                <w:bottom w:val="none" w:sz="0" w:space="0" w:color="auto"/>
                <w:right w:val="none" w:sz="0" w:space="0" w:color="auto"/>
              </w:divBdr>
              <w:divsChild>
                <w:div w:id="742144600">
                  <w:marLeft w:val="0"/>
                  <w:marRight w:val="0"/>
                  <w:marTop w:val="0"/>
                  <w:marBottom w:val="0"/>
                  <w:divBdr>
                    <w:top w:val="none" w:sz="0" w:space="0" w:color="auto"/>
                    <w:left w:val="none" w:sz="0" w:space="0" w:color="auto"/>
                    <w:bottom w:val="none" w:sz="0" w:space="0" w:color="auto"/>
                    <w:right w:val="none" w:sz="0" w:space="0" w:color="auto"/>
                  </w:divBdr>
                </w:div>
              </w:divsChild>
            </w:div>
            <w:div w:id="965694393">
              <w:marLeft w:val="0"/>
              <w:marRight w:val="0"/>
              <w:marTop w:val="0"/>
              <w:marBottom w:val="0"/>
              <w:divBdr>
                <w:top w:val="none" w:sz="0" w:space="0" w:color="auto"/>
                <w:left w:val="none" w:sz="0" w:space="0" w:color="auto"/>
                <w:bottom w:val="none" w:sz="0" w:space="0" w:color="auto"/>
                <w:right w:val="none" w:sz="0" w:space="0" w:color="auto"/>
              </w:divBdr>
              <w:divsChild>
                <w:div w:id="2055883462">
                  <w:marLeft w:val="0"/>
                  <w:marRight w:val="0"/>
                  <w:marTop w:val="0"/>
                  <w:marBottom w:val="0"/>
                  <w:divBdr>
                    <w:top w:val="none" w:sz="0" w:space="0" w:color="auto"/>
                    <w:left w:val="none" w:sz="0" w:space="0" w:color="auto"/>
                    <w:bottom w:val="none" w:sz="0" w:space="0" w:color="auto"/>
                    <w:right w:val="none" w:sz="0" w:space="0" w:color="auto"/>
                  </w:divBdr>
                </w:div>
              </w:divsChild>
            </w:div>
            <w:div w:id="943924407">
              <w:marLeft w:val="0"/>
              <w:marRight w:val="0"/>
              <w:marTop w:val="0"/>
              <w:marBottom w:val="0"/>
              <w:divBdr>
                <w:top w:val="none" w:sz="0" w:space="0" w:color="auto"/>
                <w:left w:val="none" w:sz="0" w:space="0" w:color="auto"/>
                <w:bottom w:val="none" w:sz="0" w:space="0" w:color="auto"/>
                <w:right w:val="none" w:sz="0" w:space="0" w:color="auto"/>
              </w:divBdr>
              <w:divsChild>
                <w:div w:id="249513493">
                  <w:marLeft w:val="0"/>
                  <w:marRight w:val="0"/>
                  <w:marTop w:val="0"/>
                  <w:marBottom w:val="0"/>
                  <w:divBdr>
                    <w:top w:val="none" w:sz="0" w:space="0" w:color="auto"/>
                    <w:left w:val="none" w:sz="0" w:space="0" w:color="auto"/>
                    <w:bottom w:val="none" w:sz="0" w:space="0" w:color="auto"/>
                    <w:right w:val="none" w:sz="0" w:space="0" w:color="auto"/>
                  </w:divBdr>
                </w:div>
              </w:divsChild>
            </w:div>
            <w:div w:id="2129542920">
              <w:marLeft w:val="0"/>
              <w:marRight w:val="0"/>
              <w:marTop w:val="0"/>
              <w:marBottom w:val="0"/>
              <w:divBdr>
                <w:top w:val="none" w:sz="0" w:space="0" w:color="auto"/>
                <w:left w:val="none" w:sz="0" w:space="0" w:color="auto"/>
                <w:bottom w:val="none" w:sz="0" w:space="0" w:color="auto"/>
                <w:right w:val="none" w:sz="0" w:space="0" w:color="auto"/>
              </w:divBdr>
              <w:divsChild>
                <w:div w:id="125399068">
                  <w:marLeft w:val="0"/>
                  <w:marRight w:val="0"/>
                  <w:marTop w:val="0"/>
                  <w:marBottom w:val="0"/>
                  <w:divBdr>
                    <w:top w:val="none" w:sz="0" w:space="0" w:color="auto"/>
                    <w:left w:val="none" w:sz="0" w:space="0" w:color="auto"/>
                    <w:bottom w:val="none" w:sz="0" w:space="0" w:color="auto"/>
                    <w:right w:val="none" w:sz="0" w:space="0" w:color="auto"/>
                  </w:divBdr>
                </w:div>
              </w:divsChild>
            </w:div>
            <w:div w:id="1068117362">
              <w:marLeft w:val="0"/>
              <w:marRight w:val="0"/>
              <w:marTop w:val="0"/>
              <w:marBottom w:val="0"/>
              <w:divBdr>
                <w:top w:val="none" w:sz="0" w:space="0" w:color="auto"/>
                <w:left w:val="none" w:sz="0" w:space="0" w:color="auto"/>
                <w:bottom w:val="none" w:sz="0" w:space="0" w:color="auto"/>
                <w:right w:val="none" w:sz="0" w:space="0" w:color="auto"/>
              </w:divBdr>
              <w:divsChild>
                <w:div w:id="844054087">
                  <w:marLeft w:val="0"/>
                  <w:marRight w:val="0"/>
                  <w:marTop w:val="0"/>
                  <w:marBottom w:val="0"/>
                  <w:divBdr>
                    <w:top w:val="none" w:sz="0" w:space="0" w:color="auto"/>
                    <w:left w:val="none" w:sz="0" w:space="0" w:color="auto"/>
                    <w:bottom w:val="none" w:sz="0" w:space="0" w:color="auto"/>
                    <w:right w:val="none" w:sz="0" w:space="0" w:color="auto"/>
                  </w:divBdr>
                </w:div>
              </w:divsChild>
            </w:div>
            <w:div w:id="352920750">
              <w:marLeft w:val="0"/>
              <w:marRight w:val="0"/>
              <w:marTop w:val="0"/>
              <w:marBottom w:val="0"/>
              <w:divBdr>
                <w:top w:val="none" w:sz="0" w:space="0" w:color="auto"/>
                <w:left w:val="none" w:sz="0" w:space="0" w:color="auto"/>
                <w:bottom w:val="none" w:sz="0" w:space="0" w:color="auto"/>
                <w:right w:val="none" w:sz="0" w:space="0" w:color="auto"/>
              </w:divBdr>
              <w:divsChild>
                <w:div w:id="2061391915">
                  <w:marLeft w:val="0"/>
                  <w:marRight w:val="0"/>
                  <w:marTop w:val="0"/>
                  <w:marBottom w:val="0"/>
                  <w:divBdr>
                    <w:top w:val="none" w:sz="0" w:space="0" w:color="auto"/>
                    <w:left w:val="none" w:sz="0" w:space="0" w:color="auto"/>
                    <w:bottom w:val="none" w:sz="0" w:space="0" w:color="auto"/>
                    <w:right w:val="none" w:sz="0" w:space="0" w:color="auto"/>
                  </w:divBdr>
                </w:div>
              </w:divsChild>
            </w:div>
            <w:div w:id="928999847">
              <w:marLeft w:val="0"/>
              <w:marRight w:val="0"/>
              <w:marTop w:val="0"/>
              <w:marBottom w:val="0"/>
              <w:divBdr>
                <w:top w:val="none" w:sz="0" w:space="0" w:color="auto"/>
                <w:left w:val="none" w:sz="0" w:space="0" w:color="auto"/>
                <w:bottom w:val="none" w:sz="0" w:space="0" w:color="auto"/>
                <w:right w:val="none" w:sz="0" w:space="0" w:color="auto"/>
              </w:divBdr>
              <w:divsChild>
                <w:div w:id="936255201">
                  <w:marLeft w:val="0"/>
                  <w:marRight w:val="0"/>
                  <w:marTop w:val="0"/>
                  <w:marBottom w:val="0"/>
                  <w:divBdr>
                    <w:top w:val="none" w:sz="0" w:space="0" w:color="auto"/>
                    <w:left w:val="none" w:sz="0" w:space="0" w:color="auto"/>
                    <w:bottom w:val="none" w:sz="0" w:space="0" w:color="auto"/>
                    <w:right w:val="none" w:sz="0" w:space="0" w:color="auto"/>
                  </w:divBdr>
                </w:div>
              </w:divsChild>
            </w:div>
            <w:div w:id="1432041892">
              <w:marLeft w:val="0"/>
              <w:marRight w:val="0"/>
              <w:marTop w:val="0"/>
              <w:marBottom w:val="0"/>
              <w:divBdr>
                <w:top w:val="none" w:sz="0" w:space="0" w:color="auto"/>
                <w:left w:val="none" w:sz="0" w:space="0" w:color="auto"/>
                <w:bottom w:val="none" w:sz="0" w:space="0" w:color="auto"/>
                <w:right w:val="none" w:sz="0" w:space="0" w:color="auto"/>
              </w:divBdr>
              <w:divsChild>
                <w:div w:id="1579171726">
                  <w:marLeft w:val="0"/>
                  <w:marRight w:val="0"/>
                  <w:marTop w:val="0"/>
                  <w:marBottom w:val="0"/>
                  <w:divBdr>
                    <w:top w:val="none" w:sz="0" w:space="0" w:color="auto"/>
                    <w:left w:val="none" w:sz="0" w:space="0" w:color="auto"/>
                    <w:bottom w:val="none" w:sz="0" w:space="0" w:color="auto"/>
                    <w:right w:val="none" w:sz="0" w:space="0" w:color="auto"/>
                  </w:divBdr>
                </w:div>
              </w:divsChild>
            </w:div>
            <w:div w:id="900864384">
              <w:marLeft w:val="0"/>
              <w:marRight w:val="0"/>
              <w:marTop w:val="0"/>
              <w:marBottom w:val="0"/>
              <w:divBdr>
                <w:top w:val="none" w:sz="0" w:space="0" w:color="auto"/>
                <w:left w:val="none" w:sz="0" w:space="0" w:color="auto"/>
                <w:bottom w:val="none" w:sz="0" w:space="0" w:color="auto"/>
                <w:right w:val="none" w:sz="0" w:space="0" w:color="auto"/>
              </w:divBdr>
              <w:divsChild>
                <w:div w:id="1680501348">
                  <w:marLeft w:val="0"/>
                  <w:marRight w:val="0"/>
                  <w:marTop w:val="0"/>
                  <w:marBottom w:val="0"/>
                  <w:divBdr>
                    <w:top w:val="none" w:sz="0" w:space="0" w:color="auto"/>
                    <w:left w:val="none" w:sz="0" w:space="0" w:color="auto"/>
                    <w:bottom w:val="none" w:sz="0" w:space="0" w:color="auto"/>
                    <w:right w:val="none" w:sz="0" w:space="0" w:color="auto"/>
                  </w:divBdr>
                </w:div>
              </w:divsChild>
            </w:div>
            <w:div w:id="660083854">
              <w:marLeft w:val="0"/>
              <w:marRight w:val="0"/>
              <w:marTop w:val="0"/>
              <w:marBottom w:val="0"/>
              <w:divBdr>
                <w:top w:val="none" w:sz="0" w:space="0" w:color="auto"/>
                <w:left w:val="none" w:sz="0" w:space="0" w:color="auto"/>
                <w:bottom w:val="none" w:sz="0" w:space="0" w:color="auto"/>
                <w:right w:val="none" w:sz="0" w:space="0" w:color="auto"/>
              </w:divBdr>
              <w:divsChild>
                <w:div w:id="1340230319">
                  <w:marLeft w:val="0"/>
                  <w:marRight w:val="0"/>
                  <w:marTop w:val="0"/>
                  <w:marBottom w:val="0"/>
                  <w:divBdr>
                    <w:top w:val="none" w:sz="0" w:space="0" w:color="auto"/>
                    <w:left w:val="none" w:sz="0" w:space="0" w:color="auto"/>
                    <w:bottom w:val="none" w:sz="0" w:space="0" w:color="auto"/>
                    <w:right w:val="none" w:sz="0" w:space="0" w:color="auto"/>
                  </w:divBdr>
                </w:div>
              </w:divsChild>
            </w:div>
            <w:div w:id="487019172">
              <w:marLeft w:val="0"/>
              <w:marRight w:val="0"/>
              <w:marTop w:val="0"/>
              <w:marBottom w:val="0"/>
              <w:divBdr>
                <w:top w:val="none" w:sz="0" w:space="0" w:color="auto"/>
                <w:left w:val="none" w:sz="0" w:space="0" w:color="auto"/>
                <w:bottom w:val="none" w:sz="0" w:space="0" w:color="auto"/>
                <w:right w:val="none" w:sz="0" w:space="0" w:color="auto"/>
              </w:divBdr>
              <w:divsChild>
                <w:div w:id="218825969">
                  <w:marLeft w:val="0"/>
                  <w:marRight w:val="0"/>
                  <w:marTop w:val="0"/>
                  <w:marBottom w:val="0"/>
                  <w:divBdr>
                    <w:top w:val="none" w:sz="0" w:space="0" w:color="auto"/>
                    <w:left w:val="none" w:sz="0" w:space="0" w:color="auto"/>
                    <w:bottom w:val="none" w:sz="0" w:space="0" w:color="auto"/>
                    <w:right w:val="none" w:sz="0" w:space="0" w:color="auto"/>
                  </w:divBdr>
                </w:div>
              </w:divsChild>
            </w:div>
            <w:div w:id="2106681573">
              <w:marLeft w:val="0"/>
              <w:marRight w:val="0"/>
              <w:marTop w:val="0"/>
              <w:marBottom w:val="0"/>
              <w:divBdr>
                <w:top w:val="none" w:sz="0" w:space="0" w:color="auto"/>
                <w:left w:val="none" w:sz="0" w:space="0" w:color="auto"/>
                <w:bottom w:val="none" w:sz="0" w:space="0" w:color="auto"/>
                <w:right w:val="none" w:sz="0" w:space="0" w:color="auto"/>
              </w:divBdr>
              <w:divsChild>
                <w:div w:id="2103798221">
                  <w:marLeft w:val="0"/>
                  <w:marRight w:val="0"/>
                  <w:marTop w:val="0"/>
                  <w:marBottom w:val="0"/>
                  <w:divBdr>
                    <w:top w:val="none" w:sz="0" w:space="0" w:color="auto"/>
                    <w:left w:val="none" w:sz="0" w:space="0" w:color="auto"/>
                    <w:bottom w:val="none" w:sz="0" w:space="0" w:color="auto"/>
                    <w:right w:val="none" w:sz="0" w:space="0" w:color="auto"/>
                  </w:divBdr>
                </w:div>
              </w:divsChild>
            </w:div>
            <w:div w:id="325020215">
              <w:marLeft w:val="0"/>
              <w:marRight w:val="0"/>
              <w:marTop w:val="0"/>
              <w:marBottom w:val="0"/>
              <w:divBdr>
                <w:top w:val="none" w:sz="0" w:space="0" w:color="auto"/>
                <w:left w:val="none" w:sz="0" w:space="0" w:color="auto"/>
                <w:bottom w:val="none" w:sz="0" w:space="0" w:color="auto"/>
                <w:right w:val="none" w:sz="0" w:space="0" w:color="auto"/>
              </w:divBdr>
              <w:divsChild>
                <w:div w:id="11697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7891">
          <w:marLeft w:val="0"/>
          <w:marRight w:val="0"/>
          <w:marTop w:val="0"/>
          <w:marBottom w:val="600"/>
          <w:divBdr>
            <w:top w:val="none" w:sz="0" w:space="0" w:color="auto"/>
            <w:left w:val="none" w:sz="0" w:space="0" w:color="auto"/>
            <w:bottom w:val="none" w:sz="0" w:space="0" w:color="auto"/>
            <w:right w:val="none" w:sz="0" w:space="0" w:color="auto"/>
          </w:divBdr>
        </w:div>
      </w:divsChild>
    </w:div>
    <w:div w:id="1936548935">
      <w:marLeft w:val="0"/>
      <w:marRight w:val="0"/>
      <w:marTop w:val="0"/>
      <w:marBottom w:val="0"/>
      <w:divBdr>
        <w:top w:val="none" w:sz="0" w:space="0" w:color="auto"/>
        <w:left w:val="none" w:sz="0" w:space="0" w:color="auto"/>
        <w:bottom w:val="none" w:sz="0" w:space="0" w:color="auto"/>
        <w:right w:val="none" w:sz="0" w:space="0" w:color="auto"/>
      </w:divBdr>
      <w:divsChild>
        <w:div w:id="1668164638">
          <w:marLeft w:val="0"/>
          <w:marRight w:val="0"/>
          <w:marTop w:val="0"/>
          <w:marBottom w:val="0"/>
          <w:divBdr>
            <w:top w:val="none" w:sz="0" w:space="0" w:color="auto"/>
            <w:left w:val="none" w:sz="0" w:space="0" w:color="auto"/>
            <w:bottom w:val="none" w:sz="0" w:space="0" w:color="auto"/>
            <w:right w:val="none" w:sz="0" w:space="0" w:color="auto"/>
          </w:divBdr>
        </w:div>
        <w:div w:id="2134131473">
          <w:marLeft w:val="0"/>
          <w:marRight w:val="0"/>
          <w:marTop w:val="0"/>
          <w:marBottom w:val="600"/>
          <w:divBdr>
            <w:top w:val="none" w:sz="0" w:space="0" w:color="auto"/>
            <w:left w:val="none" w:sz="0" w:space="0" w:color="auto"/>
            <w:bottom w:val="none" w:sz="0" w:space="0" w:color="auto"/>
            <w:right w:val="none" w:sz="0" w:space="0" w:color="auto"/>
          </w:divBdr>
        </w:div>
      </w:divsChild>
    </w:div>
    <w:div w:id="1962032982">
      <w:marLeft w:val="0"/>
      <w:marRight w:val="0"/>
      <w:marTop w:val="0"/>
      <w:marBottom w:val="0"/>
      <w:divBdr>
        <w:top w:val="none" w:sz="0" w:space="0" w:color="auto"/>
        <w:left w:val="none" w:sz="0" w:space="0" w:color="auto"/>
        <w:bottom w:val="none" w:sz="0" w:space="0" w:color="auto"/>
        <w:right w:val="none" w:sz="0" w:space="0" w:color="auto"/>
      </w:divBdr>
      <w:divsChild>
        <w:div w:id="1384021042">
          <w:marLeft w:val="0"/>
          <w:marRight w:val="0"/>
          <w:marTop w:val="432"/>
          <w:marBottom w:val="0"/>
          <w:divBdr>
            <w:top w:val="none" w:sz="0" w:space="0" w:color="auto"/>
            <w:left w:val="none" w:sz="0" w:space="0" w:color="auto"/>
            <w:bottom w:val="none" w:sz="0" w:space="0" w:color="auto"/>
            <w:right w:val="none" w:sz="0" w:space="0" w:color="auto"/>
          </w:divBdr>
        </w:div>
        <w:div w:id="1113598999">
          <w:marLeft w:val="0"/>
          <w:marRight w:val="0"/>
          <w:marTop w:val="0"/>
          <w:marBottom w:val="0"/>
          <w:divBdr>
            <w:top w:val="none" w:sz="0" w:space="0" w:color="auto"/>
            <w:left w:val="none" w:sz="0" w:space="0" w:color="auto"/>
            <w:bottom w:val="none" w:sz="0" w:space="0" w:color="auto"/>
            <w:right w:val="none" w:sz="0" w:space="0" w:color="auto"/>
          </w:divBdr>
          <w:divsChild>
            <w:div w:id="2035224788">
              <w:marLeft w:val="0"/>
              <w:marRight w:val="0"/>
              <w:marTop w:val="0"/>
              <w:marBottom w:val="0"/>
              <w:divBdr>
                <w:top w:val="none" w:sz="0" w:space="0" w:color="auto"/>
                <w:left w:val="none" w:sz="0" w:space="0" w:color="auto"/>
                <w:bottom w:val="none" w:sz="0" w:space="0" w:color="auto"/>
                <w:right w:val="none" w:sz="0" w:space="0" w:color="auto"/>
              </w:divBdr>
              <w:divsChild>
                <w:div w:id="1203597009">
                  <w:marLeft w:val="0"/>
                  <w:marRight w:val="0"/>
                  <w:marTop w:val="0"/>
                  <w:marBottom w:val="0"/>
                  <w:divBdr>
                    <w:top w:val="none" w:sz="0" w:space="0" w:color="auto"/>
                    <w:left w:val="none" w:sz="0" w:space="0" w:color="auto"/>
                    <w:bottom w:val="none" w:sz="0" w:space="0" w:color="auto"/>
                    <w:right w:val="none" w:sz="0" w:space="0" w:color="auto"/>
                  </w:divBdr>
                </w:div>
              </w:divsChild>
            </w:div>
            <w:div w:id="737482874">
              <w:marLeft w:val="0"/>
              <w:marRight w:val="0"/>
              <w:marTop w:val="0"/>
              <w:marBottom w:val="0"/>
              <w:divBdr>
                <w:top w:val="none" w:sz="0" w:space="0" w:color="auto"/>
                <w:left w:val="none" w:sz="0" w:space="0" w:color="auto"/>
                <w:bottom w:val="none" w:sz="0" w:space="0" w:color="auto"/>
                <w:right w:val="none" w:sz="0" w:space="0" w:color="auto"/>
              </w:divBdr>
              <w:divsChild>
                <w:div w:id="857547529">
                  <w:marLeft w:val="0"/>
                  <w:marRight w:val="0"/>
                  <w:marTop w:val="0"/>
                  <w:marBottom w:val="0"/>
                  <w:divBdr>
                    <w:top w:val="none" w:sz="0" w:space="0" w:color="auto"/>
                    <w:left w:val="none" w:sz="0" w:space="0" w:color="auto"/>
                    <w:bottom w:val="none" w:sz="0" w:space="0" w:color="auto"/>
                    <w:right w:val="none" w:sz="0" w:space="0" w:color="auto"/>
                  </w:divBdr>
                </w:div>
              </w:divsChild>
            </w:div>
            <w:div w:id="357002714">
              <w:marLeft w:val="0"/>
              <w:marRight w:val="0"/>
              <w:marTop w:val="0"/>
              <w:marBottom w:val="0"/>
              <w:divBdr>
                <w:top w:val="none" w:sz="0" w:space="0" w:color="auto"/>
                <w:left w:val="none" w:sz="0" w:space="0" w:color="auto"/>
                <w:bottom w:val="none" w:sz="0" w:space="0" w:color="auto"/>
                <w:right w:val="none" w:sz="0" w:space="0" w:color="auto"/>
              </w:divBdr>
              <w:divsChild>
                <w:div w:id="299648649">
                  <w:marLeft w:val="0"/>
                  <w:marRight w:val="0"/>
                  <w:marTop w:val="0"/>
                  <w:marBottom w:val="0"/>
                  <w:divBdr>
                    <w:top w:val="none" w:sz="0" w:space="0" w:color="auto"/>
                    <w:left w:val="none" w:sz="0" w:space="0" w:color="auto"/>
                    <w:bottom w:val="none" w:sz="0" w:space="0" w:color="auto"/>
                    <w:right w:val="none" w:sz="0" w:space="0" w:color="auto"/>
                  </w:divBdr>
                </w:div>
              </w:divsChild>
            </w:div>
            <w:div w:id="1857378299">
              <w:marLeft w:val="0"/>
              <w:marRight w:val="0"/>
              <w:marTop w:val="0"/>
              <w:marBottom w:val="0"/>
              <w:divBdr>
                <w:top w:val="none" w:sz="0" w:space="0" w:color="auto"/>
                <w:left w:val="none" w:sz="0" w:space="0" w:color="auto"/>
                <w:bottom w:val="none" w:sz="0" w:space="0" w:color="auto"/>
                <w:right w:val="none" w:sz="0" w:space="0" w:color="auto"/>
              </w:divBdr>
              <w:divsChild>
                <w:div w:id="1837332785">
                  <w:marLeft w:val="0"/>
                  <w:marRight w:val="0"/>
                  <w:marTop w:val="0"/>
                  <w:marBottom w:val="0"/>
                  <w:divBdr>
                    <w:top w:val="none" w:sz="0" w:space="0" w:color="auto"/>
                    <w:left w:val="none" w:sz="0" w:space="0" w:color="auto"/>
                    <w:bottom w:val="none" w:sz="0" w:space="0" w:color="auto"/>
                    <w:right w:val="none" w:sz="0" w:space="0" w:color="auto"/>
                  </w:divBdr>
                </w:div>
              </w:divsChild>
            </w:div>
            <w:div w:id="810832454">
              <w:marLeft w:val="0"/>
              <w:marRight w:val="0"/>
              <w:marTop w:val="0"/>
              <w:marBottom w:val="0"/>
              <w:divBdr>
                <w:top w:val="none" w:sz="0" w:space="0" w:color="auto"/>
                <w:left w:val="none" w:sz="0" w:space="0" w:color="auto"/>
                <w:bottom w:val="none" w:sz="0" w:space="0" w:color="auto"/>
                <w:right w:val="none" w:sz="0" w:space="0" w:color="auto"/>
              </w:divBdr>
              <w:divsChild>
                <w:div w:id="1543635519">
                  <w:marLeft w:val="0"/>
                  <w:marRight w:val="0"/>
                  <w:marTop w:val="0"/>
                  <w:marBottom w:val="0"/>
                  <w:divBdr>
                    <w:top w:val="none" w:sz="0" w:space="0" w:color="auto"/>
                    <w:left w:val="none" w:sz="0" w:space="0" w:color="auto"/>
                    <w:bottom w:val="none" w:sz="0" w:space="0" w:color="auto"/>
                    <w:right w:val="none" w:sz="0" w:space="0" w:color="auto"/>
                  </w:divBdr>
                </w:div>
              </w:divsChild>
            </w:div>
            <w:div w:id="1873959777">
              <w:marLeft w:val="0"/>
              <w:marRight w:val="0"/>
              <w:marTop w:val="0"/>
              <w:marBottom w:val="0"/>
              <w:divBdr>
                <w:top w:val="none" w:sz="0" w:space="0" w:color="auto"/>
                <w:left w:val="none" w:sz="0" w:space="0" w:color="auto"/>
                <w:bottom w:val="none" w:sz="0" w:space="0" w:color="auto"/>
                <w:right w:val="none" w:sz="0" w:space="0" w:color="auto"/>
              </w:divBdr>
              <w:divsChild>
                <w:div w:id="1573392545">
                  <w:marLeft w:val="0"/>
                  <w:marRight w:val="0"/>
                  <w:marTop w:val="0"/>
                  <w:marBottom w:val="0"/>
                  <w:divBdr>
                    <w:top w:val="none" w:sz="0" w:space="0" w:color="auto"/>
                    <w:left w:val="none" w:sz="0" w:space="0" w:color="auto"/>
                    <w:bottom w:val="none" w:sz="0" w:space="0" w:color="auto"/>
                    <w:right w:val="none" w:sz="0" w:space="0" w:color="auto"/>
                  </w:divBdr>
                </w:div>
              </w:divsChild>
            </w:div>
            <w:div w:id="1151288573">
              <w:marLeft w:val="0"/>
              <w:marRight w:val="0"/>
              <w:marTop w:val="0"/>
              <w:marBottom w:val="0"/>
              <w:divBdr>
                <w:top w:val="none" w:sz="0" w:space="0" w:color="auto"/>
                <w:left w:val="none" w:sz="0" w:space="0" w:color="auto"/>
                <w:bottom w:val="none" w:sz="0" w:space="0" w:color="auto"/>
                <w:right w:val="none" w:sz="0" w:space="0" w:color="auto"/>
              </w:divBdr>
              <w:divsChild>
                <w:div w:id="843206823">
                  <w:marLeft w:val="0"/>
                  <w:marRight w:val="0"/>
                  <w:marTop w:val="0"/>
                  <w:marBottom w:val="0"/>
                  <w:divBdr>
                    <w:top w:val="none" w:sz="0" w:space="0" w:color="auto"/>
                    <w:left w:val="none" w:sz="0" w:space="0" w:color="auto"/>
                    <w:bottom w:val="none" w:sz="0" w:space="0" w:color="auto"/>
                    <w:right w:val="none" w:sz="0" w:space="0" w:color="auto"/>
                  </w:divBdr>
                </w:div>
              </w:divsChild>
            </w:div>
            <w:div w:id="1460298880">
              <w:marLeft w:val="0"/>
              <w:marRight w:val="0"/>
              <w:marTop w:val="0"/>
              <w:marBottom w:val="0"/>
              <w:divBdr>
                <w:top w:val="none" w:sz="0" w:space="0" w:color="auto"/>
                <w:left w:val="none" w:sz="0" w:space="0" w:color="auto"/>
                <w:bottom w:val="none" w:sz="0" w:space="0" w:color="auto"/>
                <w:right w:val="none" w:sz="0" w:space="0" w:color="auto"/>
              </w:divBdr>
              <w:divsChild>
                <w:div w:id="784423054">
                  <w:marLeft w:val="0"/>
                  <w:marRight w:val="0"/>
                  <w:marTop w:val="0"/>
                  <w:marBottom w:val="0"/>
                  <w:divBdr>
                    <w:top w:val="none" w:sz="0" w:space="0" w:color="auto"/>
                    <w:left w:val="none" w:sz="0" w:space="0" w:color="auto"/>
                    <w:bottom w:val="none" w:sz="0" w:space="0" w:color="auto"/>
                    <w:right w:val="none" w:sz="0" w:space="0" w:color="auto"/>
                  </w:divBdr>
                </w:div>
              </w:divsChild>
            </w:div>
            <w:div w:id="1435399912">
              <w:marLeft w:val="0"/>
              <w:marRight w:val="0"/>
              <w:marTop w:val="0"/>
              <w:marBottom w:val="0"/>
              <w:divBdr>
                <w:top w:val="none" w:sz="0" w:space="0" w:color="auto"/>
                <w:left w:val="none" w:sz="0" w:space="0" w:color="auto"/>
                <w:bottom w:val="none" w:sz="0" w:space="0" w:color="auto"/>
                <w:right w:val="none" w:sz="0" w:space="0" w:color="auto"/>
              </w:divBdr>
              <w:divsChild>
                <w:div w:id="752046682">
                  <w:marLeft w:val="0"/>
                  <w:marRight w:val="0"/>
                  <w:marTop w:val="0"/>
                  <w:marBottom w:val="0"/>
                  <w:divBdr>
                    <w:top w:val="none" w:sz="0" w:space="0" w:color="auto"/>
                    <w:left w:val="none" w:sz="0" w:space="0" w:color="auto"/>
                    <w:bottom w:val="none" w:sz="0" w:space="0" w:color="auto"/>
                    <w:right w:val="none" w:sz="0" w:space="0" w:color="auto"/>
                  </w:divBdr>
                </w:div>
              </w:divsChild>
            </w:div>
            <w:div w:id="1508515624">
              <w:marLeft w:val="0"/>
              <w:marRight w:val="0"/>
              <w:marTop w:val="0"/>
              <w:marBottom w:val="0"/>
              <w:divBdr>
                <w:top w:val="none" w:sz="0" w:space="0" w:color="auto"/>
                <w:left w:val="none" w:sz="0" w:space="0" w:color="auto"/>
                <w:bottom w:val="none" w:sz="0" w:space="0" w:color="auto"/>
                <w:right w:val="none" w:sz="0" w:space="0" w:color="auto"/>
              </w:divBdr>
              <w:divsChild>
                <w:div w:id="1600134752">
                  <w:marLeft w:val="0"/>
                  <w:marRight w:val="0"/>
                  <w:marTop w:val="0"/>
                  <w:marBottom w:val="0"/>
                  <w:divBdr>
                    <w:top w:val="none" w:sz="0" w:space="0" w:color="auto"/>
                    <w:left w:val="none" w:sz="0" w:space="0" w:color="auto"/>
                    <w:bottom w:val="none" w:sz="0" w:space="0" w:color="auto"/>
                    <w:right w:val="none" w:sz="0" w:space="0" w:color="auto"/>
                  </w:divBdr>
                </w:div>
              </w:divsChild>
            </w:div>
            <w:div w:id="1963533509">
              <w:marLeft w:val="0"/>
              <w:marRight w:val="0"/>
              <w:marTop w:val="0"/>
              <w:marBottom w:val="0"/>
              <w:divBdr>
                <w:top w:val="none" w:sz="0" w:space="0" w:color="auto"/>
                <w:left w:val="none" w:sz="0" w:space="0" w:color="auto"/>
                <w:bottom w:val="none" w:sz="0" w:space="0" w:color="auto"/>
                <w:right w:val="none" w:sz="0" w:space="0" w:color="auto"/>
              </w:divBdr>
              <w:divsChild>
                <w:div w:id="1302078563">
                  <w:marLeft w:val="0"/>
                  <w:marRight w:val="0"/>
                  <w:marTop w:val="0"/>
                  <w:marBottom w:val="0"/>
                  <w:divBdr>
                    <w:top w:val="none" w:sz="0" w:space="0" w:color="auto"/>
                    <w:left w:val="none" w:sz="0" w:space="0" w:color="auto"/>
                    <w:bottom w:val="none" w:sz="0" w:space="0" w:color="auto"/>
                    <w:right w:val="none" w:sz="0" w:space="0" w:color="auto"/>
                  </w:divBdr>
                </w:div>
              </w:divsChild>
            </w:div>
            <w:div w:id="561717484">
              <w:marLeft w:val="0"/>
              <w:marRight w:val="0"/>
              <w:marTop w:val="0"/>
              <w:marBottom w:val="0"/>
              <w:divBdr>
                <w:top w:val="none" w:sz="0" w:space="0" w:color="auto"/>
                <w:left w:val="none" w:sz="0" w:space="0" w:color="auto"/>
                <w:bottom w:val="none" w:sz="0" w:space="0" w:color="auto"/>
                <w:right w:val="none" w:sz="0" w:space="0" w:color="auto"/>
              </w:divBdr>
              <w:divsChild>
                <w:div w:id="657462851">
                  <w:marLeft w:val="0"/>
                  <w:marRight w:val="0"/>
                  <w:marTop w:val="0"/>
                  <w:marBottom w:val="0"/>
                  <w:divBdr>
                    <w:top w:val="none" w:sz="0" w:space="0" w:color="auto"/>
                    <w:left w:val="none" w:sz="0" w:space="0" w:color="auto"/>
                    <w:bottom w:val="none" w:sz="0" w:space="0" w:color="auto"/>
                    <w:right w:val="none" w:sz="0" w:space="0" w:color="auto"/>
                  </w:divBdr>
                </w:div>
              </w:divsChild>
            </w:div>
            <w:div w:id="1212576975">
              <w:marLeft w:val="0"/>
              <w:marRight w:val="0"/>
              <w:marTop w:val="0"/>
              <w:marBottom w:val="0"/>
              <w:divBdr>
                <w:top w:val="none" w:sz="0" w:space="0" w:color="auto"/>
                <w:left w:val="none" w:sz="0" w:space="0" w:color="auto"/>
                <w:bottom w:val="none" w:sz="0" w:space="0" w:color="auto"/>
                <w:right w:val="none" w:sz="0" w:space="0" w:color="auto"/>
              </w:divBdr>
              <w:divsChild>
                <w:div w:id="381294001">
                  <w:marLeft w:val="0"/>
                  <w:marRight w:val="0"/>
                  <w:marTop w:val="0"/>
                  <w:marBottom w:val="0"/>
                  <w:divBdr>
                    <w:top w:val="none" w:sz="0" w:space="0" w:color="auto"/>
                    <w:left w:val="none" w:sz="0" w:space="0" w:color="auto"/>
                    <w:bottom w:val="none" w:sz="0" w:space="0" w:color="auto"/>
                    <w:right w:val="none" w:sz="0" w:space="0" w:color="auto"/>
                  </w:divBdr>
                </w:div>
              </w:divsChild>
            </w:div>
            <w:div w:id="455608917">
              <w:marLeft w:val="0"/>
              <w:marRight w:val="0"/>
              <w:marTop w:val="0"/>
              <w:marBottom w:val="0"/>
              <w:divBdr>
                <w:top w:val="none" w:sz="0" w:space="0" w:color="auto"/>
                <w:left w:val="none" w:sz="0" w:space="0" w:color="auto"/>
                <w:bottom w:val="none" w:sz="0" w:space="0" w:color="auto"/>
                <w:right w:val="none" w:sz="0" w:space="0" w:color="auto"/>
              </w:divBdr>
              <w:divsChild>
                <w:div w:id="1563062244">
                  <w:marLeft w:val="0"/>
                  <w:marRight w:val="0"/>
                  <w:marTop w:val="0"/>
                  <w:marBottom w:val="0"/>
                  <w:divBdr>
                    <w:top w:val="none" w:sz="0" w:space="0" w:color="auto"/>
                    <w:left w:val="none" w:sz="0" w:space="0" w:color="auto"/>
                    <w:bottom w:val="none" w:sz="0" w:space="0" w:color="auto"/>
                    <w:right w:val="none" w:sz="0" w:space="0" w:color="auto"/>
                  </w:divBdr>
                </w:div>
              </w:divsChild>
            </w:div>
            <w:div w:id="1777404201">
              <w:marLeft w:val="0"/>
              <w:marRight w:val="0"/>
              <w:marTop w:val="0"/>
              <w:marBottom w:val="0"/>
              <w:divBdr>
                <w:top w:val="none" w:sz="0" w:space="0" w:color="auto"/>
                <w:left w:val="none" w:sz="0" w:space="0" w:color="auto"/>
                <w:bottom w:val="none" w:sz="0" w:space="0" w:color="auto"/>
                <w:right w:val="none" w:sz="0" w:space="0" w:color="auto"/>
              </w:divBdr>
              <w:divsChild>
                <w:div w:id="1861625911">
                  <w:marLeft w:val="0"/>
                  <w:marRight w:val="0"/>
                  <w:marTop w:val="0"/>
                  <w:marBottom w:val="0"/>
                  <w:divBdr>
                    <w:top w:val="none" w:sz="0" w:space="0" w:color="auto"/>
                    <w:left w:val="none" w:sz="0" w:space="0" w:color="auto"/>
                    <w:bottom w:val="none" w:sz="0" w:space="0" w:color="auto"/>
                    <w:right w:val="none" w:sz="0" w:space="0" w:color="auto"/>
                  </w:divBdr>
                </w:div>
              </w:divsChild>
            </w:div>
            <w:div w:id="699671351">
              <w:marLeft w:val="0"/>
              <w:marRight w:val="0"/>
              <w:marTop w:val="0"/>
              <w:marBottom w:val="0"/>
              <w:divBdr>
                <w:top w:val="none" w:sz="0" w:space="0" w:color="auto"/>
                <w:left w:val="none" w:sz="0" w:space="0" w:color="auto"/>
                <w:bottom w:val="none" w:sz="0" w:space="0" w:color="auto"/>
                <w:right w:val="none" w:sz="0" w:space="0" w:color="auto"/>
              </w:divBdr>
              <w:divsChild>
                <w:div w:id="23672577">
                  <w:marLeft w:val="0"/>
                  <w:marRight w:val="0"/>
                  <w:marTop w:val="0"/>
                  <w:marBottom w:val="0"/>
                  <w:divBdr>
                    <w:top w:val="none" w:sz="0" w:space="0" w:color="auto"/>
                    <w:left w:val="none" w:sz="0" w:space="0" w:color="auto"/>
                    <w:bottom w:val="none" w:sz="0" w:space="0" w:color="auto"/>
                    <w:right w:val="none" w:sz="0" w:space="0" w:color="auto"/>
                  </w:divBdr>
                </w:div>
              </w:divsChild>
            </w:div>
            <w:div w:id="419761992">
              <w:marLeft w:val="0"/>
              <w:marRight w:val="0"/>
              <w:marTop w:val="0"/>
              <w:marBottom w:val="0"/>
              <w:divBdr>
                <w:top w:val="none" w:sz="0" w:space="0" w:color="auto"/>
                <w:left w:val="none" w:sz="0" w:space="0" w:color="auto"/>
                <w:bottom w:val="none" w:sz="0" w:space="0" w:color="auto"/>
                <w:right w:val="none" w:sz="0" w:space="0" w:color="auto"/>
              </w:divBdr>
              <w:divsChild>
                <w:div w:id="298388748">
                  <w:marLeft w:val="0"/>
                  <w:marRight w:val="0"/>
                  <w:marTop w:val="0"/>
                  <w:marBottom w:val="0"/>
                  <w:divBdr>
                    <w:top w:val="none" w:sz="0" w:space="0" w:color="auto"/>
                    <w:left w:val="none" w:sz="0" w:space="0" w:color="auto"/>
                    <w:bottom w:val="none" w:sz="0" w:space="0" w:color="auto"/>
                    <w:right w:val="none" w:sz="0" w:space="0" w:color="auto"/>
                  </w:divBdr>
                </w:div>
              </w:divsChild>
            </w:div>
            <w:div w:id="378478666">
              <w:marLeft w:val="0"/>
              <w:marRight w:val="0"/>
              <w:marTop w:val="0"/>
              <w:marBottom w:val="0"/>
              <w:divBdr>
                <w:top w:val="none" w:sz="0" w:space="0" w:color="auto"/>
                <w:left w:val="none" w:sz="0" w:space="0" w:color="auto"/>
                <w:bottom w:val="none" w:sz="0" w:space="0" w:color="auto"/>
                <w:right w:val="none" w:sz="0" w:space="0" w:color="auto"/>
              </w:divBdr>
              <w:divsChild>
                <w:div w:id="1098674381">
                  <w:marLeft w:val="0"/>
                  <w:marRight w:val="0"/>
                  <w:marTop w:val="0"/>
                  <w:marBottom w:val="0"/>
                  <w:divBdr>
                    <w:top w:val="none" w:sz="0" w:space="0" w:color="auto"/>
                    <w:left w:val="none" w:sz="0" w:space="0" w:color="auto"/>
                    <w:bottom w:val="none" w:sz="0" w:space="0" w:color="auto"/>
                    <w:right w:val="none" w:sz="0" w:space="0" w:color="auto"/>
                  </w:divBdr>
                </w:div>
              </w:divsChild>
            </w:div>
            <w:div w:id="1041638447">
              <w:marLeft w:val="0"/>
              <w:marRight w:val="0"/>
              <w:marTop w:val="0"/>
              <w:marBottom w:val="0"/>
              <w:divBdr>
                <w:top w:val="none" w:sz="0" w:space="0" w:color="auto"/>
                <w:left w:val="none" w:sz="0" w:space="0" w:color="auto"/>
                <w:bottom w:val="none" w:sz="0" w:space="0" w:color="auto"/>
                <w:right w:val="none" w:sz="0" w:space="0" w:color="auto"/>
              </w:divBdr>
              <w:divsChild>
                <w:div w:id="1262296494">
                  <w:marLeft w:val="0"/>
                  <w:marRight w:val="0"/>
                  <w:marTop w:val="0"/>
                  <w:marBottom w:val="0"/>
                  <w:divBdr>
                    <w:top w:val="none" w:sz="0" w:space="0" w:color="auto"/>
                    <w:left w:val="none" w:sz="0" w:space="0" w:color="auto"/>
                    <w:bottom w:val="none" w:sz="0" w:space="0" w:color="auto"/>
                    <w:right w:val="none" w:sz="0" w:space="0" w:color="auto"/>
                  </w:divBdr>
                </w:div>
              </w:divsChild>
            </w:div>
            <w:div w:id="1895039536">
              <w:marLeft w:val="0"/>
              <w:marRight w:val="0"/>
              <w:marTop w:val="0"/>
              <w:marBottom w:val="0"/>
              <w:divBdr>
                <w:top w:val="none" w:sz="0" w:space="0" w:color="auto"/>
                <w:left w:val="none" w:sz="0" w:space="0" w:color="auto"/>
                <w:bottom w:val="none" w:sz="0" w:space="0" w:color="auto"/>
                <w:right w:val="none" w:sz="0" w:space="0" w:color="auto"/>
              </w:divBdr>
              <w:divsChild>
                <w:div w:id="1099519992">
                  <w:marLeft w:val="0"/>
                  <w:marRight w:val="0"/>
                  <w:marTop w:val="0"/>
                  <w:marBottom w:val="0"/>
                  <w:divBdr>
                    <w:top w:val="none" w:sz="0" w:space="0" w:color="auto"/>
                    <w:left w:val="none" w:sz="0" w:space="0" w:color="auto"/>
                    <w:bottom w:val="none" w:sz="0" w:space="0" w:color="auto"/>
                    <w:right w:val="none" w:sz="0" w:space="0" w:color="auto"/>
                  </w:divBdr>
                </w:div>
              </w:divsChild>
            </w:div>
            <w:div w:id="2144156818">
              <w:marLeft w:val="0"/>
              <w:marRight w:val="0"/>
              <w:marTop w:val="0"/>
              <w:marBottom w:val="0"/>
              <w:divBdr>
                <w:top w:val="none" w:sz="0" w:space="0" w:color="auto"/>
                <w:left w:val="none" w:sz="0" w:space="0" w:color="auto"/>
                <w:bottom w:val="none" w:sz="0" w:space="0" w:color="auto"/>
                <w:right w:val="none" w:sz="0" w:space="0" w:color="auto"/>
              </w:divBdr>
              <w:divsChild>
                <w:div w:id="2126341307">
                  <w:marLeft w:val="0"/>
                  <w:marRight w:val="0"/>
                  <w:marTop w:val="0"/>
                  <w:marBottom w:val="0"/>
                  <w:divBdr>
                    <w:top w:val="none" w:sz="0" w:space="0" w:color="auto"/>
                    <w:left w:val="none" w:sz="0" w:space="0" w:color="auto"/>
                    <w:bottom w:val="none" w:sz="0" w:space="0" w:color="auto"/>
                    <w:right w:val="none" w:sz="0" w:space="0" w:color="auto"/>
                  </w:divBdr>
                </w:div>
              </w:divsChild>
            </w:div>
            <w:div w:id="140344278">
              <w:marLeft w:val="0"/>
              <w:marRight w:val="0"/>
              <w:marTop w:val="0"/>
              <w:marBottom w:val="0"/>
              <w:divBdr>
                <w:top w:val="none" w:sz="0" w:space="0" w:color="auto"/>
                <w:left w:val="none" w:sz="0" w:space="0" w:color="auto"/>
                <w:bottom w:val="none" w:sz="0" w:space="0" w:color="auto"/>
                <w:right w:val="none" w:sz="0" w:space="0" w:color="auto"/>
              </w:divBdr>
              <w:divsChild>
                <w:div w:id="1164659304">
                  <w:marLeft w:val="0"/>
                  <w:marRight w:val="0"/>
                  <w:marTop w:val="0"/>
                  <w:marBottom w:val="0"/>
                  <w:divBdr>
                    <w:top w:val="none" w:sz="0" w:space="0" w:color="auto"/>
                    <w:left w:val="none" w:sz="0" w:space="0" w:color="auto"/>
                    <w:bottom w:val="none" w:sz="0" w:space="0" w:color="auto"/>
                    <w:right w:val="none" w:sz="0" w:space="0" w:color="auto"/>
                  </w:divBdr>
                </w:div>
              </w:divsChild>
            </w:div>
            <w:div w:id="1836992752">
              <w:marLeft w:val="0"/>
              <w:marRight w:val="0"/>
              <w:marTop w:val="0"/>
              <w:marBottom w:val="0"/>
              <w:divBdr>
                <w:top w:val="none" w:sz="0" w:space="0" w:color="auto"/>
                <w:left w:val="none" w:sz="0" w:space="0" w:color="auto"/>
                <w:bottom w:val="none" w:sz="0" w:space="0" w:color="auto"/>
                <w:right w:val="none" w:sz="0" w:space="0" w:color="auto"/>
              </w:divBdr>
              <w:divsChild>
                <w:div w:id="1620649262">
                  <w:marLeft w:val="0"/>
                  <w:marRight w:val="0"/>
                  <w:marTop w:val="0"/>
                  <w:marBottom w:val="0"/>
                  <w:divBdr>
                    <w:top w:val="none" w:sz="0" w:space="0" w:color="auto"/>
                    <w:left w:val="none" w:sz="0" w:space="0" w:color="auto"/>
                    <w:bottom w:val="none" w:sz="0" w:space="0" w:color="auto"/>
                    <w:right w:val="none" w:sz="0" w:space="0" w:color="auto"/>
                  </w:divBdr>
                </w:div>
              </w:divsChild>
            </w:div>
            <w:div w:id="1694116094">
              <w:marLeft w:val="0"/>
              <w:marRight w:val="0"/>
              <w:marTop w:val="0"/>
              <w:marBottom w:val="0"/>
              <w:divBdr>
                <w:top w:val="none" w:sz="0" w:space="0" w:color="auto"/>
                <w:left w:val="none" w:sz="0" w:space="0" w:color="auto"/>
                <w:bottom w:val="none" w:sz="0" w:space="0" w:color="auto"/>
                <w:right w:val="none" w:sz="0" w:space="0" w:color="auto"/>
              </w:divBdr>
              <w:divsChild>
                <w:div w:id="1039013562">
                  <w:marLeft w:val="0"/>
                  <w:marRight w:val="0"/>
                  <w:marTop w:val="0"/>
                  <w:marBottom w:val="0"/>
                  <w:divBdr>
                    <w:top w:val="none" w:sz="0" w:space="0" w:color="auto"/>
                    <w:left w:val="none" w:sz="0" w:space="0" w:color="auto"/>
                    <w:bottom w:val="none" w:sz="0" w:space="0" w:color="auto"/>
                    <w:right w:val="none" w:sz="0" w:space="0" w:color="auto"/>
                  </w:divBdr>
                </w:div>
              </w:divsChild>
            </w:div>
            <w:div w:id="853765949">
              <w:marLeft w:val="0"/>
              <w:marRight w:val="0"/>
              <w:marTop w:val="0"/>
              <w:marBottom w:val="0"/>
              <w:divBdr>
                <w:top w:val="none" w:sz="0" w:space="0" w:color="auto"/>
                <w:left w:val="none" w:sz="0" w:space="0" w:color="auto"/>
                <w:bottom w:val="none" w:sz="0" w:space="0" w:color="auto"/>
                <w:right w:val="none" w:sz="0" w:space="0" w:color="auto"/>
              </w:divBdr>
              <w:divsChild>
                <w:div w:id="940527403">
                  <w:marLeft w:val="0"/>
                  <w:marRight w:val="0"/>
                  <w:marTop w:val="0"/>
                  <w:marBottom w:val="0"/>
                  <w:divBdr>
                    <w:top w:val="none" w:sz="0" w:space="0" w:color="auto"/>
                    <w:left w:val="none" w:sz="0" w:space="0" w:color="auto"/>
                    <w:bottom w:val="none" w:sz="0" w:space="0" w:color="auto"/>
                    <w:right w:val="none" w:sz="0" w:space="0" w:color="auto"/>
                  </w:divBdr>
                </w:div>
              </w:divsChild>
            </w:div>
            <w:div w:id="1972131194">
              <w:marLeft w:val="0"/>
              <w:marRight w:val="0"/>
              <w:marTop w:val="0"/>
              <w:marBottom w:val="0"/>
              <w:divBdr>
                <w:top w:val="none" w:sz="0" w:space="0" w:color="auto"/>
                <w:left w:val="none" w:sz="0" w:space="0" w:color="auto"/>
                <w:bottom w:val="none" w:sz="0" w:space="0" w:color="auto"/>
                <w:right w:val="none" w:sz="0" w:space="0" w:color="auto"/>
              </w:divBdr>
              <w:divsChild>
                <w:div w:id="368772259">
                  <w:marLeft w:val="0"/>
                  <w:marRight w:val="0"/>
                  <w:marTop w:val="0"/>
                  <w:marBottom w:val="0"/>
                  <w:divBdr>
                    <w:top w:val="none" w:sz="0" w:space="0" w:color="auto"/>
                    <w:left w:val="none" w:sz="0" w:space="0" w:color="auto"/>
                    <w:bottom w:val="none" w:sz="0" w:space="0" w:color="auto"/>
                    <w:right w:val="none" w:sz="0" w:space="0" w:color="auto"/>
                  </w:divBdr>
                </w:div>
              </w:divsChild>
            </w:div>
            <w:div w:id="1655717264">
              <w:marLeft w:val="0"/>
              <w:marRight w:val="0"/>
              <w:marTop w:val="0"/>
              <w:marBottom w:val="0"/>
              <w:divBdr>
                <w:top w:val="none" w:sz="0" w:space="0" w:color="auto"/>
                <w:left w:val="none" w:sz="0" w:space="0" w:color="auto"/>
                <w:bottom w:val="none" w:sz="0" w:space="0" w:color="auto"/>
                <w:right w:val="none" w:sz="0" w:space="0" w:color="auto"/>
              </w:divBdr>
              <w:divsChild>
                <w:div w:id="1394766992">
                  <w:marLeft w:val="0"/>
                  <w:marRight w:val="0"/>
                  <w:marTop w:val="0"/>
                  <w:marBottom w:val="0"/>
                  <w:divBdr>
                    <w:top w:val="none" w:sz="0" w:space="0" w:color="auto"/>
                    <w:left w:val="none" w:sz="0" w:space="0" w:color="auto"/>
                    <w:bottom w:val="none" w:sz="0" w:space="0" w:color="auto"/>
                    <w:right w:val="none" w:sz="0" w:space="0" w:color="auto"/>
                  </w:divBdr>
                </w:div>
              </w:divsChild>
            </w:div>
            <w:div w:id="45178146">
              <w:marLeft w:val="0"/>
              <w:marRight w:val="0"/>
              <w:marTop w:val="0"/>
              <w:marBottom w:val="0"/>
              <w:divBdr>
                <w:top w:val="none" w:sz="0" w:space="0" w:color="auto"/>
                <w:left w:val="none" w:sz="0" w:space="0" w:color="auto"/>
                <w:bottom w:val="none" w:sz="0" w:space="0" w:color="auto"/>
                <w:right w:val="none" w:sz="0" w:space="0" w:color="auto"/>
              </w:divBdr>
              <w:divsChild>
                <w:div w:id="1455446319">
                  <w:marLeft w:val="0"/>
                  <w:marRight w:val="0"/>
                  <w:marTop w:val="0"/>
                  <w:marBottom w:val="0"/>
                  <w:divBdr>
                    <w:top w:val="none" w:sz="0" w:space="0" w:color="auto"/>
                    <w:left w:val="none" w:sz="0" w:space="0" w:color="auto"/>
                    <w:bottom w:val="none" w:sz="0" w:space="0" w:color="auto"/>
                    <w:right w:val="none" w:sz="0" w:space="0" w:color="auto"/>
                  </w:divBdr>
                </w:div>
              </w:divsChild>
            </w:div>
            <w:div w:id="2009166854">
              <w:marLeft w:val="0"/>
              <w:marRight w:val="0"/>
              <w:marTop w:val="0"/>
              <w:marBottom w:val="0"/>
              <w:divBdr>
                <w:top w:val="none" w:sz="0" w:space="0" w:color="auto"/>
                <w:left w:val="none" w:sz="0" w:space="0" w:color="auto"/>
                <w:bottom w:val="none" w:sz="0" w:space="0" w:color="auto"/>
                <w:right w:val="none" w:sz="0" w:space="0" w:color="auto"/>
              </w:divBdr>
              <w:divsChild>
                <w:div w:id="200165567">
                  <w:marLeft w:val="0"/>
                  <w:marRight w:val="0"/>
                  <w:marTop w:val="0"/>
                  <w:marBottom w:val="0"/>
                  <w:divBdr>
                    <w:top w:val="none" w:sz="0" w:space="0" w:color="auto"/>
                    <w:left w:val="none" w:sz="0" w:space="0" w:color="auto"/>
                    <w:bottom w:val="none" w:sz="0" w:space="0" w:color="auto"/>
                    <w:right w:val="none" w:sz="0" w:space="0" w:color="auto"/>
                  </w:divBdr>
                </w:div>
              </w:divsChild>
            </w:div>
            <w:div w:id="732965689">
              <w:marLeft w:val="0"/>
              <w:marRight w:val="0"/>
              <w:marTop w:val="0"/>
              <w:marBottom w:val="0"/>
              <w:divBdr>
                <w:top w:val="none" w:sz="0" w:space="0" w:color="auto"/>
                <w:left w:val="none" w:sz="0" w:space="0" w:color="auto"/>
                <w:bottom w:val="none" w:sz="0" w:space="0" w:color="auto"/>
                <w:right w:val="none" w:sz="0" w:space="0" w:color="auto"/>
              </w:divBdr>
              <w:divsChild>
                <w:div w:id="858350587">
                  <w:marLeft w:val="0"/>
                  <w:marRight w:val="0"/>
                  <w:marTop w:val="0"/>
                  <w:marBottom w:val="0"/>
                  <w:divBdr>
                    <w:top w:val="none" w:sz="0" w:space="0" w:color="auto"/>
                    <w:left w:val="none" w:sz="0" w:space="0" w:color="auto"/>
                    <w:bottom w:val="none" w:sz="0" w:space="0" w:color="auto"/>
                    <w:right w:val="none" w:sz="0" w:space="0" w:color="auto"/>
                  </w:divBdr>
                </w:div>
              </w:divsChild>
            </w:div>
            <w:div w:id="1038433876">
              <w:marLeft w:val="0"/>
              <w:marRight w:val="0"/>
              <w:marTop w:val="0"/>
              <w:marBottom w:val="0"/>
              <w:divBdr>
                <w:top w:val="none" w:sz="0" w:space="0" w:color="auto"/>
                <w:left w:val="none" w:sz="0" w:space="0" w:color="auto"/>
                <w:bottom w:val="none" w:sz="0" w:space="0" w:color="auto"/>
                <w:right w:val="none" w:sz="0" w:space="0" w:color="auto"/>
              </w:divBdr>
              <w:divsChild>
                <w:div w:id="938755892">
                  <w:marLeft w:val="0"/>
                  <w:marRight w:val="0"/>
                  <w:marTop w:val="0"/>
                  <w:marBottom w:val="0"/>
                  <w:divBdr>
                    <w:top w:val="none" w:sz="0" w:space="0" w:color="auto"/>
                    <w:left w:val="none" w:sz="0" w:space="0" w:color="auto"/>
                    <w:bottom w:val="none" w:sz="0" w:space="0" w:color="auto"/>
                    <w:right w:val="none" w:sz="0" w:space="0" w:color="auto"/>
                  </w:divBdr>
                </w:div>
              </w:divsChild>
            </w:div>
            <w:div w:id="1255898812">
              <w:marLeft w:val="0"/>
              <w:marRight w:val="0"/>
              <w:marTop w:val="0"/>
              <w:marBottom w:val="0"/>
              <w:divBdr>
                <w:top w:val="none" w:sz="0" w:space="0" w:color="auto"/>
                <w:left w:val="none" w:sz="0" w:space="0" w:color="auto"/>
                <w:bottom w:val="none" w:sz="0" w:space="0" w:color="auto"/>
                <w:right w:val="none" w:sz="0" w:space="0" w:color="auto"/>
              </w:divBdr>
              <w:divsChild>
                <w:div w:id="1436942905">
                  <w:marLeft w:val="0"/>
                  <w:marRight w:val="0"/>
                  <w:marTop w:val="0"/>
                  <w:marBottom w:val="0"/>
                  <w:divBdr>
                    <w:top w:val="none" w:sz="0" w:space="0" w:color="auto"/>
                    <w:left w:val="none" w:sz="0" w:space="0" w:color="auto"/>
                    <w:bottom w:val="none" w:sz="0" w:space="0" w:color="auto"/>
                    <w:right w:val="none" w:sz="0" w:space="0" w:color="auto"/>
                  </w:divBdr>
                </w:div>
              </w:divsChild>
            </w:div>
            <w:div w:id="1054543712">
              <w:marLeft w:val="0"/>
              <w:marRight w:val="0"/>
              <w:marTop w:val="0"/>
              <w:marBottom w:val="0"/>
              <w:divBdr>
                <w:top w:val="none" w:sz="0" w:space="0" w:color="auto"/>
                <w:left w:val="none" w:sz="0" w:space="0" w:color="auto"/>
                <w:bottom w:val="none" w:sz="0" w:space="0" w:color="auto"/>
                <w:right w:val="none" w:sz="0" w:space="0" w:color="auto"/>
              </w:divBdr>
              <w:divsChild>
                <w:div w:id="464355075">
                  <w:marLeft w:val="0"/>
                  <w:marRight w:val="0"/>
                  <w:marTop w:val="0"/>
                  <w:marBottom w:val="0"/>
                  <w:divBdr>
                    <w:top w:val="none" w:sz="0" w:space="0" w:color="auto"/>
                    <w:left w:val="none" w:sz="0" w:space="0" w:color="auto"/>
                    <w:bottom w:val="none" w:sz="0" w:space="0" w:color="auto"/>
                    <w:right w:val="none" w:sz="0" w:space="0" w:color="auto"/>
                  </w:divBdr>
                </w:div>
              </w:divsChild>
            </w:div>
            <w:div w:id="792553353">
              <w:marLeft w:val="0"/>
              <w:marRight w:val="0"/>
              <w:marTop w:val="0"/>
              <w:marBottom w:val="0"/>
              <w:divBdr>
                <w:top w:val="none" w:sz="0" w:space="0" w:color="auto"/>
                <w:left w:val="none" w:sz="0" w:space="0" w:color="auto"/>
                <w:bottom w:val="none" w:sz="0" w:space="0" w:color="auto"/>
                <w:right w:val="none" w:sz="0" w:space="0" w:color="auto"/>
              </w:divBdr>
              <w:divsChild>
                <w:div w:id="1878270529">
                  <w:marLeft w:val="0"/>
                  <w:marRight w:val="0"/>
                  <w:marTop w:val="0"/>
                  <w:marBottom w:val="0"/>
                  <w:divBdr>
                    <w:top w:val="none" w:sz="0" w:space="0" w:color="auto"/>
                    <w:left w:val="none" w:sz="0" w:space="0" w:color="auto"/>
                    <w:bottom w:val="none" w:sz="0" w:space="0" w:color="auto"/>
                    <w:right w:val="none" w:sz="0" w:space="0" w:color="auto"/>
                  </w:divBdr>
                </w:div>
              </w:divsChild>
            </w:div>
            <w:div w:id="206962996">
              <w:marLeft w:val="0"/>
              <w:marRight w:val="0"/>
              <w:marTop w:val="0"/>
              <w:marBottom w:val="0"/>
              <w:divBdr>
                <w:top w:val="none" w:sz="0" w:space="0" w:color="auto"/>
                <w:left w:val="none" w:sz="0" w:space="0" w:color="auto"/>
                <w:bottom w:val="none" w:sz="0" w:space="0" w:color="auto"/>
                <w:right w:val="none" w:sz="0" w:space="0" w:color="auto"/>
              </w:divBdr>
              <w:divsChild>
                <w:div w:id="297107198">
                  <w:marLeft w:val="0"/>
                  <w:marRight w:val="0"/>
                  <w:marTop w:val="0"/>
                  <w:marBottom w:val="0"/>
                  <w:divBdr>
                    <w:top w:val="none" w:sz="0" w:space="0" w:color="auto"/>
                    <w:left w:val="none" w:sz="0" w:space="0" w:color="auto"/>
                    <w:bottom w:val="none" w:sz="0" w:space="0" w:color="auto"/>
                    <w:right w:val="none" w:sz="0" w:space="0" w:color="auto"/>
                  </w:divBdr>
                </w:div>
              </w:divsChild>
            </w:div>
            <w:div w:id="567542606">
              <w:marLeft w:val="0"/>
              <w:marRight w:val="0"/>
              <w:marTop w:val="0"/>
              <w:marBottom w:val="0"/>
              <w:divBdr>
                <w:top w:val="none" w:sz="0" w:space="0" w:color="auto"/>
                <w:left w:val="none" w:sz="0" w:space="0" w:color="auto"/>
                <w:bottom w:val="none" w:sz="0" w:space="0" w:color="auto"/>
                <w:right w:val="none" w:sz="0" w:space="0" w:color="auto"/>
              </w:divBdr>
              <w:divsChild>
                <w:div w:id="1029721161">
                  <w:marLeft w:val="0"/>
                  <w:marRight w:val="0"/>
                  <w:marTop w:val="0"/>
                  <w:marBottom w:val="0"/>
                  <w:divBdr>
                    <w:top w:val="none" w:sz="0" w:space="0" w:color="auto"/>
                    <w:left w:val="none" w:sz="0" w:space="0" w:color="auto"/>
                    <w:bottom w:val="none" w:sz="0" w:space="0" w:color="auto"/>
                    <w:right w:val="none" w:sz="0" w:space="0" w:color="auto"/>
                  </w:divBdr>
                </w:div>
              </w:divsChild>
            </w:div>
            <w:div w:id="72433843">
              <w:marLeft w:val="0"/>
              <w:marRight w:val="0"/>
              <w:marTop w:val="0"/>
              <w:marBottom w:val="0"/>
              <w:divBdr>
                <w:top w:val="none" w:sz="0" w:space="0" w:color="auto"/>
                <w:left w:val="none" w:sz="0" w:space="0" w:color="auto"/>
                <w:bottom w:val="none" w:sz="0" w:space="0" w:color="auto"/>
                <w:right w:val="none" w:sz="0" w:space="0" w:color="auto"/>
              </w:divBdr>
              <w:divsChild>
                <w:div w:id="1075052848">
                  <w:marLeft w:val="0"/>
                  <w:marRight w:val="0"/>
                  <w:marTop w:val="0"/>
                  <w:marBottom w:val="0"/>
                  <w:divBdr>
                    <w:top w:val="none" w:sz="0" w:space="0" w:color="auto"/>
                    <w:left w:val="none" w:sz="0" w:space="0" w:color="auto"/>
                    <w:bottom w:val="none" w:sz="0" w:space="0" w:color="auto"/>
                    <w:right w:val="none" w:sz="0" w:space="0" w:color="auto"/>
                  </w:divBdr>
                </w:div>
              </w:divsChild>
            </w:div>
            <w:div w:id="879051709">
              <w:marLeft w:val="0"/>
              <w:marRight w:val="0"/>
              <w:marTop w:val="0"/>
              <w:marBottom w:val="0"/>
              <w:divBdr>
                <w:top w:val="none" w:sz="0" w:space="0" w:color="auto"/>
                <w:left w:val="none" w:sz="0" w:space="0" w:color="auto"/>
                <w:bottom w:val="none" w:sz="0" w:space="0" w:color="auto"/>
                <w:right w:val="none" w:sz="0" w:space="0" w:color="auto"/>
              </w:divBdr>
              <w:divsChild>
                <w:div w:id="560293393">
                  <w:marLeft w:val="0"/>
                  <w:marRight w:val="0"/>
                  <w:marTop w:val="0"/>
                  <w:marBottom w:val="0"/>
                  <w:divBdr>
                    <w:top w:val="none" w:sz="0" w:space="0" w:color="auto"/>
                    <w:left w:val="none" w:sz="0" w:space="0" w:color="auto"/>
                    <w:bottom w:val="none" w:sz="0" w:space="0" w:color="auto"/>
                    <w:right w:val="none" w:sz="0" w:space="0" w:color="auto"/>
                  </w:divBdr>
                </w:div>
              </w:divsChild>
            </w:div>
            <w:div w:id="1665812389">
              <w:marLeft w:val="0"/>
              <w:marRight w:val="0"/>
              <w:marTop w:val="0"/>
              <w:marBottom w:val="0"/>
              <w:divBdr>
                <w:top w:val="none" w:sz="0" w:space="0" w:color="auto"/>
                <w:left w:val="none" w:sz="0" w:space="0" w:color="auto"/>
                <w:bottom w:val="none" w:sz="0" w:space="0" w:color="auto"/>
                <w:right w:val="none" w:sz="0" w:space="0" w:color="auto"/>
              </w:divBdr>
              <w:divsChild>
                <w:div w:id="892351194">
                  <w:marLeft w:val="0"/>
                  <w:marRight w:val="0"/>
                  <w:marTop w:val="0"/>
                  <w:marBottom w:val="0"/>
                  <w:divBdr>
                    <w:top w:val="none" w:sz="0" w:space="0" w:color="auto"/>
                    <w:left w:val="none" w:sz="0" w:space="0" w:color="auto"/>
                    <w:bottom w:val="none" w:sz="0" w:space="0" w:color="auto"/>
                    <w:right w:val="none" w:sz="0" w:space="0" w:color="auto"/>
                  </w:divBdr>
                </w:div>
              </w:divsChild>
            </w:div>
            <w:div w:id="1167666957">
              <w:marLeft w:val="0"/>
              <w:marRight w:val="0"/>
              <w:marTop w:val="0"/>
              <w:marBottom w:val="0"/>
              <w:divBdr>
                <w:top w:val="none" w:sz="0" w:space="0" w:color="auto"/>
                <w:left w:val="none" w:sz="0" w:space="0" w:color="auto"/>
                <w:bottom w:val="none" w:sz="0" w:space="0" w:color="auto"/>
                <w:right w:val="none" w:sz="0" w:space="0" w:color="auto"/>
              </w:divBdr>
              <w:divsChild>
                <w:div w:id="364644097">
                  <w:marLeft w:val="0"/>
                  <w:marRight w:val="0"/>
                  <w:marTop w:val="0"/>
                  <w:marBottom w:val="0"/>
                  <w:divBdr>
                    <w:top w:val="none" w:sz="0" w:space="0" w:color="auto"/>
                    <w:left w:val="none" w:sz="0" w:space="0" w:color="auto"/>
                    <w:bottom w:val="none" w:sz="0" w:space="0" w:color="auto"/>
                    <w:right w:val="none" w:sz="0" w:space="0" w:color="auto"/>
                  </w:divBdr>
                </w:div>
              </w:divsChild>
            </w:div>
            <w:div w:id="1035081137">
              <w:marLeft w:val="0"/>
              <w:marRight w:val="0"/>
              <w:marTop w:val="0"/>
              <w:marBottom w:val="0"/>
              <w:divBdr>
                <w:top w:val="none" w:sz="0" w:space="0" w:color="auto"/>
                <w:left w:val="none" w:sz="0" w:space="0" w:color="auto"/>
                <w:bottom w:val="none" w:sz="0" w:space="0" w:color="auto"/>
                <w:right w:val="none" w:sz="0" w:space="0" w:color="auto"/>
              </w:divBdr>
              <w:divsChild>
                <w:div w:id="154735272">
                  <w:marLeft w:val="0"/>
                  <w:marRight w:val="0"/>
                  <w:marTop w:val="0"/>
                  <w:marBottom w:val="0"/>
                  <w:divBdr>
                    <w:top w:val="none" w:sz="0" w:space="0" w:color="auto"/>
                    <w:left w:val="none" w:sz="0" w:space="0" w:color="auto"/>
                    <w:bottom w:val="none" w:sz="0" w:space="0" w:color="auto"/>
                    <w:right w:val="none" w:sz="0" w:space="0" w:color="auto"/>
                  </w:divBdr>
                </w:div>
              </w:divsChild>
            </w:div>
            <w:div w:id="1991906025">
              <w:marLeft w:val="0"/>
              <w:marRight w:val="0"/>
              <w:marTop w:val="0"/>
              <w:marBottom w:val="0"/>
              <w:divBdr>
                <w:top w:val="none" w:sz="0" w:space="0" w:color="auto"/>
                <w:left w:val="none" w:sz="0" w:space="0" w:color="auto"/>
                <w:bottom w:val="none" w:sz="0" w:space="0" w:color="auto"/>
                <w:right w:val="none" w:sz="0" w:space="0" w:color="auto"/>
              </w:divBdr>
              <w:divsChild>
                <w:div w:id="658733324">
                  <w:marLeft w:val="0"/>
                  <w:marRight w:val="0"/>
                  <w:marTop w:val="0"/>
                  <w:marBottom w:val="0"/>
                  <w:divBdr>
                    <w:top w:val="none" w:sz="0" w:space="0" w:color="auto"/>
                    <w:left w:val="none" w:sz="0" w:space="0" w:color="auto"/>
                    <w:bottom w:val="none" w:sz="0" w:space="0" w:color="auto"/>
                    <w:right w:val="none" w:sz="0" w:space="0" w:color="auto"/>
                  </w:divBdr>
                </w:div>
              </w:divsChild>
            </w:div>
            <w:div w:id="1388338804">
              <w:marLeft w:val="0"/>
              <w:marRight w:val="0"/>
              <w:marTop w:val="0"/>
              <w:marBottom w:val="0"/>
              <w:divBdr>
                <w:top w:val="none" w:sz="0" w:space="0" w:color="auto"/>
                <w:left w:val="none" w:sz="0" w:space="0" w:color="auto"/>
                <w:bottom w:val="none" w:sz="0" w:space="0" w:color="auto"/>
                <w:right w:val="none" w:sz="0" w:space="0" w:color="auto"/>
              </w:divBdr>
              <w:divsChild>
                <w:div w:id="157116082">
                  <w:marLeft w:val="0"/>
                  <w:marRight w:val="0"/>
                  <w:marTop w:val="0"/>
                  <w:marBottom w:val="0"/>
                  <w:divBdr>
                    <w:top w:val="none" w:sz="0" w:space="0" w:color="auto"/>
                    <w:left w:val="none" w:sz="0" w:space="0" w:color="auto"/>
                    <w:bottom w:val="none" w:sz="0" w:space="0" w:color="auto"/>
                    <w:right w:val="none" w:sz="0" w:space="0" w:color="auto"/>
                  </w:divBdr>
                </w:div>
              </w:divsChild>
            </w:div>
            <w:div w:id="1362586733">
              <w:marLeft w:val="0"/>
              <w:marRight w:val="0"/>
              <w:marTop w:val="0"/>
              <w:marBottom w:val="0"/>
              <w:divBdr>
                <w:top w:val="none" w:sz="0" w:space="0" w:color="auto"/>
                <w:left w:val="none" w:sz="0" w:space="0" w:color="auto"/>
                <w:bottom w:val="none" w:sz="0" w:space="0" w:color="auto"/>
                <w:right w:val="none" w:sz="0" w:space="0" w:color="auto"/>
              </w:divBdr>
              <w:divsChild>
                <w:div w:id="956832929">
                  <w:marLeft w:val="0"/>
                  <w:marRight w:val="0"/>
                  <w:marTop w:val="0"/>
                  <w:marBottom w:val="0"/>
                  <w:divBdr>
                    <w:top w:val="none" w:sz="0" w:space="0" w:color="auto"/>
                    <w:left w:val="none" w:sz="0" w:space="0" w:color="auto"/>
                    <w:bottom w:val="none" w:sz="0" w:space="0" w:color="auto"/>
                    <w:right w:val="none" w:sz="0" w:space="0" w:color="auto"/>
                  </w:divBdr>
                </w:div>
              </w:divsChild>
            </w:div>
            <w:div w:id="1355226478">
              <w:marLeft w:val="0"/>
              <w:marRight w:val="0"/>
              <w:marTop w:val="0"/>
              <w:marBottom w:val="0"/>
              <w:divBdr>
                <w:top w:val="none" w:sz="0" w:space="0" w:color="auto"/>
                <w:left w:val="none" w:sz="0" w:space="0" w:color="auto"/>
                <w:bottom w:val="none" w:sz="0" w:space="0" w:color="auto"/>
                <w:right w:val="none" w:sz="0" w:space="0" w:color="auto"/>
              </w:divBdr>
              <w:divsChild>
                <w:div w:id="1198661846">
                  <w:marLeft w:val="0"/>
                  <w:marRight w:val="0"/>
                  <w:marTop w:val="0"/>
                  <w:marBottom w:val="0"/>
                  <w:divBdr>
                    <w:top w:val="none" w:sz="0" w:space="0" w:color="auto"/>
                    <w:left w:val="none" w:sz="0" w:space="0" w:color="auto"/>
                    <w:bottom w:val="none" w:sz="0" w:space="0" w:color="auto"/>
                    <w:right w:val="none" w:sz="0" w:space="0" w:color="auto"/>
                  </w:divBdr>
                </w:div>
              </w:divsChild>
            </w:div>
            <w:div w:id="1649558180">
              <w:marLeft w:val="0"/>
              <w:marRight w:val="0"/>
              <w:marTop w:val="0"/>
              <w:marBottom w:val="0"/>
              <w:divBdr>
                <w:top w:val="none" w:sz="0" w:space="0" w:color="auto"/>
                <w:left w:val="none" w:sz="0" w:space="0" w:color="auto"/>
                <w:bottom w:val="none" w:sz="0" w:space="0" w:color="auto"/>
                <w:right w:val="none" w:sz="0" w:space="0" w:color="auto"/>
              </w:divBdr>
              <w:divsChild>
                <w:div w:id="73163589">
                  <w:marLeft w:val="0"/>
                  <w:marRight w:val="0"/>
                  <w:marTop w:val="0"/>
                  <w:marBottom w:val="0"/>
                  <w:divBdr>
                    <w:top w:val="none" w:sz="0" w:space="0" w:color="auto"/>
                    <w:left w:val="none" w:sz="0" w:space="0" w:color="auto"/>
                    <w:bottom w:val="none" w:sz="0" w:space="0" w:color="auto"/>
                    <w:right w:val="none" w:sz="0" w:space="0" w:color="auto"/>
                  </w:divBdr>
                </w:div>
              </w:divsChild>
            </w:div>
            <w:div w:id="1562206832">
              <w:marLeft w:val="0"/>
              <w:marRight w:val="0"/>
              <w:marTop w:val="0"/>
              <w:marBottom w:val="0"/>
              <w:divBdr>
                <w:top w:val="none" w:sz="0" w:space="0" w:color="auto"/>
                <w:left w:val="none" w:sz="0" w:space="0" w:color="auto"/>
                <w:bottom w:val="none" w:sz="0" w:space="0" w:color="auto"/>
                <w:right w:val="none" w:sz="0" w:space="0" w:color="auto"/>
              </w:divBdr>
              <w:divsChild>
                <w:div w:id="629673994">
                  <w:marLeft w:val="0"/>
                  <w:marRight w:val="0"/>
                  <w:marTop w:val="0"/>
                  <w:marBottom w:val="0"/>
                  <w:divBdr>
                    <w:top w:val="none" w:sz="0" w:space="0" w:color="auto"/>
                    <w:left w:val="none" w:sz="0" w:space="0" w:color="auto"/>
                    <w:bottom w:val="none" w:sz="0" w:space="0" w:color="auto"/>
                    <w:right w:val="none" w:sz="0" w:space="0" w:color="auto"/>
                  </w:divBdr>
                </w:div>
              </w:divsChild>
            </w:div>
            <w:div w:id="1176073959">
              <w:marLeft w:val="0"/>
              <w:marRight w:val="0"/>
              <w:marTop w:val="0"/>
              <w:marBottom w:val="0"/>
              <w:divBdr>
                <w:top w:val="none" w:sz="0" w:space="0" w:color="auto"/>
                <w:left w:val="none" w:sz="0" w:space="0" w:color="auto"/>
                <w:bottom w:val="none" w:sz="0" w:space="0" w:color="auto"/>
                <w:right w:val="none" w:sz="0" w:space="0" w:color="auto"/>
              </w:divBdr>
              <w:divsChild>
                <w:div w:id="375618764">
                  <w:marLeft w:val="0"/>
                  <w:marRight w:val="0"/>
                  <w:marTop w:val="0"/>
                  <w:marBottom w:val="0"/>
                  <w:divBdr>
                    <w:top w:val="none" w:sz="0" w:space="0" w:color="auto"/>
                    <w:left w:val="none" w:sz="0" w:space="0" w:color="auto"/>
                    <w:bottom w:val="none" w:sz="0" w:space="0" w:color="auto"/>
                    <w:right w:val="none" w:sz="0" w:space="0" w:color="auto"/>
                  </w:divBdr>
                </w:div>
              </w:divsChild>
            </w:div>
            <w:div w:id="1606620176">
              <w:marLeft w:val="0"/>
              <w:marRight w:val="0"/>
              <w:marTop w:val="0"/>
              <w:marBottom w:val="0"/>
              <w:divBdr>
                <w:top w:val="none" w:sz="0" w:space="0" w:color="auto"/>
                <w:left w:val="none" w:sz="0" w:space="0" w:color="auto"/>
                <w:bottom w:val="none" w:sz="0" w:space="0" w:color="auto"/>
                <w:right w:val="none" w:sz="0" w:space="0" w:color="auto"/>
              </w:divBdr>
              <w:divsChild>
                <w:div w:id="473957872">
                  <w:marLeft w:val="0"/>
                  <w:marRight w:val="0"/>
                  <w:marTop w:val="0"/>
                  <w:marBottom w:val="0"/>
                  <w:divBdr>
                    <w:top w:val="none" w:sz="0" w:space="0" w:color="auto"/>
                    <w:left w:val="none" w:sz="0" w:space="0" w:color="auto"/>
                    <w:bottom w:val="none" w:sz="0" w:space="0" w:color="auto"/>
                    <w:right w:val="none" w:sz="0" w:space="0" w:color="auto"/>
                  </w:divBdr>
                </w:div>
              </w:divsChild>
            </w:div>
            <w:div w:id="992759968">
              <w:marLeft w:val="0"/>
              <w:marRight w:val="0"/>
              <w:marTop w:val="0"/>
              <w:marBottom w:val="0"/>
              <w:divBdr>
                <w:top w:val="none" w:sz="0" w:space="0" w:color="auto"/>
                <w:left w:val="none" w:sz="0" w:space="0" w:color="auto"/>
                <w:bottom w:val="none" w:sz="0" w:space="0" w:color="auto"/>
                <w:right w:val="none" w:sz="0" w:space="0" w:color="auto"/>
              </w:divBdr>
              <w:divsChild>
                <w:div w:id="1233472118">
                  <w:marLeft w:val="0"/>
                  <w:marRight w:val="0"/>
                  <w:marTop w:val="0"/>
                  <w:marBottom w:val="0"/>
                  <w:divBdr>
                    <w:top w:val="none" w:sz="0" w:space="0" w:color="auto"/>
                    <w:left w:val="none" w:sz="0" w:space="0" w:color="auto"/>
                    <w:bottom w:val="none" w:sz="0" w:space="0" w:color="auto"/>
                    <w:right w:val="none" w:sz="0" w:space="0" w:color="auto"/>
                  </w:divBdr>
                </w:div>
              </w:divsChild>
            </w:div>
            <w:div w:id="2098864585">
              <w:marLeft w:val="0"/>
              <w:marRight w:val="0"/>
              <w:marTop w:val="0"/>
              <w:marBottom w:val="0"/>
              <w:divBdr>
                <w:top w:val="none" w:sz="0" w:space="0" w:color="auto"/>
                <w:left w:val="none" w:sz="0" w:space="0" w:color="auto"/>
                <w:bottom w:val="none" w:sz="0" w:space="0" w:color="auto"/>
                <w:right w:val="none" w:sz="0" w:space="0" w:color="auto"/>
              </w:divBdr>
              <w:divsChild>
                <w:div w:id="707342256">
                  <w:marLeft w:val="0"/>
                  <w:marRight w:val="0"/>
                  <w:marTop w:val="0"/>
                  <w:marBottom w:val="0"/>
                  <w:divBdr>
                    <w:top w:val="none" w:sz="0" w:space="0" w:color="auto"/>
                    <w:left w:val="none" w:sz="0" w:space="0" w:color="auto"/>
                    <w:bottom w:val="none" w:sz="0" w:space="0" w:color="auto"/>
                    <w:right w:val="none" w:sz="0" w:space="0" w:color="auto"/>
                  </w:divBdr>
                </w:div>
              </w:divsChild>
            </w:div>
            <w:div w:id="1719430836">
              <w:marLeft w:val="0"/>
              <w:marRight w:val="0"/>
              <w:marTop w:val="0"/>
              <w:marBottom w:val="0"/>
              <w:divBdr>
                <w:top w:val="none" w:sz="0" w:space="0" w:color="auto"/>
                <w:left w:val="none" w:sz="0" w:space="0" w:color="auto"/>
                <w:bottom w:val="none" w:sz="0" w:space="0" w:color="auto"/>
                <w:right w:val="none" w:sz="0" w:space="0" w:color="auto"/>
              </w:divBdr>
              <w:divsChild>
                <w:div w:id="719981932">
                  <w:marLeft w:val="0"/>
                  <w:marRight w:val="0"/>
                  <w:marTop w:val="0"/>
                  <w:marBottom w:val="0"/>
                  <w:divBdr>
                    <w:top w:val="none" w:sz="0" w:space="0" w:color="auto"/>
                    <w:left w:val="none" w:sz="0" w:space="0" w:color="auto"/>
                    <w:bottom w:val="none" w:sz="0" w:space="0" w:color="auto"/>
                    <w:right w:val="none" w:sz="0" w:space="0" w:color="auto"/>
                  </w:divBdr>
                </w:div>
              </w:divsChild>
            </w:div>
            <w:div w:id="1277372188">
              <w:marLeft w:val="0"/>
              <w:marRight w:val="0"/>
              <w:marTop w:val="0"/>
              <w:marBottom w:val="0"/>
              <w:divBdr>
                <w:top w:val="none" w:sz="0" w:space="0" w:color="auto"/>
                <w:left w:val="none" w:sz="0" w:space="0" w:color="auto"/>
                <w:bottom w:val="none" w:sz="0" w:space="0" w:color="auto"/>
                <w:right w:val="none" w:sz="0" w:space="0" w:color="auto"/>
              </w:divBdr>
              <w:divsChild>
                <w:div w:id="618879341">
                  <w:marLeft w:val="0"/>
                  <w:marRight w:val="0"/>
                  <w:marTop w:val="0"/>
                  <w:marBottom w:val="0"/>
                  <w:divBdr>
                    <w:top w:val="none" w:sz="0" w:space="0" w:color="auto"/>
                    <w:left w:val="none" w:sz="0" w:space="0" w:color="auto"/>
                    <w:bottom w:val="none" w:sz="0" w:space="0" w:color="auto"/>
                    <w:right w:val="none" w:sz="0" w:space="0" w:color="auto"/>
                  </w:divBdr>
                </w:div>
              </w:divsChild>
            </w:div>
            <w:div w:id="1887141289">
              <w:marLeft w:val="0"/>
              <w:marRight w:val="0"/>
              <w:marTop w:val="0"/>
              <w:marBottom w:val="0"/>
              <w:divBdr>
                <w:top w:val="none" w:sz="0" w:space="0" w:color="auto"/>
                <w:left w:val="none" w:sz="0" w:space="0" w:color="auto"/>
                <w:bottom w:val="none" w:sz="0" w:space="0" w:color="auto"/>
                <w:right w:val="none" w:sz="0" w:space="0" w:color="auto"/>
              </w:divBdr>
              <w:divsChild>
                <w:div w:id="1945919568">
                  <w:marLeft w:val="0"/>
                  <w:marRight w:val="0"/>
                  <w:marTop w:val="0"/>
                  <w:marBottom w:val="0"/>
                  <w:divBdr>
                    <w:top w:val="none" w:sz="0" w:space="0" w:color="auto"/>
                    <w:left w:val="none" w:sz="0" w:space="0" w:color="auto"/>
                    <w:bottom w:val="none" w:sz="0" w:space="0" w:color="auto"/>
                    <w:right w:val="none" w:sz="0" w:space="0" w:color="auto"/>
                  </w:divBdr>
                </w:div>
              </w:divsChild>
            </w:div>
            <w:div w:id="812986977">
              <w:marLeft w:val="0"/>
              <w:marRight w:val="0"/>
              <w:marTop w:val="0"/>
              <w:marBottom w:val="0"/>
              <w:divBdr>
                <w:top w:val="none" w:sz="0" w:space="0" w:color="auto"/>
                <w:left w:val="none" w:sz="0" w:space="0" w:color="auto"/>
                <w:bottom w:val="none" w:sz="0" w:space="0" w:color="auto"/>
                <w:right w:val="none" w:sz="0" w:space="0" w:color="auto"/>
              </w:divBdr>
              <w:divsChild>
                <w:div w:id="2047288260">
                  <w:marLeft w:val="0"/>
                  <w:marRight w:val="0"/>
                  <w:marTop w:val="0"/>
                  <w:marBottom w:val="0"/>
                  <w:divBdr>
                    <w:top w:val="none" w:sz="0" w:space="0" w:color="auto"/>
                    <w:left w:val="none" w:sz="0" w:space="0" w:color="auto"/>
                    <w:bottom w:val="none" w:sz="0" w:space="0" w:color="auto"/>
                    <w:right w:val="none" w:sz="0" w:space="0" w:color="auto"/>
                  </w:divBdr>
                </w:div>
              </w:divsChild>
            </w:div>
            <w:div w:id="1308631149">
              <w:marLeft w:val="0"/>
              <w:marRight w:val="0"/>
              <w:marTop w:val="0"/>
              <w:marBottom w:val="0"/>
              <w:divBdr>
                <w:top w:val="none" w:sz="0" w:space="0" w:color="auto"/>
                <w:left w:val="none" w:sz="0" w:space="0" w:color="auto"/>
                <w:bottom w:val="none" w:sz="0" w:space="0" w:color="auto"/>
                <w:right w:val="none" w:sz="0" w:space="0" w:color="auto"/>
              </w:divBdr>
              <w:divsChild>
                <w:div w:id="1203444266">
                  <w:marLeft w:val="0"/>
                  <w:marRight w:val="0"/>
                  <w:marTop w:val="0"/>
                  <w:marBottom w:val="0"/>
                  <w:divBdr>
                    <w:top w:val="none" w:sz="0" w:space="0" w:color="auto"/>
                    <w:left w:val="none" w:sz="0" w:space="0" w:color="auto"/>
                    <w:bottom w:val="none" w:sz="0" w:space="0" w:color="auto"/>
                    <w:right w:val="none" w:sz="0" w:space="0" w:color="auto"/>
                  </w:divBdr>
                </w:div>
              </w:divsChild>
            </w:div>
            <w:div w:id="635993623">
              <w:marLeft w:val="0"/>
              <w:marRight w:val="0"/>
              <w:marTop w:val="0"/>
              <w:marBottom w:val="0"/>
              <w:divBdr>
                <w:top w:val="none" w:sz="0" w:space="0" w:color="auto"/>
                <w:left w:val="none" w:sz="0" w:space="0" w:color="auto"/>
                <w:bottom w:val="none" w:sz="0" w:space="0" w:color="auto"/>
                <w:right w:val="none" w:sz="0" w:space="0" w:color="auto"/>
              </w:divBdr>
              <w:divsChild>
                <w:div w:id="2029717285">
                  <w:marLeft w:val="0"/>
                  <w:marRight w:val="0"/>
                  <w:marTop w:val="0"/>
                  <w:marBottom w:val="0"/>
                  <w:divBdr>
                    <w:top w:val="none" w:sz="0" w:space="0" w:color="auto"/>
                    <w:left w:val="none" w:sz="0" w:space="0" w:color="auto"/>
                    <w:bottom w:val="none" w:sz="0" w:space="0" w:color="auto"/>
                    <w:right w:val="none" w:sz="0" w:space="0" w:color="auto"/>
                  </w:divBdr>
                </w:div>
              </w:divsChild>
            </w:div>
            <w:div w:id="684595516">
              <w:marLeft w:val="0"/>
              <w:marRight w:val="0"/>
              <w:marTop w:val="0"/>
              <w:marBottom w:val="0"/>
              <w:divBdr>
                <w:top w:val="none" w:sz="0" w:space="0" w:color="auto"/>
                <w:left w:val="none" w:sz="0" w:space="0" w:color="auto"/>
                <w:bottom w:val="none" w:sz="0" w:space="0" w:color="auto"/>
                <w:right w:val="none" w:sz="0" w:space="0" w:color="auto"/>
              </w:divBdr>
              <w:divsChild>
                <w:div w:id="1628580304">
                  <w:marLeft w:val="0"/>
                  <w:marRight w:val="0"/>
                  <w:marTop w:val="0"/>
                  <w:marBottom w:val="0"/>
                  <w:divBdr>
                    <w:top w:val="none" w:sz="0" w:space="0" w:color="auto"/>
                    <w:left w:val="none" w:sz="0" w:space="0" w:color="auto"/>
                    <w:bottom w:val="none" w:sz="0" w:space="0" w:color="auto"/>
                    <w:right w:val="none" w:sz="0" w:space="0" w:color="auto"/>
                  </w:divBdr>
                </w:div>
              </w:divsChild>
            </w:div>
            <w:div w:id="775054056">
              <w:marLeft w:val="0"/>
              <w:marRight w:val="0"/>
              <w:marTop w:val="0"/>
              <w:marBottom w:val="0"/>
              <w:divBdr>
                <w:top w:val="none" w:sz="0" w:space="0" w:color="auto"/>
                <w:left w:val="none" w:sz="0" w:space="0" w:color="auto"/>
                <w:bottom w:val="none" w:sz="0" w:space="0" w:color="auto"/>
                <w:right w:val="none" w:sz="0" w:space="0" w:color="auto"/>
              </w:divBdr>
              <w:divsChild>
                <w:div w:id="722873085">
                  <w:marLeft w:val="0"/>
                  <w:marRight w:val="0"/>
                  <w:marTop w:val="0"/>
                  <w:marBottom w:val="0"/>
                  <w:divBdr>
                    <w:top w:val="none" w:sz="0" w:space="0" w:color="auto"/>
                    <w:left w:val="none" w:sz="0" w:space="0" w:color="auto"/>
                    <w:bottom w:val="none" w:sz="0" w:space="0" w:color="auto"/>
                    <w:right w:val="none" w:sz="0" w:space="0" w:color="auto"/>
                  </w:divBdr>
                </w:div>
              </w:divsChild>
            </w:div>
            <w:div w:id="1953198882">
              <w:marLeft w:val="0"/>
              <w:marRight w:val="0"/>
              <w:marTop w:val="0"/>
              <w:marBottom w:val="0"/>
              <w:divBdr>
                <w:top w:val="none" w:sz="0" w:space="0" w:color="auto"/>
                <w:left w:val="none" w:sz="0" w:space="0" w:color="auto"/>
                <w:bottom w:val="none" w:sz="0" w:space="0" w:color="auto"/>
                <w:right w:val="none" w:sz="0" w:space="0" w:color="auto"/>
              </w:divBdr>
              <w:divsChild>
                <w:div w:id="153448856">
                  <w:marLeft w:val="0"/>
                  <w:marRight w:val="0"/>
                  <w:marTop w:val="0"/>
                  <w:marBottom w:val="0"/>
                  <w:divBdr>
                    <w:top w:val="none" w:sz="0" w:space="0" w:color="auto"/>
                    <w:left w:val="none" w:sz="0" w:space="0" w:color="auto"/>
                    <w:bottom w:val="none" w:sz="0" w:space="0" w:color="auto"/>
                    <w:right w:val="none" w:sz="0" w:space="0" w:color="auto"/>
                  </w:divBdr>
                </w:div>
              </w:divsChild>
            </w:div>
            <w:div w:id="1319110248">
              <w:marLeft w:val="0"/>
              <w:marRight w:val="0"/>
              <w:marTop w:val="0"/>
              <w:marBottom w:val="0"/>
              <w:divBdr>
                <w:top w:val="none" w:sz="0" w:space="0" w:color="auto"/>
                <w:left w:val="none" w:sz="0" w:space="0" w:color="auto"/>
                <w:bottom w:val="none" w:sz="0" w:space="0" w:color="auto"/>
                <w:right w:val="none" w:sz="0" w:space="0" w:color="auto"/>
              </w:divBdr>
              <w:divsChild>
                <w:div w:id="23142778">
                  <w:marLeft w:val="0"/>
                  <w:marRight w:val="0"/>
                  <w:marTop w:val="0"/>
                  <w:marBottom w:val="0"/>
                  <w:divBdr>
                    <w:top w:val="none" w:sz="0" w:space="0" w:color="auto"/>
                    <w:left w:val="none" w:sz="0" w:space="0" w:color="auto"/>
                    <w:bottom w:val="none" w:sz="0" w:space="0" w:color="auto"/>
                    <w:right w:val="none" w:sz="0" w:space="0" w:color="auto"/>
                  </w:divBdr>
                </w:div>
              </w:divsChild>
            </w:div>
            <w:div w:id="50035638">
              <w:marLeft w:val="0"/>
              <w:marRight w:val="0"/>
              <w:marTop w:val="0"/>
              <w:marBottom w:val="0"/>
              <w:divBdr>
                <w:top w:val="none" w:sz="0" w:space="0" w:color="auto"/>
                <w:left w:val="none" w:sz="0" w:space="0" w:color="auto"/>
                <w:bottom w:val="none" w:sz="0" w:space="0" w:color="auto"/>
                <w:right w:val="none" w:sz="0" w:space="0" w:color="auto"/>
              </w:divBdr>
              <w:divsChild>
                <w:div w:id="14329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2391">
          <w:marLeft w:val="0"/>
          <w:marRight w:val="0"/>
          <w:marTop w:val="0"/>
          <w:marBottom w:val="600"/>
          <w:divBdr>
            <w:top w:val="none" w:sz="0" w:space="0" w:color="auto"/>
            <w:left w:val="none" w:sz="0" w:space="0" w:color="auto"/>
            <w:bottom w:val="none" w:sz="0" w:space="0" w:color="auto"/>
            <w:right w:val="none" w:sz="0" w:space="0" w:color="auto"/>
          </w:divBdr>
        </w:div>
      </w:divsChild>
    </w:div>
    <w:div w:id="1989674044">
      <w:marLeft w:val="0"/>
      <w:marRight w:val="0"/>
      <w:marTop w:val="0"/>
      <w:marBottom w:val="0"/>
      <w:divBdr>
        <w:top w:val="none" w:sz="0" w:space="0" w:color="auto"/>
        <w:left w:val="none" w:sz="0" w:space="0" w:color="auto"/>
        <w:bottom w:val="none" w:sz="0" w:space="0" w:color="auto"/>
        <w:right w:val="none" w:sz="0" w:space="0" w:color="auto"/>
      </w:divBdr>
      <w:divsChild>
        <w:div w:id="1669019075">
          <w:marLeft w:val="0"/>
          <w:marRight w:val="0"/>
          <w:marTop w:val="432"/>
          <w:marBottom w:val="0"/>
          <w:divBdr>
            <w:top w:val="none" w:sz="0" w:space="0" w:color="auto"/>
            <w:left w:val="none" w:sz="0" w:space="0" w:color="auto"/>
            <w:bottom w:val="none" w:sz="0" w:space="0" w:color="auto"/>
            <w:right w:val="none" w:sz="0" w:space="0" w:color="auto"/>
          </w:divBdr>
        </w:div>
        <w:div w:id="1730879080">
          <w:marLeft w:val="0"/>
          <w:marRight w:val="0"/>
          <w:marTop w:val="0"/>
          <w:marBottom w:val="0"/>
          <w:divBdr>
            <w:top w:val="none" w:sz="0" w:space="0" w:color="auto"/>
            <w:left w:val="none" w:sz="0" w:space="0" w:color="auto"/>
            <w:bottom w:val="none" w:sz="0" w:space="0" w:color="auto"/>
            <w:right w:val="none" w:sz="0" w:space="0" w:color="auto"/>
          </w:divBdr>
          <w:divsChild>
            <w:div w:id="54670057">
              <w:marLeft w:val="0"/>
              <w:marRight w:val="0"/>
              <w:marTop w:val="0"/>
              <w:marBottom w:val="0"/>
              <w:divBdr>
                <w:top w:val="none" w:sz="0" w:space="0" w:color="auto"/>
                <w:left w:val="none" w:sz="0" w:space="0" w:color="auto"/>
                <w:bottom w:val="none" w:sz="0" w:space="0" w:color="auto"/>
                <w:right w:val="none" w:sz="0" w:space="0" w:color="auto"/>
              </w:divBdr>
              <w:divsChild>
                <w:div w:id="137960940">
                  <w:marLeft w:val="0"/>
                  <w:marRight w:val="0"/>
                  <w:marTop w:val="0"/>
                  <w:marBottom w:val="0"/>
                  <w:divBdr>
                    <w:top w:val="none" w:sz="0" w:space="0" w:color="auto"/>
                    <w:left w:val="none" w:sz="0" w:space="0" w:color="auto"/>
                    <w:bottom w:val="none" w:sz="0" w:space="0" w:color="auto"/>
                    <w:right w:val="none" w:sz="0" w:space="0" w:color="auto"/>
                  </w:divBdr>
                </w:div>
              </w:divsChild>
            </w:div>
            <w:div w:id="340670102">
              <w:marLeft w:val="0"/>
              <w:marRight w:val="0"/>
              <w:marTop w:val="0"/>
              <w:marBottom w:val="0"/>
              <w:divBdr>
                <w:top w:val="none" w:sz="0" w:space="0" w:color="auto"/>
                <w:left w:val="none" w:sz="0" w:space="0" w:color="auto"/>
                <w:bottom w:val="none" w:sz="0" w:space="0" w:color="auto"/>
                <w:right w:val="none" w:sz="0" w:space="0" w:color="auto"/>
              </w:divBdr>
              <w:divsChild>
                <w:div w:id="873032902">
                  <w:marLeft w:val="0"/>
                  <w:marRight w:val="0"/>
                  <w:marTop w:val="0"/>
                  <w:marBottom w:val="0"/>
                  <w:divBdr>
                    <w:top w:val="none" w:sz="0" w:space="0" w:color="auto"/>
                    <w:left w:val="none" w:sz="0" w:space="0" w:color="auto"/>
                    <w:bottom w:val="none" w:sz="0" w:space="0" w:color="auto"/>
                    <w:right w:val="none" w:sz="0" w:space="0" w:color="auto"/>
                  </w:divBdr>
                </w:div>
              </w:divsChild>
            </w:div>
            <w:div w:id="903834752">
              <w:marLeft w:val="0"/>
              <w:marRight w:val="0"/>
              <w:marTop w:val="0"/>
              <w:marBottom w:val="0"/>
              <w:divBdr>
                <w:top w:val="none" w:sz="0" w:space="0" w:color="auto"/>
                <w:left w:val="none" w:sz="0" w:space="0" w:color="auto"/>
                <w:bottom w:val="none" w:sz="0" w:space="0" w:color="auto"/>
                <w:right w:val="none" w:sz="0" w:space="0" w:color="auto"/>
              </w:divBdr>
              <w:divsChild>
                <w:div w:id="984163355">
                  <w:marLeft w:val="0"/>
                  <w:marRight w:val="0"/>
                  <w:marTop w:val="0"/>
                  <w:marBottom w:val="0"/>
                  <w:divBdr>
                    <w:top w:val="none" w:sz="0" w:space="0" w:color="auto"/>
                    <w:left w:val="none" w:sz="0" w:space="0" w:color="auto"/>
                    <w:bottom w:val="none" w:sz="0" w:space="0" w:color="auto"/>
                    <w:right w:val="none" w:sz="0" w:space="0" w:color="auto"/>
                  </w:divBdr>
                </w:div>
              </w:divsChild>
            </w:div>
            <w:div w:id="1369376108">
              <w:marLeft w:val="0"/>
              <w:marRight w:val="0"/>
              <w:marTop w:val="0"/>
              <w:marBottom w:val="0"/>
              <w:divBdr>
                <w:top w:val="none" w:sz="0" w:space="0" w:color="auto"/>
                <w:left w:val="none" w:sz="0" w:space="0" w:color="auto"/>
                <w:bottom w:val="none" w:sz="0" w:space="0" w:color="auto"/>
                <w:right w:val="none" w:sz="0" w:space="0" w:color="auto"/>
              </w:divBdr>
              <w:divsChild>
                <w:div w:id="350225153">
                  <w:marLeft w:val="0"/>
                  <w:marRight w:val="0"/>
                  <w:marTop w:val="0"/>
                  <w:marBottom w:val="0"/>
                  <w:divBdr>
                    <w:top w:val="none" w:sz="0" w:space="0" w:color="auto"/>
                    <w:left w:val="none" w:sz="0" w:space="0" w:color="auto"/>
                    <w:bottom w:val="none" w:sz="0" w:space="0" w:color="auto"/>
                    <w:right w:val="none" w:sz="0" w:space="0" w:color="auto"/>
                  </w:divBdr>
                </w:div>
              </w:divsChild>
            </w:div>
            <w:div w:id="497697108">
              <w:marLeft w:val="0"/>
              <w:marRight w:val="0"/>
              <w:marTop w:val="0"/>
              <w:marBottom w:val="0"/>
              <w:divBdr>
                <w:top w:val="none" w:sz="0" w:space="0" w:color="auto"/>
                <w:left w:val="none" w:sz="0" w:space="0" w:color="auto"/>
                <w:bottom w:val="none" w:sz="0" w:space="0" w:color="auto"/>
                <w:right w:val="none" w:sz="0" w:space="0" w:color="auto"/>
              </w:divBdr>
              <w:divsChild>
                <w:div w:id="375199516">
                  <w:marLeft w:val="0"/>
                  <w:marRight w:val="0"/>
                  <w:marTop w:val="0"/>
                  <w:marBottom w:val="0"/>
                  <w:divBdr>
                    <w:top w:val="none" w:sz="0" w:space="0" w:color="auto"/>
                    <w:left w:val="none" w:sz="0" w:space="0" w:color="auto"/>
                    <w:bottom w:val="none" w:sz="0" w:space="0" w:color="auto"/>
                    <w:right w:val="none" w:sz="0" w:space="0" w:color="auto"/>
                  </w:divBdr>
                </w:div>
              </w:divsChild>
            </w:div>
            <w:div w:id="673532293">
              <w:marLeft w:val="0"/>
              <w:marRight w:val="0"/>
              <w:marTop w:val="0"/>
              <w:marBottom w:val="0"/>
              <w:divBdr>
                <w:top w:val="none" w:sz="0" w:space="0" w:color="auto"/>
                <w:left w:val="none" w:sz="0" w:space="0" w:color="auto"/>
                <w:bottom w:val="none" w:sz="0" w:space="0" w:color="auto"/>
                <w:right w:val="none" w:sz="0" w:space="0" w:color="auto"/>
              </w:divBdr>
              <w:divsChild>
                <w:div w:id="1401830155">
                  <w:marLeft w:val="0"/>
                  <w:marRight w:val="0"/>
                  <w:marTop w:val="0"/>
                  <w:marBottom w:val="0"/>
                  <w:divBdr>
                    <w:top w:val="none" w:sz="0" w:space="0" w:color="auto"/>
                    <w:left w:val="none" w:sz="0" w:space="0" w:color="auto"/>
                    <w:bottom w:val="none" w:sz="0" w:space="0" w:color="auto"/>
                    <w:right w:val="none" w:sz="0" w:space="0" w:color="auto"/>
                  </w:divBdr>
                </w:div>
              </w:divsChild>
            </w:div>
            <w:div w:id="1465853646">
              <w:marLeft w:val="0"/>
              <w:marRight w:val="0"/>
              <w:marTop w:val="0"/>
              <w:marBottom w:val="0"/>
              <w:divBdr>
                <w:top w:val="none" w:sz="0" w:space="0" w:color="auto"/>
                <w:left w:val="none" w:sz="0" w:space="0" w:color="auto"/>
                <w:bottom w:val="none" w:sz="0" w:space="0" w:color="auto"/>
                <w:right w:val="none" w:sz="0" w:space="0" w:color="auto"/>
              </w:divBdr>
              <w:divsChild>
                <w:div w:id="456875560">
                  <w:marLeft w:val="0"/>
                  <w:marRight w:val="0"/>
                  <w:marTop w:val="0"/>
                  <w:marBottom w:val="0"/>
                  <w:divBdr>
                    <w:top w:val="none" w:sz="0" w:space="0" w:color="auto"/>
                    <w:left w:val="none" w:sz="0" w:space="0" w:color="auto"/>
                    <w:bottom w:val="none" w:sz="0" w:space="0" w:color="auto"/>
                    <w:right w:val="none" w:sz="0" w:space="0" w:color="auto"/>
                  </w:divBdr>
                </w:div>
              </w:divsChild>
            </w:div>
            <w:div w:id="1590845641">
              <w:marLeft w:val="0"/>
              <w:marRight w:val="0"/>
              <w:marTop w:val="0"/>
              <w:marBottom w:val="0"/>
              <w:divBdr>
                <w:top w:val="none" w:sz="0" w:space="0" w:color="auto"/>
                <w:left w:val="none" w:sz="0" w:space="0" w:color="auto"/>
                <w:bottom w:val="none" w:sz="0" w:space="0" w:color="auto"/>
                <w:right w:val="none" w:sz="0" w:space="0" w:color="auto"/>
              </w:divBdr>
              <w:divsChild>
                <w:div w:id="1013608845">
                  <w:marLeft w:val="0"/>
                  <w:marRight w:val="0"/>
                  <w:marTop w:val="0"/>
                  <w:marBottom w:val="0"/>
                  <w:divBdr>
                    <w:top w:val="none" w:sz="0" w:space="0" w:color="auto"/>
                    <w:left w:val="none" w:sz="0" w:space="0" w:color="auto"/>
                    <w:bottom w:val="none" w:sz="0" w:space="0" w:color="auto"/>
                    <w:right w:val="none" w:sz="0" w:space="0" w:color="auto"/>
                  </w:divBdr>
                </w:div>
              </w:divsChild>
            </w:div>
            <w:div w:id="2022971346">
              <w:marLeft w:val="0"/>
              <w:marRight w:val="0"/>
              <w:marTop w:val="0"/>
              <w:marBottom w:val="0"/>
              <w:divBdr>
                <w:top w:val="none" w:sz="0" w:space="0" w:color="auto"/>
                <w:left w:val="none" w:sz="0" w:space="0" w:color="auto"/>
                <w:bottom w:val="none" w:sz="0" w:space="0" w:color="auto"/>
                <w:right w:val="none" w:sz="0" w:space="0" w:color="auto"/>
              </w:divBdr>
              <w:divsChild>
                <w:div w:id="758058638">
                  <w:marLeft w:val="0"/>
                  <w:marRight w:val="0"/>
                  <w:marTop w:val="0"/>
                  <w:marBottom w:val="0"/>
                  <w:divBdr>
                    <w:top w:val="none" w:sz="0" w:space="0" w:color="auto"/>
                    <w:left w:val="none" w:sz="0" w:space="0" w:color="auto"/>
                    <w:bottom w:val="none" w:sz="0" w:space="0" w:color="auto"/>
                    <w:right w:val="none" w:sz="0" w:space="0" w:color="auto"/>
                  </w:divBdr>
                </w:div>
              </w:divsChild>
            </w:div>
            <w:div w:id="2018344693">
              <w:marLeft w:val="0"/>
              <w:marRight w:val="0"/>
              <w:marTop w:val="0"/>
              <w:marBottom w:val="0"/>
              <w:divBdr>
                <w:top w:val="none" w:sz="0" w:space="0" w:color="auto"/>
                <w:left w:val="none" w:sz="0" w:space="0" w:color="auto"/>
                <w:bottom w:val="none" w:sz="0" w:space="0" w:color="auto"/>
                <w:right w:val="none" w:sz="0" w:space="0" w:color="auto"/>
              </w:divBdr>
              <w:divsChild>
                <w:div w:id="19496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28">
          <w:marLeft w:val="0"/>
          <w:marRight w:val="0"/>
          <w:marTop w:val="0"/>
          <w:marBottom w:val="600"/>
          <w:divBdr>
            <w:top w:val="none" w:sz="0" w:space="0" w:color="auto"/>
            <w:left w:val="none" w:sz="0" w:space="0" w:color="auto"/>
            <w:bottom w:val="none" w:sz="0" w:space="0" w:color="auto"/>
            <w:right w:val="none" w:sz="0" w:space="0" w:color="auto"/>
          </w:divBdr>
        </w:div>
      </w:divsChild>
    </w:div>
    <w:div w:id="2080861369">
      <w:marLeft w:val="0"/>
      <w:marRight w:val="0"/>
      <w:marTop w:val="0"/>
      <w:marBottom w:val="0"/>
      <w:divBdr>
        <w:top w:val="none" w:sz="0" w:space="0" w:color="auto"/>
        <w:left w:val="none" w:sz="0" w:space="0" w:color="auto"/>
        <w:bottom w:val="none" w:sz="0" w:space="0" w:color="auto"/>
        <w:right w:val="none" w:sz="0" w:space="0" w:color="auto"/>
      </w:divBdr>
      <w:divsChild>
        <w:div w:id="1602569260">
          <w:marLeft w:val="0"/>
          <w:marRight w:val="0"/>
          <w:marTop w:val="432"/>
          <w:marBottom w:val="0"/>
          <w:divBdr>
            <w:top w:val="none" w:sz="0" w:space="0" w:color="auto"/>
            <w:left w:val="none" w:sz="0" w:space="0" w:color="auto"/>
            <w:bottom w:val="none" w:sz="0" w:space="0" w:color="auto"/>
            <w:right w:val="none" w:sz="0" w:space="0" w:color="auto"/>
          </w:divBdr>
        </w:div>
        <w:div w:id="1906867232">
          <w:marLeft w:val="0"/>
          <w:marRight w:val="0"/>
          <w:marTop w:val="0"/>
          <w:marBottom w:val="0"/>
          <w:divBdr>
            <w:top w:val="none" w:sz="0" w:space="0" w:color="auto"/>
            <w:left w:val="none" w:sz="0" w:space="0" w:color="auto"/>
            <w:bottom w:val="none" w:sz="0" w:space="0" w:color="auto"/>
            <w:right w:val="none" w:sz="0" w:space="0" w:color="auto"/>
          </w:divBdr>
          <w:divsChild>
            <w:div w:id="307786123">
              <w:marLeft w:val="0"/>
              <w:marRight w:val="0"/>
              <w:marTop w:val="0"/>
              <w:marBottom w:val="0"/>
              <w:divBdr>
                <w:top w:val="none" w:sz="0" w:space="0" w:color="auto"/>
                <w:left w:val="none" w:sz="0" w:space="0" w:color="auto"/>
                <w:bottom w:val="none" w:sz="0" w:space="0" w:color="auto"/>
                <w:right w:val="none" w:sz="0" w:space="0" w:color="auto"/>
              </w:divBdr>
              <w:divsChild>
                <w:div w:id="1572617944">
                  <w:marLeft w:val="0"/>
                  <w:marRight w:val="0"/>
                  <w:marTop w:val="0"/>
                  <w:marBottom w:val="0"/>
                  <w:divBdr>
                    <w:top w:val="none" w:sz="0" w:space="0" w:color="auto"/>
                    <w:left w:val="none" w:sz="0" w:space="0" w:color="auto"/>
                    <w:bottom w:val="none" w:sz="0" w:space="0" w:color="auto"/>
                    <w:right w:val="none" w:sz="0" w:space="0" w:color="auto"/>
                  </w:divBdr>
                </w:div>
              </w:divsChild>
            </w:div>
            <w:div w:id="340932241">
              <w:marLeft w:val="0"/>
              <w:marRight w:val="0"/>
              <w:marTop w:val="0"/>
              <w:marBottom w:val="0"/>
              <w:divBdr>
                <w:top w:val="none" w:sz="0" w:space="0" w:color="auto"/>
                <w:left w:val="none" w:sz="0" w:space="0" w:color="auto"/>
                <w:bottom w:val="none" w:sz="0" w:space="0" w:color="auto"/>
                <w:right w:val="none" w:sz="0" w:space="0" w:color="auto"/>
              </w:divBdr>
              <w:divsChild>
                <w:div w:id="510342382">
                  <w:marLeft w:val="0"/>
                  <w:marRight w:val="0"/>
                  <w:marTop w:val="0"/>
                  <w:marBottom w:val="0"/>
                  <w:divBdr>
                    <w:top w:val="none" w:sz="0" w:space="0" w:color="auto"/>
                    <w:left w:val="none" w:sz="0" w:space="0" w:color="auto"/>
                    <w:bottom w:val="none" w:sz="0" w:space="0" w:color="auto"/>
                    <w:right w:val="none" w:sz="0" w:space="0" w:color="auto"/>
                  </w:divBdr>
                </w:div>
              </w:divsChild>
            </w:div>
            <w:div w:id="1619609103">
              <w:marLeft w:val="0"/>
              <w:marRight w:val="0"/>
              <w:marTop w:val="0"/>
              <w:marBottom w:val="0"/>
              <w:divBdr>
                <w:top w:val="none" w:sz="0" w:space="0" w:color="auto"/>
                <w:left w:val="none" w:sz="0" w:space="0" w:color="auto"/>
                <w:bottom w:val="none" w:sz="0" w:space="0" w:color="auto"/>
                <w:right w:val="none" w:sz="0" w:space="0" w:color="auto"/>
              </w:divBdr>
              <w:divsChild>
                <w:div w:id="2034794300">
                  <w:marLeft w:val="0"/>
                  <w:marRight w:val="0"/>
                  <w:marTop w:val="0"/>
                  <w:marBottom w:val="0"/>
                  <w:divBdr>
                    <w:top w:val="none" w:sz="0" w:space="0" w:color="auto"/>
                    <w:left w:val="none" w:sz="0" w:space="0" w:color="auto"/>
                    <w:bottom w:val="none" w:sz="0" w:space="0" w:color="auto"/>
                    <w:right w:val="none" w:sz="0" w:space="0" w:color="auto"/>
                  </w:divBdr>
                </w:div>
              </w:divsChild>
            </w:div>
            <w:div w:id="1882476454">
              <w:marLeft w:val="0"/>
              <w:marRight w:val="0"/>
              <w:marTop w:val="0"/>
              <w:marBottom w:val="0"/>
              <w:divBdr>
                <w:top w:val="none" w:sz="0" w:space="0" w:color="auto"/>
                <w:left w:val="none" w:sz="0" w:space="0" w:color="auto"/>
                <w:bottom w:val="none" w:sz="0" w:space="0" w:color="auto"/>
                <w:right w:val="none" w:sz="0" w:space="0" w:color="auto"/>
              </w:divBdr>
              <w:divsChild>
                <w:div w:id="1242065146">
                  <w:marLeft w:val="0"/>
                  <w:marRight w:val="0"/>
                  <w:marTop w:val="0"/>
                  <w:marBottom w:val="0"/>
                  <w:divBdr>
                    <w:top w:val="none" w:sz="0" w:space="0" w:color="auto"/>
                    <w:left w:val="none" w:sz="0" w:space="0" w:color="auto"/>
                    <w:bottom w:val="none" w:sz="0" w:space="0" w:color="auto"/>
                    <w:right w:val="none" w:sz="0" w:space="0" w:color="auto"/>
                  </w:divBdr>
                </w:div>
              </w:divsChild>
            </w:div>
            <w:div w:id="1786577543">
              <w:marLeft w:val="0"/>
              <w:marRight w:val="0"/>
              <w:marTop w:val="0"/>
              <w:marBottom w:val="0"/>
              <w:divBdr>
                <w:top w:val="none" w:sz="0" w:space="0" w:color="auto"/>
                <w:left w:val="none" w:sz="0" w:space="0" w:color="auto"/>
                <w:bottom w:val="none" w:sz="0" w:space="0" w:color="auto"/>
                <w:right w:val="none" w:sz="0" w:space="0" w:color="auto"/>
              </w:divBdr>
              <w:divsChild>
                <w:div w:id="1019890806">
                  <w:marLeft w:val="0"/>
                  <w:marRight w:val="0"/>
                  <w:marTop w:val="0"/>
                  <w:marBottom w:val="0"/>
                  <w:divBdr>
                    <w:top w:val="none" w:sz="0" w:space="0" w:color="auto"/>
                    <w:left w:val="none" w:sz="0" w:space="0" w:color="auto"/>
                    <w:bottom w:val="none" w:sz="0" w:space="0" w:color="auto"/>
                    <w:right w:val="none" w:sz="0" w:space="0" w:color="auto"/>
                  </w:divBdr>
                </w:div>
              </w:divsChild>
            </w:div>
            <w:div w:id="208499272">
              <w:marLeft w:val="0"/>
              <w:marRight w:val="0"/>
              <w:marTop w:val="0"/>
              <w:marBottom w:val="0"/>
              <w:divBdr>
                <w:top w:val="none" w:sz="0" w:space="0" w:color="auto"/>
                <w:left w:val="none" w:sz="0" w:space="0" w:color="auto"/>
                <w:bottom w:val="none" w:sz="0" w:space="0" w:color="auto"/>
                <w:right w:val="none" w:sz="0" w:space="0" w:color="auto"/>
              </w:divBdr>
              <w:divsChild>
                <w:div w:id="2131580814">
                  <w:marLeft w:val="0"/>
                  <w:marRight w:val="0"/>
                  <w:marTop w:val="0"/>
                  <w:marBottom w:val="0"/>
                  <w:divBdr>
                    <w:top w:val="none" w:sz="0" w:space="0" w:color="auto"/>
                    <w:left w:val="none" w:sz="0" w:space="0" w:color="auto"/>
                    <w:bottom w:val="none" w:sz="0" w:space="0" w:color="auto"/>
                    <w:right w:val="none" w:sz="0" w:space="0" w:color="auto"/>
                  </w:divBdr>
                </w:div>
              </w:divsChild>
            </w:div>
            <w:div w:id="595134165">
              <w:marLeft w:val="0"/>
              <w:marRight w:val="0"/>
              <w:marTop w:val="0"/>
              <w:marBottom w:val="0"/>
              <w:divBdr>
                <w:top w:val="none" w:sz="0" w:space="0" w:color="auto"/>
                <w:left w:val="none" w:sz="0" w:space="0" w:color="auto"/>
                <w:bottom w:val="none" w:sz="0" w:space="0" w:color="auto"/>
                <w:right w:val="none" w:sz="0" w:space="0" w:color="auto"/>
              </w:divBdr>
              <w:divsChild>
                <w:div w:id="1683702753">
                  <w:marLeft w:val="0"/>
                  <w:marRight w:val="0"/>
                  <w:marTop w:val="0"/>
                  <w:marBottom w:val="0"/>
                  <w:divBdr>
                    <w:top w:val="none" w:sz="0" w:space="0" w:color="auto"/>
                    <w:left w:val="none" w:sz="0" w:space="0" w:color="auto"/>
                    <w:bottom w:val="none" w:sz="0" w:space="0" w:color="auto"/>
                    <w:right w:val="none" w:sz="0" w:space="0" w:color="auto"/>
                  </w:divBdr>
                </w:div>
              </w:divsChild>
            </w:div>
            <w:div w:id="960184432">
              <w:marLeft w:val="0"/>
              <w:marRight w:val="0"/>
              <w:marTop w:val="0"/>
              <w:marBottom w:val="0"/>
              <w:divBdr>
                <w:top w:val="none" w:sz="0" w:space="0" w:color="auto"/>
                <w:left w:val="none" w:sz="0" w:space="0" w:color="auto"/>
                <w:bottom w:val="none" w:sz="0" w:space="0" w:color="auto"/>
                <w:right w:val="none" w:sz="0" w:space="0" w:color="auto"/>
              </w:divBdr>
              <w:divsChild>
                <w:div w:id="767234234">
                  <w:marLeft w:val="0"/>
                  <w:marRight w:val="0"/>
                  <w:marTop w:val="0"/>
                  <w:marBottom w:val="0"/>
                  <w:divBdr>
                    <w:top w:val="none" w:sz="0" w:space="0" w:color="auto"/>
                    <w:left w:val="none" w:sz="0" w:space="0" w:color="auto"/>
                    <w:bottom w:val="none" w:sz="0" w:space="0" w:color="auto"/>
                    <w:right w:val="none" w:sz="0" w:space="0" w:color="auto"/>
                  </w:divBdr>
                </w:div>
              </w:divsChild>
            </w:div>
            <w:div w:id="1432817868">
              <w:marLeft w:val="0"/>
              <w:marRight w:val="0"/>
              <w:marTop w:val="0"/>
              <w:marBottom w:val="0"/>
              <w:divBdr>
                <w:top w:val="none" w:sz="0" w:space="0" w:color="auto"/>
                <w:left w:val="none" w:sz="0" w:space="0" w:color="auto"/>
                <w:bottom w:val="none" w:sz="0" w:space="0" w:color="auto"/>
                <w:right w:val="none" w:sz="0" w:space="0" w:color="auto"/>
              </w:divBdr>
              <w:divsChild>
                <w:div w:id="758067255">
                  <w:marLeft w:val="0"/>
                  <w:marRight w:val="0"/>
                  <w:marTop w:val="0"/>
                  <w:marBottom w:val="0"/>
                  <w:divBdr>
                    <w:top w:val="none" w:sz="0" w:space="0" w:color="auto"/>
                    <w:left w:val="none" w:sz="0" w:space="0" w:color="auto"/>
                    <w:bottom w:val="none" w:sz="0" w:space="0" w:color="auto"/>
                    <w:right w:val="none" w:sz="0" w:space="0" w:color="auto"/>
                  </w:divBdr>
                </w:div>
              </w:divsChild>
            </w:div>
            <w:div w:id="1298532680">
              <w:marLeft w:val="0"/>
              <w:marRight w:val="0"/>
              <w:marTop w:val="0"/>
              <w:marBottom w:val="0"/>
              <w:divBdr>
                <w:top w:val="none" w:sz="0" w:space="0" w:color="auto"/>
                <w:left w:val="none" w:sz="0" w:space="0" w:color="auto"/>
                <w:bottom w:val="none" w:sz="0" w:space="0" w:color="auto"/>
                <w:right w:val="none" w:sz="0" w:space="0" w:color="auto"/>
              </w:divBdr>
              <w:divsChild>
                <w:div w:id="1991208399">
                  <w:marLeft w:val="0"/>
                  <w:marRight w:val="0"/>
                  <w:marTop w:val="0"/>
                  <w:marBottom w:val="0"/>
                  <w:divBdr>
                    <w:top w:val="none" w:sz="0" w:space="0" w:color="auto"/>
                    <w:left w:val="none" w:sz="0" w:space="0" w:color="auto"/>
                    <w:bottom w:val="none" w:sz="0" w:space="0" w:color="auto"/>
                    <w:right w:val="none" w:sz="0" w:space="0" w:color="auto"/>
                  </w:divBdr>
                </w:div>
              </w:divsChild>
            </w:div>
            <w:div w:id="306012077">
              <w:marLeft w:val="0"/>
              <w:marRight w:val="0"/>
              <w:marTop w:val="0"/>
              <w:marBottom w:val="0"/>
              <w:divBdr>
                <w:top w:val="none" w:sz="0" w:space="0" w:color="auto"/>
                <w:left w:val="none" w:sz="0" w:space="0" w:color="auto"/>
                <w:bottom w:val="none" w:sz="0" w:space="0" w:color="auto"/>
                <w:right w:val="none" w:sz="0" w:space="0" w:color="auto"/>
              </w:divBdr>
              <w:divsChild>
                <w:div w:id="348945530">
                  <w:marLeft w:val="0"/>
                  <w:marRight w:val="0"/>
                  <w:marTop w:val="0"/>
                  <w:marBottom w:val="0"/>
                  <w:divBdr>
                    <w:top w:val="none" w:sz="0" w:space="0" w:color="auto"/>
                    <w:left w:val="none" w:sz="0" w:space="0" w:color="auto"/>
                    <w:bottom w:val="none" w:sz="0" w:space="0" w:color="auto"/>
                    <w:right w:val="none" w:sz="0" w:space="0" w:color="auto"/>
                  </w:divBdr>
                </w:div>
              </w:divsChild>
            </w:div>
            <w:div w:id="2133015378">
              <w:marLeft w:val="0"/>
              <w:marRight w:val="0"/>
              <w:marTop w:val="0"/>
              <w:marBottom w:val="0"/>
              <w:divBdr>
                <w:top w:val="none" w:sz="0" w:space="0" w:color="auto"/>
                <w:left w:val="none" w:sz="0" w:space="0" w:color="auto"/>
                <w:bottom w:val="none" w:sz="0" w:space="0" w:color="auto"/>
                <w:right w:val="none" w:sz="0" w:space="0" w:color="auto"/>
              </w:divBdr>
              <w:divsChild>
                <w:div w:id="660930810">
                  <w:marLeft w:val="0"/>
                  <w:marRight w:val="0"/>
                  <w:marTop w:val="0"/>
                  <w:marBottom w:val="0"/>
                  <w:divBdr>
                    <w:top w:val="none" w:sz="0" w:space="0" w:color="auto"/>
                    <w:left w:val="none" w:sz="0" w:space="0" w:color="auto"/>
                    <w:bottom w:val="none" w:sz="0" w:space="0" w:color="auto"/>
                    <w:right w:val="none" w:sz="0" w:space="0" w:color="auto"/>
                  </w:divBdr>
                </w:div>
              </w:divsChild>
            </w:div>
            <w:div w:id="1638334509">
              <w:marLeft w:val="0"/>
              <w:marRight w:val="0"/>
              <w:marTop w:val="0"/>
              <w:marBottom w:val="0"/>
              <w:divBdr>
                <w:top w:val="none" w:sz="0" w:space="0" w:color="auto"/>
                <w:left w:val="none" w:sz="0" w:space="0" w:color="auto"/>
                <w:bottom w:val="none" w:sz="0" w:space="0" w:color="auto"/>
                <w:right w:val="none" w:sz="0" w:space="0" w:color="auto"/>
              </w:divBdr>
              <w:divsChild>
                <w:div w:id="1115060158">
                  <w:marLeft w:val="0"/>
                  <w:marRight w:val="0"/>
                  <w:marTop w:val="0"/>
                  <w:marBottom w:val="0"/>
                  <w:divBdr>
                    <w:top w:val="none" w:sz="0" w:space="0" w:color="auto"/>
                    <w:left w:val="none" w:sz="0" w:space="0" w:color="auto"/>
                    <w:bottom w:val="none" w:sz="0" w:space="0" w:color="auto"/>
                    <w:right w:val="none" w:sz="0" w:space="0" w:color="auto"/>
                  </w:divBdr>
                </w:div>
              </w:divsChild>
            </w:div>
            <w:div w:id="1916864346">
              <w:marLeft w:val="0"/>
              <w:marRight w:val="0"/>
              <w:marTop w:val="0"/>
              <w:marBottom w:val="0"/>
              <w:divBdr>
                <w:top w:val="none" w:sz="0" w:space="0" w:color="auto"/>
                <w:left w:val="none" w:sz="0" w:space="0" w:color="auto"/>
                <w:bottom w:val="none" w:sz="0" w:space="0" w:color="auto"/>
                <w:right w:val="none" w:sz="0" w:space="0" w:color="auto"/>
              </w:divBdr>
              <w:divsChild>
                <w:div w:id="1032731205">
                  <w:marLeft w:val="0"/>
                  <w:marRight w:val="0"/>
                  <w:marTop w:val="0"/>
                  <w:marBottom w:val="0"/>
                  <w:divBdr>
                    <w:top w:val="none" w:sz="0" w:space="0" w:color="auto"/>
                    <w:left w:val="none" w:sz="0" w:space="0" w:color="auto"/>
                    <w:bottom w:val="none" w:sz="0" w:space="0" w:color="auto"/>
                    <w:right w:val="none" w:sz="0" w:space="0" w:color="auto"/>
                  </w:divBdr>
                </w:div>
              </w:divsChild>
            </w:div>
            <w:div w:id="1163281115">
              <w:marLeft w:val="0"/>
              <w:marRight w:val="0"/>
              <w:marTop w:val="0"/>
              <w:marBottom w:val="0"/>
              <w:divBdr>
                <w:top w:val="none" w:sz="0" w:space="0" w:color="auto"/>
                <w:left w:val="none" w:sz="0" w:space="0" w:color="auto"/>
                <w:bottom w:val="none" w:sz="0" w:space="0" w:color="auto"/>
                <w:right w:val="none" w:sz="0" w:space="0" w:color="auto"/>
              </w:divBdr>
              <w:divsChild>
                <w:div w:id="180170260">
                  <w:marLeft w:val="0"/>
                  <w:marRight w:val="0"/>
                  <w:marTop w:val="0"/>
                  <w:marBottom w:val="0"/>
                  <w:divBdr>
                    <w:top w:val="none" w:sz="0" w:space="0" w:color="auto"/>
                    <w:left w:val="none" w:sz="0" w:space="0" w:color="auto"/>
                    <w:bottom w:val="none" w:sz="0" w:space="0" w:color="auto"/>
                    <w:right w:val="none" w:sz="0" w:space="0" w:color="auto"/>
                  </w:divBdr>
                </w:div>
              </w:divsChild>
            </w:div>
            <w:div w:id="743644475">
              <w:marLeft w:val="0"/>
              <w:marRight w:val="0"/>
              <w:marTop w:val="0"/>
              <w:marBottom w:val="0"/>
              <w:divBdr>
                <w:top w:val="none" w:sz="0" w:space="0" w:color="auto"/>
                <w:left w:val="none" w:sz="0" w:space="0" w:color="auto"/>
                <w:bottom w:val="none" w:sz="0" w:space="0" w:color="auto"/>
                <w:right w:val="none" w:sz="0" w:space="0" w:color="auto"/>
              </w:divBdr>
              <w:divsChild>
                <w:div w:id="1924685088">
                  <w:marLeft w:val="0"/>
                  <w:marRight w:val="0"/>
                  <w:marTop w:val="0"/>
                  <w:marBottom w:val="0"/>
                  <w:divBdr>
                    <w:top w:val="none" w:sz="0" w:space="0" w:color="auto"/>
                    <w:left w:val="none" w:sz="0" w:space="0" w:color="auto"/>
                    <w:bottom w:val="none" w:sz="0" w:space="0" w:color="auto"/>
                    <w:right w:val="none" w:sz="0" w:space="0" w:color="auto"/>
                  </w:divBdr>
                </w:div>
              </w:divsChild>
            </w:div>
            <w:div w:id="898786557">
              <w:marLeft w:val="0"/>
              <w:marRight w:val="0"/>
              <w:marTop w:val="0"/>
              <w:marBottom w:val="0"/>
              <w:divBdr>
                <w:top w:val="none" w:sz="0" w:space="0" w:color="auto"/>
                <w:left w:val="none" w:sz="0" w:space="0" w:color="auto"/>
                <w:bottom w:val="none" w:sz="0" w:space="0" w:color="auto"/>
                <w:right w:val="none" w:sz="0" w:space="0" w:color="auto"/>
              </w:divBdr>
              <w:divsChild>
                <w:div w:id="2088265706">
                  <w:marLeft w:val="0"/>
                  <w:marRight w:val="0"/>
                  <w:marTop w:val="0"/>
                  <w:marBottom w:val="0"/>
                  <w:divBdr>
                    <w:top w:val="none" w:sz="0" w:space="0" w:color="auto"/>
                    <w:left w:val="none" w:sz="0" w:space="0" w:color="auto"/>
                    <w:bottom w:val="none" w:sz="0" w:space="0" w:color="auto"/>
                    <w:right w:val="none" w:sz="0" w:space="0" w:color="auto"/>
                  </w:divBdr>
                </w:div>
              </w:divsChild>
            </w:div>
            <w:div w:id="280654029">
              <w:marLeft w:val="0"/>
              <w:marRight w:val="0"/>
              <w:marTop w:val="0"/>
              <w:marBottom w:val="0"/>
              <w:divBdr>
                <w:top w:val="none" w:sz="0" w:space="0" w:color="auto"/>
                <w:left w:val="none" w:sz="0" w:space="0" w:color="auto"/>
                <w:bottom w:val="none" w:sz="0" w:space="0" w:color="auto"/>
                <w:right w:val="none" w:sz="0" w:space="0" w:color="auto"/>
              </w:divBdr>
              <w:divsChild>
                <w:div w:id="1536498947">
                  <w:marLeft w:val="0"/>
                  <w:marRight w:val="0"/>
                  <w:marTop w:val="0"/>
                  <w:marBottom w:val="0"/>
                  <w:divBdr>
                    <w:top w:val="none" w:sz="0" w:space="0" w:color="auto"/>
                    <w:left w:val="none" w:sz="0" w:space="0" w:color="auto"/>
                    <w:bottom w:val="none" w:sz="0" w:space="0" w:color="auto"/>
                    <w:right w:val="none" w:sz="0" w:space="0" w:color="auto"/>
                  </w:divBdr>
                </w:div>
              </w:divsChild>
            </w:div>
            <w:div w:id="1305433078">
              <w:marLeft w:val="0"/>
              <w:marRight w:val="0"/>
              <w:marTop w:val="0"/>
              <w:marBottom w:val="0"/>
              <w:divBdr>
                <w:top w:val="none" w:sz="0" w:space="0" w:color="auto"/>
                <w:left w:val="none" w:sz="0" w:space="0" w:color="auto"/>
                <w:bottom w:val="none" w:sz="0" w:space="0" w:color="auto"/>
                <w:right w:val="none" w:sz="0" w:space="0" w:color="auto"/>
              </w:divBdr>
              <w:divsChild>
                <w:div w:id="367611468">
                  <w:marLeft w:val="0"/>
                  <w:marRight w:val="0"/>
                  <w:marTop w:val="0"/>
                  <w:marBottom w:val="0"/>
                  <w:divBdr>
                    <w:top w:val="none" w:sz="0" w:space="0" w:color="auto"/>
                    <w:left w:val="none" w:sz="0" w:space="0" w:color="auto"/>
                    <w:bottom w:val="none" w:sz="0" w:space="0" w:color="auto"/>
                    <w:right w:val="none" w:sz="0" w:space="0" w:color="auto"/>
                  </w:divBdr>
                </w:div>
              </w:divsChild>
            </w:div>
            <w:div w:id="696127403">
              <w:marLeft w:val="0"/>
              <w:marRight w:val="0"/>
              <w:marTop w:val="0"/>
              <w:marBottom w:val="0"/>
              <w:divBdr>
                <w:top w:val="none" w:sz="0" w:space="0" w:color="auto"/>
                <w:left w:val="none" w:sz="0" w:space="0" w:color="auto"/>
                <w:bottom w:val="none" w:sz="0" w:space="0" w:color="auto"/>
                <w:right w:val="none" w:sz="0" w:space="0" w:color="auto"/>
              </w:divBdr>
              <w:divsChild>
                <w:div w:id="361174946">
                  <w:marLeft w:val="0"/>
                  <w:marRight w:val="0"/>
                  <w:marTop w:val="0"/>
                  <w:marBottom w:val="0"/>
                  <w:divBdr>
                    <w:top w:val="none" w:sz="0" w:space="0" w:color="auto"/>
                    <w:left w:val="none" w:sz="0" w:space="0" w:color="auto"/>
                    <w:bottom w:val="none" w:sz="0" w:space="0" w:color="auto"/>
                    <w:right w:val="none" w:sz="0" w:space="0" w:color="auto"/>
                  </w:divBdr>
                </w:div>
              </w:divsChild>
            </w:div>
            <w:div w:id="222107725">
              <w:marLeft w:val="0"/>
              <w:marRight w:val="0"/>
              <w:marTop w:val="0"/>
              <w:marBottom w:val="0"/>
              <w:divBdr>
                <w:top w:val="none" w:sz="0" w:space="0" w:color="auto"/>
                <w:left w:val="none" w:sz="0" w:space="0" w:color="auto"/>
                <w:bottom w:val="none" w:sz="0" w:space="0" w:color="auto"/>
                <w:right w:val="none" w:sz="0" w:space="0" w:color="auto"/>
              </w:divBdr>
              <w:divsChild>
                <w:div w:id="707754940">
                  <w:marLeft w:val="0"/>
                  <w:marRight w:val="0"/>
                  <w:marTop w:val="0"/>
                  <w:marBottom w:val="0"/>
                  <w:divBdr>
                    <w:top w:val="none" w:sz="0" w:space="0" w:color="auto"/>
                    <w:left w:val="none" w:sz="0" w:space="0" w:color="auto"/>
                    <w:bottom w:val="none" w:sz="0" w:space="0" w:color="auto"/>
                    <w:right w:val="none" w:sz="0" w:space="0" w:color="auto"/>
                  </w:divBdr>
                </w:div>
              </w:divsChild>
            </w:div>
            <w:div w:id="1147625882">
              <w:marLeft w:val="0"/>
              <w:marRight w:val="0"/>
              <w:marTop w:val="0"/>
              <w:marBottom w:val="0"/>
              <w:divBdr>
                <w:top w:val="none" w:sz="0" w:space="0" w:color="auto"/>
                <w:left w:val="none" w:sz="0" w:space="0" w:color="auto"/>
                <w:bottom w:val="none" w:sz="0" w:space="0" w:color="auto"/>
                <w:right w:val="none" w:sz="0" w:space="0" w:color="auto"/>
              </w:divBdr>
              <w:divsChild>
                <w:div w:id="1053239781">
                  <w:marLeft w:val="0"/>
                  <w:marRight w:val="0"/>
                  <w:marTop w:val="0"/>
                  <w:marBottom w:val="0"/>
                  <w:divBdr>
                    <w:top w:val="none" w:sz="0" w:space="0" w:color="auto"/>
                    <w:left w:val="none" w:sz="0" w:space="0" w:color="auto"/>
                    <w:bottom w:val="none" w:sz="0" w:space="0" w:color="auto"/>
                    <w:right w:val="none" w:sz="0" w:space="0" w:color="auto"/>
                  </w:divBdr>
                </w:div>
              </w:divsChild>
            </w:div>
            <w:div w:id="476654646">
              <w:marLeft w:val="0"/>
              <w:marRight w:val="0"/>
              <w:marTop w:val="0"/>
              <w:marBottom w:val="0"/>
              <w:divBdr>
                <w:top w:val="none" w:sz="0" w:space="0" w:color="auto"/>
                <w:left w:val="none" w:sz="0" w:space="0" w:color="auto"/>
                <w:bottom w:val="none" w:sz="0" w:space="0" w:color="auto"/>
                <w:right w:val="none" w:sz="0" w:space="0" w:color="auto"/>
              </w:divBdr>
              <w:divsChild>
                <w:div w:id="1975138295">
                  <w:marLeft w:val="0"/>
                  <w:marRight w:val="0"/>
                  <w:marTop w:val="0"/>
                  <w:marBottom w:val="0"/>
                  <w:divBdr>
                    <w:top w:val="none" w:sz="0" w:space="0" w:color="auto"/>
                    <w:left w:val="none" w:sz="0" w:space="0" w:color="auto"/>
                    <w:bottom w:val="none" w:sz="0" w:space="0" w:color="auto"/>
                    <w:right w:val="none" w:sz="0" w:space="0" w:color="auto"/>
                  </w:divBdr>
                </w:div>
              </w:divsChild>
            </w:div>
            <w:div w:id="1716157572">
              <w:marLeft w:val="0"/>
              <w:marRight w:val="0"/>
              <w:marTop w:val="0"/>
              <w:marBottom w:val="0"/>
              <w:divBdr>
                <w:top w:val="none" w:sz="0" w:space="0" w:color="auto"/>
                <w:left w:val="none" w:sz="0" w:space="0" w:color="auto"/>
                <w:bottom w:val="none" w:sz="0" w:space="0" w:color="auto"/>
                <w:right w:val="none" w:sz="0" w:space="0" w:color="auto"/>
              </w:divBdr>
              <w:divsChild>
                <w:div w:id="411466800">
                  <w:marLeft w:val="0"/>
                  <w:marRight w:val="0"/>
                  <w:marTop w:val="0"/>
                  <w:marBottom w:val="0"/>
                  <w:divBdr>
                    <w:top w:val="none" w:sz="0" w:space="0" w:color="auto"/>
                    <w:left w:val="none" w:sz="0" w:space="0" w:color="auto"/>
                    <w:bottom w:val="none" w:sz="0" w:space="0" w:color="auto"/>
                    <w:right w:val="none" w:sz="0" w:space="0" w:color="auto"/>
                  </w:divBdr>
                </w:div>
              </w:divsChild>
            </w:div>
            <w:div w:id="575477670">
              <w:marLeft w:val="0"/>
              <w:marRight w:val="0"/>
              <w:marTop w:val="0"/>
              <w:marBottom w:val="0"/>
              <w:divBdr>
                <w:top w:val="none" w:sz="0" w:space="0" w:color="auto"/>
                <w:left w:val="none" w:sz="0" w:space="0" w:color="auto"/>
                <w:bottom w:val="none" w:sz="0" w:space="0" w:color="auto"/>
                <w:right w:val="none" w:sz="0" w:space="0" w:color="auto"/>
              </w:divBdr>
              <w:divsChild>
                <w:div w:id="162816288">
                  <w:marLeft w:val="0"/>
                  <w:marRight w:val="0"/>
                  <w:marTop w:val="0"/>
                  <w:marBottom w:val="0"/>
                  <w:divBdr>
                    <w:top w:val="none" w:sz="0" w:space="0" w:color="auto"/>
                    <w:left w:val="none" w:sz="0" w:space="0" w:color="auto"/>
                    <w:bottom w:val="none" w:sz="0" w:space="0" w:color="auto"/>
                    <w:right w:val="none" w:sz="0" w:space="0" w:color="auto"/>
                  </w:divBdr>
                </w:div>
              </w:divsChild>
            </w:div>
            <w:div w:id="167982327">
              <w:marLeft w:val="0"/>
              <w:marRight w:val="0"/>
              <w:marTop w:val="0"/>
              <w:marBottom w:val="0"/>
              <w:divBdr>
                <w:top w:val="none" w:sz="0" w:space="0" w:color="auto"/>
                <w:left w:val="none" w:sz="0" w:space="0" w:color="auto"/>
                <w:bottom w:val="none" w:sz="0" w:space="0" w:color="auto"/>
                <w:right w:val="none" w:sz="0" w:space="0" w:color="auto"/>
              </w:divBdr>
              <w:divsChild>
                <w:div w:id="1243029243">
                  <w:marLeft w:val="0"/>
                  <w:marRight w:val="0"/>
                  <w:marTop w:val="0"/>
                  <w:marBottom w:val="0"/>
                  <w:divBdr>
                    <w:top w:val="none" w:sz="0" w:space="0" w:color="auto"/>
                    <w:left w:val="none" w:sz="0" w:space="0" w:color="auto"/>
                    <w:bottom w:val="none" w:sz="0" w:space="0" w:color="auto"/>
                    <w:right w:val="none" w:sz="0" w:space="0" w:color="auto"/>
                  </w:divBdr>
                </w:div>
              </w:divsChild>
            </w:div>
            <w:div w:id="368801907">
              <w:marLeft w:val="0"/>
              <w:marRight w:val="0"/>
              <w:marTop w:val="0"/>
              <w:marBottom w:val="0"/>
              <w:divBdr>
                <w:top w:val="none" w:sz="0" w:space="0" w:color="auto"/>
                <w:left w:val="none" w:sz="0" w:space="0" w:color="auto"/>
                <w:bottom w:val="none" w:sz="0" w:space="0" w:color="auto"/>
                <w:right w:val="none" w:sz="0" w:space="0" w:color="auto"/>
              </w:divBdr>
              <w:divsChild>
                <w:div w:id="45760163">
                  <w:marLeft w:val="0"/>
                  <w:marRight w:val="0"/>
                  <w:marTop w:val="0"/>
                  <w:marBottom w:val="0"/>
                  <w:divBdr>
                    <w:top w:val="none" w:sz="0" w:space="0" w:color="auto"/>
                    <w:left w:val="none" w:sz="0" w:space="0" w:color="auto"/>
                    <w:bottom w:val="none" w:sz="0" w:space="0" w:color="auto"/>
                    <w:right w:val="none" w:sz="0" w:space="0" w:color="auto"/>
                  </w:divBdr>
                </w:div>
              </w:divsChild>
            </w:div>
            <w:div w:id="1862208550">
              <w:marLeft w:val="0"/>
              <w:marRight w:val="0"/>
              <w:marTop w:val="0"/>
              <w:marBottom w:val="0"/>
              <w:divBdr>
                <w:top w:val="none" w:sz="0" w:space="0" w:color="auto"/>
                <w:left w:val="none" w:sz="0" w:space="0" w:color="auto"/>
                <w:bottom w:val="none" w:sz="0" w:space="0" w:color="auto"/>
                <w:right w:val="none" w:sz="0" w:space="0" w:color="auto"/>
              </w:divBdr>
              <w:divsChild>
                <w:div w:id="1912499884">
                  <w:marLeft w:val="0"/>
                  <w:marRight w:val="0"/>
                  <w:marTop w:val="0"/>
                  <w:marBottom w:val="0"/>
                  <w:divBdr>
                    <w:top w:val="none" w:sz="0" w:space="0" w:color="auto"/>
                    <w:left w:val="none" w:sz="0" w:space="0" w:color="auto"/>
                    <w:bottom w:val="none" w:sz="0" w:space="0" w:color="auto"/>
                    <w:right w:val="none" w:sz="0" w:space="0" w:color="auto"/>
                  </w:divBdr>
                </w:div>
              </w:divsChild>
            </w:div>
            <w:div w:id="661931585">
              <w:marLeft w:val="0"/>
              <w:marRight w:val="0"/>
              <w:marTop w:val="0"/>
              <w:marBottom w:val="0"/>
              <w:divBdr>
                <w:top w:val="none" w:sz="0" w:space="0" w:color="auto"/>
                <w:left w:val="none" w:sz="0" w:space="0" w:color="auto"/>
                <w:bottom w:val="none" w:sz="0" w:space="0" w:color="auto"/>
                <w:right w:val="none" w:sz="0" w:space="0" w:color="auto"/>
              </w:divBdr>
              <w:divsChild>
                <w:div w:id="495725438">
                  <w:marLeft w:val="0"/>
                  <w:marRight w:val="0"/>
                  <w:marTop w:val="0"/>
                  <w:marBottom w:val="0"/>
                  <w:divBdr>
                    <w:top w:val="none" w:sz="0" w:space="0" w:color="auto"/>
                    <w:left w:val="none" w:sz="0" w:space="0" w:color="auto"/>
                    <w:bottom w:val="none" w:sz="0" w:space="0" w:color="auto"/>
                    <w:right w:val="none" w:sz="0" w:space="0" w:color="auto"/>
                  </w:divBdr>
                </w:div>
              </w:divsChild>
            </w:div>
            <w:div w:id="387336890">
              <w:marLeft w:val="0"/>
              <w:marRight w:val="0"/>
              <w:marTop w:val="0"/>
              <w:marBottom w:val="0"/>
              <w:divBdr>
                <w:top w:val="none" w:sz="0" w:space="0" w:color="auto"/>
                <w:left w:val="none" w:sz="0" w:space="0" w:color="auto"/>
                <w:bottom w:val="none" w:sz="0" w:space="0" w:color="auto"/>
                <w:right w:val="none" w:sz="0" w:space="0" w:color="auto"/>
              </w:divBdr>
              <w:divsChild>
                <w:div w:id="1328553953">
                  <w:marLeft w:val="0"/>
                  <w:marRight w:val="0"/>
                  <w:marTop w:val="0"/>
                  <w:marBottom w:val="0"/>
                  <w:divBdr>
                    <w:top w:val="none" w:sz="0" w:space="0" w:color="auto"/>
                    <w:left w:val="none" w:sz="0" w:space="0" w:color="auto"/>
                    <w:bottom w:val="none" w:sz="0" w:space="0" w:color="auto"/>
                    <w:right w:val="none" w:sz="0" w:space="0" w:color="auto"/>
                  </w:divBdr>
                </w:div>
              </w:divsChild>
            </w:div>
            <w:div w:id="1900163818">
              <w:marLeft w:val="0"/>
              <w:marRight w:val="0"/>
              <w:marTop w:val="0"/>
              <w:marBottom w:val="0"/>
              <w:divBdr>
                <w:top w:val="none" w:sz="0" w:space="0" w:color="auto"/>
                <w:left w:val="none" w:sz="0" w:space="0" w:color="auto"/>
                <w:bottom w:val="none" w:sz="0" w:space="0" w:color="auto"/>
                <w:right w:val="none" w:sz="0" w:space="0" w:color="auto"/>
              </w:divBdr>
              <w:divsChild>
                <w:div w:id="1516382904">
                  <w:marLeft w:val="0"/>
                  <w:marRight w:val="0"/>
                  <w:marTop w:val="0"/>
                  <w:marBottom w:val="0"/>
                  <w:divBdr>
                    <w:top w:val="none" w:sz="0" w:space="0" w:color="auto"/>
                    <w:left w:val="none" w:sz="0" w:space="0" w:color="auto"/>
                    <w:bottom w:val="none" w:sz="0" w:space="0" w:color="auto"/>
                    <w:right w:val="none" w:sz="0" w:space="0" w:color="auto"/>
                  </w:divBdr>
                </w:div>
              </w:divsChild>
            </w:div>
            <w:div w:id="8605079">
              <w:marLeft w:val="0"/>
              <w:marRight w:val="0"/>
              <w:marTop w:val="0"/>
              <w:marBottom w:val="0"/>
              <w:divBdr>
                <w:top w:val="none" w:sz="0" w:space="0" w:color="auto"/>
                <w:left w:val="none" w:sz="0" w:space="0" w:color="auto"/>
                <w:bottom w:val="none" w:sz="0" w:space="0" w:color="auto"/>
                <w:right w:val="none" w:sz="0" w:space="0" w:color="auto"/>
              </w:divBdr>
              <w:divsChild>
                <w:div w:id="386337953">
                  <w:marLeft w:val="0"/>
                  <w:marRight w:val="0"/>
                  <w:marTop w:val="0"/>
                  <w:marBottom w:val="0"/>
                  <w:divBdr>
                    <w:top w:val="none" w:sz="0" w:space="0" w:color="auto"/>
                    <w:left w:val="none" w:sz="0" w:space="0" w:color="auto"/>
                    <w:bottom w:val="none" w:sz="0" w:space="0" w:color="auto"/>
                    <w:right w:val="none" w:sz="0" w:space="0" w:color="auto"/>
                  </w:divBdr>
                </w:div>
              </w:divsChild>
            </w:div>
            <w:div w:id="1911578148">
              <w:marLeft w:val="0"/>
              <w:marRight w:val="0"/>
              <w:marTop w:val="0"/>
              <w:marBottom w:val="0"/>
              <w:divBdr>
                <w:top w:val="none" w:sz="0" w:space="0" w:color="auto"/>
                <w:left w:val="none" w:sz="0" w:space="0" w:color="auto"/>
                <w:bottom w:val="none" w:sz="0" w:space="0" w:color="auto"/>
                <w:right w:val="none" w:sz="0" w:space="0" w:color="auto"/>
              </w:divBdr>
              <w:divsChild>
                <w:div w:id="1269002825">
                  <w:marLeft w:val="0"/>
                  <w:marRight w:val="0"/>
                  <w:marTop w:val="0"/>
                  <w:marBottom w:val="0"/>
                  <w:divBdr>
                    <w:top w:val="none" w:sz="0" w:space="0" w:color="auto"/>
                    <w:left w:val="none" w:sz="0" w:space="0" w:color="auto"/>
                    <w:bottom w:val="none" w:sz="0" w:space="0" w:color="auto"/>
                    <w:right w:val="none" w:sz="0" w:space="0" w:color="auto"/>
                  </w:divBdr>
                </w:div>
              </w:divsChild>
            </w:div>
            <w:div w:id="1484539532">
              <w:marLeft w:val="0"/>
              <w:marRight w:val="0"/>
              <w:marTop w:val="0"/>
              <w:marBottom w:val="0"/>
              <w:divBdr>
                <w:top w:val="none" w:sz="0" w:space="0" w:color="auto"/>
                <w:left w:val="none" w:sz="0" w:space="0" w:color="auto"/>
                <w:bottom w:val="none" w:sz="0" w:space="0" w:color="auto"/>
                <w:right w:val="none" w:sz="0" w:space="0" w:color="auto"/>
              </w:divBdr>
              <w:divsChild>
                <w:div w:id="532504235">
                  <w:marLeft w:val="0"/>
                  <w:marRight w:val="0"/>
                  <w:marTop w:val="0"/>
                  <w:marBottom w:val="0"/>
                  <w:divBdr>
                    <w:top w:val="none" w:sz="0" w:space="0" w:color="auto"/>
                    <w:left w:val="none" w:sz="0" w:space="0" w:color="auto"/>
                    <w:bottom w:val="none" w:sz="0" w:space="0" w:color="auto"/>
                    <w:right w:val="none" w:sz="0" w:space="0" w:color="auto"/>
                  </w:divBdr>
                </w:div>
              </w:divsChild>
            </w:div>
            <w:div w:id="1722943589">
              <w:marLeft w:val="0"/>
              <w:marRight w:val="0"/>
              <w:marTop w:val="0"/>
              <w:marBottom w:val="0"/>
              <w:divBdr>
                <w:top w:val="none" w:sz="0" w:space="0" w:color="auto"/>
                <w:left w:val="none" w:sz="0" w:space="0" w:color="auto"/>
                <w:bottom w:val="none" w:sz="0" w:space="0" w:color="auto"/>
                <w:right w:val="none" w:sz="0" w:space="0" w:color="auto"/>
              </w:divBdr>
              <w:divsChild>
                <w:div w:id="134177595">
                  <w:marLeft w:val="0"/>
                  <w:marRight w:val="0"/>
                  <w:marTop w:val="0"/>
                  <w:marBottom w:val="0"/>
                  <w:divBdr>
                    <w:top w:val="none" w:sz="0" w:space="0" w:color="auto"/>
                    <w:left w:val="none" w:sz="0" w:space="0" w:color="auto"/>
                    <w:bottom w:val="none" w:sz="0" w:space="0" w:color="auto"/>
                    <w:right w:val="none" w:sz="0" w:space="0" w:color="auto"/>
                  </w:divBdr>
                </w:div>
              </w:divsChild>
            </w:div>
            <w:div w:id="1048840855">
              <w:marLeft w:val="0"/>
              <w:marRight w:val="0"/>
              <w:marTop w:val="0"/>
              <w:marBottom w:val="0"/>
              <w:divBdr>
                <w:top w:val="none" w:sz="0" w:space="0" w:color="auto"/>
                <w:left w:val="none" w:sz="0" w:space="0" w:color="auto"/>
                <w:bottom w:val="none" w:sz="0" w:space="0" w:color="auto"/>
                <w:right w:val="none" w:sz="0" w:space="0" w:color="auto"/>
              </w:divBdr>
              <w:divsChild>
                <w:div w:id="274991446">
                  <w:marLeft w:val="0"/>
                  <w:marRight w:val="0"/>
                  <w:marTop w:val="0"/>
                  <w:marBottom w:val="0"/>
                  <w:divBdr>
                    <w:top w:val="none" w:sz="0" w:space="0" w:color="auto"/>
                    <w:left w:val="none" w:sz="0" w:space="0" w:color="auto"/>
                    <w:bottom w:val="none" w:sz="0" w:space="0" w:color="auto"/>
                    <w:right w:val="none" w:sz="0" w:space="0" w:color="auto"/>
                  </w:divBdr>
                </w:div>
              </w:divsChild>
            </w:div>
            <w:div w:id="1745181977">
              <w:marLeft w:val="0"/>
              <w:marRight w:val="0"/>
              <w:marTop w:val="0"/>
              <w:marBottom w:val="0"/>
              <w:divBdr>
                <w:top w:val="none" w:sz="0" w:space="0" w:color="auto"/>
                <w:left w:val="none" w:sz="0" w:space="0" w:color="auto"/>
                <w:bottom w:val="none" w:sz="0" w:space="0" w:color="auto"/>
                <w:right w:val="none" w:sz="0" w:space="0" w:color="auto"/>
              </w:divBdr>
              <w:divsChild>
                <w:div w:id="1089036277">
                  <w:marLeft w:val="0"/>
                  <w:marRight w:val="0"/>
                  <w:marTop w:val="0"/>
                  <w:marBottom w:val="0"/>
                  <w:divBdr>
                    <w:top w:val="none" w:sz="0" w:space="0" w:color="auto"/>
                    <w:left w:val="none" w:sz="0" w:space="0" w:color="auto"/>
                    <w:bottom w:val="none" w:sz="0" w:space="0" w:color="auto"/>
                    <w:right w:val="none" w:sz="0" w:space="0" w:color="auto"/>
                  </w:divBdr>
                </w:div>
              </w:divsChild>
            </w:div>
            <w:div w:id="636495758">
              <w:marLeft w:val="0"/>
              <w:marRight w:val="0"/>
              <w:marTop w:val="0"/>
              <w:marBottom w:val="0"/>
              <w:divBdr>
                <w:top w:val="none" w:sz="0" w:space="0" w:color="auto"/>
                <w:left w:val="none" w:sz="0" w:space="0" w:color="auto"/>
                <w:bottom w:val="none" w:sz="0" w:space="0" w:color="auto"/>
                <w:right w:val="none" w:sz="0" w:space="0" w:color="auto"/>
              </w:divBdr>
              <w:divsChild>
                <w:div w:id="612439970">
                  <w:marLeft w:val="0"/>
                  <w:marRight w:val="0"/>
                  <w:marTop w:val="0"/>
                  <w:marBottom w:val="0"/>
                  <w:divBdr>
                    <w:top w:val="none" w:sz="0" w:space="0" w:color="auto"/>
                    <w:left w:val="none" w:sz="0" w:space="0" w:color="auto"/>
                    <w:bottom w:val="none" w:sz="0" w:space="0" w:color="auto"/>
                    <w:right w:val="none" w:sz="0" w:space="0" w:color="auto"/>
                  </w:divBdr>
                </w:div>
              </w:divsChild>
            </w:div>
            <w:div w:id="1698039459">
              <w:marLeft w:val="0"/>
              <w:marRight w:val="0"/>
              <w:marTop w:val="0"/>
              <w:marBottom w:val="0"/>
              <w:divBdr>
                <w:top w:val="none" w:sz="0" w:space="0" w:color="auto"/>
                <w:left w:val="none" w:sz="0" w:space="0" w:color="auto"/>
                <w:bottom w:val="none" w:sz="0" w:space="0" w:color="auto"/>
                <w:right w:val="none" w:sz="0" w:space="0" w:color="auto"/>
              </w:divBdr>
              <w:divsChild>
                <w:div w:id="1961447652">
                  <w:marLeft w:val="0"/>
                  <w:marRight w:val="0"/>
                  <w:marTop w:val="0"/>
                  <w:marBottom w:val="0"/>
                  <w:divBdr>
                    <w:top w:val="none" w:sz="0" w:space="0" w:color="auto"/>
                    <w:left w:val="none" w:sz="0" w:space="0" w:color="auto"/>
                    <w:bottom w:val="none" w:sz="0" w:space="0" w:color="auto"/>
                    <w:right w:val="none" w:sz="0" w:space="0" w:color="auto"/>
                  </w:divBdr>
                </w:div>
              </w:divsChild>
            </w:div>
            <w:div w:id="683240673">
              <w:marLeft w:val="0"/>
              <w:marRight w:val="0"/>
              <w:marTop w:val="0"/>
              <w:marBottom w:val="0"/>
              <w:divBdr>
                <w:top w:val="none" w:sz="0" w:space="0" w:color="auto"/>
                <w:left w:val="none" w:sz="0" w:space="0" w:color="auto"/>
                <w:bottom w:val="none" w:sz="0" w:space="0" w:color="auto"/>
                <w:right w:val="none" w:sz="0" w:space="0" w:color="auto"/>
              </w:divBdr>
              <w:divsChild>
                <w:div w:id="915550629">
                  <w:marLeft w:val="0"/>
                  <w:marRight w:val="0"/>
                  <w:marTop w:val="0"/>
                  <w:marBottom w:val="0"/>
                  <w:divBdr>
                    <w:top w:val="none" w:sz="0" w:space="0" w:color="auto"/>
                    <w:left w:val="none" w:sz="0" w:space="0" w:color="auto"/>
                    <w:bottom w:val="none" w:sz="0" w:space="0" w:color="auto"/>
                    <w:right w:val="none" w:sz="0" w:space="0" w:color="auto"/>
                  </w:divBdr>
                </w:div>
              </w:divsChild>
            </w:div>
            <w:div w:id="1757634112">
              <w:marLeft w:val="0"/>
              <w:marRight w:val="0"/>
              <w:marTop w:val="0"/>
              <w:marBottom w:val="0"/>
              <w:divBdr>
                <w:top w:val="none" w:sz="0" w:space="0" w:color="auto"/>
                <w:left w:val="none" w:sz="0" w:space="0" w:color="auto"/>
                <w:bottom w:val="none" w:sz="0" w:space="0" w:color="auto"/>
                <w:right w:val="none" w:sz="0" w:space="0" w:color="auto"/>
              </w:divBdr>
              <w:divsChild>
                <w:div w:id="232156247">
                  <w:marLeft w:val="0"/>
                  <w:marRight w:val="0"/>
                  <w:marTop w:val="0"/>
                  <w:marBottom w:val="0"/>
                  <w:divBdr>
                    <w:top w:val="none" w:sz="0" w:space="0" w:color="auto"/>
                    <w:left w:val="none" w:sz="0" w:space="0" w:color="auto"/>
                    <w:bottom w:val="none" w:sz="0" w:space="0" w:color="auto"/>
                    <w:right w:val="none" w:sz="0" w:space="0" w:color="auto"/>
                  </w:divBdr>
                </w:div>
              </w:divsChild>
            </w:div>
            <w:div w:id="821039826">
              <w:marLeft w:val="0"/>
              <w:marRight w:val="0"/>
              <w:marTop w:val="0"/>
              <w:marBottom w:val="0"/>
              <w:divBdr>
                <w:top w:val="none" w:sz="0" w:space="0" w:color="auto"/>
                <w:left w:val="none" w:sz="0" w:space="0" w:color="auto"/>
                <w:bottom w:val="none" w:sz="0" w:space="0" w:color="auto"/>
                <w:right w:val="none" w:sz="0" w:space="0" w:color="auto"/>
              </w:divBdr>
              <w:divsChild>
                <w:div w:id="1521314731">
                  <w:marLeft w:val="0"/>
                  <w:marRight w:val="0"/>
                  <w:marTop w:val="0"/>
                  <w:marBottom w:val="0"/>
                  <w:divBdr>
                    <w:top w:val="none" w:sz="0" w:space="0" w:color="auto"/>
                    <w:left w:val="none" w:sz="0" w:space="0" w:color="auto"/>
                    <w:bottom w:val="none" w:sz="0" w:space="0" w:color="auto"/>
                    <w:right w:val="none" w:sz="0" w:space="0" w:color="auto"/>
                  </w:divBdr>
                </w:div>
              </w:divsChild>
            </w:div>
            <w:div w:id="1641381658">
              <w:marLeft w:val="0"/>
              <w:marRight w:val="0"/>
              <w:marTop w:val="0"/>
              <w:marBottom w:val="0"/>
              <w:divBdr>
                <w:top w:val="none" w:sz="0" w:space="0" w:color="auto"/>
                <w:left w:val="none" w:sz="0" w:space="0" w:color="auto"/>
                <w:bottom w:val="none" w:sz="0" w:space="0" w:color="auto"/>
                <w:right w:val="none" w:sz="0" w:space="0" w:color="auto"/>
              </w:divBdr>
              <w:divsChild>
                <w:div w:id="583033318">
                  <w:marLeft w:val="0"/>
                  <w:marRight w:val="0"/>
                  <w:marTop w:val="0"/>
                  <w:marBottom w:val="0"/>
                  <w:divBdr>
                    <w:top w:val="none" w:sz="0" w:space="0" w:color="auto"/>
                    <w:left w:val="none" w:sz="0" w:space="0" w:color="auto"/>
                    <w:bottom w:val="none" w:sz="0" w:space="0" w:color="auto"/>
                    <w:right w:val="none" w:sz="0" w:space="0" w:color="auto"/>
                  </w:divBdr>
                </w:div>
              </w:divsChild>
            </w:div>
            <w:div w:id="2093815473">
              <w:marLeft w:val="0"/>
              <w:marRight w:val="0"/>
              <w:marTop w:val="0"/>
              <w:marBottom w:val="0"/>
              <w:divBdr>
                <w:top w:val="none" w:sz="0" w:space="0" w:color="auto"/>
                <w:left w:val="none" w:sz="0" w:space="0" w:color="auto"/>
                <w:bottom w:val="none" w:sz="0" w:space="0" w:color="auto"/>
                <w:right w:val="none" w:sz="0" w:space="0" w:color="auto"/>
              </w:divBdr>
              <w:divsChild>
                <w:div w:id="794370590">
                  <w:marLeft w:val="0"/>
                  <w:marRight w:val="0"/>
                  <w:marTop w:val="0"/>
                  <w:marBottom w:val="0"/>
                  <w:divBdr>
                    <w:top w:val="none" w:sz="0" w:space="0" w:color="auto"/>
                    <w:left w:val="none" w:sz="0" w:space="0" w:color="auto"/>
                    <w:bottom w:val="none" w:sz="0" w:space="0" w:color="auto"/>
                    <w:right w:val="none" w:sz="0" w:space="0" w:color="auto"/>
                  </w:divBdr>
                </w:div>
              </w:divsChild>
            </w:div>
            <w:div w:id="1869638468">
              <w:marLeft w:val="0"/>
              <w:marRight w:val="0"/>
              <w:marTop w:val="0"/>
              <w:marBottom w:val="0"/>
              <w:divBdr>
                <w:top w:val="none" w:sz="0" w:space="0" w:color="auto"/>
                <w:left w:val="none" w:sz="0" w:space="0" w:color="auto"/>
                <w:bottom w:val="none" w:sz="0" w:space="0" w:color="auto"/>
                <w:right w:val="none" w:sz="0" w:space="0" w:color="auto"/>
              </w:divBdr>
              <w:divsChild>
                <w:div w:id="622804882">
                  <w:marLeft w:val="0"/>
                  <w:marRight w:val="0"/>
                  <w:marTop w:val="0"/>
                  <w:marBottom w:val="0"/>
                  <w:divBdr>
                    <w:top w:val="none" w:sz="0" w:space="0" w:color="auto"/>
                    <w:left w:val="none" w:sz="0" w:space="0" w:color="auto"/>
                    <w:bottom w:val="none" w:sz="0" w:space="0" w:color="auto"/>
                    <w:right w:val="none" w:sz="0" w:space="0" w:color="auto"/>
                  </w:divBdr>
                </w:div>
              </w:divsChild>
            </w:div>
            <w:div w:id="1338072779">
              <w:marLeft w:val="0"/>
              <w:marRight w:val="0"/>
              <w:marTop w:val="0"/>
              <w:marBottom w:val="0"/>
              <w:divBdr>
                <w:top w:val="none" w:sz="0" w:space="0" w:color="auto"/>
                <w:left w:val="none" w:sz="0" w:space="0" w:color="auto"/>
                <w:bottom w:val="none" w:sz="0" w:space="0" w:color="auto"/>
                <w:right w:val="none" w:sz="0" w:space="0" w:color="auto"/>
              </w:divBdr>
              <w:divsChild>
                <w:div w:id="1012797410">
                  <w:marLeft w:val="0"/>
                  <w:marRight w:val="0"/>
                  <w:marTop w:val="0"/>
                  <w:marBottom w:val="0"/>
                  <w:divBdr>
                    <w:top w:val="none" w:sz="0" w:space="0" w:color="auto"/>
                    <w:left w:val="none" w:sz="0" w:space="0" w:color="auto"/>
                    <w:bottom w:val="none" w:sz="0" w:space="0" w:color="auto"/>
                    <w:right w:val="none" w:sz="0" w:space="0" w:color="auto"/>
                  </w:divBdr>
                </w:div>
              </w:divsChild>
            </w:div>
            <w:div w:id="724984203">
              <w:marLeft w:val="0"/>
              <w:marRight w:val="0"/>
              <w:marTop w:val="0"/>
              <w:marBottom w:val="0"/>
              <w:divBdr>
                <w:top w:val="none" w:sz="0" w:space="0" w:color="auto"/>
                <w:left w:val="none" w:sz="0" w:space="0" w:color="auto"/>
                <w:bottom w:val="none" w:sz="0" w:space="0" w:color="auto"/>
                <w:right w:val="none" w:sz="0" w:space="0" w:color="auto"/>
              </w:divBdr>
              <w:divsChild>
                <w:div w:id="800346275">
                  <w:marLeft w:val="0"/>
                  <w:marRight w:val="0"/>
                  <w:marTop w:val="0"/>
                  <w:marBottom w:val="0"/>
                  <w:divBdr>
                    <w:top w:val="none" w:sz="0" w:space="0" w:color="auto"/>
                    <w:left w:val="none" w:sz="0" w:space="0" w:color="auto"/>
                    <w:bottom w:val="none" w:sz="0" w:space="0" w:color="auto"/>
                    <w:right w:val="none" w:sz="0" w:space="0" w:color="auto"/>
                  </w:divBdr>
                </w:div>
              </w:divsChild>
            </w:div>
            <w:div w:id="1176307159">
              <w:marLeft w:val="0"/>
              <w:marRight w:val="0"/>
              <w:marTop w:val="0"/>
              <w:marBottom w:val="0"/>
              <w:divBdr>
                <w:top w:val="none" w:sz="0" w:space="0" w:color="auto"/>
                <w:left w:val="none" w:sz="0" w:space="0" w:color="auto"/>
                <w:bottom w:val="none" w:sz="0" w:space="0" w:color="auto"/>
                <w:right w:val="none" w:sz="0" w:space="0" w:color="auto"/>
              </w:divBdr>
              <w:divsChild>
                <w:div w:id="1034578389">
                  <w:marLeft w:val="0"/>
                  <w:marRight w:val="0"/>
                  <w:marTop w:val="0"/>
                  <w:marBottom w:val="0"/>
                  <w:divBdr>
                    <w:top w:val="none" w:sz="0" w:space="0" w:color="auto"/>
                    <w:left w:val="none" w:sz="0" w:space="0" w:color="auto"/>
                    <w:bottom w:val="none" w:sz="0" w:space="0" w:color="auto"/>
                    <w:right w:val="none" w:sz="0" w:space="0" w:color="auto"/>
                  </w:divBdr>
                </w:div>
              </w:divsChild>
            </w:div>
            <w:div w:id="38285597">
              <w:marLeft w:val="0"/>
              <w:marRight w:val="0"/>
              <w:marTop w:val="0"/>
              <w:marBottom w:val="0"/>
              <w:divBdr>
                <w:top w:val="none" w:sz="0" w:space="0" w:color="auto"/>
                <w:left w:val="none" w:sz="0" w:space="0" w:color="auto"/>
                <w:bottom w:val="none" w:sz="0" w:space="0" w:color="auto"/>
                <w:right w:val="none" w:sz="0" w:space="0" w:color="auto"/>
              </w:divBdr>
              <w:divsChild>
                <w:div w:id="498934866">
                  <w:marLeft w:val="0"/>
                  <w:marRight w:val="0"/>
                  <w:marTop w:val="0"/>
                  <w:marBottom w:val="0"/>
                  <w:divBdr>
                    <w:top w:val="none" w:sz="0" w:space="0" w:color="auto"/>
                    <w:left w:val="none" w:sz="0" w:space="0" w:color="auto"/>
                    <w:bottom w:val="none" w:sz="0" w:space="0" w:color="auto"/>
                    <w:right w:val="none" w:sz="0" w:space="0" w:color="auto"/>
                  </w:divBdr>
                </w:div>
              </w:divsChild>
            </w:div>
            <w:div w:id="180507412">
              <w:marLeft w:val="0"/>
              <w:marRight w:val="0"/>
              <w:marTop w:val="0"/>
              <w:marBottom w:val="0"/>
              <w:divBdr>
                <w:top w:val="none" w:sz="0" w:space="0" w:color="auto"/>
                <w:left w:val="none" w:sz="0" w:space="0" w:color="auto"/>
                <w:bottom w:val="none" w:sz="0" w:space="0" w:color="auto"/>
                <w:right w:val="none" w:sz="0" w:space="0" w:color="auto"/>
              </w:divBdr>
              <w:divsChild>
                <w:div w:id="891502049">
                  <w:marLeft w:val="0"/>
                  <w:marRight w:val="0"/>
                  <w:marTop w:val="0"/>
                  <w:marBottom w:val="0"/>
                  <w:divBdr>
                    <w:top w:val="none" w:sz="0" w:space="0" w:color="auto"/>
                    <w:left w:val="none" w:sz="0" w:space="0" w:color="auto"/>
                    <w:bottom w:val="none" w:sz="0" w:space="0" w:color="auto"/>
                    <w:right w:val="none" w:sz="0" w:space="0" w:color="auto"/>
                  </w:divBdr>
                </w:div>
              </w:divsChild>
            </w:div>
            <w:div w:id="1993213540">
              <w:marLeft w:val="0"/>
              <w:marRight w:val="0"/>
              <w:marTop w:val="0"/>
              <w:marBottom w:val="0"/>
              <w:divBdr>
                <w:top w:val="none" w:sz="0" w:space="0" w:color="auto"/>
                <w:left w:val="none" w:sz="0" w:space="0" w:color="auto"/>
                <w:bottom w:val="none" w:sz="0" w:space="0" w:color="auto"/>
                <w:right w:val="none" w:sz="0" w:space="0" w:color="auto"/>
              </w:divBdr>
              <w:divsChild>
                <w:div w:id="895704067">
                  <w:marLeft w:val="0"/>
                  <w:marRight w:val="0"/>
                  <w:marTop w:val="0"/>
                  <w:marBottom w:val="0"/>
                  <w:divBdr>
                    <w:top w:val="none" w:sz="0" w:space="0" w:color="auto"/>
                    <w:left w:val="none" w:sz="0" w:space="0" w:color="auto"/>
                    <w:bottom w:val="none" w:sz="0" w:space="0" w:color="auto"/>
                    <w:right w:val="none" w:sz="0" w:space="0" w:color="auto"/>
                  </w:divBdr>
                </w:div>
              </w:divsChild>
            </w:div>
            <w:div w:id="697049850">
              <w:marLeft w:val="0"/>
              <w:marRight w:val="0"/>
              <w:marTop w:val="0"/>
              <w:marBottom w:val="0"/>
              <w:divBdr>
                <w:top w:val="none" w:sz="0" w:space="0" w:color="auto"/>
                <w:left w:val="none" w:sz="0" w:space="0" w:color="auto"/>
                <w:bottom w:val="none" w:sz="0" w:space="0" w:color="auto"/>
                <w:right w:val="none" w:sz="0" w:space="0" w:color="auto"/>
              </w:divBdr>
              <w:divsChild>
                <w:div w:id="694581738">
                  <w:marLeft w:val="0"/>
                  <w:marRight w:val="0"/>
                  <w:marTop w:val="0"/>
                  <w:marBottom w:val="0"/>
                  <w:divBdr>
                    <w:top w:val="none" w:sz="0" w:space="0" w:color="auto"/>
                    <w:left w:val="none" w:sz="0" w:space="0" w:color="auto"/>
                    <w:bottom w:val="none" w:sz="0" w:space="0" w:color="auto"/>
                    <w:right w:val="none" w:sz="0" w:space="0" w:color="auto"/>
                  </w:divBdr>
                </w:div>
              </w:divsChild>
            </w:div>
            <w:div w:id="1460998844">
              <w:marLeft w:val="0"/>
              <w:marRight w:val="0"/>
              <w:marTop w:val="0"/>
              <w:marBottom w:val="0"/>
              <w:divBdr>
                <w:top w:val="none" w:sz="0" w:space="0" w:color="auto"/>
                <w:left w:val="none" w:sz="0" w:space="0" w:color="auto"/>
                <w:bottom w:val="none" w:sz="0" w:space="0" w:color="auto"/>
                <w:right w:val="none" w:sz="0" w:space="0" w:color="auto"/>
              </w:divBdr>
              <w:divsChild>
                <w:div w:id="1470434390">
                  <w:marLeft w:val="0"/>
                  <w:marRight w:val="0"/>
                  <w:marTop w:val="0"/>
                  <w:marBottom w:val="0"/>
                  <w:divBdr>
                    <w:top w:val="none" w:sz="0" w:space="0" w:color="auto"/>
                    <w:left w:val="none" w:sz="0" w:space="0" w:color="auto"/>
                    <w:bottom w:val="none" w:sz="0" w:space="0" w:color="auto"/>
                    <w:right w:val="none" w:sz="0" w:space="0" w:color="auto"/>
                  </w:divBdr>
                </w:div>
              </w:divsChild>
            </w:div>
            <w:div w:id="1515076776">
              <w:marLeft w:val="0"/>
              <w:marRight w:val="0"/>
              <w:marTop w:val="0"/>
              <w:marBottom w:val="0"/>
              <w:divBdr>
                <w:top w:val="none" w:sz="0" w:space="0" w:color="auto"/>
                <w:left w:val="none" w:sz="0" w:space="0" w:color="auto"/>
                <w:bottom w:val="none" w:sz="0" w:space="0" w:color="auto"/>
                <w:right w:val="none" w:sz="0" w:space="0" w:color="auto"/>
              </w:divBdr>
              <w:divsChild>
                <w:div w:id="1383410757">
                  <w:marLeft w:val="0"/>
                  <w:marRight w:val="0"/>
                  <w:marTop w:val="0"/>
                  <w:marBottom w:val="0"/>
                  <w:divBdr>
                    <w:top w:val="none" w:sz="0" w:space="0" w:color="auto"/>
                    <w:left w:val="none" w:sz="0" w:space="0" w:color="auto"/>
                    <w:bottom w:val="none" w:sz="0" w:space="0" w:color="auto"/>
                    <w:right w:val="none" w:sz="0" w:space="0" w:color="auto"/>
                  </w:divBdr>
                </w:div>
              </w:divsChild>
            </w:div>
            <w:div w:id="2063870660">
              <w:marLeft w:val="0"/>
              <w:marRight w:val="0"/>
              <w:marTop w:val="0"/>
              <w:marBottom w:val="0"/>
              <w:divBdr>
                <w:top w:val="none" w:sz="0" w:space="0" w:color="auto"/>
                <w:left w:val="none" w:sz="0" w:space="0" w:color="auto"/>
                <w:bottom w:val="none" w:sz="0" w:space="0" w:color="auto"/>
                <w:right w:val="none" w:sz="0" w:space="0" w:color="auto"/>
              </w:divBdr>
              <w:divsChild>
                <w:div w:id="104935043">
                  <w:marLeft w:val="0"/>
                  <w:marRight w:val="0"/>
                  <w:marTop w:val="0"/>
                  <w:marBottom w:val="0"/>
                  <w:divBdr>
                    <w:top w:val="none" w:sz="0" w:space="0" w:color="auto"/>
                    <w:left w:val="none" w:sz="0" w:space="0" w:color="auto"/>
                    <w:bottom w:val="none" w:sz="0" w:space="0" w:color="auto"/>
                    <w:right w:val="none" w:sz="0" w:space="0" w:color="auto"/>
                  </w:divBdr>
                </w:div>
              </w:divsChild>
            </w:div>
            <w:div w:id="1541014862">
              <w:marLeft w:val="0"/>
              <w:marRight w:val="0"/>
              <w:marTop w:val="0"/>
              <w:marBottom w:val="0"/>
              <w:divBdr>
                <w:top w:val="none" w:sz="0" w:space="0" w:color="auto"/>
                <w:left w:val="none" w:sz="0" w:space="0" w:color="auto"/>
                <w:bottom w:val="none" w:sz="0" w:space="0" w:color="auto"/>
                <w:right w:val="none" w:sz="0" w:space="0" w:color="auto"/>
              </w:divBdr>
              <w:divsChild>
                <w:div w:id="1009478956">
                  <w:marLeft w:val="0"/>
                  <w:marRight w:val="0"/>
                  <w:marTop w:val="0"/>
                  <w:marBottom w:val="0"/>
                  <w:divBdr>
                    <w:top w:val="none" w:sz="0" w:space="0" w:color="auto"/>
                    <w:left w:val="none" w:sz="0" w:space="0" w:color="auto"/>
                    <w:bottom w:val="none" w:sz="0" w:space="0" w:color="auto"/>
                    <w:right w:val="none" w:sz="0" w:space="0" w:color="auto"/>
                  </w:divBdr>
                </w:div>
              </w:divsChild>
            </w:div>
            <w:div w:id="700668431">
              <w:marLeft w:val="0"/>
              <w:marRight w:val="0"/>
              <w:marTop w:val="0"/>
              <w:marBottom w:val="0"/>
              <w:divBdr>
                <w:top w:val="none" w:sz="0" w:space="0" w:color="auto"/>
                <w:left w:val="none" w:sz="0" w:space="0" w:color="auto"/>
                <w:bottom w:val="none" w:sz="0" w:space="0" w:color="auto"/>
                <w:right w:val="none" w:sz="0" w:space="0" w:color="auto"/>
              </w:divBdr>
              <w:divsChild>
                <w:div w:id="87508538">
                  <w:marLeft w:val="0"/>
                  <w:marRight w:val="0"/>
                  <w:marTop w:val="0"/>
                  <w:marBottom w:val="0"/>
                  <w:divBdr>
                    <w:top w:val="none" w:sz="0" w:space="0" w:color="auto"/>
                    <w:left w:val="none" w:sz="0" w:space="0" w:color="auto"/>
                    <w:bottom w:val="none" w:sz="0" w:space="0" w:color="auto"/>
                    <w:right w:val="none" w:sz="0" w:space="0" w:color="auto"/>
                  </w:divBdr>
                </w:div>
              </w:divsChild>
            </w:div>
            <w:div w:id="867643135">
              <w:marLeft w:val="0"/>
              <w:marRight w:val="0"/>
              <w:marTop w:val="0"/>
              <w:marBottom w:val="0"/>
              <w:divBdr>
                <w:top w:val="none" w:sz="0" w:space="0" w:color="auto"/>
                <w:left w:val="none" w:sz="0" w:space="0" w:color="auto"/>
                <w:bottom w:val="none" w:sz="0" w:space="0" w:color="auto"/>
                <w:right w:val="none" w:sz="0" w:space="0" w:color="auto"/>
              </w:divBdr>
              <w:divsChild>
                <w:div w:id="186529197">
                  <w:marLeft w:val="0"/>
                  <w:marRight w:val="0"/>
                  <w:marTop w:val="0"/>
                  <w:marBottom w:val="0"/>
                  <w:divBdr>
                    <w:top w:val="none" w:sz="0" w:space="0" w:color="auto"/>
                    <w:left w:val="none" w:sz="0" w:space="0" w:color="auto"/>
                    <w:bottom w:val="none" w:sz="0" w:space="0" w:color="auto"/>
                    <w:right w:val="none" w:sz="0" w:space="0" w:color="auto"/>
                  </w:divBdr>
                </w:div>
              </w:divsChild>
            </w:div>
            <w:div w:id="1997372645">
              <w:marLeft w:val="0"/>
              <w:marRight w:val="0"/>
              <w:marTop w:val="0"/>
              <w:marBottom w:val="0"/>
              <w:divBdr>
                <w:top w:val="none" w:sz="0" w:space="0" w:color="auto"/>
                <w:left w:val="none" w:sz="0" w:space="0" w:color="auto"/>
                <w:bottom w:val="none" w:sz="0" w:space="0" w:color="auto"/>
                <w:right w:val="none" w:sz="0" w:space="0" w:color="auto"/>
              </w:divBdr>
              <w:divsChild>
                <w:div w:id="193232027">
                  <w:marLeft w:val="0"/>
                  <w:marRight w:val="0"/>
                  <w:marTop w:val="0"/>
                  <w:marBottom w:val="0"/>
                  <w:divBdr>
                    <w:top w:val="none" w:sz="0" w:space="0" w:color="auto"/>
                    <w:left w:val="none" w:sz="0" w:space="0" w:color="auto"/>
                    <w:bottom w:val="none" w:sz="0" w:space="0" w:color="auto"/>
                    <w:right w:val="none" w:sz="0" w:space="0" w:color="auto"/>
                  </w:divBdr>
                </w:div>
              </w:divsChild>
            </w:div>
            <w:div w:id="923562820">
              <w:marLeft w:val="0"/>
              <w:marRight w:val="0"/>
              <w:marTop w:val="0"/>
              <w:marBottom w:val="0"/>
              <w:divBdr>
                <w:top w:val="none" w:sz="0" w:space="0" w:color="auto"/>
                <w:left w:val="none" w:sz="0" w:space="0" w:color="auto"/>
                <w:bottom w:val="none" w:sz="0" w:space="0" w:color="auto"/>
                <w:right w:val="none" w:sz="0" w:space="0" w:color="auto"/>
              </w:divBdr>
              <w:divsChild>
                <w:div w:id="2140107298">
                  <w:marLeft w:val="0"/>
                  <w:marRight w:val="0"/>
                  <w:marTop w:val="0"/>
                  <w:marBottom w:val="0"/>
                  <w:divBdr>
                    <w:top w:val="none" w:sz="0" w:space="0" w:color="auto"/>
                    <w:left w:val="none" w:sz="0" w:space="0" w:color="auto"/>
                    <w:bottom w:val="none" w:sz="0" w:space="0" w:color="auto"/>
                    <w:right w:val="none" w:sz="0" w:space="0" w:color="auto"/>
                  </w:divBdr>
                </w:div>
              </w:divsChild>
            </w:div>
            <w:div w:id="892891072">
              <w:marLeft w:val="0"/>
              <w:marRight w:val="0"/>
              <w:marTop w:val="0"/>
              <w:marBottom w:val="0"/>
              <w:divBdr>
                <w:top w:val="none" w:sz="0" w:space="0" w:color="auto"/>
                <w:left w:val="none" w:sz="0" w:space="0" w:color="auto"/>
                <w:bottom w:val="none" w:sz="0" w:space="0" w:color="auto"/>
                <w:right w:val="none" w:sz="0" w:space="0" w:color="auto"/>
              </w:divBdr>
              <w:divsChild>
                <w:div w:id="762191792">
                  <w:marLeft w:val="0"/>
                  <w:marRight w:val="0"/>
                  <w:marTop w:val="0"/>
                  <w:marBottom w:val="0"/>
                  <w:divBdr>
                    <w:top w:val="none" w:sz="0" w:space="0" w:color="auto"/>
                    <w:left w:val="none" w:sz="0" w:space="0" w:color="auto"/>
                    <w:bottom w:val="none" w:sz="0" w:space="0" w:color="auto"/>
                    <w:right w:val="none" w:sz="0" w:space="0" w:color="auto"/>
                  </w:divBdr>
                </w:div>
              </w:divsChild>
            </w:div>
            <w:div w:id="228425401">
              <w:marLeft w:val="0"/>
              <w:marRight w:val="0"/>
              <w:marTop w:val="0"/>
              <w:marBottom w:val="0"/>
              <w:divBdr>
                <w:top w:val="none" w:sz="0" w:space="0" w:color="auto"/>
                <w:left w:val="none" w:sz="0" w:space="0" w:color="auto"/>
                <w:bottom w:val="none" w:sz="0" w:space="0" w:color="auto"/>
                <w:right w:val="none" w:sz="0" w:space="0" w:color="auto"/>
              </w:divBdr>
              <w:divsChild>
                <w:div w:id="8476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7961">
          <w:marLeft w:val="0"/>
          <w:marRight w:val="0"/>
          <w:marTop w:val="0"/>
          <w:marBottom w:val="600"/>
          <w:divBdr>
            <w:top w:val="none" w:sz="0" w:space="0" w:color="auto"/>
            <w:left w:val="none" w:sz="0" w:space="0" w:color="auto"/>
            <w:bottom w:val="none" w:sz="0" w:space="0" w:color="auto"/>
            <w:right w:val="none" w:sz="0" w:space="0" w:color="auto"/>
          </w:divBdr>
        </w:div>
      </w:divsChild>
    </w:div>
    <w:div w:id="2100641081">
      <w:marLeft w:val="0"/>
      <w:marRight w:val="0"/>
      <w:marTop w:val="0"/>
      <w:marBottom w:val="0"/>
      <w:divBdr>
        <w:top w:val="none" w:sz="0" w:space="0" w:color="auto"/>
        <w:left w:val="none" w:sz="0" w:space="0" w:color="auto"/>
        <w:bottom w:val="none" w:sz="0" w:space="0" w:color="auto"/>
        <w:right w:val="none" w:sz="0" w:space="0" w:color="auto"/>
      </w:divBdr>
      <w:divsChild>
        <w:div w:id="198512834">
          <w:marLeft w:val="0"/>
          <w:marRight w:val="0"/>
          <w:marTop w:val="432"/>
          <w:marBottom w:val="0"/>
          <w:divBdr>
            <w:top w:val="none" w:sz="0" w:space="0" w:color="auto"/>
            <w:left w:val="none" w:sz="0" w:space="0" w:color="auto"/>
            <w:bottom w:val="none" w:sz="0" w:space="0" w:color="auto"/>
            <w:right w:val="none" w:sz="0" w:space="0" w:color="auto"/>
          </w:divBdr>
        </w:div>
        <w:div w:id="2119443833">
          <w:marLeft w:val="0"/>
          <w:marRight w:val="0"/>
          <w:marTop w:val="0"/>
          <w:marBottom w:val="0"/>
          <w:divBdr>
            <w:top w:val="none" w:sz="0" w:space="0" w:color="auto"/>
            <w:left w:val="none" w:sz="0" w:space="0" w:color="auto"/>
            <w:bottom w:val="none" w:sz="0" w:space="0" w:color="auto"/>
            <w:right w:val="none" w:sz="0" w:space="0" w:color="auto"/>
          </w:divBdr>
          <w:divsChild>
            <w:div w:id="595358785">
              <w:marLeft w:val="0"/>
              <w:marRight w:val="0"/>
              <w:marTop w:val="0"/>
              <w:marBottom w:val="0"/>
              <w:divBdr>
                <w:top w:val="none" w:sz="0" w:space="0" w:color="auto"/>
                <w:left w:val="none" w:sz="0" w:space="0" w:color="auto"/>
                <w:bottom w:val="none" w:sz="0" w:space="0" w:color="auto"/>
                <w:right w:val="none" w:sz="0" w:space="0" w:color="auto"/>
              </w:divBdr>
              <w:divsChild>
                <w:div w:id="1925217807">
                  <w:marLeft w:val="0"/>
                  <w:marRight w:val="0"/>
                  <w:marTop w:val="0"/>
                  <w:marBottom w:val="0"/>
                  <w:divBdr>
                    <w:top w:val="none" w:sz="0" w:space="0" w:color="auto"/>
                    <w:left w:val="none" w:sz="0" w:space="0" w:color="auto"/>
                    <w:bottom w:val="none" w:sz="0" w:space="0" w:color="auto"/>
                    <w:right w:val="none" w:sz="0" w:space="0" w:color="auto"/>
                  </w:divBdr>
                </w:div>
              </w:divsChild>
            </w:div>
            <w:div w:id="942304511">
              <w:marLeft w:val="0"/>
              <w:marRight w:val="0"/>
              <w:marTop w:val="0"/>
              <w:marBottom w:val="0"/>
              <w:divBdr>
                <w:top w:val="none" w:sz="0" w:space="0" w:color="auto"/>
                <w:left w:val="none" w:sz="0" w:space="0" w:color="auto"/>
                <w:bottom w:val="none" w:sz="0" w:space="0" w:color="auto"/>
                <w:right w:val="none" w:sz="0" w:space="0" w:color="auto"/>
              </w:divBdr>
              <w:divsChild>
                <w:div w:id="497966251">
                  <w:marLeft w:val="0"/>
                  <w:marRight w:val="0"/>
                  <w:marTop w:val="0"/>
                  <w:marBottom w:val="0"/>
                  <w:divBdr>
                    <w:top w:val="none" w:sz="0" w:space="0" w:color="auto"/>
                    <w:left w:val="none" w:sz="0" w:space="0" w:color="auto"/>
                    <w:bottom w:val="none" w:sz="0" w:space="0" w:color="auto"/>
                    <w:right w:val="none" w:sz="0" w:space="0" w:color="auto"/>
                  </w:divBdr>
                </w:div>
              </w:divsChild>
            </w:div>
            <w:div w:id="2014986222">
              <w:marLeft w:val="0"/>
              <w:marRight w:val="0"/>
              <w:marTop w:val="0"/>
              <w:marBottom w:val="0"/>
              <w:divBdr>
                <w:top w:val="none" w:sz="0" w:space="0" w:color="auto"/>
                <w:left w:val="none" w:sz="0" w:space="0" w:color="auto"/>
                <w:bottom w:val="none" w:sz="0" w:space="0" w:color="auto"/>
                <w:right w:val="none" w:sz="0" w:space="0" w:color="auto"/>
              </w:divBdr>
              <w:divsChild>
                <w:div w:id="588541996">
                  <w:marLeft w:val="0"/>
                  <w:marRight w:val="0"/>
                  <w:marTop w:val="0"/>
                  <w:marBottom w:val="0"/>
                  <w:divBdr>
                    <w:top w:val="none" w:sz="0" w:space="0" w:color="auto"/>
                    <w:left w:val="none" w:sz="0" w:space="0" w:color="auto"/>
                    <w:bottom w:val="none" w:sz="0" w:space="0" w:color="auto"/>
                    <w:right w:val="none" w:sz="0" w:space="0" w:color="auto"/>
                  </w:divBdr>
                </w:div>
              </w:divsChild>
            </w:div>
            <w:div w:id="343021997">
              <w:marLeft w:val="0"/>
              <w:marRight w:val="0"/>
              <w:marTop w:val="0"/>
              <w:marBottom w:val="0"/>
              <w:divBdr>
                <w:top w:val="none" w:sz="0" w:space="0" w:color="auto"/>
                <w:left w:val="none" w:sz="0" w:space="0" w:color="auto"/>
                <w:bottom w:val="none" w:sz="0" w:space="0" w:color="auto"/>
                <w:right w:val="none" w:sz="0" w:space="0" w:color="auto"/>
              </w:divBdr>
              <w:divsChild>
                <w:div w:id="790053559">
                  <w:marLeft w:val="0"/>
                  <w:marRight w:val="0"/>
                  <w:marTop w:val="0"/>
                  <w:marBottom w:val="0"/>
                  <w:divBdr>
                    <w:top w:val="none" w:sz="0" w:space="0" w:color="auto"/>
                    <w:left w:val="none" w:sz="0" w:space="0" w:color="auto"/>
                    <w:bottom w:val="none" w:sz="0" w:space="0" w:color="auto"/>
                    <w:right w:val="none" w:sz="0" w:space="0" w:color="auto"/>
                  </w:divBdr>
                </w:div>
              </w:divsChild>
            </w:div>
            <w:div w:id="292368990">
              <w:marLeft w:val="0"/>
              <w:marRight w:val="0"/>
              <w:marTop w:val="0"/>
              <w:marBottom w:val="0"/>
              <w:divBdr>
                <w:top w:val="none" w:sz="0" w:space="0" w:color="auto"/>
                <w:left w:val="none" w:sz="0" w:space="0" w:color="auto"/>
                <w:bottom w:val="none" w:sz="0" w:space="0" w:color="auto"/>
                <w:right w:val="none" w:sz="0" w:space="0" w:color="auto"/>
              </w:divBdr>
              <w:divsChild>
                <w:div w:id="111243165">
                  <w:marLeft w:val="0"/>
                  <w:marRight w:val="0"/>
                  <w:marTop w:val="0"/>
                  <w:marBottom w:val="0"/>
                  <w:divBdr>
                    <w:top w:val="none" w:sz="0" w:space="0" w:color="auto"/>
                    <w:left w:val="none" w:sz="0" w:space="0" w:color="auto"/>
                    <w:bottom w:val="none" w:sz="0" w:space="0" w:color="auto"/>
                    <w:right w:val="none" w:sz="0" w:space="0" w:color="auto"/>
                  </w:divBdr>
                </w:div>
              </w:divsChild>
            </w:div>
            <w:div w:id="875431541">
              <w:marLeft w:val="0"/>
              <w:marRight w:val="0"/>
              <w:marTop w:val="0"/>
              <w:marBottom w:val="0"/>
              <w:divBdr>
                <w:top w:val="none" w:sz="0" w:space="0" w:color="auto"/>
                <w:left w:val="none" w:sz="0" w:space="0" w:color="auto"/>
                <w:bottom w:val="none" w:sz="0" w:space="0" w:color="auto"/>
                <w:right w:val="none" w:sz="0" w:space="0" w:color="auto"/>
              </w:divBdr>
              <w:divsChild>
                <w:div w:id="1423837403">
                  <w:marLeft w:val="0"/>
                  <w:marRight w:val="0"/>
                  <w:marTop w:val="0"/>
                  <w:marBottom w:val="0"/>
                  <w:divBdr>
                    <w:top w:val="none" w:sz="0" w:space="0" w:color="auto"/>
                    <w:left w:val="none" w:sz="0" w:space="0" w:color="auto"/>
                    <w:bottom w:val="none" w:sz="0" w:space="0" w:color="auto"/>
                    <w:right w:val="none" w:sz="0" w:space="0" w:color="auto"/>
                  </w:divBdr>
                </w:div>
              </w:divsChild>
            </w:div>
            <w:div w:id="184561142">
              <w:marLeft w:val="0"/>
              <w:marRight w:val="0"/>
              <w:marTop w:val="0"/>
              <w:marBottom w:val="0"/>
              <w:divBdr>
                <w:top w:val="none" w:sz="0" w:space="0" w:color="auto"/>
                <w:left w:val="none" w:sz="0" w:space="0" w:color="auto"/>
                <w:bottom w:val="none" w:sz="0" w:space="0" w:color="auto"/>
                <w:right w:val="none" w:sz="0" w:space="0" w:color="auto"/>
              </w:divBdr>
              <w:divsChild>
                <w:div w:id="9757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6439">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mb-20210930xex32d1.htm" TargetMode="External"/><Relationship Id="rId5" Type="http://schemas.openxmlformats.org/officeDocument/2006/relationships/hyperlink" Target="tmb-20210930xex31d2.htm" TargetMode="External"/><Relationship Id="rId4" Type="http://schemas.openxmlformats.org/officeDocument/2006/relationships/hyperlink" Target="tmb-20210930xex31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37775</Words>
  <Characters>215322</Characters>
  <Application>Microsoft Office Word</Application>
  <DocSecurity>0</DocSecurity>
  <Lines>1794</Lines>
  <Paragraphs>505</Paragraphs>
  <ScaleCrop>false</ScaleCrop>
  <Company/>
  <LinksUpToDate>false</LinksUpToDate>
  <CharactersWithSpaces>252592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2024-01-04T16:14:00Z</dcterms:created>
  <dcterms:modified xsi:type="dcterms:W3CDTF">2024-01-04T16:14:00Z</dcterms:modified>
</cp:coreProperties>
</file>