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730FF">
      <w:pPr>
        <w:divId w:val="86197261"/>
        <w:rPr>
          <w:rFonts w:eastAsia="Times New Roman"/>
          <w:vanish/>
        </w:rPr>
      </w:pPr>
      <w:r>
        <w:rPr>
          <w:rFonts w:eastAsia="Times New Roman"/>
          <w:vanish/>
        </w:rPr>
        <w:t>http://fasb.org/us-gaap/2021-01-31#OtherAssetshttp://fasb.org/us-gaap/2021-01-31#OtherAssetshttp://fasb.org/us-gaap/2021-01-31#AccruedLiabilitiesCurrentAndNoncurrent</w:t>
      </w:r>
      <w:r>
        <w:rPr>
          <w:rFonts w:eastAsia="Times New Roman"/>
          <w:vanish/>
        </w:rPr>
        <w:t>http://fasb.org/us-gaap/2021-01-31#AccruedLiabilitiesCurrentAndNoncurrenthttp://fasb.org/us-gaap/2021-01-31#OtherAssetshttp://fasb.org/us-gaap/2021-01-31#OtherAssetshttp://fasb.org/us-gaap/2021-01-31#AccruedLiabilitiesCurrentAndNoncurrenthttp://fasb.org/us</w:t>
      </w:r>
      <w:r>
        <w:rPr>
          <w:rFonts w:eastAsia="Times New Roman"/>
          <w:vanish/>
        </w:rPr>
        <w:t>-gaap/2021-01-31#AccruedLiabilitiesCurrentAndNoncurrent2968528792934032430000813762--12-312022Q1falsefalse0000813762iep:ViskaseMemberus-gaap:PrivatePlacementMember2022-01-012022-03-310000813762iep:CvrEnergyIncMemberiep:EnergySegmentMember2022-01-012022-03-</w:t>
      </w:r>
      <w:r>
        <w:rPr>
          <w:rFonts w:eastAsia="Times New Roman"/>
          <w:vanish/>
        </w:rPr>
        <w:t>310000813762iep:IcahnEnterprisesHoldingsMember2022-01-012022-03-310000813762iep:CvrRefiningLpMember2022-01-012022-03-310000813762us-gaap:PublicUtilitiesInventoryPetroleumProductsMemberiep:EnergySegmentMember2022-01-012022-03-310000813762iep:Nitrogenfertili</w:t>
      </w:r>
      <w:r>
        <w:rPr>
          <w:rFonts w:eastAsia="Times New Roman"/>
          <w:vanish/>
        </w:rPr>
        <w:t>zerproductsMemberiep:EnergySegmentMember2022-01-012022-03-310000813762iep:AutomotiveservicesrevenueMemberiep:AutomotiveSegmentMember2022-01-012022-03-310000813762iep:AutomotivepartsMemberiep:AutomotiveSegmentMember2022-01-012022-03-310000813762us-gaap:Publ</w:t>
      </w:r>
      <w:r>
        <w:rPr>
          <w:rFonts w:eastAsia="Times New Roman"/>
          <w:vanish/>
        </w:rPr>
        <w:t>icUtilitiesInventoryPetroleumProductsMemberiep:EnergySegmentMember2021-01-012021-03-310000813762iep:NitrogenfertilizerproductsMemberiep:EnergySegmentMember2021-01-012021-03-310000813762iep:AutomotiveservicesrevenueMemberiep:AutomotiveSegmentMember2021-01-0</w:t>
      </w:r>
      <w:r>
        <w:rPr>
          <w:rFonts w:eastAsia="Times New Roman"/>
          <w:vanish/>
        </w:rPr>
        <w:t>12021-03-310000813762iep:AutomotivepartsMemberiep:AutomotiveSegmentMember2021-01-012021-03-310000813762iep:RestrictedCashMember2022-03-310000813762iep:CashHeldAtConsolidatedAffiliatedPartnershipsMember2022-03-310000813762iep:RestrictedCashMember2021-12-310</w:t>
      </w:r>
      <w:r>
        <w:rPr>
          <w:rFonts w:eastAsia="Times New Roman"/>
          <w:vanish/>
        </w:rPr>
        <w:t>000813762iep:CashHeldAtConsolidatedAffiliatedPartnershipsMember2021-12-310000813762iep:ExpenseSharingAgreementMemberiep:ConsolidatedVIEMember2022-01-012022-03-310000813762iep:ExpenseSharingAgreementMemberiep:ConsolidatedVIEMember2021-01-012021-03-310000813</w:t>
      </w:r>
      <w:r>
        <w:rPr>
          <w:rFonts w:eastAsia="Times New Roman"/>
          <w:vanish/>
        </w:rPr>
        <w:t>762iep:AssetsLeasedMemberiep:RealEstateSegmentMember2022-03-310000813762iep:AssetsLeasedMemberiep:RealEstateSegmentMember2021-12-310000813762us-gaap:CapitalUnitsMemberus-gaap:LimitedPartnerMember2022-03-310000813762us-gaap:CapitalUnitsMemberus-gaap:General</w:t>
      </w:r>
      <w:r>
        <w:rPr>
          <w:rFonts w:eastAsia="Times New Roman"/>
          <w:vanish/>
        </w:rPr>
        <w:t>PartnerMember2022-03-310000813762us-gaap:ParentMember2022-03-310000813762us-gaap:NoncontrollingInterestMember2022-03-310000813762us-gaap:CapitalUnitsMemberus-gaap:LimitedPartnerMember2021-12-310000813762us-gaap:CapitalUnitsMemberus-gaap:GeneralPartnerMembe</w:t>
      </w:r>
      <w:r>
        <w:rPr>
          <w:rFonts w:eastAsia="Times New Roman"/>
          <w:vanish/>
        </w:rPr>
        <w:t>r2021-12-310000813762us-gaap:ParentMember2021-12-310000813762us-gaap:NoncontrollingInterestMember2021-12-310000813762us-gaap:CapitalUnitsMemberus-gaap:LimitedPartnerMember2021-03-310000813762us-gaap:CapitalUnitsMemberus-gaap:GeneralPartnerMember2021-03-310</w:t>
      </w:r>
      <w:r>
        <w:rPr>
          <w:rFonts w:eastAsia="Times New Roman"/>
          <w:vanish/>
        </w:rPr>
        <w:t>000813762us-gaap:ParentMember2021-03-310000813762us-gaap:NoncontrollingInterestMember2021-03-310000813762us-gaap:CapitalUnitsMemberus-gaap:LimitedPartnerMember2020-12-310000813762us-gaap:CapitalUnitsMemberus-gaap:GeneralPartnerMember2020-12-310000813762us-</w:t>
      </w:r>
      <w:r>
        <w:rPr>
          <w:rFonts w:eastAsia="Times New Roman"/>
          <w:vanish/>
        </w:rPr>
        <w:t>gaap:ParentMember2020-12-310000813762us-gaap:NoncontrollingInterestMember2020-12-310000813762us-gaap:CapitalUnitsMemberus-gaap:LimitedPartnerMember2022-01-012022-03-310000813762us-gaap:CapitalUnitsMemberus-gaap:GeneralPartnerMember2022-01-012022-03-3100008</w:t>
      </w:r>
      <w:r>
        <w:rPr>
          <w:rFonts w:eastAsia="Times New Roman"/>
          <w:vanish/>
        </w:rPr>
        <w:t>13762us-gaap:ParentMember2022-01-012022-03-310000813762us-gaap:CapitalUnitsMemberus-gaap:GeneralPartnerMember2021-01-012021-03-310000813762us-gaap:ForeignCurrencyGainLossMember2022-01-012022-03-310000813762iep:OtherIncomeLossNotSpecifiedMember2022-01-01202</w:t>
      </w:r>
      <w:r>
        <w:rPr>
          <w:rFonts w:eastAsia="Times New Roman"/>
          <w:vanish/>
        </w:rPr>
        <w:t>2-03-310000813762iep:IncomeLossFromNonConsolidatedAffiliatesMember2022-01-012022-03-310000813762iep:GainLossOnDispositionOfAssetsNetMember2022-01-012022-03-310000813762iep:GainLossOnDebtExtinguishmentMember2022-01-012022-03-310000813762iep:DividendExpenseM</w:t>
      </w:r>
      <w:r>
        <w:rPr>
          <w:rFonts w:eastAsia="Times New Roman"/>
          <w:vanish/>
        </w:rPr>
        <w:t>ember2022-01-012022-03-310000813762us-gaap:ForeignCurrencyGainLossMember2021-01-012021-03-310000813762iep:OtherIncomeLossNotSpecifiedMember2021-01-012021-03-310000813762iep:IncomeLossFromNonConsolidatedAffiliatesMember2021-01-012021-03-310000813762iep:Gain</w:t>
      </w:r>
      <w:r>
        <w:rPr>
          <w:rFonts w:eastAsia="Times New Roman"/>
          <w:vanish/>
        </w:rPr>
        <w:t>LossOnDebtExtinguishmentMember2021-01-012021-03-310000813762iep:DividendExpenseMember2021-01-012021-03-310000813762us-gaap:CapitalUnitsMemberus-gaap:LimitedPartnerMember2021-01-012021-03-310000813762us-gaap:ParentMember2021-01-012021-03-310000813762us-gaap</w:t>
      </w:r>
      <w:r>
        <w:rPr>
          <w:rFonts w:eastAsia="Times New Roman"/>
          <w:vanish/>
        </w:rPr>
        <w:t>:NoncontrollingInterestMember2022-01-012022-03-310000813762iep:EnergySegmentMember2022-03-302022-03-300000813762iep:EnergySegmentMember2021-12-222021-12-220000813762iep:PrincipalOwnersAndAffiliatesMemberiep:IcahnEnterprisesHoldingsMember2022-01-012022-03-3</w:t>
      </w:r>
      <w:r>
        <w:rPr>
          <w:rFonts w:eastAsia="Times New Roman"/>
          <w:vanish/>
        </w:rPr>
        <w:t>10000813762iep:IcahnEnterprisesHoldingsMemberiep:PrincipalOwnersAndAffiliatesMember2022-01-012022-03-310000813762iep:IcahnEnterprisesHoldingsLimitedPartnersMember2022-01-012022-03-310000813762iep:IcahnEnterprisesGPMemberiep:IcahnEnterprisesHoldingsMember20</w:t>
      </w:r>
      <w:r>
        <w:rPr>
          <w:rFonts w:eastAsia="Times New Roman"/>
          <w:vanish/>
        </w:rPr>
        <w:t>22-01-012022-03-310000813762us-gaap:OtherInvestmentsMemberiep:OtherSegmentsAndHoldingCompanyMember2022-03-310000813762us-gaap:EquitySecuritiesMemberiep:InvestmentSegmentMember2022-03-310000813762us-gaap:EquityMethodInvestmentsMemberiep:OtherSegmentsAndHold</w:t>
      </w:r>
      <w:r>
        <w:rPr>
          <w:rFonts w:eastAsia="Times New Roman"/>
          <w:vanish/>
        </w:rPr>
        <w:t>ingCompanyMember2022-03-310000813762us-gaap:DebtSecuritiesMemberiep:InvestmentSegmentMember2022-03-310000813762iep:TechnologyMemberiep:InvestmentSegmentMember2022-03-310000813762iep:CommunicationMemberiep:InvestmentSegmentMember2022-03-310000813762iep:Othe</w:t>
      </w:r>
      <w:r>
        <w:rPr>
          <w:rFonts w:eastAsia="Times New Roman"/>
          <w:vanish/>
        </w:rPr>
        <w:t>rSegmentsAndHoldingCompanyMember2022-03-310000813762us-gaap:OtherInvestmentsMemberiep:OtherSegmentsAndHoldingCompanyMember2021-12-310000813762us-gaap:EquitySecuritiesMemberiep:InvestmentSegmentMember2021-12-310000813762us-gaap:EquityMethodInvestmentsMember</w:t>
      </w:r>
      <w:r>
        <w:rPr>
          <w:rFonts w:eastAsia="Times New Roman"/>
          <w:vanish/>
        </w:rPr>
        <w:t>iep:OtherSegmentsAndHoldingCompanyMember2021-12-310000813762us-gaap:DebtSecuritiesMemberiep:InvestmentSegmentMember2021-12-310000813762iep:TechnologyMemberiep:InvestmentSegmentMember2021-12-310000813762iep:CommunicationMemberiep:InvestmentSegmentMember2021</w:t>
      </w:r>
      <w:r>
        <w:rPr>
          <w:rFonts w:eastAsia="Times New Roman"/>
          <w:vanish/>
        </w:rPr>
        <w:t>-12-310000813762iep:OtherSegmentsAndHoldingCompanyMember2021-12-310000813762iep:HoldingCompanyMember2022-02-012022-02-2800008137622022-02-012022-02-280000813762us-gaap:UnclassifiedIndefinitelivedIntangibleAssetsMember2022-03-310000813762us-gaap:DevelopedTe</w:t>
      </w:r>
      <w:r>
        <w:rPr>
          <w:rFonts w:eastAsia="Times New Roman"/>
          <w:vanish/>
        </w:rPr>
        <w:t>chnologyRightsMember2022-03-310000813762us-gaap:CustomerRelationshipsMember2022-03-310000813762us-gaap:UnclassifiedIndefinitelivedIntangibleAssetsMember2021-12-310000813762us-gaap:DevelopedTechnologyRightsMember2021-12-310000813762us-gaap:CustomerRelations</w:t>
      </w:r>
      <w:r>
        <w:rPr>
          <w:rFonts w:eastAsia="Times New Roman"/>
          <w:vanish/>
        </w:rPr>
        <w:t>hipsMember2021-12-310000813762iep:UtilitiesMemberiep:InvestmentSegmentMember2022-03-310000813762iep:IndustrialMemberiep:InvestmentSegmentMember2022-03-310000813762iep:HealthCaresMemberiep:InvestmentSegmentMember2022-03-310000813762iep:EnergySectorMemberiep</w:t>
      </w:r>
      <w:r>
        <w:rPr>
          <w:rFonts w:eastAsia="Times New Roman"/>
          <w:vanish/>
        </w:rPr>
        <w:t>:InvestmentSegmentMember2022-03-310000813762iep:ConsumerCyclicalMemberiep:InvestmentSegmentMember2022-03-310000813762iep:BasicMaterialsMemberiep:InvestmentSegmentMember2022-03-310000813762iep:UtilitiesMemberiep:InvestmentSegmentMember2021-12-310000813762ie</w:t>
      </w:r>
      <w:r>
        <w:rPr>
          <w:rFonts w:eastAsia="Times New Roman"/>
          <w:vanish/>
        </w:rPr>
        <w:t>p:IndustrialMemberiep:InvestmentSegmentMember2021-12-310000813762iep:HealthCaresMemberiep:InvestmentSegmentMember2021-12-310000813762iep:EnergySectorMemberiep:InvestmentSegmentMember2021-12-310000813762iep:ConsumerCyclicalMemberiep:InvestmentSegmentMember2</w:t>
      </w:r>
      <w:r>
        <w:rPr>
          <w:rFonts w:eastAsia="Times New Roman"/>
          <w:vanish/>
        </w:rPr>
        <w:t>021-12-310000813762iep:BasicMaterialsMemberiep:InvestmentSegmentMember2021-12-310000813762iep:OtherSegmentsAndHoldingCompanyMember2022-01-012022-03-310000813762iep:OtherSegmentsAndHoldingCompanyMember2021-01-012021-03-310000813762us-gaap:LimitedPartnerMemb</w:t>
      </w:r>
      <w:r>
        <w:rPr>
          <w:rFonts w:eastAsia="Times New Roman"/>
          <w:vanish/>
        </w:rPr>
        <w:t>er2022-04-012022-04-300000813762iep:PrincipalOwnersAndAffiliatesMember2022-04-012022-04-300000813762us-gaap:LimitedPartnerMember2022-02-232022-02-230000813762iep:IncentivePlan2017Member2022-01-012022-03-310000813762us-gaap:ForwardContractsMemberus-gaap:Non</w:t>
      </w:r>
      <w:r>
        <w:rPr>
          <w:rFonts w:eastAsia="Times New Roman"/>
          <w:vanish/>
        </w:rPr>
        <w:t>designatedMemberiep:EnergySegmentMember2022-03-310000813762us-gaap:CreditDefaultSwapMemberus-gaap:NondesignatedMemberiep:EnergySegmentMember2022-03-310000813762us-gaap:ForwardContractsMemberus-gaap:NondesignatedMemberiep:EnergySegmentMember2021-12-31000081</w:t>
      </w:r>
      <w:r>
        <w:rPr>
          <w:rFonts w:eastAsia="Times New Roman"/>
          <w:vanish/>
        </w:rPr>
        <w:t>3762us-gaap:CreditDefaultSwapMemberus-gaap:NondesignatedMemberiep:EnergySegmentMember2021-12-310000813762us-gaap:CreditDefaultSwapMemberiep:InvestmentSegmentMember2021-12-310000813762srt:MaximumMember2022-01-012022-03-310000813762iep:ForwardSaleCommitments</w:t>
      </w:r>
      <w:r>
        <w:rPr>
          <w:rFonts w:eastAsia="Times New Roman"/>
          <w:vanish/>
        </w:rPr>
        <w:t>Member2022-01-012022-03-310000813762iep:ForwardPurchaseCommitmentsMember2022-01-012022-03-310000813762iep:ForwardSaleCommitmentsMember2021-01-012021-12-310000813762iep:ForwardPurchaseCommitmentsMember2021-01-012021-12-310000813762us-gaap:NondesignatedMembe</w:t>
      </w:r>
      <w:r>
        <w:rPr>
          <w:rFonts w:eastAsia="Times New Roman"/>
          <w:vanish/>
        </w:rPr>
        <w:t>rus-gaap:CostOfGoodsTotalMemberiep:EnergySegmentMember2022-01-012022-03-310000813762us-gaap:NondesignatedMemberiep:NetGainFromInvestmentActivitiesMember2022-01-012022-03-310000813762us-gaap:EquityContractMemberus-gaap:NondesignatedMember2022-01-012022-03-3</w:t>
      </w:r>
      <w:r>
        <w:rPr>
          <w:rFonts w:eastAsia="Times New Roman"/>
          <w:vanish/>
        </w:rPr>
        <w:t>10000813762us-gaap:CreditRiskContractMemberus-gaap:NondesignatedMember2022-01-012022-03-310000813762us-gaap:NondesignatedMemberus-gaap:CostOfGoodsTotalMemberiep:EnergySegmentMember2021-01-012021-03-310000813762us-gaap:NondesignatedMemberiep:NetGainFromInve</w:t>
      </w:r>
      <w:r>
        <w:rPr>
          <w:rFonts w:eastAsia="Times New Roman"/>
          <w:vanish/>
        </w:rPr>
        <w:t>stmentActivitiesMember2021-01-012021-03-310000813762us-gaap:EquityContractMemberus-gaap:NondesignatedMember2021-01-012021-03-310000813762us-gaap:CreditRiskContractMemberus-gaap:NondesignatedMember2021-01-012021-03-310000813762iep:AccruedExpensesAndOtherLia</w:t>
      </w:r>
      <w:r>
        <w:rPr>
          <w:rFonts w:eastAsia="Times New Roman"/>
          <w:vanish/>
        </w:rPr>
        <w:t>bilitiesMemberus-gaap:EquityContractMemberus-gaap:NondesignatedMemberiep:InvestmentSegmentMember2022-03-310000813762iep:AccruedExpensesAndOtherLiabilitiesMemberus-gaap:CreditRiskContractMemberus-gaap:NondesignatedMemberiep:InvestmentSegmentMember2022-03-31</w:t>
      </w:r>
      <w:r>
        <w:rPr>
          <w:rFonts w:eastAsia="Times New Roman"/>
          <w:vanish/>
        </w:rPr>
        <w:t>0000813762iep:AccruedExpensesAndOtherLiabilitiesMemberus-gaap:EquityContractMemberus-gaap:NondesignatedMemberiep:InvestmentSegmentMember2021-12-310000813762us-gaap:OtherAssetsMemberus-gaap:EquityContractMemberus-gaap:NondesignatedMemberiep:InvestmentSegmen</w:t>
      </w:r>
      <w:r>
        <w:rPr>
          <w:rFonts w:eastAsia="Times New Roman"/>
          <w:vanish/>
        </w:rPr>
        <w:t>tMember2022-03-310000813762us-gaap:OtherAssetsMemberus-gaap:CreditRiskContractMemberus-gaap:NondesignatedMemberiep:InvestmentSegmentMember2022-03-310000813762us-gaap:OtherAssetsMemberus-gaap:EquityContractMemberus-gaap:NondesignatedMemberiep:InvestmentSegm</w:t>
      </w:r>
      <w:r>
        <w:rPr>
          <w:rFonts w:eastAsia="Times New Roman"/>
          <w:vanish/>
        </w:rPr>
        <w:t>entMember2021-12-310000813762us-gaap:OtherAssetsMemberus-gaap:CreditRiskContractMemberus-gaap:NondesignatedMemberiep:InvestmentSegmentMember2021-12-310000813762iep:AccruedExpensesAndOtherLiabilitiesMemberus-gaap:NondesignatedMemberiep:InvestmentSegmentMemb</w:t>
      </w:r>
      <w:r>
        <w:rPr>
          <w:rFonts w:eastAsia="Times New Roman"/>
          <w:vanish/>
        </w:rPr>
        <w:t>er2022-03-310000813762iep:AccruedExpensesAndOtherLiabilitiesMemberus-gaap:NondesignatedMemberiep:InvestmentSegmentMember2021-12-310000813762iep:AcfMember2022-03-310000813762iep:A2024NotesMemberiep:HoldingCompanyMember2022-02-280000813762iep:NinePointTwoFiv</w:t>
      </w:r>
      <w:r>
        <w:rPr>
          <w:rFonts w:eastAsia="Times New Roman"/>
          <w:vanish/>
        </w:rPr>
        <w:t>eSeniorNotesDue2023Member2022-02-280000813762iep:NewNotes2027Memberiep:HoldingCompanyMember2022-03-310000813762iep:A4.7502024NotesMemberMemberiep:HoldingCompanyMember2022-03-310000813762iep:A2029NotesMemberiep:HoldingCompanyMember2022-03-310000813762iep:A2</w:t>
      </w:r>
      <w:r>
        <w:rPr>
          <w:rFonts w:eastAsia="Times New Roman"/>
          <w:vanish/>
        </w:rPr>
        <w:t>026NotesMemberiep:HoldingCompanyMember2022-03-310000813762iep:A2025NotesMemberiep:HoldingCompanyMember2022-03-310000813762iep:A2024NotesMemberiep:HoldingCompanyMember2022-03-310000813762iep:ReportingSegmentsMember2022-03-310000813762iep:NewNotes2027Memberi</w:t>
      </w:r>
      <w:r>
        <w:rPr>
          <w:rFonts w:eastAsia="Times New Roman"/>
          <w:vanish/>
        </w:rPr>
        <w:t>ep:HoldingCompanyMember2021-12-310000813762iep:A4.7502024NotesMemberMemberiep:HoldingCompanyMember2021-12-310000813762iep:A2029NotesMemberiep:HoldingCompanyMember2021-12-310000813762iep:A2026NotesMemberiep:HoldingCompanyMember2021-12-310000813762iep:A2025N</w:t>
      </w:r>
      <w:r>
        <w:rPr>
          <w:rFonts w:eastAsia="Times New Roman"/>
          <w:vanish/>
        </w:rPr>
        <w:t>otesMemberiep:HoldingCompanyMember2021-12-310000813762iep:A2024NotesMemberiep:HoldingCompanyMember2021-12-310000813762iep:ReportingSegmentsMember2021-12-3100008137622021-03-3100008137622020-12-310000813762iep:AccruedExpensesAndOtherLiabilitiesMember2022-03</w:t>
      </w:r>
      <w:r>
        <w:rPr>
          <w:rFonts w:eastAsia="Times New Roman"/>
          <w:vanish/>
        </w:rPr>
        <w:t>-310000813762iep:AccruedExpensesAndOtherLiabilitiesMember2021-12-310000813762iep:PrincipalOwnersAndAffiliatesMember2022-03-310000813762iep:PrincipalOwnersAndAffiliatesMember2021-12-310000813762us-gaap:OtherAssetsMemberus-gaap:NondesignatedMemberiep:Investm</w:t>
      </w:r>
      <w:r>
        <w:rPr>
          <w:rFonts w:eastAsia="Times New Roman"/>
          <w:vanish/>
        </w:rPr>
        <w:t>entSegmentMember2022-03-310000813762us-gaap:OtherAssetsMemberus-gaap:NondesignatedMemberiep:EnergySegmentMember2022-03-310000813762us-gaap:OtherAssetsMemberus-gaap:NondesignatedMemberiep:InvestmentSegmentMember2021-12-310000813762us-gaap:OtherAssetsMemberu</w:t>
      </w:r>
      <w:r>
        <w:rPr>
          <w:rFonts w:eastAsia="Times New Roman"/>
          <w:vanish/>
        </w:rPr>
        <w:t>s-gaap:NondesignatedMemberiep:EnergySegmentMember2021-12-310000813762us-gaap:LimitedPartnerMember2022-02-230000813762us-gaap:SubsequentEventMember2022-05-042022-05-040000813762iep:InvestmentFundsMember2022-03-310000813762iep:InvestmentFundsMember2021-12-31</w:t>
      </w:r>
      <w:r>
        <w:rPr>
          <w:rFonts w:eastAsia="Times New Roman"/>
          <w:vanish/>
        </w:rPr>
        <w:t>0000813762iep:BrettIcahnMember2021-01-012021-03-310000813762iep:StarfireHoldingCorporationMember2022-03-310000813762iep:RealEstateSegmentMember2022-03-310000813762iep:PharmaSegmentMember2022-03-310000813762iep:InvestmentSegmentMember2022-03-310000813762iep</w:t>
      </w:r>
      <w:r>
        <w:rPr>
          <w:rFonts w:eastAsia="Times New Roman"/>
          <w:vanish/>
        </w:rPr>
        <w:t>:HomeFashionSegmentMember2022-03-310000813762iep:HoldingCompanyMember2022-03-310000813762iep:FoodPackagingSegmentMember2022-03-310000813762iep:EnergySegmentMember2022-03-310000813762iep:AutomotiveSegmentMember2022-03-310000813762iep:RealEstateSegmentMember</w:t>
      </w:r>
      <w:r>
        <w:rPr>
          <w:rFonts w:eastAsia="Times New Roman"/>
          <w:vanish/>
        </w:rPr>
        <w:t>2021-12-310000813762iep:PharmaSegmentMember2021-12-310000813762iep:InvestmentSegmentMember2021-12-310000813762iep:HomeFashionSegmentMember2021-12-310000813762iep:HoldingCompanyMember2021-12-310000813762iep:FoodPackagingSegmentMember2021-12-310000813762iep:</w:t>
      </w:r>
      <w:r>
        <w:rPr>
          <w:rFonts w:eastAsia="Times New Roman"/>
          <w:vanish/>
        </w:rPr>
        <w:t>EnergySegmentMember2021-12-310000813762iep:AutomotiveSegmentMember2021-12-310000813762iep:VivusMemberiep:PharmaSegmentMember2022-01-012022-03-310000813762us-gaap:EquityContractMemberiep:InvestmentSegmentMember2022-03-310000813762us-gaap:CreditRiskContractM</w:t>
      </w:r>
      <w:r>
        <w:rPr>
          <w:rFonts w:eastAsia="Times New Roman"/>
          <w:vanish/>
        </w:rPr>
        <w:t>emberiep:InvestmentSegmentMember2022-03-310000813762us-gaap:CreditDefaultSwapMemberiep:InvestmentSegmentMember2022-03-310000813762us-gaap:EquityContractMemberiep:InvestmentSegmentMember2021-12-310000813762us-gaap:CreditRiskContractMemberiep:InvestmentSegme</w:t>
      </w:r>
      <w:r>
        <w:rPr>
          <w:rFonts w:eastAsia="Times New Roman"/>
          <w:vanish/>
        </w:rPr>
        <w:t>ntMember2021-12-310000813762iep:IcahnEnterprisesGPMember2022-01-012022-03-310000813762us-gaap:FairValueInputsLevel3Memberus-gaap:FairValueMeasurementsRecurringMember2022-03-310000813762us-gaap:FairValueInputsLevel2Memberus-gaap:FairValueMeasurementsRecurri</w:t>
      </w:r>
      <w:r>
        <w:rPr>
          <w:rFonts w:eastAsia="Times New Roman"/>
          <w:vanish/>
        </w:rPr>
        <w:t>ngMember2022-03-310000813762us-gaap:FairValueInputsLevel1Memberus-gaap:FairValueMeasurementsRecurringMember2022-03-310000813762us-gaap:FairValueMeasurementsRecurringMember2022-03-310000813762us-gaap:FairValueInputsLevel3Memberus-gaap:FairValueMeasurementsR</w:t>
      </w:r>
      <w:r>
        <w:rPr>
          <w:rFonts w:eastAsia="Times New Roman"/>
          <w:vanish/>
        </w:rPr>
        <w:t>ecurringMember2021-12-310000813762us-gaap:FairValueInputsLevel2Memberus-gaap:FairValueMeasurementsRecurringMember2021-12-310000813762us-gaap:FairValueInputsLevel1Memberus-gaap:FairValueMeasurementsRecurringMember2021-12-310000813762us-gaap:FairValueMeasure</w:t>
      </w:r>
      <w:r>
        <w:rPr>
          <w:rFonts w:eastAsia="Times New Roman"/>
          <w:vanish/>
        </w:rPr>
        <w:t>mentsRecurringMember2021-12-310000813762us-gaap:NoncontrollingInterestMember2021-01-012021-03-310000813762iep:A767LeasingMemberiep:AutomotiveSegmentMember2022-01-012022-03-310000813762iep:A767LeasingMemberiep:AutomotiveSegmentMember2021-01-012021-03-310000</w:t>
      </w:r>
      <w:r>
        <w:rPr>
          <w:rFonts w:eastAsia="Times New Roman"/>
          <w:vanish/>
        </w:rPr>
        <w:t>813762iep:BrettIcahnMember2022-01-012022-03-310000813762iep:BrettIcahnMember2021-01-012021-12-310000813762us-gaap:DisposalGroupDisposedOfBySaleNotDiscontinuedOperationsMemberiep:PscMetalLlcDisposalMember2021-12-072021-12-070000813762iep:RealEstateSegmentMe</w:t>
      </w:r>
      <w:r>
        <w:rPr>
          <w:rFonts w:eastAsia="Times New Roman"/>
          <w:vanish/>
        </w:rPr>
        <w:t>mber2022-01-012022-03-310000813762iep:PharmaSegmentMember2022-01-012022-03-310000813762iep:MetalsSegmentMember2022-01-012022-03-310000813762iep:InvestmentSegmentMember2022-01-012022-03-310000813762iep:HomeFashionSegmentMember2022-01-012022-03-310000813762i</w:t>
      </w:r>
      <w:r>
        <w:rPr>
          <w:rFonts w:eastAsia="Times New Roman"/>
          <w:vanish/>
        </w:rPr>
        <w:t>ep:HoldingCompanyMember2022-01-012022-03-310000813762iep:FoodPackagingSegmentMember2022-01-012022-03-310000813762iep:EnergySegmentMember2022-01-012022-03-310000813762iep:AutomotiveSegmentMember2022-01-012022-03-310000813762iep:RealEstateSegmentMember2021-0</w:t>
      </w:r>
      <w:r>
        <w:rPr>
          <w:rFonts w:eastAsia="Times New Roman"/>
          <w:vanish/>
        </w:rPr>
        <w:t>1-012021-03-310000813762iep:PharmaSegmentMember2021-01-012021-03-310000813762iep:MetalsSegmentMember2021-01-012021-03-310000813762iep:InvestmentSegmentMember2021-01-012021-03-310000813762iep:HomeFashionSegmentMember2021-01-012021-03-310000813762iep:Holding</w:t>
      </w:r>
      <w:r>
        <w:rPr>
          <w:rFonts w:eastAsia="Times New Roman"/>
          <w:vanish/>
        </w:rPr>
        <w:t>CompanyMember2021-01-012021-03-310000813762iep:FoodPackagingSegmentMember2021-01-012021-03-310000813762iep:EnergySegmentMember2021-01-012021-03-310000813762iep:AutomotiveSegmentMember2021-01-012021-03-3100008137622021-01-012021-03-3100008137622022-04-01202</w:t>
      </w:r>
      <w:r>
        <w:rPr>
          <w:rFonts w:eastAsia="Times New Roman"/>
          <w:vanish/>
        </w:rPr>
        <w:t>2-04-300000813762iep:IcahnEnterprisesGPMemberiep:PrincipalOwnersAndAffiliatesMember2022-01-012022-03-3100008137622022-03-3100008137622021-12-3100008137622022-05-0600008137622022-01-012022-03-31xbrli:sharesiso4217:USDxbrli:pureiep:itemiep:productutr:MMBblsu</w:t>
      </w:r>
      <w:r>
        <w:rPr>
          <w:rFonts w:eastAsia="Times New Roman"/>
          <w:vanish/>
        </w:rPr>
        <w:t>tr:bbliso4217:USDxbrli:sharesiep:company</w:t>
      </w:r>
    </w:p>
    <w:p w:rsidR="00000000" w:rsidRDefault="009730FF">
      <w:pPr>
        <w:pStyle w:val="a3"/>
        <w:spacing w:before="0" w:beforeAutospacing="0" w:after="600" w:afterAutospacing="0"/>
        <w:divId w:val="1396665063"/>
        <w:rPr>
          <w:sz w:val="20"/>
          <w:szCs w:val="20"/>
        </w:rPr>
      </w:pPr>
      <w:hyperlink w:anchor="TOC" w:history="1">
        <w:r>
          <w:rPr>
            <w:rStyle w:val="a4"/>
            <w:sz w:val="20"/>
            <w:szCs w:val="20"/>
          </w:rPr>
          <w:t>Table of Contents</w:t>
        </w:r>
      </w:hyperlink>
    </w:p>
    <w:p w:rsidR="00000000" w:rsidRDefault="009730FF">
      <w:pPr>
        <w:pStyle w:val="a3"/>
        <w:pBdr>
          <w:top w:val="single" w:sz="24" w:space="1" w:color="000000"/>
          <w:bottom w:val="single" w:sz="6" w:space="0" w:color="000000"/>
        </w:pBdr>
        <w:spacing w:before="0" w:beforeAutospacing="0" w:after="0" w:afterAutospacing="0"/>
        <w:jc w:val="center"/>
        <w:divId w:val="1806967603"/>
        <w:rPr>
          <w:sz w:val="20"/>
          <w:szCs w:val="20"/>
        </w:rPr>
      </w:pPr>
      <w:r>
        <w:rPr>
          <w:b/>
          <w:bCs/>
          <w:sz w:val="2"/>
          <w:szCs w:val="2"/>
        </w:rPr>
        <w:t>​</w:t>
      </w:r>
    </w:p>
    <w:p w:rsidR="00000000" w:rsidRDefault="009730FF">
      <w:pPr>
        <w:pStyle w:val="a3"/>
        <w:spacing w:before="0" w:beforeAutospacing="0" w:after="0" w:afterAutospacing="0"/>
        <w:jc w:val="center"/>
        <w:divId w:val="1806967603"/>
        <w:rPr>
          <w:sz w:val="20"/>
          <w:szCs w:val="20"/>
        </w:rPr>
      </w:pPr>
      <w:r>
        <w:rPr>
          <w:b/>
          <w:bCs/>
          <w:sz w:val="12"/>
          <w:szCs w:val="12"/>
        </w:rPr>
        <w:t>​</w:t>
      </w:r>
    </w:p>
    <w:p w:rsidR="00000000" w:rsidRDefault="009730FF">
      <w:pPr>
        <w:pStyle w:val="a3"/>
        <w:spacing w:before="0" w:beforeAutospacing="0" w:after="60" w:afterAutospacing="0"/>
        <w:jc w:val="center"/>
        <w:divId w:val="1806967603"/>
        <w:rPr>
          <w:sz w:val="16"/>
          <w:szCs w:val="16"/>
        </w:rPr>
      </w:pPr>
      <w:r>
        <w:rPr>
          <w:b/>
          <w:bCs/>
          <w:sz w:val="16"/>
          <w:szCs w:val="16"/>
        </w:rPr>
        <w:t>UNITED STATES SECURITIES AND EXCHANGE COMMISSION</w:t>
      </w:r>
    </w:p>
    <w:p w:rsidR="00000000" w:rsidRDefault="009730FF">
      <w:pPr>
        <w:pStyle w:val="a3"/>
        <w:spacing w:before="0" w:beforeAutospacing="0" w:after="120" w:afterAutospacing="0"/>
        <w:jc w:val="center"/>
        <w:divId w:val="1806967603"/>
        <w:rPr>
          <w:sz w:val="16"/>
          <w:szCs w:val="16"/>
        </w:rPr>
      </w:pPr>
      <w:r>
        <w:rPr>
          <w:b/>
          <w:bCs/>
          <w:sz w:val="16"/>
          <w:szCs w:val="16"/>
        </w:rPr>
        <w:t>Washington, D.C. 20549</w:t>
      </w:r>
    </w:p>
    <w:p w:rsidR="00000000" w:rsidRDefault="009730FF">
      <w:pPr>
        <w:pStyle w:val="a3"/>
        <w:spacing w:before="0" w:beforeAutospacing="0" w:after="120" w:afterAutospacing="0"/>
        <w:jc w:val="center"/>
        <w:divId w:val="1806967603"/>
        <w:rPr>
          <w:sz w:val="20"/>
          <w:szCs w:val="20"/>
        </w:rPr>
      </w:pPr>
      <w:r>
        <w:rPr>
          <w:b/>
          <w:bCs/>
          <w:sz w:val="16"/>
          <w:szCs w:val="16"/>
        </w:rPr>
        <w:t>FORM 10-Q</w:t>
      </w:r>
    </w:p>
    <w:p w:rsidR="00000000" w:rsidRDefault="009730FF">
      <w:pPr>
        <w:pStyle w:val="a3"/>
        <w:spacing w:before="0" w:beforeAutospacing="0" w:after="0" w:afterAutospacing="0"/>
        <w:divId w:val="1806967603"/>
        <w:rPr>
          <w:sz w:val="16"/>
          <w:szCs w:val="16"/>
        </w:rPr>
      </w:pPr>
      <w:r>
        <w:rPr>
          <w:sz w:val="16"/>
          <w:szCs w:val="16"/>
        </w:rPr>
        <w:t>(Mark one)</w:t>
      </w:r>
    </w:p>
    <w:p w:rsidR="00000000" w:rsidRDefault="009730FF">
      <w:pPr>
        <w:pStyle w:val="a3"/>
        <w:spacing w:before="0" w:beforeAutospacing="0" w:after="120" w:afterAutospacing="0"/>
        <w:divId w:val="1806967603"/>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w:t>
      </w:r>
      <w:r>
        <w:rPr>
          <w:b/>
          <w:bCs/>
          <w:sz w:val="16"/>
          <w:szCs w:val="16"/>
        </w:rPr>
        <w:t>NGE ACT OF 1934</w:t>
      </w:r>
    </w:p>
    <w:p w:rsidR="00000000" w:rsidRDefault="009730FF">
      <w:pPr>
        <w:pStyle w:val="a3"/>
        <w:spacing w:before="0" w:beforeAutospacing="0" w:after="120" w:afterAutospacing="0"/>
        <w:jc w:val="center"/>
        <w:divId w:val="1806967603"/>
        <w:rPr>
          <w:sz w:val="20"/>
          <w:szCs w:val="20"/>
        </w:rPr>
      </w:pPr>
      <w:r>
        <w:rPr>
          <w:b/>
          <w:bCs/>
          <w:sz w:val="16"/>
          <w:szCs w:val="16"/>
        </w:rPr>
        <w:t>For the Quarterly Period Ended March 31, 2022</w:t>
      </w:r>
    </w:p>
    <w:p w:rsidR="00000000" w:rsidRDefault="009730FF">
      <w:pPr>
        <w:pStyle w:val="a3"/>
        <w:spacing w:before="0" w:beforeAutospacing="0" w:after="120" w:afterAutospacing="0"/>
        <w:jc w:val="center"/>
        <w:divId w:val="1806967603"/>
        <w:rPr>
          <w:sz w:val="16"/>
          <w:szCs w:val="16"/>
        </w:rPr>
      </w:pPr>
      <w:r>
        <w:rPr>
          <w:b/>
          <w:bCs/>
          <w:sz w:val="16"/>
          <w:szCs w:val="16"/>
        </w:rPr>
        <w:t>OR</w:t>
      </w:r>
    </w:p>
    <w:p w:rsidR="00000000" w:rsidRDefault="009730FF">
      <w:pPr>
        <w:pStyle w:val="a3"/>
        <w:spacing w:before="0" w:beforeAutospacing="0" w:after="120" w:afterAutospacing="0"/>
        <w:ind w:hanging="360"/>
        <w:divId w:val="1806967603"/>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EXCHANGE ACT OF 1934</w:t>
      </w:r>
    </w:p>
    <w:p w:rsidR="00000000" w:rsidRDefault="009730FF">
      <w:pPr>
        <w:pStyle w:val="a3"/>
        <w:spacing w:before="0" w:beforeAutospacing="0" w:after="120" w:afterAutospacing="0"/>
        <w:jc w:val="center"/>
        <w:divId w:val="1806967603"/>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806967603"/>
          <w:trHeight w:val="20"/>
        </w:trPr>
        <w:tc>
          <w:tcPr>
            <w:tcW w:w="1265"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p w:rsidR="00000000" w:rsidRDefault="009730FF">
            <w:pPr>
              <w:pStyle w:val="a3"/>
              <w:spacing w:before="0" w:beforeAutospacing="0" w:after="30" w:afterAutospacing="0"/>
              <w:jc w:val="center"/>
              <w:rPr>
                <w:sz w:val="20"/>
                <w:szCs w:val="20"/>
              </w:rPr>
            </w:pPr>
            <w:r>
              <w:rPr>
                <w:sz w:val="16"/>
                <w:szCs w:val="16"/>
              </w:rPr>
              <w:t>​</w:t>
            </w:r>
          </w:p>
          <w:p w:rsidR="00000000" w:rsidRDefault="009730FF">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
                <w:szCs w:val="2"/>
              </w:rPr>
              <w:t>​</w:t>
            </w:r>
          </w:p>
        </w:tc>
      </w:tr>
      <w:tr w:rsidR="00000000">
        <w:trPr>
          <w:divId w:val="1806967603"/>
          <w:trHeight w:val="720"/>
        </w:trPr>
        <w:tc>
          <w:tcPr>
            <w:tcW w:w="1265"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1209956619"/>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divId w:val="1051226706"/>
              <w:rPr>
                <w:sz w:val="16"/>
                <w:szCs w:val="16"/>
              </w:rPr>
            </w:pPr>
            <w:r>
              <w:rPr>
                <w:sz w:val="16"/>
                <w:szCs w:val="16"/>
              </w:rPr>
              <w:t>(Exact Name of Registrant as Specified in Its Charter)</w:t>
            </w:r>
          </w:p>
          <w:p w:rsidR="00000000" w:rsidRDefault="009730FF">
            <w:pPr>
              <w:pStyle w:val="a3"/>
              <w:spacing w:before="0" w:beforeAutospacing="0" w:after="0" w:afterAutospacing="0"/>
              <w:jc w:val="center"/>
              <w:divId w:val="1051226706"/>
              <w:rPr>
                <w:sz w:val="16"/>
                <w:szCs w:val="16"/>
              </w:rPr>
            </w:pPr>
            <w:r>
              <w:rPr>
                <w:sz w:val="16"/>
                <w:szCs w:val="16"/>
              </w:rPr>
              <w:t>(Address of Principal Executive Offices) (Zip Code)</w:t>
            </w:r>
          </w:p>
          <w:p w:rsidR="00000000" w:rsidRDefault="009730FF">
            <w:pPr>
              <w:pStyle w:val="a3"/>
              <w:spacing w:before="0" w:beforeAutospacing="0" w:after="30" w:afterAutospacing="0"/>
              <w:jc w:val="center"/>
              <w:divId w:val="1051226706"/>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329985855"/>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412436162"/>
              <w:rPr>
                <w:sz w:val="16"/>
                <w:szCs w:val="16"/>
              </w:rPr>
            </w:pPr>
            <w:r>
              <w:rPr>
                <w:sz w:val="16"/>
                <w:szCs w:val="16"/>
              </w:rPr>
              <w:t>(IRS Employer Identification No.)</w:t>
            </w:r>
          </w:p>
        </w:tc>
      </w:tr>
      <w:tr w:rsidR="00000000">
        <w:trPr>
          <w:divId w:val="1806967603"/>
          <w:trHeight w:val="345"/>
        </w:trPr>
        <w:tc>
          <w:tcPr>
            <w:tcW w:w="1265"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897516450"/>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2054190484"/>
              <w:rPr>
                <w:sz w:val="20"/>
                <w:szCs w:val="20"/>
              </w:rPr>
            </w:pPr>
            <w:r>
              <w:rPr>
                <w:b/>
                <w:bCs/>
                <w:sz w:val="16"/>
                <w:szCs w:val="16"/>
              </w:rPr>
              <w:t>ICAHN ENTERPRISES L.P.</w:t>
            </w:r>
          </w:p>
        </w:tc>
        <w:tc>
          <w:tcPr>
            <w:tcW w:w="632"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1666980783"/>
              <w:rPr>
                <w:sz w:val="20"/>
                <w:szCs w:val="20"/>
              </w:rPr>
            </w:pPr>
            <w:r>
              <w:rPr>
                <w:b/>
                <w:bCs/>
                <w:sz w:val="16"/>
                <w:szCs w:val="16"/>
              </w:rPr>
              <w:t>De</w:t>
            </w:r>
            <w:r>
              <w:rPr>
                <w:b/>
                <w:bCs/>
                <w:sz w:val="16"/>
                <w:szCs w:val="16"/>
              </w:rPr>
              <w:t>laware</w:t>
            </w:r>
          </w:p>
        </w:tc>
        <w:tc>
          <w:tcPr>
            <w:tcW w:w="632"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988897313"/>
              <w:rPr>
                <w:sz w:val="20"/>
                <w:szCs w:val="20"/>
              </w:rPr>
            </w:pPr>
            <w:r>
              <w:rPr>
                <w:b/>
                <w:bCs/>
                <w:sz w:val="16"/>
                <w:szCs w:val="16"/>
              </w:rPr>
              <w:t>13-3398766</w:t>
            </w:r>
          </w:p>
        </w:tc>
      </w:tr>
    </w:tbl>
    <w:p w:rsidR="00000000" w:rsidRDefault="009730FF">
      <w:pPr>
        <w:pStyle w:val="a3"/>
        <w:spacing w:before="120" w:beforeAutospacing="0" w:after="0" w:afterAutospacing="0"/>
        <w:jc w:val="center"/>
        <w:divId w:val="1806967603"/>
        <w:rPr>
          <w:sz w:val="20"/>
          <w:szCs w:val="20"/>
        </w:rPr>
      </w:pPr>
      <w:r>
        <w:rPr>
          <w:b/>
          <w:bCs/>
          <w:sz w:val="16"/>
          <w:szCs w:val="16"/>
        </w:rPr>
        <w:t>16690 Collins Avenue, PH-1</w:t>
      </w:r>
    </w:p>
    <w:p w:rsidR="00000000" w:rsidRDefault="009730FF">
      <w:pPr>
        <w:pStyle w:val="a3"/>
        <w:spacing w:before="0" w:beforeAutospacing="0" w:after="0" w:afterAutospacing="0"/>
        <w:jc w:val="center"/>
        <w:divId w:val="1806967603"/>
        <w:rPr>
          <w:sz w:val="20"/>
          <w:szCs w:val="20"/>
        </w:rPr>
      </w:pPr>
      <w:r>
        <w:rPr>
          <w:b/>
          <w:bCs/>
          <w:sz w:val="16"/>
          <w:szCs w:val="16"/>
        </w:rPr>
        <w:t>Sunny Isles Beach, FL 33160</w:t>
      </w:r>
    </w:p>
    <w:p w:rsidR="00000000" w:rsidRDefault="009730FF">
      <w:pPr>
        <w:pStyle w:val="a3"/>
        <w:spacing w:before="0" w:beforeAutospacing="0" w:after="120" w:afterAutospacing="0"/>
        <w:jc w:val="center"/>
        <w:divId w:val="1806967603"/>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806967603"/>
          <w:trHeight w:val="20"/>
        </w:trPr>
        <w:tc>
          <w:tcPr>
            <w:tcW w:w="1265" w:type="pct"/>
            <w:tcMar>
              <w:top w:w="0" w:type="dxa"/>
              <w:left w:w="53" w:type="dxa"/>
              <w:bottom w:w="0" w:type="dxa"/>
              <w:right w:w="53" w:type="dxa"/>
            </w:tcMar>
            <w:vAlign w:val="bottom"/>
            <w:hideMark/>
          </w:tcPr>
          <w:p w:rsidR="00000000" w:rsidRDefault="009730FF">
            <w:pPr>
              <w:pStyle w:val="a3"/>
              <w:spacing w:before="0" w:beforeAutospacing="0" w:after="0" w:afterAutospacing="0"/>
              <w:divId w:val="2118671835"/>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9730FF">
            <w:pPr>
              <w:pStyle w:val="a3"/>
              <w:spacing w:before="0" w:beforeAutospacing="0" w:after="0" w:afterAutospacing="0"/>
              <w:divId w:val="939415553"/>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730FF">
            <w:pPr>
              <w:pStyle w:val="a3"/>
              <w:spacing w:before="0" w:beforeAutospacing="0" w:after="0" w:afterAutospacing="0"/>
              <w:divId w:val="54164948"/>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730FF">
            <w:pPr>
              <w:pStyle w:val="a3"/>
              <w:spacing w:before="0" w:beforeAutospacing="0" w:after="0" w:afterAutospacing="0"/>
              <w:divId w:val="679816398"/>
              <w:rPr>
                <w:sz w:val="20"/>
                <w:szCs w:val="20"/>
              </w:rPr>
            </w:pPr>
            <w:r>
              <w:rPr>
                <w:sz w:val="2"/>
                <w:szCs w:val="2"/>
              </w:rPr>
              <w:t>​</w:t>
            </w:r>
          </w:p>
        </w:tc>
      </w:tr>
    </w:tbl>
    <w:p w:rsidR="00000000" w:rsidRDefault="009730FF">
      <w:pPr>
        <w:pStyle w:val="a3"/>
        <w:spacing w:before="0" w:beforeAutospacing="0" w:after="120" w:afterAutospacing="0"/>
        <w:jc w:val="center"/>
        <w:divId w:val="1806967603"/>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1806967603"/>
          <w:trHeight w:val="20"/>
        </w:trPr>
        <w:tc>
          <w:tcPr>
            <w:tcW w:w="1894" w:type="pct"/>
            <w:tcMar>
              <w:top w:w="0" w:type="dxa"/>
              <w:left w:w="53" w:type="dxa"/>
              <w:bottom w:w="0" w:type="dxa"/>
              <w:right w:w="53" w:type="dxa"/>
            </w:tcMar>
            <w:vAlign w:val="bottom"/>
            <w:hideMark/>
          </w:tcPr>
          <w:p w:rsidR="00000000" w:rsidRDefault="009730FF">
            <w:pPr>
              <w:pStyle w:val="a3"/>
              <w:spacing w:before="0" w:beforeAutospacing="0" w:after="0" w:afterAutospacing="0"/>
              <w:divId w:val="1169519713"/>
              <w:rPr>
                <w:sz w:val="20"/>
                <w:szCs w:val="20"/>
              </w:rPr>
            </w:pPr>
            <w:r>
              <w:rPr>
                <w:sz w:val="2"/>
                <w:szCs w:val="2"/>
              </w:rPr>
              <w:t>​</w:t>
            </w:r>
          </w:p>
        </w:tc>
        <w:tc>
          <w:tcPr>
            <w:tcW w:w="74" w:type="pct"/>
            <w:tcMar>
              <w:top w:w="0" w:type="dxa"/>
              <w:left w:w="0" w:type="dxa"/>
              <w:bottom w:w="0" w:type="dxa"/>
              <w:right w:w="0" w:type="dxa"/>
            </w:tcMar>
            <w:vAlign w:val="bottom"/>
            <w:hideMark/>
          </w:tcPr>
          <w:p w:rsidR="00000000" w:rsidRDefault="009730FF">
            <w:pPr>
              <w:pStyle w:val="a3"/>
              <w:spacing w:before="0" w:beforeAutospacing="0" w:after="0" w:afterAutospacing="0"/>
              <w:divId w:val="1123963607"/>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9730FF">
            <w:pPr>
              <w:pStyle w:val="a3"/>
              <w:spacing w:before="0" w:beforeAutospacing="0" w:after="0" w:afterAutospacing="0"/>
              <w:divId w:val="1266499059"/>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9730FF">
            <w:pPr>
              <w:pStyle w:val="a3"/>
              <w:spacing w:before="0" w:beforeAutospacing="0" w:after="0" w:afterAutospacing="0"/>
              <w:divId w:val="1351491131"/>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9730FF">
            <w:pPr>
              <w:pStyle w:val="a3"/>
              <w:spacing w:before="0" w:beforeAutospacing="0" w:after="0" w:afterAutospacing="0"/>
              <w:divId w:val="1599562413"/>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9730FF">
            <w:pPr>
              <w:pStyle w:val="a3"/>
              <w:spacing w:before="0" w:beforeAutospacing="0" w:after="0" w:afterAutospacing="0"/>
              <w:divId w:val="812983443"/>
              <w:rPr>
                <w:sz w:val="20"/>
                <w:szCs w:val="20"/>
              </w:rPr>
            </w:pPr>
            <w:r>
              <w:rPr>
                <w:sz w:val="2"/>
                <w:szCs w:val="2"/>
              </w:rPr>
              <w:t>​</w:t>
            </w:r>
          </w:p>
        </w:tc>
      </w:tr>
      <w:tr w:rsidR="00000000">
        <w:trPr>
          <w:divId w:val="1806967603"/>
          <w:trHeight w:val="20"/>
        </w:trPr>
        <w:tc>
          <w:tcPr>
            <w:tcW w:w="1894"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9730FF">
            <w:pPr>
              <w:pStyle w:val="a3"/>
              <w:spacing w:before="0" w:beforeAutospacing="0" w:after="0" w:afterAutospacing="0"/>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9730FF">
            <w:pPr>
              <w:pStyle w:val="a3"/>
              <w:spacing w:before="0" w:beforeAutospacing="0" w:after="0" w:afterAutospacing="0"/>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9730FF">
            <w:pPr>
              <w:pStyle w:val="a3"/>
              <w:spacing w:before="0" w:beforeAutospacing="0" w:after="0" w:afterAutospacing="0"/>
              <w:rPr>
                <w:sz w:val="20"/>
                <w:szCs w:val="20"/>
              </w:rPr>
            </w:pPr>
            <w:r>
              <w:rPr>
                <w:sz w:val="2"/>
                <w:szCs w:val="2"/>
              </w:rPr>
              <w:t>​</w:t>
            </w:r>
          </w:p>
        </w:tc>
      </w:tr>
      <w:tr w:rsidR="00000000">
        <w:trPr>
          <w:divId w:val="1806967603"/>
          <w:trHeight w:val="285"/>
        </w:trPr>
        <w:tc>
          <w:tcPr>
            <w:tcW w:w="1894"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9730FF">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1806967603"/>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898857733"/>
              <w:rPr>
                <w:sz w:val="20"/>
                <w:szCs w:val="20"/>
              </w:rPr>
            </w:pPr>
            <w:r>
              <w:rPr>
                <w:sz w:val="16"/>
                <w:szCs w:val="16"/>
              </w:rPr>
              <w:t xml:space="preserve">Depositary Units of Icahn Enterprises L.P. </w:t>
            </w:r>
            <w:r>
              <w:rPr>
                <w:sz w:val="16"/>
                <w:szCs w:val="16"/>
              </w:rPr>
              <w:br/>
              <w:t>Representing Limited Partner Interests</w:t>
            </w:r>
          </w:p>
        </w:tc>
        <w:tc>
          <w:tcPr>
            <w:tcW w:w="74" w:type="pct"/>
            <w:tcMar>
              <w:top w:w="0" w:type="dxa"/>
              <w:left w:w="0" w:type="dxa"/>
              <w:bottom w:w="0" w:type="dxa"/>
              <w:right w:w="0" w:type="dxa"/>
            </w:tcMar>
            <w:vAlign w:val="bottom"/>
            <w:hideMark/>
          </w:tcPr>
          <w:p w:rsidR="00000000" w:rsidRDefault="009730FF">
            <w:pPr>
              <w:pStyle w:val="a3"/>
              <w:spacing w:before="0" w:beforeAutospacing="0" w:after="0" w:afterAutospacing="0"/>
              <w:divId w:val="1448966596"/>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9730FF">
            <w:pPr>
              <w:pStyle w:val="a3"/>
              <w:spacing w:before="0" w:beforeAutospacing="0" w:after="0" w:afterAutospacing="0"/>
              <w:jc w:val="center"/>
              <w:divId w:val="686561719"/>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9730FF">
            <w:pPr>
              <w:pStyle w:val="a3"/>
              <w:spacing w:before="0" w:beforeAutospacing="0" w:after="40" w:afterAutospacing="0"/>
              <w:jc w:val="center"/>
              <w:divId w:val="1484657685"/>
              <w:rPr>
                <w:sz w:val="16"/>
                <w:szCs w:val="16"/>
              </w:rPr>
            </w:pPr>
            <w:r>
              <w:rPr>
                <w:sz w:val="16"/>
                <w:szCs w:val="16"/>
              </w:rPr>
              <w:t> </w:t>
            </w:r>
          </w:p>
        </w:tc>
        <w:tc>
          <w:tcPr>
            <w:tcW w:w="1897" w:type="pct"/>
            <w:gridSpan w:val="2"/>
            <w:tcBorders>
              <w:top w:val="single" w:sz="8" w:space="0" w:color="000000"/>
            </w:tcBorders>
            <w:tcMar>
              <w:top w:w="0" w:type="dxa"/>
              <w:left w:w="53" w:type="dxa"/>
              <w:bottom w:w="0" w:type="dxa"/>
              <w:right w:w="53" w:type="dxa"/>
            </w:tcMar>
            <w:vAlign w:val="center"/>
            <w:hideMark/>
          </w:tcPr>
          <w:p w:rsidR="00000000" w:rsidRDefault="009730FF">
            <w:pPr>
              <w:pStyle w:val="a3"/>
              <w:spacing w:before="0" w:beforeAutospacing="0" w:after="40" w:afterAutospacing="0"/>
              <w:jc w:val="center"/>
              <w:divId w:val="1372732034"/>
              <w:rPr>
                <w:sz w:val="20"/>
                <w:szCs w:val="20"/>
              </w:rPr>
            </w:pPr>
            <w:r>
              <w:rPr>
                <w:sz w:val="16"/>
                <w:szCs w:val="16"/>
              </w:rPr>
              <w:t>Nasdaq Global Select Market</w:t>
            </w:r>
          </w:p>
        </w:tc>
      </w:tr>
    </w:tbl>
    <w:p w:rsidR="00000000" w:rsidRDefault="009730FF">
      <w:pPr>
        <w:pStyle w:val="a3"/>
        <w:spacing w:before="0" w:beforeAutospacing="0" w:after="0" w:afterAutospacing="0"/>
        <w:divId w:val="1806967603"/>
        <w:rPr>
          <w:sz w:val="20"/>
          <w:szCs w:val="20"/>
        </w:rPr>
      </w:pPr>
      <w:r>
        <w:rPr>
          <w:sz w:val="20"/>
          <w:szCs w:val="20"/>
        </w:rPr>
        <w:t>​</w:t>
      </w:r>
    </w:p>
    <w:p w:rsidR="00000000" w:rsidRDefault="009730FF">
      <w:pPr>
        <w:pStyle w:val="a3"/>
        <w:spacing w:before="0" w:beforeAutospacing="0" w:after="0" w:afterAutospacing="0"/>
        <w:divId w:val="1806967603"/>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806967603"/>
          <w:trHeight w:val="20"/>
        </w:trPr>
        <w:tc>
          <w:tcPr>
            <w:tcW w:w="2500" w:type="pct"/>
            <w:tcMar>
              <w:top w:w="0" w:type="dxa"/>
              <w:left w:w="0" w:type="dxa"/>
              <w:bottom w:w="0" w:type="dxa"/>
              <w:right w:w="0" w:type="dxa"/>
            </w:tcMar>
            <w:hideMark/>
          </w:tcPr>
          <w:p w:rsidR="00000000" w:rsidRDefault="009730FF">
            <w:pPr>
              <w:pStyle w:val="a3"/>
              <w:spacing w:before="0" w:beforeAutospacing="0" w:after="0" w:afterAutospacing="0"/>
              <w:divId w:val="1591041527"/>
              <w:rPr>
                <w:sz w:val="20"/>
                <w:szCs w:val="20"/>
              </w:rPr>
            </w:pPr>
            <w:r>
              <w:rPr>
                <w:sz w:val="2"/>
                <w:szCs w:val="2"/>
              </w:rPr>
              <w:t>​</w:t>
            </w:r>
          </w:p>
        </w:tc>
        <w:tc>
          <w:tcPr>
            <w:tcW w:w="2500" w:type="pct"/>
            <w:tcMar>
              <w:top w:w="0" w:type="dxa"/>
              <w:left w:w="0" w:type="dxa"/>
              <w:bottom w:w="0" w:type="dxa"/>
              <w:right w:w="0" w:type="dxa"/>
            </w:tcMar>
            <w:hideMark/>
          </w:tcPr>
          <w:p w:rsidR="00000000" w:rsidRDefault="009730FF">
            <w:pPr>
              <w:pStyle w:val="a3"/>
              <w:spacing w:before="0" w:beforeAutospacing="0" w:after="0" w:afterAutospacing="0"/>
              <w:divId w:val="1195771702"/>
              <w:rPr>
                <w:sz w:val="20"/>
                <w:szCs w:val="20"/>
              </w:rPr>
            </w:pPr>
            <w:r>
              <w:rPr>
                <w:sz w:val="2"/>
                <w:szCs w:val="2"/>
              </w:rPr>
              <w:t>​</w:t>
            </w:r>
          </w:p>
        </w:tc>
      </w:tr>
      <w:tr w:rsidR="00000000">
        <w:trPr>
          <w:divId w:val="1806967603"/>
          <w:trHeight w:val="731"/>
        </w:trPr>
        <w:tc>
          <w:tcPr>
            <w:tcW w:w="5000" w:type="pct"/>
            <w:gridSpan w:val="2"/>
            <w:tcMar>
              <w:top w:w="0" w:type="dxa"/>
              <w:left w:w="0" w:type="dxa"/>
              <w:bottom w:w="0" w:type="dxa"/>
              <w:right w:w="0" w:type="dxa"/>
            </w:tcMar>
            <w:hideMark/>
          </w:tcPr>
          <w:p w:rsidR="00000000" w:rsidRDefault="009730FF">
            <w:pPr>
              <w:pStyle w:val="a3"/>
              <w:spacing w:before="0" w:beforeAutospacing="0" w:after="0" w:afterAutospacing="0"/>
              <w:divId w:val="343092728"/>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Segoe UI Symbol" w:hAnsi="Segoe UI Symbol"/>
                <w:sz w:val="20"/>
                <w:szCs w:val="20"/>
              </w:rPr>
              <w:t>☒</w:t>
            </w:r>
            <w:r>
              <w:rPr>
                <w:sz w:val="20"/>
                <w:szCs w:val="20"/>
              </w:rPr>
              <w:t xml:space="preserve"> No </w:t>
            </w:r>
            <w:r>
              <w:rPr>
                <w:rFonts w:ascii="Segoe UI Symbol" w:hAnsi="Segoe UI Symbol"/>
                <w:sz w:val="20"/>
                <w:szCs w:val="20"/>
              </w:rPr>
              <w:t>☐</w:t>
            </w:r>
          </w:p>
        </w:tc>
      </w:tr>
      <w:tr w:rsidR="00000000">
        <w:trPr>
          <w:divId w:val="1806967603"/>
          <w:trHeight w:val="80"/>
        </w:trPr>
        <w:tc>
          <w:tcPr>
            <w:tcW w:w="2500" w:type="pct"/>
            <w:tcMar>
              <w:top w:w="0" w:type="dxa"/>
              <w:left w:w="0" w:type="dxa"/>
              <w:bottom w:w="0" w:type="dxa"/>
              <w:right w:w="0" w:type="dxa"/>
            </w:tcMar>
            <w:hideMark/>
          </w:tcPr>
          <w:p w:rsidR="00000000" w:rsidRDefault="009730FF">
            <w:pPr>
              <w:pStyle w:val="a3"/>
              <w:spacing w:before="0" w:beforeAutospacing="0" w:after="0" w:afterAutospacing="0"/>
              <w:rPr>
                <w:sz w:val="20"/>
                <w:szCs w:val="20"/>
              </w:rPr>
            </w:pPr>
            <w:r>
              <w:rPr>
                <w:sz w:val="16"/>
                <w:szCs w:val="16"/>
              </w:rPr>
              <w:t>​</w:t>
            </w:r>
          </w:p>
        </w:tc>
        <w:tc>
          <w:tcPr>
            <w:tcW w:w="2500" w:type="pct"/>
            <w:tcMar>
              <w:top w:w="0" w:type="dxa"/>
              <w:left w:w="0" w:type="dxa"/>
              <w:bottom w:w="0" w:type="dxa"/>
              <w:right w:w="0" w:type="dxa"/>
            </w:tcMar>
            <w:hideMark/>
          </w:tcPr>
          <w:p w:rsidR="00000000" w:rsidRDefault="009730FF">
            <w:pPr>
              <w:pStyle w:val="a3"/>
              <w:spacing w:before="0" w:beforeAutospacing="0" w:after="0" w:afterAutospacing="0"/>
              <w:rPr>
                <w:sz w:val="20"/>
                <w:szCs w:val="20"/>
              </w:rPr>
            </w:pPr>
            <w:r>
              <w:rPr>
                <w:sz w:val="16"/>
                <w:szCs w:val="16"/>
              </w:rPr>
              <w:t>​</w:t>
            </w:r>
          </w:p>
        </w:tc>
      </w:tr>
      <w:tr w:rsidR="00000000">
        <w:trPr>
          <w:divId w:val="1806967603"/>
          <w:trHeight w:val="80"/>
        </w:trPr>
        <w:tc>
          <w:tcPr>
            <w:tcW w:w="2500" w:type="pct"/>
            <w:tcMar>
              <w:top w:w="0" w:type="dxa"/>
              <w:left w:w="0" w:type="dxa"/>
              <w:bottom w:w="0" w:type="dxa"/>
              <w:right w:w="0" w:type="dxa"/>
            </w:tcMar>
            <w:hideMark/>
          </w:tcPr>
          <w:p w:rsidR="00000000" w:rsidRDefault="009730FF">
            <w:pPr>
              <w:pStyle w:val="a3"/>
              <w:spacing w:before="0" w:beforeAutospacing="0" w:after="0" w:afterAutospacing="0"/>
              <w:rPr>
                <w:sz w:val="20"/>
                <w:szCs w:val="20"/>
              </w:rPr>
            </w:pPr>
            <w:r>
              <w:rPr>
                <w:sz w:val="16"/>
                <w:szCs w:val="16"/>
              </w:rPr>
              <w:t>​</w:t>
            </w:r>
          </w:p>
        </w:tc>
        <w:tc>
          <w:tcPr>
            <w:tcW w:w="0" w:type="auto"/>
            <w:vAlign w:val="center"/>
            <w:hideMark/>
          </w:tcPr>
          <w:p w:rsidR="00000000" w:rsidRDefault="009730FF">
            <w:pPr>
              <w:rPr>
                <w:rFonts w:eastAsia="Times New Roman"/>
                <w:sz w:val="20"/>
                <w:szCs w:val="20"/>
              </w:rPr>
            </w:pPr>
          </w:p>
        </w:tc>
      </w:tr>
    </w:tbl>
    <w:p w:rsidR="00000000" w:rsidRDefault="009730FF">
      <w:pPr>
        <w:pStyle w:val="a3"/>
        <w:spacing w:before="0" w:beforeAutospacing="0" w:after="120" w:afterAutospacing="0"/>
        <w:divId w:val="1806967603"/>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 xml:space="preserve">t the registrant was required to submit such files). Yes </w:t>
      </w:r>
      <w:r>
        <w:rPr>
          <w:rFonts w:ascii="Segoe UI Symbol" w:hAnsi="Segoe UI Symbol"/>
          <w:sz w:val="20"/>
          <w:szCs w:val="20"/>
        </w:rPr>
        <w:t>☒</w:t>
      </w:r>
      <w:r>
        <w:rPr>
          <w:sz w:val="20"/>
          <w:szCs w:val="20"/>
        </w:rPr>
        <w:t xml:space="preserve"> No </w:t>
      </w:r>
      <w:r>
        <w:rPr>
          <w:rFonts w:ascii="Segoe UI Symbol" w:hAnsi="Segoe UI Symbol"/>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806967603"/>
          <w:trHeight w:val="20"/>
        </w:trPr>
        <w:tc>
          <w:tcPr>
            <w:tcW w:w="2500" w:type="pct"/>
            <w:tcMar>
              <w:top w:w="0" w:type="dxa"/>
              <w:left w:w="0" w:type="dxa"/>
              <w:bottom w:w="0" w:type="dxa"/>
              <w:right w:w="0" w:type="dxa"/>
            </w:tcMar>
            <w:hideMark/>
          </w:tcPr>
          <w:p w:rsidR="00000000" w:rsidRDefault="009730FF">
            <w:pPr>
              <w:pStyle w:val="a3"/>
              <w:spacing w:before="0" w:beforeAutospacing="0" w:after="0" w:afterAutospacing="0"/>
              <w:divId w:val="2069378296"/>
              <w:rPr>
                <w:sz w:val="20"/>
                <w:szCs w:val="20"/>
              </w:rPr>
            </w:pPr>
            <w:r>
              <w:rPr>
                <w:sz w:val="2"/>
                <w:szCs w:val="2"/>
              </w:rPr>
              <w:t>​</w:t>
            </w:r>
          </w:p>
        </w:tc>
        <w:tc>
          <w:tcPr>
            <w:tcW w:w="2500" w:type="pct"/>
            <w:tcMar>
              <w:top w:w="0" w:type="dxa"/>
              <w:left w:w="0" w:type="dxa"/>
              <w:bottom w:w="0" w:type="dxa"/>
              <w:right w:w="0" w:type="dxa"/>
            </w:tcMar>
            <w:hideMark/>
          </w:tcPr>
          <w:p w:rsidR="00000000" w:rsidRDefault="009730FF">
            <w:pPr>
              <w:pStyle w:val="a3"/>
              <w:spacing w:before="0" w:beforeAutospacing="0" w:after="0" w:afterAutospacing="0"/>
              <w:divId w:val="1911109127"/>
              <w:rPr>
                <w:sz w:val="20"/>
                <w:szCs w:val="20"/>
              </w:rPr>
            </w:pPr>
            <w:r>
              <w:rPr>
                <w:sz w:val="2"/>
                <w:szCs w:val="2"/>
              </w:rPr>
              <w:t>​</w:t>
            </w:r>
          </w:p>
        </w:tc>
      </w:tr>
      <w:tr w:rsidR="00000000">
        <w:trPr>
          <w:divId w:val="1806967603"/>
        </w:trPr>
        <w:tc>
          <w:tcPr>
            <w:tcW w:w="2500" w:type="pct"/>
            <w:tcMar>
              <w:top w:w="0" w:type="dxa"/>
              <w:left w:w="0" w:type="dxa"/>
              <w:bottom w:w="0" w:type="dxa"/>
              <w:right w:w="0" w:type="dxa"/>
            </w:tcMar>
            <w:hideMark/>
          </w:tcPr>
          <w:p w:rsidR="00000000" w:rsidRDefault="009730FF">
            <w:pPr>
              <w:pStyle w:val="a3"/>
              <w:spacing w:before="0" w:beforeAutospacing="0" w:after="0" w:afterAutospacing="0"/>
              <w:jc w:val="center"/>
              <w:rPr>
                <w:sz w:val="20"/>
                <w:szCs w:val="20"/>
              </w:rPr>
            </w:pPr>
            <w:r>
              <w:rPr>
                <w:sz w:val="16"/>
                <w:szCs w:val="16"/>
              </w:rPr>
              <w:t>​</w:t>
            </w:r>
          </w:p>
        </w:tc>
        <w:tc>
          <w:tcPr>
            <w:tcW w:w="2500" w:type="pct"/>
            <w:tcMar>
              <w:top w:w="0" w:type="dxa"/>
              <w:left w:w="0" w:type="dxa"/>
              <w:bottom w:w="0" w:type="dxa"/>
              <w:right w:w="0" w:type="dxa"/>
            </w:tcMar>
            <w:hideMark/>
          </w:tcPr>
          <w:p w:rsidR="00000000" w:rsidRDefault="009730FF">
            <w:pPr>
              <w:pStyle w:val="a3"/>
              <w:spacing w:before="0" w:beforeAutospacing="0" w:after="0" w:afterAutospacing="0"/>
              <w:jc w:val="center"/>
              <w:rPr>
                <w:sz w:val="20"/>
                <w:szCs w:val="20"/>
              </w:rPr>
            </w:pPr>
            <w:r>
              <w:rPr>
                <w:sz w:val="16"/>
                <w:szCs w:val="16"/>
              </w:rPr>
              <w:t>​</w:t>
            </w:r>
          </w:p>
        </w:tc>
      </w:tr>
    </w:tbl>
    <w:p w:rsidR="00000000" w:rsidRDefault="009730FF">
      <w:pPr>
        <w:pStyle w:val="a3"/>
        <w:spacing w:before="0" w:beforeAutospacing="0" w:after="120" w:afterAutospacing="0"/>
        <w:divId w:val="1806967603"/>
        <w:rPr>
          <w:sz w:val="20"/>
          <w:szCs w:val="20"/>
        </w:rPr>
      </w:pPr>
      <w:r>
        <w:rPr>
          <w:sz w:val="20"/>
          <w:szCs w:val="20"/>
        </w:rPr>
        <w:t xml:space="preserve">Indicate by check mark whether the registrant is a large accelerated filer, an accelerated filer, a non-accelerated filer, a smaller reporting company or an emerging growth company. See the definitions of </w:t>
      </w:r>
      <w:r>
        <w:rPr>
          <w:sz w:val="20"/>
          <w:szCs w:val="20"/>
        </w:rPr>
        <w:lastRenderedPageBreak/>
        <w:t>“large accelerated filer,” “accelerated filer,” “sm</w:t>
      </w:r>
      <w:r>
        <w:rPr>
          <w:sz w:val="20"/>
          <w:szCs w:val="20"/>
        </w:rPr>
        <w:t>aller reporting company” and “emerging growth company” in Rule 12b-2 of the Exchange Act (Check One):</w:t>
      </w:r>
    </w:p>
    <w:tbl>
      <w:tblPr>
        <w:tblW w:w="5000" w:type="pct"/>
        <w:tblCellMar>
          <w:top w:w="15" w:type="dxa"/>
          <w:left w:w="15" w:type="dxa"/>
          <w:bottom w:w="15" w:type="dxa"/>
          <w:right w:w="15" w:type="dxa"/>
        </w:tblCellMar>
        <w:tblLook w:val="04A0" w:firstRow="1" w:lastRow="0" w:firstColumn="1" w:lastColumn="0" w:noHBand="0" w:noVBand="1"/>
      </w:tblPr>
      <w:tblGrid>
        <w:gridCol w:w="2102"/>
        <w:gridCol w:w="491"/>
        <w:gridCol w:w="222"/>
        <w:gridCol w:w="1976"/>
        <w:gridCol w:w="491"/>
        <w:gridCol w:w="222"/>
        <w:gridCol w:w="1842"/>
        <w:gridCol w:w="960"/>
      </w:tblGrid>
      <w:tr w:rsidR="00000000">
        <w:trPr>
          <w:divId w:val="1806967603"/>
          <w:trHeight w:val="20"/>
        </w:trPr>
        <w:tc>
          <w:tcPr>
            <w:tcW w:w="1326"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200"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118"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1250"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177"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118"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1169"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c>
          <w:tcPr>
            <w:tcW w:w="638"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
                <w:szCs w:val="2"/>
              </w:rPr>
              <w:t>​</w:t>
            </w:r>
          </w:p>
        </w:tc>
      </w:tr>
      <w:tr w:rsidR="00000000">
        <w:trPr>
          <w:divId w:val="1806967603"/>
          <w:trHeight w:val="263"/>
        </w:trPr>
        <w:tc>
          <w:tcPr>
            <w:tcW w:w="1326" w:type="pct"/>
            <w:tcMar>
              <w:top w:w="0" w:type="dxa"/>
              <w:left w:w="108" w:type="dxa"/>
              <w:bottom w:w="0" w:type="dxa"/>
              <w:right w:w="108" w:type="dxa"/>
            </w:tcMar>
            <w:vAlign w:val="center"/>
            <w:hideMark/>
          </w:tcPr>
          <w:p w:rsidR="00000000" w:rsidRDefault="009730FF">
            <w:pPr>
              <w:pStyle w:val="a3"/>
              <w:spacing w:before="0" w:beforeAutospacing="0" w:after="0" w:afterAutospacing="0"/>
              <w:jc w:val="right"/>
              <w:rPr>
                <w:sz w:val="20"/>
                <w:szCs w:val="20"/>
              </w:rPr>
            </w:pPr>
            <w:r>
              <w:rPr>
                <w:sz w:val="20"/>
                <w:szCs w:val="20"/>
              </w:rPr>
              <w:t>Large Accelerated Filer</w:t>
            </w:r>
          </w:p>
        </w:tc>
        <w:tc>
          <w:tcPr>
            <w:tcW w:w="200" w:type="pct"/>
            <w:tcMar>
              <w:top w:w="0" w:type="dxa"/>
              <w:left w:w="108" w:type="dxa"/>
              <w:bottom w:w="0" w:type="dxa"/>
              <w:right w:w="108" w:type="dxa"/>
            </w:tcMar>
            <w:vAlign w:val="center"/>
            <w:hideMark/>
          </w:tcPr>
          <w:p w:rsidR="00000000" w:rsidRDefault="009730FF">
            <w:pPr>
              <w:pStyle w:val="a3"/>
              <w:spacing w:before="0" w:beforeAutospacing="0" w:after="0" w:afterAutospacing="0"/>
              <w:rPr>
                <w:sz w:val="20"/>
                <w:szCs w:val="20"/>
              </w:rPr>
            </w:pPr>
            <w:r>
              <w:rPr>
                <w:rFonts w:ascii="Cambria" w:hAnsi="Cambria" w:cs="Cambria"/>
                <w:sz w:val="20"/>
                <w:szCs w:val="20"/>
              </w:rPr>
              <w:t>⌧</w:t>
            </w:r>
          </w:p>
        </w:tc>
        <w:tc>
          <w:tcPr>
            <w:tcW w:w="118"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9730FF">
            <w:pPr>
              <w:pStyle w:val="a3"/>
              <w:spacing w:before="0" w:beforeAutospacing="0" w:after="0" w:afterAutospacing="0"/>
              <w:jc w:val="right"/>
              <w:rPr>
                <w:sz w:val="20"/>
                <w:szCs w:val="20"/>
              </w:rPr>
            </w:pPr>
            <w:r>
              <w:rPr>
                <w:sz w:val="20"/>
                <w:szCs w:val="20"/>
              </w:rPr>
              <w:t>Accelerated Filer</w:t>
            </w:r>
          </w:p>
        </w:tc>
        <w:tc>
          <w:tcPr>
            <w:tcW w:w="177" w:type="pct"/>
            <w:tcMar>
              <w:top w:w="0" w:type="dxa"/>
              <w:left w:w="108" w:type="dxa"/>
              <w:bottom w:w="0" w:type="dxa"/>
              <w:right w:w="108" w:type="dxa"/>
            </w:tcMar>
            <w:vAlign w:val="center"/>
            <w:hideMark/>
          </w:tcPr>
          <w:p w:rsidR="00000000" w:rsidRDefault="009730FF">
            <w:pPr>
              <w:pStyle w:val="a3"/>
              <w:spacing w:before="0" w:beforeAutospacing="0" w:after="120" w:afterAutospacing="0"/>
              <w:rPr>
                <w:sz w:val="20"/>
                <w:szCs w:val="20"/>
              </w:rPr>
            </w:pPr>
            <w:r>
              <w:rPr>
                <w:rFonts w:ascii="Segoe UI Emoji" w:hAnsi="Segoe UI Emoji" w:cs="Segoe UI Emoji"/>
                <w:sz w:val="20"/>
                <w:szCs w:val="20"/>
              </w:rPr>
              <w:t>◻</w:t>
            </w:r>
          </w:p>
        </w:tc>
        <w:tc>
          <w:tcPr>
            <w:tcW w:w="118" w:type="pct"/>
            <w:tcMar>
              <w:top w:w="0" w:type="dxa"/>
              <w:left w:w="108" w:type="dxa"/>
              <w:bottom w:w="0" w:type="dxa"/>
              <w:right w:w="108" w:type="dxa"/>
            </w:tcMar>
            <w:vAlign w:val="center"/>
            <w:hideMark/>
          </w:tcPr>
          <w:p w:rsidR="00000000" w:rsidRDefault="009730FF">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0"/>
                <w:szCs w:val="20"/>
              </w:rPr>
              <w:t>Emerging Growth Company</w:t>
            </w:r>
          </w:p>
        </w:tc>
        <w:tc>
          <w:tcPr>
            <w:tcW w:w="638" w:type="pct"/>
            <w:tcMar>
              <w:top w:w="0" w:type="dxa"/>
              <w:left w:w="108" w:type="dxa"/>
              <w:bottom w:w="0" w:type="dxa"/>
              <w:right w:w="108" w:type="dxa"/>
            </w:tcMar>
            <w:hideMark/>
          </w:tcPr>
          <w:p w:rsidR="00000000" w:rsidRDefault="009730FF">
            <w:pPr>
              <w:pStyle w:val="a3"/>
              <w:spacing w:before="0" w:beforeAutospacing="0" w:after="120" w:afterAutospacing="0"/>
              <w:rPr>
                <w:sz w:val="20"/>
                <w:szCs w:val="20"/>
              </w:rPr>
            </w:pPr>
            <w:r>
              <w:rPr>
                <w:rFonts w:ascii="Segoe UI Symbol" w:hAnsi="Segoe UI Symbol"/>
                <w:sz w:val="20"/>
                <w:szCs w:val="20"/>
              </w:rPr>
              <w:t>☐</w:t>
            </w:r>
          </w:p>
        </w:tc>
      </w:tr>
      <w:tr w:rsidR="00000000">
        <w:trPr>
          <w:divId w:val="1806967603"/>
          <w:trHeight w:val="236"/>
        </w:trPr>
        <w:tc>
          <w:tcPr>
            <w:tcW w:w="1326" w:type="pct"/>
            <w:tcMar>
              <w:top w:w="0" w:type="dxa"/>
              <w:left w:w="108" w:type="dxa"/>
              <w:bottom w:w="0" w:type="dxa"/>
              <w:right w:w="108" w:type="dxa"/>
            </w:tcMar>
            <w:vAlign w:val="center"/>
            <w:hideMark/>
          </w:tcPr>
          <w:p w:rsidR="00000000" w:rsidRDefault="009730FF">
            <w:pPr>
              <w:pStyle w:val="a3"/>
              <w:spacing w:before="0" w:beforeAutospacing="0" w:after="120" w:afterAutospacing="0"/>
              <w:jc w:val="right"/>
              <w:rPr>
                <w:sz w:val="20"/>
                <w:szCs w:val="20"/>
              </w:rPr>
            </w:pPr>
            <w:r>
              <w:rPr>
                <w:sz w:val="20"/>
                <w:szCs w:val="20"/>
              </w:rPr>
              <w:t>Non-accelerated Filer</w:t>
            </w:r>
          </w:p>
        </w:tc>
        <w:tc>
          <w:tcPr>
            <w:tcW w:w="200" w:type="pct"/>
            <w:tcMar>
              <w:top w:w="0" w:type="dxa"/>
              <w:left w:w="108" w:type="dxa"/>
              <w:bottom w:w="0" w:type="dxa"/>
              <w:right w:w="108" w:type="dxa"/>
            </w:tcMar>
            <w:vAlign w:val="center"/>
            <w:hideMark/>
          </w:tcPr>
          <w:p w:rsidR="00000000" w:rsidRDefault="009730FF">
            <w:pPr>
              <w:pStyle w:val="a3"/>
              <w:spacing w:before="0" w:beforeAutospacing="0" w:after="120" w:afterAutospacing="0"/>
              <w:rPr>
                <w:sz w:val="20"/>
                <w:szCs w:val="20"/>
              </w:rPr>
            </w:pPr>
            <w:r>
              <w:rPr>
                <w:rFonts w:ascii="Segoe UI Emoji" w:hAnsi="Segoe UI Emoji" w:cs="Segoe UI Emoji"/>
                <w:sz w:val="20"/>
                <w:szCs w:val="20"/>
              </w:rPr>
              <w:t>◻</w:t>
            </w:r>
          </w:p>
        </w:tc>
        <w:tc>
          <w:tcPr>
            <w:tcW w:w="118"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9730FF">
            <w:pPr>
              <w:pStyle w:val="a3"/>
              <w:spacing w:before="0" w:beforeAutospacing="0" w:after="120" w:afterAutospacing="0"/>
              <w:jc w:val="right"/>
              <w:rPr>
                <w:sz w:val="20"/>
                <w:szCs w:val="20"/>
              </w:rPr>
            </w:pPr>
            <w:r>
              <w:rPr>
                <w:sz w:val="20"/>
                <w:szCs w:val="20"/>
              </w:rPr>
              <w:t>Smaller Reporting Company</w:t>
            </w:r>
          </w:p>
        </w:tc>
        <w:tc>
          <w:tcPr>
            <w:tcW w:w="177" w:type="pct"/>
            <w:tcMar>
              <w:top w:w="0" w:type="dxa"/>
              <w:left w:w="108" w:type="dxa"/>
              <w:bottom w:w="0" w:type="dxa"/>
              <w:right w:w="108" w:type="dxa"/>
            </w:tcMar>
            <w:vAlign w:val="center"/>
            <w:hideMark/>
          </w:tcPr>
          <w:p w:rsidR="00000000" w:rsidRDefault="009730FF">
            <w:pPr>
              <w:pStyle w:val="a3"/>
              <w:spacing w:before="0" w:beforeAutospacing="0" w:after="120" w:afterAutospacing="0"/>
              <w:rPr>
                <w:sz w:val="20"/>
                <w:szCs w:val="20"/>
              </w:rPr>
            </w:pPr>
            <w:r>
              <w:rPr>
                <w:rFonts w:ascii="Segoe UI Symbol" w:hAnsi="Segoe UI Symbol"/>
                <w:sz w:val="20"/>
                <w:szCs w:val="20"/>
              </w:rPr>
              <w:t>☐</w:t>
            </w:r>
          </w:p>
        </w:tc>
        <w:tc>
          <w:tcPr>
            <w:tcW w:w="118" w:type="pct"/>
            <w:tcMar>
              <w:top w:w="0" w:type="dxa"/>
              <w:left w:w="108" w:type="dxa"/>
              <w:bottom w:w="0" w:type="dxa"/>
              <w:right w:w="108" w:type="dxa"/>
            </w:tcMar>
            <w:vAlign w:val="center"/>
            <w:hideMark/>
          </w:tcPr>
          <w:p w:rsidR="00000000" w:rsidRDefault="009730FF">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0"/>
                <w:szCs w:val="20"/>
              </w:rPr>
              <w:t>​</w:t>
            </w:r>
          </w:p>
        </w:tc>
        <w:tc>
          <w:tcPr>
            <w:tcW w:w="638" w:type="pct"/>
            <w:tcMar>
              <w:top w:w="0" w:type="dxa"/>
              <w:left w:w="108" w:type="dxa"/>
              <w:bottom w:w="0" w:type="dxa"/>
              <w:right w:w="108" w:type="dxa"/>
            </w:tcMar>
            <w:hideMark/>
          </w:tcPr>
          <w:p w:rsidR="00000000" w:rsidRDefault="009730FF">
            <w:pPr>
              <w:pStyle w:val="a3"/>
              <w:spacing w:before="0" w:beforeAutospacing="0" w:after="0" w:afterAutospacing="0"/>
              <w:rPr>
                <w:sz w:val="20"/>
                <w:szCs w:val="20"/>
              </w:rPr>
            </w:pPr>
            <w:r>
              <w:rPr>
                <w:sz w:val="20"/>
                <w:szCs w:val="20"/>
              </w:rPr>
              <w:t>​</w:t>
            </w:r>
          </w:p>
        </w:tc>
      </w:tr>
    </w:tbl>
    <w:p w:rsidR="00000000" w:rsidRDefault="009730FF">
      <w:pPr>
        <w:pStyle w:val="a3"/>
        <w:spacing w:before="0" w:beforeAutospacing="0" w:after="0" w:afterAutospacing="0"/>
        <w:divId w:val="1806967603"/>
        <w:rPr>
          <w:sz w:val="20"/>
          <w:szCs w:val="20"/>
        </w:rPr>
      </w:pPr>
      <w:r>
        <w:rPr>
          <w:sz w:val="20"/>
          <w:szCs w:val="20"/>
        </w:rPr>
        <w:t>​</w:t>
      </w:r>
    </w:p>
    <w:p w:rsidR="00000000" w:rsidRDefault="009730FF">
      <w:pPr>
        <w:pStyle w:val="a3"/>
        <w:spacing w:before="0" w:beforeAutospacing="0" w:after="120" w:afterAutospacing="0"/>
        <w:divId w:val="1806967603"/>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w:t>
      </w:r>
      <w:r>
        <w:rPr>
          <w:sz w:val="20"/>
          <w:szCs w:val="20"/>
        </w:rPr>
        <w:t xml:space="preserve">tion 13(a) of the Exchange Act. </w:t>
      </w:r>
      <w:r>
        <w:rPr>
          <w:rFonts w:ascii="Segoe UI Symbol" w:hAnsi="Segoe UI Symbol"/>
          <w:sz w:val="20"/>
          <w:szCs w:val="20"/>
        </w:rPr>
        <w:t>☐</w:t>
      </w:r>
    </w:p>
    <w:p w:rsidR="00000000" w:rsidRDefault="009730FF">
      <w:pPr>
        <w:pStyle w:val="a3"/>
        <w:spacing w:before="0" w:beforeAutospacing="0" w:after="120" w:afterAutospacing="0"/>
        <w:divId w:val="1806967603"/>
        <w:rPr>
          <w:sz w:val="20"/>
          <w:szCs w:val="20"/>
        </w:rPr>
      </w:pPr>
      <w:r>
        <w:rPr>
          <w:sz w:val="20"/>
          <w:szCs w:val="20"/>
        </w:rPr>
        <w:t>Indicate by check mark whether the registrant is a shell company (as defined in Rule 12b</w:t>
      </w:r>
      <w:r>
        <w:rPr>
          <w:sz w:val="20"/>
          <w:szCs w:val="20"/>
        </w:rPr>
        <w:t>-</w:t>
      </w:r>
      <w:r>
        <w:rPr>
          <w:sz w:val="20"/>
          <w:szCs w:val="20"/>
        </w:rPr>
        <w:t>2 of the Exchange Act). Yes</w:t>
      </w:r>
      <w:r>
        <w:rPr>
          <w:sz w:val="20"/>
          <w:szCs w:val="20"/>
        </w:rPr>
        <w:t xml:space="preserve"> </w:t>
      </w:r>
      <w:r>
        <w:rPr>
          <w:rFonts w:ascii="Segoe UI Symbol" w:hAnsi="Segoe UI Symbol"/>
          <w:b/>
          <w:bCs/>
          <w:sz w:val="20"/>
          <w:szCs w:val="20"/>
        </w:rPr>
        <w:t>☐</w:t>
      </w:r>
      <w:r>
        <w:rPr>
          <w:sz w:val="20"/>
          <w:szCs w:val="20"/>
        </w:rPr>
        <w:t xml:space="preserve"> No </w:t>
      </w:r>
      <w:r>
        <w:rPr>
          <w:rFonts w:ascii="Cambria" w:hAnsi="Cambria" w:cs="Cambria"/>
          <w:sz w:val="20"/>
          <w:szCs w:val="20"/>
        </w:rPr>
        <w:t>⌧</w:t>
      </w:r>
      <w:r>
        <w:rPr>
          <w:sz w:val="20"/>
          <w:szCs w:val="20"/>
        </w:rPr>
        <w:t xml:space="preserve"> </w:t>
      </w:r>
    </w:p>
    <w:p w:rsidR="00000000" w:rsidRDefault="009730FF">
      <w:pPr>
        <w:pStyle w:val="a3"/>
        <w:spacing w:before="0" w:beforeAutospacing="0" w:after="0" w:afterAutospacing="0"/>
        <w:divId w:val="1806967603"/>
        <w:rPr>
          <w:sz w:val="20"/>
          <w:szCs w:val="20"/>
        </w:rPr>
      </w:pPr>
      <w:r>
        <w:rPr>
          <w:sz w:val="20"/>
          <w:szCs w:val="20"/>
        </w:rPr>
        <w:t>​</w:t>
      </w:r>
    </w:p>
    <w:p w:rsidR="00000000" w:rsidRDefault="009730FF">
      <w:pPr>
        <w:pStyle w:val="a3"/>
        <w:spacing w:before="0" w:beforeAutospacing="0" w:after="120" w:afterAutospacing="0"/>
        <w:ind w:firstLine="360"/>
        <w:divId w:val="1806967603"/>
        <w:rPr>
          <w:sz w:val="20"/>
          <w:szCs w:val="20"/>
        </w:rPr>
      </w:pPr>
      <w:r>
        <w:rPr>
          <w:sz w:val="20"/>
          <w:szCs w:val="20"/>
        </w:rPr>
        <w:t>As of May 6, 2022, there were 306,968,320 of Icahn Enterprises’ depositary units outstanding.</w:t>
      </w:r>
    </w:p>
    <w:p w:rsidR="00000000" w:rsidRDefault="009730FF">
      <w:pPr>
        <w:pStyle w:val="a3"/>
        <w:pBdr>
          <w:top w:val="single" w:sz="6" w:space="1" w:color="000000"/>
          <w:bottom w:val="single" w:sz="24" w:space="1" w:color="000000"/>
        </w:pBdr>
        <w:spacing w:before="0" w:beforeAutospacing="0" w:after="0" w:afterAutospacing="0"/>
        <w:divId w:val="1806967603"/>
        <w:rPr>
          <w:sz w:val="20"/>
          <w:szCs w:val="20"/>
        </w:rPr>
      </w:pPr>
      <w:r>
        <w:rPr>
          <w:b/>
          <w:bCs/>
          <w:sz w:val="2"/>
          <w:szCs w:val="2"/>
        </w:rPr>
        <w:t>​</w:t>
      </w:r>
    </w:p>
    <w:p w:rsidR="00000000" w:rsidRDefault="009730FF">
      <w:pPr>
        <w:pStyle w:val="a3"/>
        <w:spacing w:before="0" w:beforeAutospacing="0" w:after="0" w:afterAutospacing="0" w:line="0" w:lineRule="atLeast"/>
        <w:divId w:val="1806967603"/>
        <w:rPr>
          <w:vanish/>
        </w:rPr>
      </w:pPr>
      <w:r>
        <w:rPr>
          <w:b/>
          <w:bCs/>
          <w:vanish/>
          <w:sz w:val="2"/>
          <w:szCs w:val="2"/>
        </w:rPr>
        <w:t>​</w:t>
      </w:r>
    </w:p>
    <w:p w:rsidR="00000000" w:rsidRDefault="009730FF">
      <w:pPr>
        <w:pStyle w:val="a3"/>
        <w:spacing w:before="0" w:beforeAutospacing="0" w:after="0" w:afterAutospacing="0"/>
        <w:jc w:val="center"/>
        <w:divId w:val="1195383187"/>
        <w:rPr>
          <w:b/>
          <w:bCs/>
          <w:sz w:val="20"/>
          <w:szCs w:val="20"/>
        </w:rPr>
      </w:pPr>
      <w:r>
        <w:rPr>
          <w:b/>
          <w:bCs/>
          <w:sz w:val="20"/>
          <w:szCs w:val="20"/>
        </w:rPr>
        <w:t>ICAHN ENTERPRISES L.P.</w:t>
      </w:r>
    </w:p>
    <w:p w:rsidR="00000000" w:rsidRDefault="009730FF">
      <w:pPr>
        <w:pStyle w:val="a3"/>
        <w:spacing w:before="0" w:beforeAutospacing="0" w:after="240" w:afterAutospacing="0"/>
        <w:jc w:val="center"/>
        <w:divId w:val="1195383187"/>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195383187"/>
          <w:trHeight w:val="20"/>
        </w:trPr>
        <w:tc>
          <w:tcPr>
            <w:tcW w:w="56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195383187"/>
          <w:trHeight w:val="20"/>
        </w:trPr>
        <w:tc>
          <w:tcPr>
            <w:tcW w:w="56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ForwardLookingStatements" w:history="1">
              <w:r>
                <w:rPr>
                  <w:rStyle w:val="a4"/>
                  <w:sz w:val="20"/>
                  <w:szCs w:val="20"/>
                </w:rPr>
                <w:t>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1</w:t>
            </w:r>
          </w:p>
        </w:tc>
      </w:tr>
      <w:tr w:rsidR="00000000">
        <w:trPr>
          <w:divId w:val="1195383187"/>
          <w:trHeight w:val="20"/>
        </w:trPr>
        <w:tc>
          <w:tcPr>
            <w:tcW w:w="56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195383187"/>
          <w:trHeight w:val="20"/>
        </w:trPr>
        <w:tc>
          <w:tcPr>
            <w:tcW w:w="56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195383187"/>
          <w:trHeight w:val="155"/>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1FinancialStatements_797771" w:history="1">
              <w:r>
                <w:rPr>
                  <w:rStyle w:val="a4"/>
                  <w:sz w:val="20"/>
                  <w:szCs w:val="20"/>
                </w:rPr>
                <w:t>Financial Statements (Unaudited)</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2</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31</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44</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4ControlsandProcedures_867240" w:history="1">
              <w:r>
                <w:rPr>
                  <w:rStyle w:val="a4"/>
                  <w:sz w:val="20"/>
                  <w:szCs w:val="20"/>
                </w:rPr>
                <w:t>Item 4</w:t>
              </w:r>
            </w:hyperlink>
            <w:r>
              <w:rPr>
                <w:sz w:val="20"/>
                <w:szCs w:val="20"/>
              </w:rPr>
              <w:t>.</w:t>
            </w:r>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44</w:t>
            </w:r>
          </w:p>
        </w:tc>
      </w:tr>
      <w:tr w:rsidR="00000000">
        <w:trPr>
          <w:divId w:val="1195383187"/>
          <w:trHeight w:val="20"/>
        </w:trPr>
        <w:tc>
          <w:tcPr>
            <w:tcW w:w="56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195383187"/>
          <w:trHeight w:val="20"/>
        </w:trPr>
        <w:tc>
          <w:tcPr>
            <w:tcW w:w="56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45</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45</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2UnregisteredSalesofEquitySecuritie" w:history="1">
              <w:r>
                <w:rPr>
                  <w:rStyle w:val="a4"/>
                  <w:sz w:val="20"/>
                  <w:szCs w:val="20"/>
                </w:rPr>
                <w:t>Item 2</w:t>
              </w:r>
            </w:hyperlink>
            <w:r>
              <w:rPr>
                <w:sz w:val="20"/>
                <w:szCs w:val="20"/>
              </w:rPr>
              <w:t>.</w:t>
            </w:r>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2UnregisteredSalesofEquitySecuritie" w:history="1">
              <w:r>
                <w:rPr>
                  <w:rStyle w:val="a4"/>
                  <w:sz w:val="20"/>
                  <w:szCs w:val="20"/>
                </w:rPr>
                <w:t>Unre</w:t>
              </w:r>
              <w:r>
                <w:rPr>
                  <w:rStyle w:val="a4"/>
                  <w:sz w:val="20"/>
                  <w:szCs w:val="20"/>
                </w:rPr>
                <w:t>gistered Sales of Equity Securities and use of Proceeds</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46</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5OtherInformation" w:history="1">
              <w:r>
                <w:rPr>
                  <w:rStyle w:val="a4"/>
                  <w:sz w:val="20"/>
                  <w:szCs w:val="20"/>
                </w:rPr>
                <w:t>Item 5.</w:t>
              </w:r>
            </w:hyperlink>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5OtherInformation" w:history="1">
              <w:r>
                <w:rPr>
                  <w:rStyle w:val="a4"/>
                  <w:sz w:val="20"/>
                  <w:szCs w:val="20"/>
                </w:rPr>
                <w:t>Other Information</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46</w:t>
            </w:r>
          </w:p>
        </w:tc>
      </w:tr>
      <w:tr w:rsidR="00000000">
        <w:trPr>
          <w:divId w:val="1195383187"/>
          <w:trHeight w:val="20"/>
        </w:trPr>
        <w:tc>
          <w:tcPr>
            <w:tcW w:w="562"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9730FF">
            <w:pPr>
              <w:pStyle w:val="a3"/>
              <w:spacing w:before="0" w:beforeAutospacing="0" w:after="0" w:afterAutospacing="0"/>
              <w:jc w:val="center"/>
              <w:rPr>
                <w:sz w:val="20"/>
                <w:szCs w:val="20"/>
              </w:rPr>
            </w:pPr>
            <w:r>
              <w:rPr>
                <w:sz w:val="20"/>
                <w:szCs w:val="20"/>
              </w:rPr>
              <w:t>48</w:t>
            </w:r>
          </w:p>
        </w:tc>
      </w:tr>
    </w:tbl>
    <w:p w:rsidR="00000000" w:rsidRDefault="009730FF">
      <w:pPr>
        <w:pStyle w:val="a3"/>
        <w:spacing w:before="0" w:beforeAutospacing="0" w:after="0" w:afterAutospacing="0"/>
        <w:divId w:val="1195383187"/>
        <w:rPr>
          <w:sz w:val="20"/>
          <w:szCs w:val="20"/>
        </w:rPr>
      </w:pPr>
      <w:r>
        <w:rPr>
          <w:sz w:val="2"/>
          <w:szCs w:val="2"/>
        </w:rPr>
        <w:t>​</w:t>
      </w:r>
    </w:p>
    <w:p w:rsidR="00000000" w:rsidRDefault="009730FF">
      <w:pPr>
        <w:pStyle w:val="a3"/>
        <w:spacing w:before="0" w:beforeAutospacing="0" w:after="0" w:afterAutospacing="0"/>
        <w:divId w:val="1195383187"/>
        <w:rPr>
          <w:sz w:val="20"/>
          <w:szCs w:val="20"/>
        </w:rPr>
      </w:pPr>
      <w:r>
        <w:rPr>
          <w:sz w:val="20"/>
          <w:szCs w:val="20"/>
        </w:rPr>
        <w:t>​</w:t>
      </w:r>
    </w:p>
    <w:p w:rsidR="00000000" w:rsidRDefault="009730FF">
      <w:pPr>
        <w:pStyle w:val="a3"/>
        <w:spacing w:before="0" w:beforeAutospacing="0" w:after="240" w:afterAutospacing="0"/>
        <w:jc w:val="center"/>
        <w:divId w:val="1195383187"/>
        <w:rPr>
          <w:b/>
          <w:bCs/>
          <w:sz w:val="20"/>
          <w:szCs w:val="20"/>
        </w:rPr>
      </w:pPr>
      <w:r>
        <w:rPr>
          <w:b/>
          <w:bCs/>
          <w:sz w:val="20"/>
          <w:szCs w:val="20"/>
        </w:rPr>
        <w:t>​</w:t>
      </w:r>
    </w:p>
    <w:p w:rsidR="00000000" w:rsidRDefault="009730FF">
      <w:pPr>
        <w:pStyle w:val="a3"/>
        <w:spacing w:before="0" w:beforeAutospacing="0" w:after="240" w:afterAutospacing="0" w:line="0" w:lineRule="atLeast"/>
        <w:ind w:firstLine="360"/>
        <w:divId w:val="1195383187"/>
        <w:rPr>
          <w:vanish/>
        </w:rPr>
      </w:pPr>
      <w:r>
        <w:rPr>
          <w:vanish/>
          <w:sz w:val="2"/>
          <w:szCs w:val="2"/>
        </w:rPr>
        <w:t>​</w:t>
      </w:r>
    </w:p>
    <w:p w:rsidR="00000000" w:rsidRDefault="009730FF">
      <w:pPr>
        <w:pStyle w:val="a3"/>
        <w:spacing w:before="480" w:beforeAutospacing="0" w:after="0" w:afterAutospacing="0"/>
        <w:jc w:val="center"/>
        <w:divId w:val="588466356"/>
        <w:rPr>
          <w:sz w:val="20"/>
          <w:szCs w:val="20"/>
        </w:rPr>
      </w:pPr>
      <w:r>
        <w:rPr>
          <w:sz w:val="20"/>
          <w:szCs w:val="20"/>
        </w:rPr>
        <w:t>i</w:t>
      </w:r>
    </w:p>
    <w:p w:rsidR="00000000" w:rsidRDefault="009730FF">
      <w:pPr>
        <w:pStyle w:val="a3"/>
        <w:spacing w:before="0" w:beforeAutospacing="0" w:after="600" w:afterAutospacing="0"/>
        <w:divId w:val="929122434"/>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795367950"/>
        <w:rPr>
          <w:b/>
          <w:bCs/>
          <w:sz w:val="20"/>
          <w:szCs w:val="20"/>
        </w:rPr>
      </w:pPr>
      <w:r>
        <w:rPr>
          <w:b/>
          <w:bCs/>
          <w:sz w:val="20"/>
          <w:szCs w:val="20"/>
        </w:rPr>
        <w:t>FORWARD-LOOKING STATEMENTS</w:t>
      </w:r>
    </w:p>
    <w:p w:rsidR="00000000" w:rsidRDefault="009730FF">
      <w:pPr>
        <w:pStyle w:val="a3"/>
        <w:spacing w:before="0" w:beforeAutospacing="0" w:after="240" w:afterAutospacing="0"/>
        <w:ind w:firstLine="360"/>
        <w:divId w:val="795367950"/>
        <w:rPr>
          <w:sz w:val="20"/>
          <w:szCs w:val="20"/>
        </w:rPr>
      </w:pPr>
      <w:r>
        <w:rPr>
          <w:sz w:val="20"/>
          <w:szCs w:val="20"/>
        </w:rPr>
        <w:t>This Report contains certain statements that are, or may be deemed to be, “forward-looking statements” within the meani</w:t>
      </w:r>
      <w:r>
        <w:rPr>
          <w:sz w:val="20"/>
          <w:szCs w:val="20"/>
        </w:rPr>
        <w:t>ng of Section 27A of the Securities Act of 1933, as amended, and Section 21E of the Securities Exchange Act of 1934, as amended (the “Exchange Act”), or by the Private Securities Litigation Reform Act. All statements included in this Report, other than sta</w:t>
      </w:r>
      <w:r>
        <w:rPr>
          <w:sz w:val="20"/>
          <w:szCs w:val="20"/>
        </w:rPr>
        <w:t>tements that relate solely to historical fact, are “forward-looking statements.” Such statements include, but are not limited to, any statement that may predict, forecast, indicate or imply future results, performance, achievements or events, including the</w:t>
      </w:r>
      <w:r>
        <w:rPr>
          <w:sz w:val="20"/>
          <w:szCs w:val="20"/>
        </w:rPr>
        <w:t xml:space="preserve"> impact of the COVID-19 pandemic, or any statement that may </w:t>
      </w:r>
      <w:r>
        <w:rPr>
          <w:sz w:val="20"/>
          <w:szCs w:val="20"/>
        </w:rPr>
        <w:lastRenderedPageBreak/>
        <w:t>relate to strategies, plans or objectives for, or potential results of, future operations, financial results, financial condition, business prospects, growth strategy or liquidity, and are based u</w:t>
      </w:r>
      <w:r>
        <w:rPr>
          <w:sz w:val="20"/>
          <w:szCs w:val="20"/>
        </w:rPr>
        <w:t>pon management’s current plans and beliefs or current estimates of future results or trends. Forward-looking statements can generally be identified by phrases such as “believes,” “expects,” “potential,” “continues,” “may,” “should,” “seeks,” “predicts,” “a</w:t>
      </w:r>
      <w:r>
        <w:rPr>
          <w:sz w:val="20"/>
          <w:szCs w:val="20"/>
        </w:rPr>
        <w:t>nticipates,” “intends,” “projects,” “estimates,” “plans,” “could,” “designed,” “should be” and other similar expressions that denote expectations of future or conditional events rather than statements of fact.</w:t>
      </w:r>
    </w:p>
    <w:p w:rsidR="00000000" w:rsidRDefault="009730FF">
      <w:pPr>
        <w:pStyle w:val="a3"/>
        <w:spacing w:before="0" w:beforeAutospacing="0" w:after="240" w:afterAutospacing="0"/>
        <w:ind w:firstLine="360"/>
        <w:divId w:val="795367950"/>
        <w:rPr>
          <w:sz w:val="20"/>
          <w:szCs w:val="20"/>
        </w:rPr>
      </w:pPr>
      <w:r>
        <w:rPr>
          <w:sz w:val="20"/>
          <w:szCs w:val="20"/>
        </w:rPr>
        <w:t>Forward-looking statements include certain sta</w:t>
      </w:r>
      <w:r>
        <w:rPr>
          <w:sz w:val="20"/>
          <w:szCs w:val="20"/>
        </w:rPr>
        <w:t>tements made under the caption, “Management’s Discussion and Analysis of Financial Condition and Results of Operations,” under Part I, Item 2 of this Report, but also forward-looking statements that appear in other parts of this Report. Forward-looking sta</w:t>
      </w:r>
      <w:r>
        <w:rPr>
          <w:sz w:val="20"/>
          <w:szCs w:val="20"/>
        </w:rPr>
        <w:t>tements reflect our current views with respect to future events and are based on certain assumptions and are subject to risks and uncertainties that could cause our actual results to differ materially from trends, plans, or expectations set forth in the fo</w:t>
      </w:r>
      <w:r>
        <w:rPr>
          <w:sz w:val="20"/>
          <w:szCs w:val="20"/>
        </w:rPr>
        <w:t xml:space="preserve">rward-looking statements. These include risks related to economic downturns, substantial competition and rising operating costs; risks related to the severity, magnitude and duration of the COVID-19 pandemic and its impact on the global economy, financial </w:t>
      </w:r>
      <w:r>
        <w:rPr>
          <w:sz w:val="20"/>
          <w:szCs w:val="20"/>
        </w:rPr>
        <w:t>markets and industries in which our subsidiaries operate; the impacts from the Russia/Ukraine conflict, including economic volatility and the impacts of export controls and other economic sanctions; risks related to our investment activities, including the</w:t>
      </w:r>
      <w:r>
        <w:rPr>
          <w:sz w:val="20"/>
          <w:szCs w:val="20"/>
        </w:rPr>
        <w:t xml:space="preserve"> nature of the investments made by the private funds in which we invest, declines in the fair value of our investments as a result of the COVID-19 pandemic, losses in the private funds and loss of key employees; risks related to our ability to continue to </w:t>
      </w:r>
      <w:r>
        <w:rPr>
          <w:sz w:val="20"/>
          <w:szCs w:val="20"/>
        </w:rPr>
        <w:t>conduct our activities in a manner so as to not be deemed an investment company under the Investment Company Act of 1940, as amended; risks related to our energy business, including the volatility and availability of crude oil, declines in global demand fo</w:t>
      </w:r>
      <w:r>
        <w:rPr>
          <w:sz w:val="20"/>
          <w:szCs w:val="20"/>
        </w:rPr>
        <w:t>r crude oil, refined products and liquid transportation fuels as result of the COVID-19 pandemic, other feed stocks and refined products, unfavorable refining margin (crack spread), interrupted access to pipelines, significant fluctuations in nitrogen fert</w:t>
      </w:r>
      <w:r>
        <w:rPr>
          <w:sz w:val="20"/>
          <w:szCs w:val="20"/>
        </w:rPr>
        <w:t>ilizer demand in the agricultural industry and seasonality of results; risks related to our automotive activities and exposure to adverse conditions in the automotive industry, including as a result of the COVID-19 pandemic; risks related to our food packa</w:t>
      </w:r>
      <w:r>
        <w:rPr>
          <w:sz w:val="20"/>
          <w:szCs w:val="20"/>
        </w:rPr>
        <w:t>ging activities, including competition from better capitalized competitors, inability of our suppliers to timely deliver raw materials, and the failure to effectively respond to industry changes in casings technology; supply chain issues; inflation, includ</w:t>
      </w:r>
      <w:r>
        <w:rPr>
          <w:sz w:val="20"/>
          <w:szCs w:val="20"/>
        </w:rPr>
        <w:t>ing increased costs of raw materials and shipping, including as a result of the Russia/Ukraine conflict; labor shortages and workforce availability; risks related to our real estate activities, including the extent of any tenant bankruptcies and insolvenci</w:t>
      </w:r>
      <w:r>
        <w:rPr>
          <w:sz w:val="20"/>
          <w:szCs w:val="20"/>
        </w:rPr>
        <w:t xml:space="preserve">es; risks related to our home fashion operations, including changes in the availability and price of raw materials, and changes in transportation costs and delivery times. These risks and uncertainties also include the risks and uncertainties described in </w:t>
      </w:r>
      <w:r>
        <w:rPr>
          <w:sz w:val="20"/>
          <w:szCs w:val="20"/>
        </w:rPr>
        <w:t>our Annual Report on Form 10-K for the year ended December 31, 2021 and those set forth in this Report, including under the caption “Risk Factors,” under Part II, Item 1A of this Report. Additionally, there may be other factors not presently known to us or</w:t>
      </w:r>
      <w:r>
        <w:rPr>
          <w:sz w:val="20"/>
          <w:szCs w:val="20"/>
        </w:rPr>
        <w:t xml:space="preserve"> which we currently consider to be immaterial that may cause our actual results to differ materially from the forward-looking statements.</w:t>
      </w:r>
    </w:p>
    <w:p w:rsidR="00000000" w:rsidRDefault="009730FF">
      <w:pPr>
        <w:pStyle w:val="a3"/>
        <w:spacing w:before="0" w:beforeAutospacing="0" w:after="0" w:afterAutospacing="0"/>
        <w:divId w:val="795367950"/>
        <w:rPr>
          <w:sz w:val="20"/>
          <w:szCs w:val="20"/>
        </w:rPr>
      </w:pPr>
      <w:r>
        <w:rPr>
          <w:sz w:val="20"/>
          <w:szCs w:val="20"/>
        </w:rPr>
        <w:t>​</w:t>
      </w:r>
    </w:p>
    <w:p w:rsidR="00000000" w:rsidRDefault="009730FF">
      <w:pPr>
        <w:pStyle w:val="a3"/>
        <w:spacing w:before="480" w:beforeAutospacing="0" w:after="0" w:afterAutospacing="0"/>
        <w:jc w:val="center"/>
        <w:divId w:val="1779326071"/>
        <w:rPr>
          <w:sz w:val="20"/>
          <w:szCs w:val="20"/>
        </w:rPr>
      </w:pPr>
      <w:r>
        <w:rPr>
          <w:sz w:val="20"/>
          <w:szCs w:val="20"/>
        </w:rPr>
        <w:t>1</w:t>
      </w:r>
    </w:p>
    <w:p w:rsidR="00000000" w:rsidRDefault="009730FF">
      <w:pPr>
        <w:pStyle w:val="a3"/>
        <w:spacing w:before="0" w:beforeAutospacing="0" w:after="600" w:afterAutospacing="0"/>
        <w:divId w:val="140469725"/>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1938757603"/>
        <w:rPr>
          <w:b/>
          <w:bCs/>
          <w:sz w:val="20"/>
          <w:szCs w:val="20"/>
        </w:rPr>
      </w:pPr>
      <w:r>
        <w:rPr>
          <w:b/>
          <w:bCs/>
          <w:sz w:val="20"/>
          <w:szCs w:val="20"/>
        </w:rPr>
        <w:t>PART I. FINANCIAL INFORMATION</w:t>
      </w:r>
    </w:p>
    <w:p w:rsidR="00000000" w:rsidRDefault="009730FF">
      <w:pPr>
        <w:pStyle w:val="a3"/>
        <w:spacing w:before="0" w:beforeAutospacing="0" w:after="240" w:afterAutospacing="0"/>
        <w:divId w:val="1938757603"/>
        <w:rPr>
          <w:b/>
          <w:bCs/>
          <w:sz w:val="20"/>
          <w:szCs w:val="20"/>
        </w:rPr>
      </w:pPr>
      <w:r>
        <w:rPr>
          <w:b/>
          <w:bCs/>
          <w:sz w:val="20"/>
          <w:szCs w:val="20"/>
        </w:rPr>
        <w:t>Item </w:t>
      </w:r>
      <w:r>
        <w:rPr>
          <w:b/>
          <w:bCs/>
          <w:sz w:val="20"/>
          <w:szCs w:val="20"/>
        </w:rPr>
        <w:t>1. Financial Statements</w:t>
      </w:r>
    </w:p>
    <w:p w:rsidR="00000000" w:rsidRDefault="009730FF">
      <w:pPr>
        <w:pStyle w:val="a3"/>
        <w:spacing w:before="0" w:beforeAutospacing="0" w:after="240" w:afterAutospacing="0"/>
        <w:jc w:val="center"/>
        <w:divId w:val="1938757603"/>
        <w:rPr>
          <w:b/>
          <w:bCs/>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938757603"/>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4"/>
        <w:gridCol w:w="814"/>
        <w:gridCol w:w="200"/>
        <w:gridCol w:w="156"/>
        <w:gridCol w:w="1061"/>
      </w:tblGrid>
      <w:tr w:rsidR="00000000">
        <w:trPr>
          <w:divId w:val="1938757603"/>
          <w:trHeight w:val="20"/>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lastRenderedPageBreak/>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938757603"/>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938757603"/>
        </w:trPr>
        <w:tc>
          <w:tcPr>
            <w:tcW w:w="35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326"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 except unit amounts)</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2,160</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2,321</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3,801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2,115</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7,397</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9,151</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5,658</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5,530</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604</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546</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1,720</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1,478</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4,067</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4,085</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Derivative assets, net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469</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612</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288</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290</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581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595</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1,084</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1,023</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27,829</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27,746</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1,105</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805</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2,519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1,778</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447</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390</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Derivative liabilities, net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729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787</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4,776</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5,340</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1,369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1,611</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7,126</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7,692</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18,071</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18,403</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xml:space="preserve">Equity: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 xml:space="preserve">Limited partners: Depositary units: 296,852,879 </w:t>
            </w:r>
            <w:r>
              <w:rPr>
                <w:sz w:val="20"/>
                <w:szCs w:val="20"/>
              </w:rPr>
              <w:t>units issued and</w:t>
            </w:r>
            <w:r>
              <w:rPr>
                <w:sz w:val="20"/>
                <w:szCs w:val="20"/>
              </w:rPr>
              <w:t xml:space="preserve"> </w:t>
            </w:r>
            <w:r>
              <w:rPr>
                <w:sz w:val="20"/>
                <w:szCs w:val="20"/>
              </w:rPr>
              <w:t>outstandin</w:t>
            </w:r>
            <w:r>
              <w:rPr>
                <w:sz w:val="20"/>
                <w:szCs w:val="20"/>
              </w:rPr>
              <w:t>g</w:t>
            </w:r>
            <w:r>
              <w:rPr>
                <w:sz w:val="20"/>
                <w:szCs w:val="20"/>
              </w:rPr>
              <w:t xml:space="preserve"> at March 31, 2022 and 293,403,243 units issued and</w:t>
            </w:r>
            <w:r>
              <w:rPr>
                <w:sz w:val="20"/>
                <w:szCs w:val="20"/>
              </w:rPr>
              <w:t xml:space="preserve"> </w:t>
            </w:r>
            <w:r>
              <w:rPr>
                <w:sz w:val="20"/>
                <w:szCs w:val="20"/>
              </w:rPr>
              <w:t>outstandin</w:t>
            </w:r>
            <w:r>
              <w:rPr>
                <w:sz w:val="20"/>
                <w:szCs w:val="20"/>
              </w:rPr>
              <w:t>g</w:t>
            </w:r>
            <w:r>
              <w:rPr>
                <w:sz w:val="20"/>
                <w:szCs w:val="20"/>
              </w:rPr>
              <w:t xml:space="preserve"> at December 31, 2021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4,199</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4,298</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(756)</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(754)</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Equity attributable to Icahn Enterprises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3,443</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3,544</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6,315</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5,799</w:t>
            </w:r>
          </w:p>
        </w:tc>
      </w:tr>
      <w:tr w:rsidR="00000000">
        <w:trPr>
          <w:divId w:val="1938757603"/>
        </w:trPr>
        <w:tc>
          <w:tcPr>
            <w:tcW w:w="356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9,758</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9,343</w:t>
            </w:r>
          </w:p>
        </w:tc>
      </w:tr>
      <w:tr w:rsidR="00000000">
        <w:trPr>
          <w:divId w:val="1938757603"/>
        </w:trPr>
        <w:tc>
          <w:tcPr>
            <w:tcW w:w="356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27,829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27,746</w:t>
            </w:r>
          </w:p>
        </w:tc>
      </w:tr>
    </w:tbl>
    <w:p w:rsidR="00000000" w:rsidRDefault="009730FF">
      <w:pPr>
        <w:pStyle w:val="a3"/>
        <w:spacing w:before="0" w:beforeAutospacing="0" w:after="0" w:afterAutospacing="0"/>
        <w:divId w:val="1938757603"/>
        <w:rPr>
          <w:sz w:val="20"/>
          <w:szCs w:val="20"/>
        </w:rPr>
      </w:pPr>
      <w:r>
        <w:rPr>
          <w:sz w:val="20"/>
          <w:szCs w:val="20"/>
        </w:rPr>
        <w:t>​</w:t>
      </w:r>
    </w:p>
    <w:p w:rsidR="00000000" w:rsidRDefault="009730FF">
      <w:pPr>
        <w:pStyle w:val="a3"/>
        <w:spacing w:before="0" w:beforeAutospacing="0" w:after="240" w:afterAutospacing="0"/>
        <w:ind w:firstLine="360"/>
        <w:jc w:val="center"/>
        <w:divId w:val="1938757603"/>
        <w:rPr>
          <w:sz w:val="20"/>
          <w:szCs w:val="20"/>
        </w:rPr>
      </w:pPr>
      <w:r>
        <w:rPr>
          <w:i/>
          <w:iCs/>
          <w:sz w:val="20"/>
          <w:szCs w:val="20"/>
        </w:rPr>
        <w:t>See notes to condensed consolidated financial statements.</w:t>
      </w:r>
    </w:p>
    <w:p w:rsidR="00000000" w:rsidRDefault="009730FF">
      <w:pPr>
        <w:pStyle w:val="a3"/>
        <w:spacing w:before="0" w:beforeAutospacing="0" w:after="0" w:afterAutospacing="0"/>
        <w:divId w:val="1938757603"/>
        <w:rPr>
          <w:sz w:val="20"/>
          <w:szCs w:val="20"/>
        </w:rPr>
      </w:pPr>
      <w:r>
        <w:rPr>
          <w:i/>
          <w:iCs/>
          <w:sz w:val="20"/>
          <w:szCs w:val="20"/>
        </w:rPr>
        <w:t>​</w:t>
      </w:r>
    </w:p>
    <w:p w:rsidR="00000000" w:rsidRDefault="009730FF">
      <w:pPr>
        <w:pStyle w:val="a3"/>
        <w:spacing w:before="480" w:beforeAutospacing="0" w:after="0" w:afterAutospacing="0"/>
        <w:jc w:val="center"/>
        <w:divId w:val="2092582349"/>
        <w:rPr>
          <w:sz w:val="20"/>
          <w:szCs w:val="20"/>
        </w:rPr>
      </w:pPr>
      <w:r>
        <w:rPr>
          <w:sz w:val="20"/>
          <w:szCs w:val="20"/>
        </w:rPr>
        <w:t>2</w:t>
      </w:r>
    </w:p>
    <w:p w:rsidR="00000000" w:rsidRDefault="009730FF">
      <w:pPr>
        <w:pStyle w:val="a3"/>
        <w:spacing w:before="0" w:beforeAutospacing="0" w:after="600" w:afterAutospacing="0"/>
        <w:divId w:val="372192591"/>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1683627765"/>
        <w:rPr>
          <w:b/>
          <w:bCs/>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683627765"/>
        <w:rPr>
          <w:b/>
          <w:bCs/>
          <w:sz w:val="20"/>
          <w:szCs w:val="20"/>
        </w:rPr>
      </w:pPr>
      <w:r>
        <w:rPr>
          <w:b/>
          <w:bCs/>
          <w:sz w:val="20"/>
          <w:szCs w:val="20"/>
        </w:rPr>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5647"/>
        <w:gridCol w:w="160"/>
        <w:gridCol w:w="100"/>
        <w:gridCol w:w="1001"/>
        <w:gridCol w:w="236"/>
        <w:gridCol w:w="164"/>
        <w:gridCol w:w="1010"/>
      </w:tblGrid>
      <w:tr w:rsidR="00000000">
        <w:trPr>
          <w:divId w:val="1683627765"/>
          <w:trHeight w:val="20"/>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divId w:val="52602456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7080682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09619398"/>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58172731"/>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2893455"/>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139301375"/>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17399499"/>
              <w:rPr>
                <w:sz w:val="20"/>
                <w:szCs w:val="20"/>
              </w:rPr>
            </w:pPr>
            <w:r>
              <w:rPr>
                <w:sz w:val="2"/>
                <w:szCs w:val="2"/>
              </w:rPr>
              <w:t>​</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16"/>
                <w:szCs w:val="16"/>
              </w:rPr>
              <w:t>​</w:t>
            </w:r>
          </w:p>
        </w:tc>
        <w:tc>
          <w:tcPr>
            <w:tcW w:w="1295" w:type="pct"/>
            <w:gridSpan w:val="5"/>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683627765"/>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683627765"/>
        </w:trPr>
        <w:tc>
          <w:tcPr>
            <w:tcW w:w="3614"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40" w:type="pct"/>
            <w:gridSpan w:val="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 except per unit amounts)</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lastRenderedPageBreak/>
              <w:t>Revenues:</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Net sales</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2,968</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2,218</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Other revenues from operations</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159</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152</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Net gain from investment activities</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939</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1,006</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Interest and dividend income</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42</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26</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Other loss, net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(24)</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(18)</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4,084</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3,384</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Expenses:</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Cost of goods sold</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2,538</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2,139</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Other expenses from operations</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128</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118</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Selling, general and administrative</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301</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316</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Interest expense</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134</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195</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3,101</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2,768</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xml:space="preserve">Income before income tax expense </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983</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616</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Income tax expense</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(98)</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(17)</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income</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885</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599</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Less: net income attributable to non-controlling interests</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562</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437</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income attributable to Icahn Enterprises</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323</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162</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income attributable to Icahn Enterprises allocated to:</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Limited partners</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317</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159</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General partner</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323</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162</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Basic income per LP unit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1.08</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0.66</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Basic weighted average LP units outstanding</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294</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242</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Diluted income per LP unit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1.06</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0.65</w:t>
            </w:r>
          </w:p>
        </w:tc>
      </w:tr>
      <w:tr w:rsidR="00000000">
        <w:trPr>
          <w:divId w:val="1683627765"/>
        </w:trPr>
        <w:tc>
          <w:tcPr>
            <w:tcW w:w="361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Diluted weighted average LP units outstanding</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299</w:t>
            </w:r>
          </w:p>
        </w:tc>
        <w:tc>
          <w:tcPr>
            <w:tcW w:w="12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245</w:t>
            </w:r>
          </w:p>
        </w:tc>
      </w:tr>
      <w:tr w:rsidR="00000000">
        <w:trPr>
          <w:divId w:val="1683627765"/>
        </w:trPr>
        <w:tc>
          <w:tcPr>
            <w:tcW w:w="361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Distributions declared per LP unit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2.00</w:t>
            </w:r>
          </w:p>
        </w:tc>
        <w:tc>
          <w:tcPr>
            <w:tcW w:w="12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2.00</w:t>
            </w:r>
          </w:p>
        </w:tc>
      </w:tr>
    </w:tbl>
    <w:p w:rsidR="00000000" w:rsidRDefault="009730FF">
      <w:pPr>
        <w:pStyle w:val="a3"/>
        <w:spacing w:before="0" w:beforeAutospacing="0" w:after="0" w:afterAutospacing="0"/>
        <w:divId w:val="1683627765"/>
        <w:rPr>
          <w:sz w:val="20"/>
          <w:szCs w:val="20"/>
        </w:rPr>
      </w:pPr>
      <w:r>
        <w:rPr>
          <w:sz w:val="20"/>
          <w:szCs w:val="20"/>
        </w:rPr>
        <w:t>​</w:t>
      </w:r>
    </w:p>
    <w:p w:rsidR="00000000" w:rsidRDefault="009730FF">
      <w:pPr>
        <w:pStyle w:val="a3"/>
        <w:spacing w:before="0" w:beforeAutospacing="0" w:after="0" w:afterAutospacing="0"/>
        <w:ind w:firstLine="360"/>
        <w:jc w:val="center"/>
        <w:divId w:val="1683627765"/>
        <w:rPr>
          <w:sz w:val="20"/>
          <w:szCs w:val="20"/>
        </w:rPr>
      </w:pPr>
      <w:r>
        <w:rPr>
          <w:i/>
          <w:iCs/>
          <w:sz w:val="20"/>
          <w:szCs w:val="20"/>
        </w:rPr>
        <w:t>See notes to condensed consolidated financial statements.</w:t>
      </w:r>
    </w:p>
    <w:p w:rsidR="00000000" w:rsidRDefault="009730FF">
      <w:pPr>
        <w:pStyle w:val="a3"/>
        <w:spacing w:before="0" w:beforeAutospacing="0" w:after="0" w:afterAutospacing="0"/>
        <w:divId w:val="1683627765"/>
        <w:rPr>
          <w:sz w:val="20"/>
          <w:szCs w:val="20"/>
        </w:rPr>
      </w:pPr>
      <w:r>
        <w:rPr>
          <w:i/>
          <w:iCs/>
          <w:sz w:val="20"/>
          <w:szCs w:val="20"/>
        </w:rPr>
        <w:t>​</w:t>
      </w:r>
    </w:p>
    <w:p w:rsidR="00000000" w:rsidRDefault="009730FF">
      <w:pPr>
        <w:pStyle w:val="a3"/>
        <w:spacing w:before="480" w:beforeAutospacing="0" w:after="0" w:afterAutospacing="0"/>
        <w:jc w:val="center"/>
        <w:divId w:val="788747462"/>
        <w:rPr>
          <w:sz w:val="20"/>
          <w:szCs w:val="20"/>
        </w:rPr>
      </w:pPr>
      <w:r>
        <w:rPr>
          <w:sz w:val="20"/>
          <w:szCs w:val="20"/>
        </w:rPr>
        <w:t>3</w:t>
      </w:r>
    </w:p>
    <w:p w:rsidR="00000000" w:rsidRDefault="009730FF">
      <w:pPr>
        <w:pStyle w:val="a3"/>
        <w:spacing w:before="0" w:beforeAutospacing="0" w:after="600" w:afterAutospacing="0"/>
        <w:divId w:val="397098338"/>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1056926415"/>
        <w:rPr>
          <w:b/>
          <w:bCs/>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056926415"/>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6033"/>
        <w:gridCol w:w="189"/>
        <w:gridCol w:w="128"/>
        <w:gridCol w:w="812"/>
        <w:gridCol w:w="200"/>
        <w:gridCol w:w="128"/>
        <w:gridCol w:w="816"/>
      </w:tblGrid>
      <w:tr w:rsidR="00000000">
        <w:trPr>
          <w:divId w:val="1056926415"/>
          <w:trHeight w:val="20"/>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divId w:val="194445616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5720733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40719121"/>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8241885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0859669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95518511"/>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22520585"/>
              <w:rPr>
                <w:sz w:val="20"/>
                <w:szCs w:val="20"/>
              </w:rPr>
            </w:pPr>
            <w:r>
              <w:rPr>
                <w:sz w:val="2"/>
                <w:szCs w:val="2"/>
              </w:rPr>
              <w:t>​</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52" w:type="pct"/>
            <w:gridSpan w:val="5"/>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056926415"/>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73" w:type="pct"/>
            <w:gridSpan w:val="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056926415"/>
        </w:trPr>
        <w:tc>
          <w:tcPr>
            <w:tcW w:w="363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income</w:t>
            </w:r>
          </w:p>
        </w:tc>
        <w:tc>
          <w:tcPr>
            <w:tcW w:w="1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885</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599</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comprehensive income, net of tax:</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056926415"/>
        </w:trPr>
        <w:tc>
          <w:tcPr>
            <w:tcW w:w="363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Translation adjustments</w:t>
            </w:r>
          </w:p>
        </w:tc>
        <w:tc>
          <w:tcPr>
            <w:tcW w:w="1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comprehensive (loss) income, net of tax</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w:t>
            </w:r>
          </w:p>
        </w:tc>
      </w:tr>
      <w:tr w:rsidR="00000000">
        <w:trPr>
          <w:divId w:val="1056926415"/>
        </w:trPr>
        <w:tc>
          <w:tcPr>
            <w:tcW w:w="363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Comprehensive income</w:t>
            </w:r>
          </w:p>
        </w:tc>
        <w:tc>
          <w:tcPr>
            <w:tcW w:w="1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885</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598</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Less: Comprehensive income attributable to non-controlling interests</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562</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437</w:t>
            </w:r>
          </w:p>
        </w:tc>
      </w:tr>
      <w:tr w:rsidR="00000000">
        <w:trPr>
          <w:divId w:val="1056926415"/>
        </w:trPr>
        <w:tc>
          <w:tcPr>
            <w:tcW w:w="363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lastRenderedPageBreak/>
              <w:t>Comprehensive income attributable to Icahn Enterprises</w:t>
            </w:r>
          </w:p>
        </w:tc>
        <w:tc>
          <w:tcPr>
            <w:tcW w:w="1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323</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161</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056926415"/>
        </w:trPr>
        <w:tc>
          <w:tcPr>
            <w:tcW w:w="363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Comprehensive income attributable to Icahn Enterprises allocated to:</w:t>
            </w:r>
          </w:p>
        </w:tc>
        <w:tc>
          <w:tcPr>
            <w:tcW w:w="1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Limited partners</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317</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158</w:t>
            </w:r>
          </w:p>
        </w:tc>
      </w:tr>
      <w:tr w:rsidR="00000000">
        <w:trPr>
          <w:divId w:val="1056926415"/>
        </w:trPr>
        <w:tc>
          <w:tcPr>
            <w:tcW w:w="363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General partner</w:t>
            </w:r>
          </w:p>
        </w:tc>
        <w:tc>
          <w:tcPr>
            <w:tcW w:w="11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w:t>
            </w:r>
          </w:p>
        </w:tc>
      </w:tr>
      <w:tr w:rsidR="00000000">
        <w:trPr>
          <w:divId w:val="1056926415"/>
        </w:trPr>
        <w:tc>
          <w:tcPr>
            <w:tcW w:w="363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323</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161</w:t>
            </w:r>
          </w:p>
        </w:tc>
      </w:tr>
    </w:tbl>
    <w:p w:rsidR="00000000" w:rsidRDefault="009730FF">
      <w:pPr>
        <w:pStyle w:val="a3"/>
        <w:spacing w:before="0" w:beforeAutospacing="0" w:after="0" w:afterAutospacing="0"/>
        <w:divId w:val="1056926415"/>
        <w:rPr>
          <w:sz w:val="20"/>
          <w:szCs w:val="20"/>
        </w:rPr>
      </w:pPr>
      <w:r>
        <w:rPr>
          <w:sz w:val="20"/>
          <w:szCs w:val="20"/>
        </w:rPr>
        <w:t>​</w:t>
      </w:r>
    </w:p>
    <w:p w:rsidR="00000000" w:rsidRDefault="009730FF">
      <w:pPr>
        <w:pStyle w:val="a3"/>
        <w:spacing w:before="0" w:beforeAutospacing="0" w:after="240" w:afterAutospacing="0"/>
        <w:ind w:firstLine="360"/>
        <w:jc w:val="center"/>
        <w:divId w:val="1056926415"/>
        <w:rPr>
          <w:sz w:val="20"/>
          <w:szCs w:val="20"/>
        </w:rPr>
      </w:pPr>
      <w:r>
        <w:rPr>
          <w:i/>
          <w:iCs/>
          <w:sz w:val="20"/>
          <w:szCs w:val="20"/>
        </w:rPr>
        <w:t>See notes to condensed consolidated financial statements.</w:t>
      </w:r>
    </w:p>
    <w:p w:rsidR="00000000" w:rsidRDefault="009730FF">
      <w:pPr>
        <w:pStyle w:val="a3"/>
        <w:spacing w:before="0" w:beforeAutospacing="0" w:after="0" w:afterAutospacing="0"/>
        <w:divId w:val="1056926415"/>
        <w:rPr>
          <w:sz w:val="20"/>
          <w:szCs w:val="20"/>
        </w:rPr>
      </w:pPr>
      <w:r>
        <w:rPr>
          <w:i/>
          <w:iCs/>
          <w:sz w:val="20"/>
          <w:szCs w:val="20"/>
        </w:rPr>
        <w:t>​</w:t>
      </w:r>
    </w:p>
    <w:p w:rsidR="00000000" w:rsidRDefault="009730FF">
      <w:pPr>
        <w:pStyle w:val="a3"/>
        <w:spacing w:before="480" w:beforeAutospacing="0" w:after="0" w:afterAutospacing="0"/>
        <w:jc w:val="center"/>
        <w:divId w:val="573469057"/>
        <w:rPr>
          <w:sz w:val="20"/>
          <w:szCs w:val="20"/>
        </w:rPr>
      </w:pPr>
      <w:r>
        <w:rPr>
          <w:sz w:val="20"/>
          <w:szCs w:val="20"/>
        </w:rPr>
        <w:t>4</w:t>
      </w:r>
    </w:p>
    <w:p w:rsidR="00000000" w:rsidRDefault="009730FF">
      <w:pPr>
        <w:pStyle w:val="a3"/>
        <w:spacing w:before="0" w:beforeAutospacing="0" w:after="600" w:afterAutospacing="0"/>
        <w:divId w:val="891618312"/>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610819962"/>
        <w:rPr>
          <w:b/>
          <w:bCs/>
          <w:sz w:val="20"/>
          <w:szCs w:val="20"/>
        </w:rPr>
      </w:pPr>
      <w:r>
        <w:rPr>
          <w:b/>
          <w:bCs/>
          <w:sz w:val="20"/>
          <w:szCs w:val="20"/>
        </w:rPr>
        <w:t>ICAHN ENTERPRISES L.P. AND SUBSIDIARIES</w:t>
      </w:r>
    </w:p>
    <w:p w:rsidR="00000000" w:rsidRDefault="009730FF">
      <w:pPr>
        <w:pStyle w:val="a3"/>
        <w:spacing w:before="0" w:beforeAutospacing="0" w:after="0" w:afterAutospacing="0"/>
        <w:jc w:val="center"/>
        <w:divId w:val="610819962"/>
        <w:rPr>
          <w:b/>
          <w:bCs/>
          <w:sz w:val="20"/>
          <w:szCs w:val="20"/>
        </w:rPr>
      </w:pPr>
      <w:r>
        <w:rPr>
          <w:b/>
          <w:bCs/>
          <w:sz w:val="20"/>
          <w:szCs w:val="20"/>
        </w:rPr>
        <w:t>CONDENSED CONSOLIDATED STATEMENTS OF CHANGES IN EQUITY (UNAUDITED)</w:t>
      </w:r>
    </w:p>
    <w:p w:rsidR="00000000" w:rsidRDefault="009730FF">
      <w:pPr>
        <w:pStyle w:val="a3"/>
        <w:spacing w:before="0" w:beforeAutospacing="0" w:after="0" w:afterAutospacing="0"/>
        <w:divId w:val="6108199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1"/>
        <w:gridCol w:w="200"/>
        <w:gridCol w:w="193"/>
        <w:gridCol w:w="1185"/>
        <w:gridCol w:w="201"/>
        <w:gridCol w:w="121"/>
        <w:gridCol w:w="740"/>
        <w:gridCol w:w="200"/>
        <w:gridCol w:w="191"/>
        <w:gridCol w:w="1176"/>
        <w:gridCol w:w="200"/>
        <w:gridCol w:w="139"/>
        <w:gridCol w:w="845"/>
        <w:gridCol w:w="200"/>
        <w:gridCol w:w="151"/>
        <w:gridCol w:w="933"/>
      </w:tblGrid>
      <w:tr w:rsidR="00000000">
        <w:trPr>
          <w:divId w:val="610819962"/>
          <w:trHeight w:val="20"/>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divId w:val="4931037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8206881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97504492"/>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5130242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0376421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02525531"/>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514357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1837114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67966901"/>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027343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0506266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80891608"/>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109622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9246636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91753250"/>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59937263"/>
              <w:rPr>
                <w:sz w:val="20"/>
                <w:szCs w:val="20"/>
              </w:rPr>
            </w:pPr>
            <w:r>
              <w:rPr>
                <w:sz w:val="2"/>
                <w:szCs w:val="2"/>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2157"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Equity Attributable to Icahn Enterprises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General </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Limited </w:t>
            </w:r>
            <w:r>
              <w:rPr>
                <w:sz w:val="20"/>
                <w:szCs w:val="20"/>
              </w:rPr>
              <w:t>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Partner’s</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Partners’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04"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(Deficit) Equity</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Equity</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Total Equity</w:t>
            </w:r>
          </w:p>
        </w:tc>
      </w:tr>
      <w:tr w:rsidR="00000000">
        <w:trPr>
          <w:divId w:val="610819962"/>
        </w:trPr>
        <w:tc>
          <w:tcPr>
            <w:tcW w:w="0" w:type="auto"/>
            <w:gridSpan w:val="16"/>
            <w:tcMar>
              <w:top w:w="0" w:type="dxa"/>
              <w:left w:w="0" w:type="dxa"/>
              <w:bottom w:w="0" w:type="dxa"/>
              <w:right w:w="0" w:type="dxa"/>
            </w:tcMar>
            <w:vAlign w:val="center"/>
            <w:hideMark/>
          </w:tcPr>
          <w:p w:rsidR="00000000" w:rsidRDefault="009730FF">
            <w:pPr>
              <w:rPr>
                <w:sz w:val="20"/>
                <w:szCs w:val="20"/>
              </w:rPr>
            </w:pP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29" w:type="pct"/>
            <w:gridSpan w:val="1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Balance, December 31, 2021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(754)</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4,298</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3,544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5,799</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9,343</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income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317</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562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885</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Partnership distributions payable</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(12)</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(591)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(603)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(603)</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Partnership contributions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180</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184</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Dividends and distributions to non-controlling interests in subsidiaries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(36)</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Changes in subsidiary equity and other</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(5)</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6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(10)</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4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(15)</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Balance, March 31, 2022</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b/>
                <w:bCs/>
                <w:sz w:val="20"/>
                <w:szCs w:val="20"/>
              </w:rPr>
              <w:t>(756)</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b/>
                <w:bCs/>
                <w:sz w:val="20"/>
                <w:szCs w:val="20"/>
              </w:rPr>
              <w:t>4,199</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b/>
                <w:bCs/>
                <w:sz w:val="20"/>
                <w:szCs w:val="20"/>
              </w:rPr>
              <w:t>3,443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b/>
                <w:bCs/>
                <w:sz w:val="20"/>
                <w:szCs w:val="20"/>
              </w:rPr>
              <w:t>6,315</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4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b/>
                <w:bCs/>
                <w:sz w:val="20"/>
                <w:szCs w:val="20"/>
              </w:rPr>
              <w:t>9,758</w:t>
            </w:r>
          </w:p>
        </w:tc>
      </w:tr>
    </w:tbl>
    <w:p w:rsidR="00000000" w:rsidRDefault="009730FF">
      <w:pPr>
        <w:pStyle w:val="a3"/>
        <w:spacing w:before="0" w:beforeAutospacing="0" w:after="0" w:afterAutospacing="0"/>
        <w:divId w:val="6108199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1"/>
        <w:gridCol w:w="200"/>
        <w:gridCol w:w="193"/>
        <w:gridCol w:w="1185"/>
        <w:gridCol w:w="201"/>
        <w:gridCol w:w="121"/>
        <w:gridCol w:w="740"/>
        <w:gridCol w:w="200"/>
        <w:gridCol w:w="191"/>
        <w:gridCol w:w="1176"/>
        <w:gridCol w:w="200"/>
        <w:gridCol w:w="139"/>
        <w:gridCol w:w="845"/>
        <w:gridCol w:w="200"/>
        <w:gridCol w:w="151"/>
        <w:gridCol w:w="933"/>
      </w:tblGrid>
      <w:tr w:rsidR="00000000">
        <w:trPr>
          <w:divId w:val="610819962"/>
          <w:trHeight w:val="20"/>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divId w:val="191700724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1843772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549656025"/>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115318843"/>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1910997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581305775"/>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62735073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0011515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73629627"/>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7824578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4098302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072314929"/>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82086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02282879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33821148"/>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54129023"/>
              <w:rPr>
                <w:sz w:val="20"/>
                <w:szCs w:val="20"/>
              </w:rPr>
            </w:pPr>
            <w:r>
              <w:rPr>
                <w:sz w:val="2"/>
                <w:szCs w:val="2"/>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2157"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Equity Attributable to Icahn Enterprises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General </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Limited </w:t>
            </w:r>
            <w:r>
              <w:rPr>
                <w:sz w:val="20"/>
                <w:szCs w:val="20"/>
              </w:rPr>
              <w:t>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Partner’s</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Partners’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04"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 </w:t>
            </w:r>
            <w:r>
              <w:rPr>
                <w:b/>
                <w:bCs/>
                <w:sz w:val="20"/>
                <w:szCs w:val="20"/>
              </w:rPr>
              <w:t>(Deficit) Equity</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Equity</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Total Equity</w:t>
            </w:r>
          </w:p>
        </w:tc>
      </w:tr>
      <w:tr w:rsidR="00000000">
        <w:trPr>
          <w:divId w:val="610819962"/>
        </w:trPr>
        <w:tc>
          <w:tcPr>
            <w:tcW w:w="0" w:type="auto"/>
            <w:gridSpan w:val="16"/>
            <w:tcMar>
              <w:top w:w="0" w:type="dxa"/>
              <w:left w:w="0" w:type="dxa"/>
              <w:bottom w:w="0" w:type="dxa"/>
              <w:right w:w="0" w:type="dxa"/>
            </w:tcMar>
            <w:vAlign w:val="center"/>
            <w:hideMark/>
          </w:tcPr>
          <w:p w:rsidR="00000000" w:rsidRDefault="009730FF">
            <w:pPr>
              <w:rPr>
                <w:sz w:val="20"/>
                <w:szCs w:val="20"/>
              </w:rPr>
            </w:pP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429" w:type="pct"/>
            <w:gridSpan w:val="14"/>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Balance, December 31, 2020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(853)</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4,236</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3,383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5,875</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9,258</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Net income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159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162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599</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Other comprehensive loss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Partnership distributions payable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(10)</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(489)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(499)</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(499)</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Partnership contributions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182</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186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186</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Investment segment contributions from non-controlling interests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40</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40</w:t>
            </w:r>
          </w:p>
        </w:tc>
      </w:tr>
      <w:tr w:rsidR="00000000">
        <w:trPr>
          <w:divId w:val="610819962"/>
        </w:trPr>
        <w:tc>
          <w:tcPr>
            <w:tcW w:w="146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Changes in subsidiary equity and other</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6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4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r>
      <w:tr w:rsidR="00000000">
        <w:trPr>
          <w:divId w:val="610819962"/>
        </w:trPr>
        <w:tc>
          <w:tcPr>
            <w:tcW w:w="146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Balance, March 31, 2021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b/>
                <w:bCs/>
                <w:sz w:val="20"/>
                <w:szCs w:val="20"/>
              </w:rPr>
              <w:t>(856)</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7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b/>
                <w:bCs/>
                <w:sz w:val="20"/>
                <w:szCs w:val="20"/>
              </w:rPr>
              <w:t>4,086</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9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60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b/>
                <w:bCs/>
                <w:sz w:val="20"/>
                <w:szCs w:val="20"/>
              </w:rPr>
              <w:t>3,230</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7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b/>
                <w:bCs/>
                <w:sz w:val="20"/>
                <w:szCs w:val="20"/>
              </w:rPr>
              <w:t>6,352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7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4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b/>
                <w:bCs/>
                <w:sz w:val="20"/>
                <w:szCs w:val="20"/>
              </w:rPr>
              <w:t>9,582</w:t>
            </w:r>
          </w:p>
        </w:tc>
      </w:tr>
    </w:tbl>
    <w:p w:rsidR="00000000" w:rsidRDefault="009730FF">
      <w:pPr>
        <w:pStyle w:val="a3"/>
        <w:spacing w:before="0" w:beforeAutospacing="0" w:after="0" w:afterAutospacing="0"/>
        <w:ind w:firstLine="360"/>
        <w:jc w:val="center"/>
        <w:divId w:val="610819962"/>
        <w:rPr>
          <w:sz w:val="20"/>
          <w:szCs w:val="20"/>
        </w:rPr>
      </w:pPr>
      <w:r>
        <w:rPr>
          <w:i/>
          <w:iCs/>
          <w:sz w:val="20"/>
          <w:szCs w:val="20"/>
        </w:rPr>
        <w:t>​</w:t>
      </w:r>
    </w:p>
    <w:p w:rsidR="00000000" w:rsidRDefault="009730FF">
      <w:pPr>
        <w:pStyle w:val="a3"/>
        <w:spacing w:before="0" w:beforeAutospacing="0" w:after="240" w:afterAutospacing="0"/>
        <w:ind w:firstLine="360"/>
        <w:jc w:val="center"/>
        <w:divId w:val="610819962"/>
        <w:rPr>
          <w:sz w:val="20"/>
          <w:szCs w:val="20"/>
        </w:rPr>
      </w:pPr>
      <w:r>
        <w:rPr>
          <w:i/>
          <w:iCs/>
          <w:sz w:val="20"/>
          <w:szCs w:val="20"/>
        </w:rPr>
        <w:t>See notes to condensed consolidated financial statements.</w:t>
      </w:r>
    </w:p>
    <w:p w:rsidR="00000000" w:rsidRDefault="009730FF">
      <w:pPr>
        <w:pStyle w:val="a3"/>
        <w:spacing w:before="0" w:beforeAutospacing="0" w:after="0" w:afterAutospacing="0"/>
        <w:divId w:val="610819962"/>
        <w:rPr>
          <w:sz w:val="20"/>
          <w:szCs w:val="20"/>
        </w:rPr>
      </w:pPr>
      <w:r>
        <w:rPr>
          <w:sz w:val="20"/>
          <w:szCs w:val="20"/>
        </w:rPr>
        <w:t>​</w:t>
      </w:r>
    </w:p>
    <w:p w:rsidR="00000000" w:rsidRDefault="009730FF">
      <w:pPr>
        <w:pStyle w:val="a3"/>
        <w:spacing w:before="480" w:beforeAutospacing="0" w:after="0" w:afterAutospacing="0"/>
        <w:jc w:val="center"/>
        <w:divId w:val="1778214359"/>
        <w:rPr>
          <w:sz w:val="20"/>
          <w:szCs w:val="20"/>
        </w:rPr>
      </w:pPr>
      <w:r>
        <w:rPr>
          <w:sz w:val="20"/>
          <w:szCs w:val="20"/>
        </w:rPr>
        <w:t>5</w:t>
      </w:r>
    </w:p>
    <w:p w:rsidR="00000000" w:rsidRDefault="009730FF">
      <w:pPr>
        <w:pStyle w:val="a3"/>
        <w:spacing w:before="0" w:beforeAutospacing="0" w:after="600" w:afterAutospacing="0"/>
        <w:divId w:val="12464961"/>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459501177"/>
        <w:rPr>
          <w:b/>
          <w:bCs/>
          <w:sz w:val="20"/>
          <w:szCs w:val="20"/>
        </w:rPr>
      </w:pPr>
      <w:r>
        <w:rPr>
          <w:b/>
          <w:bCs/>
          <w:sz w:val="20"/>
          <w:szCs w:val="20"/>
        </w:rPr>
        <w:t>ICAHN ENTERPRISES L.P. AND SUBSIDIARIES</w:t>
      </w:r>
    </w:p>
    <w:p w:rsidR="00000000" w:rsidRDefault="009730FF">
      <w:pPr>
        <w:pStyle w:val="a3"/>
        <w:spacing w:before="0" w:beforeAutospacing="0" w:after="0" w:afterAutospacing="0"/>
        <w:jc w:val="center"/>
        <w:divId w:val="459501177"/>
        <w:rPr>
          <w:b/>
          <w:bCs/>
          <w:sz w:val="20"/>
          <w:szCs w:val="20"/>
        </w:rPr>
      </w:pPr>
      <w:r>
        <w:rPr>
          <w:b/>
          <w:bCs/>
          <w:sz w:val="20"/>
          <w:szCs w:val="20"/>
        </w:rPr>
        <w:t>CONDENSED CONSOLIDATED STATEMENTS OF CASH FLOWS (UNAUDITED)</w:t>
      </w:r>
    </w:p>
    <w:p w:rsidR="00000000" w:rsidRDefault="009730FF">
      <w:pPr>
        <w:pStyle w:val="a3"/>
        <w:spacing w:before="0" w:beforeAutospacing="0" w:after="0" w:afterAutospacing="0"/>
        <w:ind w:firstLine="360"/>
        <w:divId w:val="45950117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16"/>
        <w:gridCol w:w="190"/>
        <w:gridCol w:w="179"/>
        <w:gridCol w:w="1094"/>
        <w:gridCol w:w="256"/>
        <w:gridCol w:w="176"/>
        <w:gridCol w:w="1095"/>
      </w:tblGrid>
      <w:tr w:rsidR="00000000">
        <w:trPr>
          <w:divId w:val="459501177"/>
          <w:trHeight w:val="20"/>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divId w:val="135017706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6816387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0807642"/>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98358618"/>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62562647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1383798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032455975"/>
              <w:rPr>
                <w:sz w:val="20"/>
                <w:szCs w:val="20"/>
              </w:rPr>
            </w:pPr>
            <w:r>
              <w:rPr>
                <w:sz w:val="2"/>
                <w:szCs w:val="2"/>
              </w:rPr>
              <w:t>​</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9"/>
                <w:szCs w:val="19"/>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Three Months Ended March 31, </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8"/>
                <w:szCs w:val="18"/>
              </w:rPr>
            </w:pPr>
            <w:r>
              <w:rPr>
                <w:sz w:val="19"/>
                <w:szCs w:val="19"/>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2022</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2021</w:t>
            </w:r>
          </w:p>
        </w:tc>
      </w:tr>
      <w:tr w:rsidR="00000000">
        <w:trPr>
          <w:divId w:val="459501177"/>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459501177"/>
        </w:trPr>
        <w:tc>
          <w:tcPr>
            <w:tcW w:w="3459"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9"/>
                <w:szCs w:val="19"/>
              </w:rPr>
              <w:t>​</w:t>
            </w:r>
          </w:p>
        </w:tc>
        <w:tc>
          <w:tcPr>
            <w:tcW w:w="1442" w:type="pct"/>
            <w:gridSpan w:val="5"/>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Cash flows from operating activities: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xml:space="preserve">Net income </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885</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599</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Adjustments to reconcile net income to net cash provided by (used in) operating activities: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Net gain from securities transactions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(1,133)</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(1,290)</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Purchases of securities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(20)</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(1,519)</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Proceeds from sales of securities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3,330</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715</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Payments to cover securities sold, not yet purchased</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(1,913)</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(459)</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Proceeds from securities sold, not yet purchased</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816</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2,141</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Changes in receivables and payables relating to securities transactions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(416)</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(858)</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Changes in derivative assets and liabilities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85</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(125)</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Depreciation and amortization</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122</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127</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Deferred taxes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57</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(18)</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Other, net</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26</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10</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Changes in other operating assets and liabilities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81</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126</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Net cash provided by (used in) operating activities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1,920</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(551)</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Cash flows from investing activities: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Capital expenditures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(47)</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Turnaround expenditures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(15)</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Acquisition of businesses, net of cash acquired</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(20)</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Proceeds from sale of investments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107</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182</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Other, net</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Net cash provided by investing activities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38</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116</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Cash flows from financing activities: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Investment segment contributions from non-controlling interests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40</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Partnership contributions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178</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182</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Partnership distributions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Dividends and distributions to non-controlling interests in subsidiaries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(36)</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Proceeds from Holding Company senior unsecured notes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750</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Repayments of Holding Company senior unsecured notes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(500)</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(750)</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Proceeds from subsidiary borrowings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32</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177</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Repayments of subsidiary borrowings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(97)</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(180)</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Other, net</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(13)</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Net cash (used in) provided by financing activities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(435)</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214</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Effect of exchange rate changes on cash and cash equivalents and restricted cash and restricted cash equivalents</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Net increase (decrease) in cash and cash equivalents and restricted cash and restricted cash equivalents</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1,525</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(215)</w:t>
            </w:r>
          </w:p>
        </w:tc>
      </w:tr>
      <w:tr w:rsidR="00000000">
        <w:trPr>
          <w:divId w:val="459501177"/>
        </w:trPr>
        <w:tc>
          <w:tcPr>
            <w:tcW w:w="345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Cash and cash equivalents and restricted cash and restricted cash equivalents, beginning of period</w:t>
            </w:r>
          </w:p>
        </w:tc>
        <w:tc>
          <w:tcPr>
            <w:tcW w:w="9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4,436</w:t>
            </w:r>
          </w:p>
        </w:tc>
        <w:tc>
          <w:tcPr>
            <w:tcW w:w="13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3,291</w:t>
            </w:r>
          </w:p>
        </w:tc>
      </w:tr>
      <w:tr w:rsidR="00000000">
        <w:trPr>
          <w:divId w:val="459501177"/>
        </w:trPr>
        <w:tc>
          <w:tcPr>
            <w:tcW w:w="345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Cash and cash equivalents and restricted cash and restricted cash equivalents, end of period</w:t>
            </w:r>
          </w:p>
        </w:tc>
        <w:tc>
          <w:tcPr>
            <w:tcW w:w="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5,961</w:t>
            </w:r>
          </w:p>
        </w:tc>
        <w:tc>
          <w:tcPr>
            <w:tcW w:w="13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3,076</w:t>
            </w:r>
          </w:p>
        </w:tc>
      </w:tr>
    </w:tbl>
    <w:p w:rsidR="00000000" w:rsidRDefault="009730FF">
      <w:pPr>
        <w:pStyle w:val="a3"/>
        <w:spacing w:before="0" w:beforeAutospacing="0" w:after="240" w:afterAutospacing="0"/>
        <w:ind w:firstLine="360"/>
        <w:jc w:val="center"/>
        <w:divId w:val="459501177"/>
        <w:rPr>
          <w:sz w:val="20"/>
          <w:szCs w:val="20"/>
        </w:rPr>
      </w:pPr>
      <w:r>
        <w:rPr>
          <w:i/>
          <w:iCs/>
          <w:sz w:val="20"/>
          <w:szCs w:val="20"/>
        </w:rPr>
        <w:t>See notes to condensed consolidated financial statements.</w:t>
      </w:r>
    </w:p>
    <w:p w:rsidR="00000000" w:rsidRDefault="009730FF">
      <w:pPr>
        <w:pStyle w:val="a3"/>
        <w:spacing w:before="0" w:beforeAutospacing="0" w:after="0" w:afterAutospacing="0" w:line="0" w:lineRule="atLeast"/>
        <w:divId w:val="459501177"/>
        <w:rPr>
          <w:vanish/>
        </w:rPr>
      </w:pPr>
      <w:r>
        <w:rPr>
          <w:b/>
          <w:bCs/>
          <w:vanish/>
          <w:sz w:val="2"/>
          <w:szCs w:val="2"/>
        </w:rPr>
        <w:t>​</w:t>
      </w:r>
    </w:p>
    <w:p w:rsidR="00000000" w:rsidRDefault="009730FF">
      <w:pPr>
        <w:pStyle w:val="a3"/>
        <w:spacing w:before="480" w:beforeAutospacing="0" w:after="0" w:afterAutospacing="0"/>
        <w:jc w:val="center"/>
        <w:divId w:val="861866023"/>
        <w:rPr>
          <w:sz w:val="20"/>
          <w:szCs w:val="20"/>
        </w:rPr>
      </w:pPr>
      <w:r>
        <w:rPr>
          <w:sz w:val="20"/>
          <w:szCs w:val="20"/>
        </w:rPr>
        <w:t>6</w:t>
      </w:r>
    </w:p>
    <w:p w:rsidR="00000000" w:rsidRDefault="009730FF">
      <w:pPr>
        <w:pStyle w:val="a3"/>
        <w:spacing w:before="0" w:beforeAutospacing="0" w:after="600" w:afterAutospacing="0"/>
        <w:divId w:val="1493524893"/>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493524893"/>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493524893"/>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620332287"/>
        <w:rPr>
          <w:b/>
          <w:bCs/>
          <w:sz w:val="20"/>
          <w:szCs w:val="20"/>
        </w:rPr>
      </w:pPr>
      <w:r>
        <w:rPr>
          <w:b/>
          <w:bCs/>
          <w:sz w:val="20"/>
          <w:szCs w:val="20"/>
        </w:rPr>
        <w:t>1.  Description of Business</w:t>
      </w:r>
    </w:p>
    <w:p w:rsidR="00000000" w:rsidRDefault="009730FF">
      <w:pPr>
        <w:pStyle w:val="a3"/>
        <w:spacing w:before="0" w:beforeAutospacing="0" w:after="240" w:afterAutospacing="0"/>
        <w:divId w:val="1620332287"/>
        <w:rPr>
          <w:b/>
          <w:bCs/>
          <w:i/>
          <w:iCs/>
          <w:sz w:val="20"/>
          <w:szCs w:val="20"/>
        </w:rPr>
      </w:pPr>
      <w:r>
        <w:rPr>
          <w:b/>
          <w:bCs/>
          <w:i/>
          <w:iCs/>
          <w:sz w:val="20"/>
          <w:szCs w:val="20"/>
        </w:rPr>
        <w:t>Overview</w:t>
      </w:r>
    </w:p>
    <w:p w:rsidR="00000000" w:rsidRDefault="009730FF">
      <w:pPr>
        <w:pStyle w:val="a3"/>
        <w:spacing w:before="0" w:beforeAutospacing="0" w:after="240" w:afterAutospacing="0"/>
        <w:ind w:firstLine="360"/>
        <w:divId w:val="1620332287"/>
        <w:rPr>
          <w:sz w:val="20"/>
          <w:szCs w:val="20"/>
        </w:rPr>
      </w:pPr>
      <w:r>
        <w:rPr>
          <w:sz w:val="20"/>
          <w:szCs w:val="20"/>
        </w:rPr>
        <w:t>Icahn Enterprises L.P. (“Icahn Enterprises”) is a master limited partnership formed in Delaware on February 17, 1987. References to “we,” “our” or “us” he</w:t>
      </w:r>
      <w:r>
        <w:rPr>
          <w:sz w:val="20"/>
          <w:szCs w:val="20"/>
        </w:rPr>
        <w:t>rein include both Icahn Enterprises and Icahn Enterprises Holdings and their subsidiaries, unless the context otherwise requires.</w:t>
      </w:r>
    </w:p>
    <w:p w:rsidR="00000000" w:rsidRDefault="009730FF">
      <w:pPr>
        <w:pStyle w:val="a3"/>
        <w:spacing w:before="0" w:beforeAutospacing="0" w:after="240" w:afterAutospacing="0"/>
        <w:ind w:firstLine="360"/>
        <w:divId w:val="1620332287"/>
        <w:rPr>
          <w:sz w:val="20"/>
          <w:szCs w:val="20"/>
        </w:rPr>
      </w:pPr>
      <w:r>
        <w:rPr>
          <w:sz w:val="20"/>
          <w:szCs w:val="20"/>
        </w:rPr>
        <w:t>Icahn Enterprises owns a 99% limited partner interest in Icahn Enterprises Holdings L.P. (“Icahn Enterprises Holdings”). Icahn</w:t>
      </w:r>
      <w:r>
        <w:rPr>
          <w:sz w:val="20"/>
          <w:szCs w:val="20"/>
        </w:rPr>
        <w:t xml:space="preserve"> Enterprises Holdings and its subsidiaries own substantially all of our assets and liabilities and conduct substantially all of our operations. Icahn Enterprises G.P. Inc. (“Icahn Enterprises GP”), which is indirectly owned and controlled by Mr. Carl C. Ic</w:t>
      </w:r>
      <w:r>
        <w:rPr>
          <w:sz w:val="20"/>
          <w:szCs w:val="20"/>
        </w:rPr>
        <w:t>ahn, owns a 1% general partner interest in each of Icahn Enterprises and Icahn Enterprises Holdings as of March 31, 2022, representing an aggregate 1.99% general partner interest in Icahn Enterprises Holdings and us. Mr. Icahn and his affiliates owned appr</w:t>
      </w:r>
      <w:r>
        <w:rPr>
          <w:sz w:val="20"/>
          <w:szCs w:val="20"/>
        </w:rPr>
        <w:t>oximately 87% of our outstanding depositary units as of March 31, 2022.</w:t>
      </w:r>
    </w:p>
    <w:p w:rsidR="00000000" w:rsidRDefault="009730FF">
      <w:pPr>
        <w:pStyle w:val="a3"/>
        <w:spacing w:before="0" w:beforeAutospacing="0" w:after="240" w:afterAutospacing="0"/>
        <w:divId w:val="1620332287"/>
        <w:rPr>
          <w:b/>
          <w:bCs/>
          <w:i/>
          <w:iCs/>
          <w:sz w:val="20"/>
          <w:szCs w:val="20"/>
        </w:rPr>
      </w:pPr>
      <w:r>
        <w:rPr>
          <w:b/>
          <w:bCs/>
          <w:i/>
          <w:iCs/>
          <w:sz w:val="20"/>
          <w:szCs w:val="20"/>
        </w:rPr>
        <w:t>Description of Continuing Operating Businesses</w:t>
      </w:r>
    </w:p>
    <w:p w:rsidR="00000000" w:rsidRDefault="009730FF">
      <w:pPr>
        <w:pStyle w:val="a3"/>
        <w:spacing w:before="0" w:beforeAutospacing="0" w:after="240" w:afterAutospacing="0"/>
        <w:ind w:firstLine="360"/>
        <w:divId w:val="1620332287"/>
        <w:rPr>
          <w:sz w:val="20"/>
          <w:szCs w:val="20"/>
        </w:rPr>
      </w:pPr>
      <w:r>
        <w:rPr>
          <w:sz w:val="20"/>
          <w:szCs w:val="20"/>
        </w:rPr>
        <w:t xml:space="preserve">We are a diversified holding company owning subsidiaries currently engaged in the following continuing operating businesses: Investment, </w:t>
      </w:r>
      <w:r>
        <w:rPr>
          <w:sz w:val="20"/>
          <w:szCs w:val="20"/>
        </w:rPr>
        <w:t>Energy, Automotive, Food Packaging, Real Estate, Home Fashion and Pharma. In addition, we operated our Metals segment until sold in December 2021. We also report the results of our Holding Company, which includes the results of certain subsidiaries of Icah</w:t>
      </w:r>
      <w:r>
        <w:rPr>
          <w:sz w:val="20"/>
          <w:szCs w:val="20"/>
        </w:rPr>
        <w:t>n Enterprises (unless otherwise noted), and investment activity and expenses associated with our Holding Company. See Note 12, “Segment Reporting,” for a reconciliation of each of our reporting segment’s results of operations to our consolidated results. C</w:t>
      </w:r>
      <w:r>
        <w:rPr>
          <w:sz w:val="20"/>
          <w:szCs w:val="20"/>
        </w:rPr>
        <w:t>ertain additional information with respect to our segments is discussed below.</w:t>
      </w:r>
    </w:p>
    <w:p w:rsidR="00000000" w:rsidRDefault="009730FF">
      <w:pPr>
        <w:pStyle w:val="a3"/>
        <w:spacing w:before="0" w:beforeAutospacing="0" w:after="240" w:afterAutospacing="0"/>
        <w:divId w:val="1620332287"/>
        <w:rPr>
          <w:i/>
          <w:iCs/>
          <w:sz w:val="20"/>
          <w:szCs w:val="20"/>
        </w:rPr>
      </w:pPr>
      <w:r>
        <w:rPr>
          <w:i/>
          <w:iCs/>
          <w:sz w:val="20"/>
          <w:szCs w:val="20"/>
        </w:rPr>
        <w:t>Investment</w:t>
      </w:r>
    </w:p>
    <w:p w:rsidR="00000000" w:rsidRDefault="009730FF">
      <w:pPr>
        <w:pStyle w:val="a3"/>
        <w:spacing w:before="0" w:beforeAutospacing="0" w:after="240" w:afterAutospacing="0"/>
        <w:ind w:firstLine="360"/>
        <w:divId w:val="1620332287"/>
        <w:rPr>
          <w:sz w:val="20"/>
          <w:szCs w:val="20"/>
        </w:rPr>
      </w:pPr>
      <w:r>
        <w:rPr>
          <w:sz w:val="20"/>
          <w:szCs w:val="20"/>
        </w:rPr>
        <w:t>Our Investment segment is comprised of various private investment funds (“Investment Funds”) in which we have general partner interests and through which we invest ou</w:t>
      </w:r>
      <w:r>
        <w:rPr>
          <w:sz w:val="20"/>
          <w:szCs w:val="20"/>
        </w:rPr>
        <w:t>r proprietary capital. As general partner, we provide investment advisory and certain administrative and back-office services to the Investment Funds but do not provide such services to any other entities, individuals or accounts. We and certain of Mr. Ica</w:t>
      </w:r>
      <w:r>
        <w:rPr>
          <w:sz w:val="20"/>
          <w:szCs w:val="20"/>
        </w:rPr>
        <w:t>hn’s family members and affiliates are the only investors in the Investment Funds. Interests in the Investment Funds are not offered to outside investors. We had interests in the Investment Funds with a fair value of approximately $4.7 billion and $4.2 bil</w:t>
      </w:r>
      <w:r>
        <w:rPr>
          <w:sz w:val="20"/>
          <w:szCs w:val="20"/>
        </w:rPr>
        <w:t xml:space="preserve">lion as of March 31, 2022 and December 31, 2021, respectively. </w:t>
      </w:r>
    </w:p>
    <w:p w:rsidR="00000000" w:rsidRDefault="009730FF">
      <w:pPr>
        <w:pStyle w:val="a3"/>
        <w:spacing w:before="0" w:beforeAutospacing="0" w:after="240" w:afterAutospacing="0"/>
        <w:divId w:val="1620332287"/>
        <w:rPr>
          <w:i/>
          <w:iCs/>
          <w:sz w:val="20"/>
          <w:szCs w:val="20"/>
        </w:rPr>
      </w:pPr>
      <w:r>
        <w:rPr>
          <w:i/>
          <w:iCs/>
          <w:sz w:val="20"/>
          <w:szCs w:val="20"/>
        </w:rPr>
        <w:t>Energy</w:t>
      </w:r>
    </w:p>
    <w:p w:rsidR="00000000" w:rsidRDefault="009730FF">
      <w:pPr>
        <w:pStyle w:val="a3"/>
        <w:spacing w:before="0" w:beforeAutospacing="0" w:after="240" w:afterAutospacing="0"/>
        <w:ind w:firstLine="360"/>
        <w:divId w:val="1620332287"/>
        <w:rPr>
          <w:sz w:val="20"/>
          <w:szCs w:val="20"/>
        </w:rPr>
      </w:pPr>
      <w:r>
        <w:rPr>
          <w:sz w:val="20"/>
          <w:szCs w:val="20"/>
        </w:rPr>
        <w:t>We conduct our Energy segment through our majority owned subsidiary, CVR Energy, Inc. (“CVR Energy”). CVR Energy is a diversified holding company primarily engaged in the petroleum refi</w:t>
      </w:r>
      <w:r>
        <w:rPr>
          <w:sz w:val="20"/>
          <w:szCs w:val="20"/>
        </w:rPr>
        <w:t xml:space="preserve">ning and nitrogen fertilizer manufacturing businesses through its holdings in CVR Refining, LP (“CVR Refining”) and CVR Partners, LP (“CVR Partners”), respectively. CVR Refining is an independent petroleum refiner and marketer of high value transportation </w:t>
      </w:r>
      <w:r>
        <w:rPr>
          <w:sz w:val="20"/>
          <w:szCs w:val="20"/>
        </w:rPr>
        <w:t>fuels. CVR Partners produces and markets nitrogen fertilizers in the form of urea ammonium nitrate and ammonia. CVR Energy has a general partner interest in each of CVR Refining and CVR Partners. In addition, CVR Energy is the sole limited partner of CVR R</w:t>
      </w:r>
      <w:r>
        <w:rPr>
          <w:sz w:val="20"/>
          <w:szCs w:val="20"/>
        </w:rPr>
        <w:t xml:space="preserve">efining and owns approximately 37% outstanding common units of CVR Partners as of March 31, 2022. As of March 31, 2022, we owned approximately 71% of the total outstanding common stock of CVR Energy. </w:t>
      </w:r>
    </w:p>
    <w:p w:rsidR="00000000" w:rsidRDefault="009730FF">
      <w:pPr>
        <w:pStyle w:val="a3"/>
        <w:spacing w:before="0" w:beforeAutospacing="0" w:after="240" w:afterAutospacing="0"/>
        <w:divId w:val="1620332287"/>
        <w:rPr>
          <w:i/>
          <w:iCs/>
          <w:sz w:val="20"/>
          <w:szCs w:val="20"/>
        </w:rPr>
      </w:pPr>
      <w:r>
        <w:rPr>
          <w:i/>
          <w:iCs/>
          <w:sz w:val="20"/>
          <w:szCs w:val="20"/>
        </w:rPr>
        <w:t>Automotive</w:t>
      </w:r>
    </w:p>
    <w:p w:rsidR="00000000" w:rsidRDefault="009730FF">
      <w:pPr>
        <w:pStyle w:val="a3"/>
        <w:spacing w:before="0" w:beforeAutospacing="0" w:after="0" w:afterAutospacing="0"/>
        <w:ind w:firstLine="360"/>
        <w:divId w:val="1620332287"/>
        <w:rPr>
          <w:sz w:val="20"/>
          <w:szCs w:val="20"/>
        </w:rPr>
      </w:pPr>
      <w:r>
        <w:rPr>
          <w:sz w:val="20"/>
          <w:szCs w:val="20"/>
        </w:rPr>
        <w:t>We conduct our Automotive segment through ou</w:t>
      </w:r>
      <w:r>
        <w:rPr>
          <w:sz w:val="20"/>
          <w:szCs w:val="20"/>
        </w:rPr>
        <w:t xml:space="preserve">r wholly owned subsidiary, Icahn Automotive Group LLC (“Icahn Automotive”). Icahn Automotive is engaged in the retail and wholesale distribution of automotive parts in the </w:t>
      </w:r>
    </w:p>
    <w:p w:rsidR="00000000" w:rsidRDefault="009730FF">
      <w:pPr>
        <w:pStyle w:val="a3"/>
        <w:spacing w:before="480" w:beforeAutospacing="0" w:after="0" w:afterAutospacing="0"/>
        <w:jc w:val="center"/>
        <w:divId w:val="788014983"/>
        <w:rPr>
          <w:sz w:val="20"/>
          <w:szCs w:val="20"/>
        </w:rPr>
      </w:pPr>
      <w:r>
        <w:rPr>
          <w:sz w:val="20"/>
          <w:szCs w:val="20"/>
        </w:rPr>
        <w:t>7</w:t>
      </w:r>
    </w:p>
    <w:p w:rsidR="00000000" w:rsidRDefault="009730FF">
      <w:pPr>
        <w:pStyle w:val="a3"/>
        <w:spacing w:before="0" w:beforeAutospacing="0" w:after="600" w:afterAutospacing="0"/>
        <w:divId w:val="1265919163"/>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265919163"/>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265919163"/>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2078893680"/>
        <w:rPr>
          <w:sz w:val="20"/>
          <w:szCs w:val="20"/>
        </w:rPr>
      </w:pPr>
      <w:r>
        <w:rPr>
          <w:sz w:val="20"/>
          <w:szCs w:val="20"/>
        </w:rPr>
        <w:t>aftermarket (“aftermarket parts”) as well as providing automotive repair and maintenance services (“automotive services”) to its customers. Icahn Autom</w:t>
      </w:r>
      <w:r>
        <w:rPr>
          <w:sz w:val="20"/>
          <w:szCs w:val="20"/>
        </w:rPr>
        <w:t>otive’s aftermarket parts and automotive services businesses serve different customer channels and have distinct strategies, opportunities and requirements and therefore are operated as two independent operating companies, each with its own Chief Executive</w:t>
      </w:r>
      <w:r>
        <w:rPr>
          <w:sz w:val="20"/>
          <w:szCs w:val="20"/>
        </w:rPr>
        <w:t xml:space="preserve"> Officer and management teams. </w:t>
      </w:r>
    </w:p>
    <w:p w:rsidR="00000000" w:rsidRDefault="009730FF">
      <w:pPr>
        <w:pStyle w:val="a3"/>
        <w:spacing w:before="0" w:beforeAutospacing="0" w:after="240" w:afterAutospacing="0"/>
        <w:divId w:val="2078893680"/>
        <w:rPr>
          <w:i/>
          <w:iCs/>
          <w:sz w:val="20"/>
          <w:szCs w:val="20"/>
        </w:rPr>
      </w:pPr>
      <w:r>
        <w:rPr>
          <w:i/>
          <w:iCs/>
          <w:sz w:val="20"/>
          <w:szCs w:val="20"/>
        </w:rPr>
        <w:t>Food Packaging</w:t>
      </w:r>
    </w:p>
    <w:p w:rsidR="00000000" w:rsidRDefault="009730FF">
      <w:pPr>
        <w:pStyle w:val="a3"/>
        <w:spacing w:before="0" w:beforeAutospacing="0" w:after="240" w:afterAutospacing="0"/>
        <w:ind w:firstLine="360"/>
        <w:divId w:val="2078893680"/>
        <w:rPr>
          <w:sz w:val="20"/>
          <w:szCs w:val="20"/>
        </w:rPr>
      </w:pPr>
      <w:r>
        <w:rPr>
          <w:sz w:val="20"/>
          <w:szCs w:val="20"/>
        </w:rPr>
        <w:t>We conduct our Food Packaging segment through our majority owned subsidiary, Viskase Companies, Inc. (“Viskase”). Viskase is a producer of cellulosic, fibrous and plastic casings used to prepare and package pr</w:t>
      </w:r>
      <w:r>
        <w:rPr>
          <w:sz w:val="20"/>
          <w:szCs w:val="20"/>
        </w:rPr>
        <w:t>ocessed meat products. As of March 31, 2022, we owned approximately 89% of the total outstanding common stock of Viskase.</w:t>
      </w:r>
    </w:p>
    <w:p w:rsidR="00000000" w:rsidRDefault="009730FF">
      <w:pPr>
        <w:pStyle w:val="a3"/>
        <w:spacing w:before="0" w:beforeAutospacing="0" w:after="240" w:afterAutospacing="0"/>
        <w:divId w:val="2078893680"/>
        <w:rPr>
          <w:i/>
          <w:iCs/>
          <w:sz w:val="20"/>
          <w:szCs w:val="20"/>
        </w:rPr>
      </w:pPr>
      <w:r>
        <w:rPr>
          <w:i/>
          <w:iCs/>
          <w:sz w:val="20"/>
          <w:szCs w:val="20"/>
        </w:rPr>
        <w:t>Real Estate</w:t>
      </w:r>
    </w:p>
    <w:p w:rsidR="00000000" w:rsidRDefault="009730FF">
      <w:pPr>
        <w:pStyle w:val="a3"/>
        <w:spacing w:before="0" w:beforeAutospacing="0" w:after="240" w:afterAutospacing="0"/>
        <w:ind w:firstLine="360"/>
        <w:divId w:val="2078893680"/>
        <w:rPr>
          <w:sz w:val="20"/>
          <w:szCs w:val="20"/>
        </w:rPr>
      </w:pPr>
      <w:r>
        <w:rPr>
          <w:sz w:val="20"/>
          <w:szCs w:val="20"/>
        </w:rPr>
        <w:t>Our Real Estate segment consists primarily of investment properties, the development and sale of single-family homes and t</w:t>
      </w:r>
      <w:r>
        <w:rPr>
          <w:sz w:val="20"/>
          <w:szCs w:val="20"/>
        </w:rPr>
        <w:t xml:space="preserve">he management of a country club. </w:t>
      </w:r>
    </w:p>
    <w:p w:rsidR="00000000" w:rsidRDefault="009730FF">
      <w:pPr>
        <w:pStyle w:val="a3"/>
        <w:spacing w:before="0" w:beforeAutospacing="0" w:after="240" w:afterAutospacing="0"/>
        <w:divId w:val="2078893680"/>
        <w:rPr>
          <w:i/>
          <w:iCs/>
          <w:sz w:val="20"/>
          <w:szCs w:val="20"/>
        </w:rPr>
      </w:pPr>
      <w:r>
        <w:rPr>
          <w:i/>
          <w:iCs/>
          <w:sz w:val="20"/>
          <w:szCs w:val="20"/>
        </w:rPr>
        <w:t>Home Fashion</w:t>
      </w:r>
    </w:p>
    <w:p w:rsidR="00000000" w:rsidRDefault="009730FF">
      <w:pPr>
        <w:pStyle w:val="a3"/>
        <w:spacing w:before="0" w:beforeAutospacing="0" w:after="240" w:afterAutospacing="0"/>
        <w:ind w:firstLine="360"/>
        <w:divId w:val="2078893680"/>
        <w:rPr>
          <w:sz w:val="20"/>
          <w:szCs w:val="20"/>
        </w:rPr>
      </w:pPr>
      <w:r>
        <w:rPr>
          <w:sz w:val="20"/>
          <w:szCs w:val="20"/>
        </w:rPr>
        <w:t>We conduct our Home Fashion segment through our wholly owned subsidiary, WestPoint Home LLC (“WPH”). WPH’s business consists of manufacturing, sourcing, marketing, distributing and selling home fashion consume</w:t>
      </w:r>
      <w:r>
        <w:rPr>
          <w:sz w:val="20"/>
          <w:szCs w:val="20"/>
        </w:rPr>
        <w:t>r products.</w:t>
      </w:r>
    </w:p>
    <w:p w:rsidR="00000000" w:rsidRDefault="009730FF">
      <w:pPr>
        <w:pStyle w:val="a3"/>
        <w:spacing w:before="0" w:beforeAutospacing="0" w:after="240" w:afterAutospacing="0"/>
        <w:divId w:val="2078893680"/>
        <w:rPr>
          <w:i/>
          <w:iCs/>
          <w:sz w:val="20"/>
          <w:szCs w:val="20"/>
        </w:rPr>
      </w:pPr>
      <w:r>
        <w:rPr>
          <w:i/>
          <w:iCs/>
          <w:sz w:val="20"/>
          <w:szCs w:val="20"/>
        </w:rPr>
        <w:t>Pharma</w:t>
      </w:r>
    </w:p>
    <w:p w:rsidR="00000000" w:rsidRDefault="009730FF">
      <w:pPr>
        <w:pStyle w:val="a3"/>
        <w:spacing w:before="0" w:beforeAutospacing="0" w:after="240" w:afterAutospacing="0"/>
        <w:ind w:firstLine="360"/>
        <w:divId w:val="2078893680"/>
        <w:rPr>
          <w:sz w:val="20"/>
          <w:szCs w:val="20"/>
        </w:rPr>
      </w:pPr>
      <w:r>
        <w:rPr>
          <w:sz w:val="20"/>
          <w:szCs w:val="20"/>
        </w:rPr>
        <w:t>We conduct our Pharma segment through our wholly owned subsidiary, Vivus LLC, formerly Vivus, Inc. (“Vivus”). Vivus is a specialty pharmaceutical company with two approved therapies and one product candidate in active clinical developmen</w:t>
      </w:r>
      <w:r>
        <w:rPr>
          <w:sz w:val="20"/>
          <w:szCs w:val="20"/>
        </w:rPr>
        <w:t xml:space="preserve">t. </w:t>
      </w:r>
    </w:p>
    <w:p w:rsidR="00000000" w:rsidRDefault="009730FF">
      <w:pPr>
        <w:pStyle w:val="a3"/>
        <w:spacing w:before="0" w:beforeAutospacing="0" w:after="240" w:afterAutospacing="0"/>
        <w:divId w:val="2078893680"/>
        <w:rPr>
          <w:i/>
          <w:iCs/>
          <w:sz w:val="20"/>
          <w:szCs w:val="20"/>
        </w:rPr>
      </w:pPr>
      <w:r>
        <w:rPr>
          <w:i/>
          <w:iCs/>
          <w:sz w:val="20"/>
          <w:szCs w:val="20"/>
        </w:rPr>
        <w:t>Metals</w:t>
      </w:r>
    </w:p>
    <w:p w:rsidR="00000000" w:rsidRDefault="009730FF">
      <w:pPr>
        <w:pStyle w:val="a3"/>
        <w:spacing w:before="0" w:beforeAutospacing="0" w:after="240" w:afterAutospacing="0"/>
        <w:ind w:firstLine="360"/>
        <w:divId w:val="2078893680"/>
        <w:rPr>
          <w:sz w:val="20"/>
          <w:szCs w:val="20"/>
        </w:rPr>
      </w:pPr>
      <w:r>
        <w:rPr>
          <w:sz w:val="20"/>
          <w:szCs w:val="20"/>
        </w:rPr>
        <w:t>We conducted our Metals segment through our wholly owned subsidiary, PSC Metals LLC (“PSC Metals”). PSC Metals is principally engaged in the business of collecting, processing and selling ferrous and non-ferrous metals, as well as the processing</w:t>
      </w:r>
      <w:r>
        <w:rPr>
          <w:sz w:val="20"/>
          <w:szCs w:val="20"/>
        </w:rPr>
        <w:t xml:space="preserve"> and distribution of steel pipe and plate products. PSC Metals collects industrial and obsolete scrap metal, processes it into reusable forms and supplies the recycled metals to its customers. </w:t>
      </w:r>
    </w:p>
    <w:p w:rsidR="00000000" w:rsidRDefault="009730FF">
      <w:pPr>
        <w:pStyle w:val="a3"/>
        <w:spacing w:before="0" w:beforeAutospacing="0" w:after="240" w:afterAutospacing="0"/>
        <w:ind w:firstLine="360"/>
        <w:divId w:val="2078893680"/>
        <w:rPr>
          <w:sz w:val="20"/>
          <w:szCs w:val="20"/>
        </w:rPr>
      </w:pPr>
      <w:r>
        <w:rPr>
          <w:sz w:val="20"/>
          <w:szCs w:val="20"/>
        </w:rPr>
        <w:t>On December 7, 2021, we closed on the previously announced sal</w:t>
      </w:r>
      <w:r>
        <w:rPr>
          <w:sz w:val="20"/>
          <w:szCs w:val="20"/>
        </w:rPr>
        <w:t>e of 100% of the equity interests in PSC Metals. As a result of the sale of PSC Metals, we no longer operate a Metals segment at December 31, 2021 and March 31, 2022.</w:t>
      </w:r>
    </w:p>
    <w:p w:rsidR="00000000" w:rsidRDefault="009730FF">
      <w:pPr>
        <w:pStyle w:val="a3"/>
        <w:spacing w:before="0" w:beforeAutospacing="0" w:after="240" w:afterAutospacing="0"/>
        <w:ind w:firstLine="360"/>
        <w:divId w:val="2078893680"/>
        <w:rPr>
          <w:sz w:val="20"/>
          <w:szCs w:val="20"/>
        </w:rPr>
      </w:pPr>
      <w:r>
        <w:rPr>
          <w:sz w:val="20"/>
          <w:szCs w:val="20"/>
        </w:rPr>
        <w:t>​</w:t>
      </w:r>
    </w:p>
    <w:p w:rsidR="00000000" w:rsidRDefault="009730FF">
      <w:pPr>
        <w:pStyle w:val="a3"/>
        <w:spacing w:before="0" w:beforeAutospacing="0" w:after="0" w:afterAutospacing="0"/>
        <w:divId w:val="2078893680"/>
        <w:rPr>
          <w:sz w:val="20"/>
          <w:szCs w:val="20"/>
        </w:rPr>
      </w:pPr>
      <w:r>
        <w:rPr>
          <w:sz w:val="20"/>
          <w:szCs w:val="20"/>
        </w:rPr>
        <w:t>​</w:t>
      </w:r>
    </w:p>
    <w:p w:rsidR="00000000" w:rsidRDefault="009730FF">
      <w:pPr>
        <w:pStyle w:val="a3"/>
        <w:spacing w:before="480" w:beforeAutospacing="0" w:after="0" w:afterAutospacing="0"/>
        <w:jc w:val="center"/>
        <w:divId w:val="201675503"/>
        <w:rPr>
          <w:sz w:val="20"/>
          <w:szCs w:val="20"/>
        </w:rPr>
      </w:pPr>
      <w:r>
        <w:rPr>
          <w:sz w:val="20"/>
          <w:szCs w:val="20"/>
        </w:rPr>
        <w:t>8</w:t>
      </w:r>
    </w:p>
    <w:p w:rsidR="00000000" w:rsidRDefault="009730FF">
      <w:pPr>
        <w:pStyle w:val="a3"/>
        <w:spacing w:before="0" w:beforeAutospacing="0" w:after="600" w:afterAutospacing="0"/>
        <w:divId w:val="1099518882"/>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099518882"/>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099518882"/>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368727410"/>
        <w:rPr>
          <w:b/>
          <w:bCs/>
          <w:sz w:val="20"/>
          <w:szCs w:val="20"/>
        </w:rPr>
      </w:pPr>
      <w:r>
        <w:rPr>
          <w:b/>
          <w:bCs/>
          <w:sz w:val="20"/>
          <w:szCs w:val="20"/>
        </w:rPr>
        <w:t>2.  Basis of Presentation and Summary of Significant Accounting Policies</w:t>
      </w:r>
    </w:p>
    <w:p w:rsidR="00000000" w:rsidRDefault="009730FF">
      <w:pPr>
        <w:pStyle w:val="a3"/>
        <w:spacing w:before="0" w:beforeAutospacing="0" w:after="240" w:afterAutospacing="0"/>
        <w:ind w:firstLine="360"/>
        <w:divId w:val="368727410"/>
        <w:rPr>
          <w:sz w:val="20"/>
          <w:szCs w:val="20"/>
        </w:rPr>
      </w:pPr>
      <w:r>
        <w:rPr>
          <w:sz w:val="20"/>
          <w:szCs w:val="20"/>
        </w:rPr>
        <w:t xml:space="preserve">We conduct and plan to continue to conduct our activities in such a manner as </w:t>
      </w:r>
      <w:r>
        <w:rPr>
          <w:sz w:val="20"/>
          <w:szCs w:val="20"/>
        </w:rPr>
        <w:t xml:space="preserve">not to be deemed an investment company under the Investment Company Act of 1940, as amended (the “Investment Company Act”). Therefore, no more than 40% of our total assets can be invested in investment securities, as such term is defined in the Investment </w:t>
      </w:r>
      <w:r>
        <w:rPr>
          <w:sz w:val="20"/>
          <w:szCs w:val="20"/>
        </w:rPr>
        <w:t>Company Act. In addition, we do not invest or intend to invest in securities as our primary business. We structure and intend to continue structuring our investments to be taxed as a partnership rather than as a corporation under the applicable publicly tr</w:t>
      </w:r>
      <w:r>
        <w:rPr>
          <w:sz w:val="20"/>
          <w:szCs w:val="20"/>
        </w:rPr>
        <w:t>aded partnership rules of the Internal Revenue Code, as amended.</w:t>
      </w:r>
    </w:p>
    <w:p w:rsidR="00000000" w:rsidRDefault="009730FF">
      <w:pPr>
        <w:pStyle w:val="a3"/>
        <w:spacing w:before="0" w:beforeAutospacing="0" w:after="240" w:afterAutospacing="0"/>
        <w:ind w:firstLine="360"/>
        <w:divId w:val="368727410"/>
        <w:rPr>
          <w:sz w:val="20"/>
          <w:szCs w:val="20"/>
        </w:rPr>
      </w:pPr>
      <w:r>
        <w:rPr>
          <w:sz w:val="20"/>
          <w:szCs w:val="20"/>
        </w:rPr>
        <w:t>Events beyond our control, including significant appreciation or depreciation in the market value of certain of our publicly traded holdings or adverse developments with respect to our owners</w:t>
      </w:r>
      <w:r>
        <w:rPr>
          <w:sz w:val="20"/>
          <w:szCs w:val="20"/>
        </w:rPr>
        <w:t>hip of certain of our subsidiaries, could result in our inadvertently becoming an investment company that is required to register under the Investment Company Act. Our sales of Federal-Mogul LLC, Tropicana Entertainment Inc., American Railcar Industries, I</w:t>
      </w:r>
      <w:r>
        <w:rPr>
          <w:sz w:val="20"/>
          <w:szCs w:val="20"/>
        </w:rPr>
        <w:t>nc., Ferrous Resources Ltd., and PSC Metals in recent years did not result in our being considered an investment company. However, additional transactions involving the sale of certain assets could result in our being considered an investment company. Foll</w:t>
      </w:r>
      <w:r>
        <w:rPr>
          <w:sz w:val="20"/>
          <w:szCs w:val="20"/>
        </w:rPr>
        <w:t>owing such events or transactions, an exemption under the Investment Company Act would provide us up to one year to take steps to avoid becoming classified as an investment company. We expect to take steps to avoid becoming classified as an investment comp</w:t>
      </w:r>
      <w:r>
        <w:rPr>
          <w:sz w:val="20"/>
          <w:szCs w:val="20"/>
        </w:rPr>
        <w:t>any, but no assurance can be made that we will successfully be able to take the steps necessary to avoid becoming classified as an investment company.</w:t>
      </w:r>
    </w:p>
    <w:p w:rsidR="00000000" w:rsidRDefault="009730FF">
      <w:pPr>
        <w:pStyle w:val="a3"/>
        <w:spacing w:before="0" w:beforeAutospacing="0" w:after="240" w:afterAutospacing="0"/>
        <w:ind w:firstLine="360"/>
        <w:divId w:val="368727410"/>
        <w:rPr>
          <w:sz w:val="20"/>
          <w:szCs w:val="20"/>
        </w:rPr>
      </w:pPr>
      <w:r>
        <w:rPr>
          <w:sz w:val="20"/>
          <w:szCs w:val="20"/>
        </w:rPr>
        <w:t>The accompanying condensed consolidated financial statements and related notes should be read in conjunct</w:t>
      </w:r>
      <w:r>
        <w:rPr>
          <w:sz w:val="20"/>
          <w:szCs w:val="20"/>
        </w:rPr>
        <w:t>ion with our consolidated financial statements and related notes contained in our Annual Report on Form 10-K for the year ended December 31, 2021. The condensed consolidated financial statements have been prepared in accordance with the rules and regulatio</w:t>
      </w:r>
      <w:r>
        <w:rPr>
          <w:sz w:val="20"/>
          <w:szCs w:val="20"/>
        </w:rPr>
        <w:t>ns of the Securities and Exchange Commission (the “SEC”) related to interim financial statements. Certain information and footnote disclosures normally included in financial statements prepared in accordance with accounting principles generally accepted in</w:t>
      </w:r>
      <w:r>
        <w:rPr>
          <w:sz w:val="20"/>
          <w:szCs w:val="20"/>
        </w:rPr>
        <w:t xml:space="preserve"> the United States (“U.S. GAAP”) have been condensed or omitted pursuant to such rules and regulations. The financial information contained herein is unaudited; however, management believes all adjustments have been made that are necessary to present fairl</w:t>
      </w:r>
      <w:r>
        <w:rPr>
          <w:sz w:val="20"/>
          <w:szCs w:val="20"/>
        </w:rPr>
        <w:t>y the results for the interim periods. All such adjustments are of a normal and recurring nature.</w:t>
      </w:r>
    </w:p>
    <w:p w:rsidR="00000000" w:rsidRDefault="009730FF">
      <w:pPr>
        <w:pStyle w:val="a3"/>
        <w:spacing w:before="0" w:beforeAutospacing="0" w:after="240" w:afterAutospacing="0"/>
        <w:divId w:val="368727410"/>
        <w:rPr>
          <w:b/>
          <w:bCs/>
          <w:i/>
          <w:iCs/>
          <w:sz w:val="20"/>
          <w:szCs w:val="20"/>
        </w:rPr>
      </w:pPr>
      <w:r>
        <w:rPr>
          <w:b/>
          <w:bCs/>
          <w:i/>
          <w:iCs/>
          <w:sz w:val="20"/>
          <w:szCs w:val="20"/>
        </w:rPr>
        <w:t>Principles of Consolidation</w:t>
      </w:r>
    </w:p>
    <w:p w:rsidR="00000000" w:rsidRDefault="009730FF">
      <w:pPr>
        <w:pStyle w:val="a3"/>
        <w:spacing w:before="0" w:beforeAutospacing="0" w:after="240" w:afterAutospacing="0"/>
        <w:ind w:firstLine="360"/>
        <w:divId w:val="368727410"/>
        <w:rPr>
          <w:sz w:val="20"/>
          <w:szCs w:val="20"/>
        </w:rPr>
      </w:pPr>
      <w:r>
        <w:rPr>
          <w:sz w:val="20"/>
          <w:szCs w:val="20"/>
        </w:rPr>
        <w:t>Our condensed consolidated financial statements include the accounts of (i) Icahn Enterprises and (ii) the wholly and majority own</w:t>
      </w:r>
      <w:r>
        <w:rPr>
          <w:sz w:val="20"/>
          <w:szCs w:val="20"/>
        </w:rPr>
        <w:t>ed subsidiaries of Icahn Enterprises, in addition to variable interest entities (“VIEs”) in which we are the primary beneficiary. In evaluating whether we have a controlling financial interest in entities that we consolidate, we consider the following: (1)</w:t>
      </w:r>
      <w:r>
        <w:rPr>
          <w:sz w:val="20"/>
          <w:szCs w:val="20"/>
        </w:rPr>
        <w:t> for voting interest entities, including limited partnerships and similar entities that are not VIEs, we consolidate these entities in which we own a majority of the voting interests; and (2) for VIEs, we consolidate these entities in which we are the prim</w:t>
      </w:r>
      <w:r>
        <w:rPr>
          <w:sz w:val="20"/>
          <w:szCs w:val="20"/>
        </w:rPr>
        <w:t>ary beneficiary. See below for a discussion of our VIEs. Kick-out rights, which are the rights underlying the limited partners’ ability to dissolve the limited partnership or otherwise remove the general partners, held through voting interests of partnersh</w:t>
      </w:r>
      <w:r>
        <w:rPr>
          <w:sz w:val="20"/>
          <w:szCs w:val="20"/>
        </w:rPr>
        <w:t>ips and similar entities that are not VIEs are considered the equivalent of the equity interests of corporations that are not VIEs.</w:t>
      </w:r>
    </w:p>
    <w:p w:rsidR="00000000" w:rsidRDefault="009730FF">
      <w:pPr>
        <w:pStyle w:val="a3"/>
        <w:spacing w:before="0" w:beforeAutospacing="0" w:after="240" w:afterAutospacing="0"/>
        <w:ind w:firstLine="360"/>
        <w:divId w:val="368727410"/>
        <w:rPr>
          <w:sz w:val="20"/>
          <w:szCs w:val="20"/>
        </w:rPr>
      </w:pPr>
      <w:r>
        <w:rPr>
          <w:sz w:val="20"/>
          <w:szCs w:val="20"/>
        </w:rPr>
        <w:t>Except for our Investment segment and Holding Company, for equity investments in which we own 50% or less but greater than 2</w:t>
      </w:r>
      <w:r>
        <w:rPr>
          <w:sz w:val="20"/>
          <w:szCs w:val="20"/>
        </w:rPr>
        <w:t>0%, we generally account for such investments using the equity method. All other equity investments are accounted for at fair value.</w:t>
      </w:r>
    </w:p>
    <w:p w:rsidR="00000000" w:rsidRDefault="009730FF">
      <w:pPr>
        <w:pStyle w:val="a3"/>
        <w:spacing w:before="0" w:beforeAutospacing="0" w:after="240" w:afterAutospacing="0"/>
        <w:divId w:val="368727410"/>
        <w:rPr>
          <w:b/>
          <w:bCs/>
          <w:i/>
          <w:iCs/>
          <w:sz w:val="20"/>
          <w:szCs w:val="20"/>
        </w:rPr>
      </w:pPr>
      <w:r>
        <w:rPr>
          <w:b/>
          <w:bCs/>
          <w:i/>
          <w:iCs/>
          <w:sz w:val="20"/>
          <w:szCs w:val="20"/>
        </w:rPr>
        <w:t>Consolidated Variable Interest Entities</w:t>
      </w:r>
    </w:p>
    <w:p w:rsidR="00000000" w:rsidRDefault="009730FF">
      <w:pPr>
        <w:pStyle w:val="a3"/>
        <w:spacing w:before="0" w:beforeAutospacing="0" w:after="0" w:afterAutospacing="0"/>
        <w:ind w:firstLine="360"/>
        <w:divId w:val="368727410"/>
        <w:rPr>
          <w:sz w:val="20"/>
          <w:szCs w:val="20"/>
        </w:rPr>
      </w:pPr>
      <w:r>
        <w:rPr>
          <w:sz w:val="20"/>
          <w:szCs w:val="20"/>
        </w:rPr>
        <w:t>We determined that Icahn Enterprises Holdings is a VIE because it is a limited part</w:t>
      </w:r>
      <w:r>
        <w:rPr>
          <w:sz w:val="20"/>
          <w:szCs w:val="20"/>
        </w:rPr>
        <w:t xml:space="preserve">nership that lacks both substantive kick-out and participating rights. Although Icahn Enterprises is not the general partner of Icahn Enterprises Holdings, Icahn Enterprises is deemed to be the primary beneficiary of Icahn Enterprises Holdings principally </w:t>
      </w:r>
      <w:r>
        <w:rPr>
          <w:sz w:val="20"/>
          <w:szCs w:val="20"/>
        </w:rPr>
        <w:t xml:space="preserve">based on </w:t>
      </w:r>
    </w:p>
    <w:p w:rsidR="00000000" w:rsidRDefault="009730FF">
      <w:pPr>
        <w:pStyle w:val="a3"/>
        <w:spacing w:before="480" w:beforeAutospacing="0" w:after="0" w:afterAutospacing="0"/>
        <w:jc w:val="center"/>
        <w:divId w:val="551043153"/>
        <w:rPr>
          <w:sz w:val="20"/>
          <w:szCs w:val="20"/>
        </w:rPr>
      </w:pPr>
      <w:r>
        <w:rPr>
          <w:sz w:val="20"/>
          <w:szCs w:val="20"/>
        </w:rPr>
        <w:t>9</w:t>
      </w:r>
    </w:p>
    <w:p w:rsidR="00000000" w:rsidRDefault="009730FF">
      <w:pPr>
        <w:pStyle w:val="a3"/>
        <w:spacing w:before="0" w:beforeAutospacing="0" w:after="600" w:afterAutospacing="0"/>
        <w:divId w:val="92938332"/>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92938332"/>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92938332"/>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784762621"/>
        <w:rPr>
          <w:sz w:val="20"/>
          <w:szCs w:val="20"/>
        </w:rPr>
      </w:pPr>
      <w:r>
        <w:rPr>
          <w:sz w:val="20"/>
          <w:szCs w:val="20"/>
        </w:rPr>
        <w:t>its 99% limited partner interest in Icahn Enterprises Holdings, as well as our related party re</w:t>
      </w:r>
      <w:r>
        <w:rPr>
          <w:sz w:val="20"/>
          <w:szCs w:val="20"/>
        </w:rPr>
        <w:t>lationship with the general partner, and therefore continues to consolidate Icahn Enterprises Holdings. Icahn Enterprises Holdings and its subsidiaries own substantially all of our assets and liabilities and therefore, the balance sheets of Icahn Enterpris</w:t>
      </w:r>
      <w:r>
        <w:rPr>
          <w:sz w:val="20"/>
          <w:szCs w:val="20"/>
        </w:rPr>
        <w:t xml:space="preserve">es and Icahn Enterprises Holdings are substantially the same. </w:t>
      </w:r>
    </w:p>
    <w:p w:rsidR="00000000" w:rsidRDefault="009730FF">
      <w:pPr>
        <w:pStyle w:val="a3"/>
        <w:spacing w:before="0" w:beforeAutospacing="0" w:after="240" w:afterAutospacing="0"/>
        <w:divId w:val="1784762621"/>
        <w:rPr>
          <w:b/>
          <w:bCs/>
          <w:i/>
          <w:iCs/>
          <w:sz w:val="20"/>
          <w:szCs w:val="20"/>
        </w:rPr>
      </w:pPr>
      <w:r>
        <w:rPr>
          <w:b/>
          <w:bCs/>
          <w:i/>
          <w:iCs/>
          <w:sz w:val="20"/>
          <w:szCs w:val="20"/>
        </w:rPr>
        <w:t>Reclassifications</w:t>
      </w:r>
    </w:p>
    <w:p w:rsidR="00000000" w:rsidRDefault="009730FF">
      <w:pPr>
        <w:pStyle w:val="a3"/>
        <w:spacing w:before="0" w:beforeAutospacing="0" w:after="240" w:afterAutospacing="0"/>
        <w:ind w:firstLine="360"/>
        <w:divId w:val="1784762621"/>
        <w:rPr>
          <w:sz w:val="20"/>
          <w:szCs w:val="20"/>
        </w:rPr>
      </w:pPr>
      <w:r>
        <w:rPr>
          <w:sz w:val="20"/>
          <w:szCs w:val="20"/>
        </w:rPr>
        <w:t>Certain reclassifications from the prior year presentation have been made to conform to the current </w:t>
      </w:r>
      <w:r>
        <w:rPr>
          <w:sz w:val="20"/>
          <w:szCs w:val="20"/>
        </w:rPr>
        <w:t>year presentation, which did not have an impact on previously reported net income and equity and are not deemed material.</w:t>
      </w:r>
    </w:p>
    <w:p w:rsidR="00000000" w:rsidRDefault="009730FF">
      <w:pPr>
        <w:pStyle w:val="a3"/>
        <w:spacing w:before="0" w:beforeAutospacing="0" w:after="240" w:afterAutospacing="0"/>
        <w:divId w:val="1784762621"/>
        <w:rPr>
          <w:b/>
          <w:bCs/>
          <w:i/>
          <w:iCs/>
          <w:sz w:val="20"/>
          <w:szCs w:val="20"/>
        </w:rPr>
      </w:pPr>
      <w:r>
        <w:rPr>
          <w:b/>
          <w:bCs/>
          <w:i/>
          <w:iCs/>
          <w:sz w:val="20"/>
          <w:szCs w:val="20"/>
        </w:rPr>
        <w:t>Fair Value of Financial Instruments</w:t>
      </w:r>
    </w:p>
    <w:p w:rsidR="00000000" w:rsidRDefault="009730FF">
      <w:pPr>
        <w:pStyle w:val="a3"/>
        <w:spacing w:before="0" w:beforeAutospacing="0" w:after="240" w:afterAutospacing="0"/>
        <w:ind w:firstLine="360"/>
        <w:divId w:val="1784762621"/>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sonable estimates of their fair values because of their short-term nature. See Note 4, “Investments,” and Note 5, “Fair Value Measurements,” for a detailed discussion of our investments and other non-financial assets and/or liabilities.</w:t>
      </w:r>
    </w:p>
    <w:p w:rsidR="00000000" w:rsidRDefault="009730FF">
      <w:pPr>
        <w:pStyle w:val="a3"/>
        <w:spacing w:before="0" w:beforeAutospacing="0" w:after="240" w:afterAutospacing="0"/>
        <w:ind w:firstLine="360"/>
        <w:divId w:val="1784762621"/>
        <w:rPr>
          <w:sz w:val="20"/>
          <w:szCs w:val="20"/>
        </w:rPr>
      </w:pPr>
      <w:r>
        <w:rPr>
          <w:sz w:val="20"/>
          <w:szCs w:val="20"/>
        </w:rPr>
        <w:t>The fair value of o</w:t>
      </w:r>
      <w:r>
        <w:rPr>
          <w:sz w:val="20"/>
          <w:szCs w:val="20"/>
        </w:rPr>
        <w:t>ur long-term debt is based on the quoted market prices for the same or similar issues or on the current rates offered to us for debt of the same remaining maturities. The carrying value and estimated fair value of our long-term debt as of March 31, 2022 wa</w:t>
      </w:r>
      <w:r>
        <w:rPr>
          <w:sz w:val="20"/>
          <w:szCs w:val="20"/>
        </w:rPr>
        <w:t>s approximately $7.1 billion and $7.0 billion, respectively. The carrying value and estimated fair value of our long-term debt as of December 31, 2021 was approximately $7.7 billion and $7.8 billion, respectively.</w:t>
      </w:r>
    </w:p>
    <w:p w:rsidR="00000000" w:rsidRDefault="009730FF">
      <w:pPr>
        <w:pStyle w:val="a3"/>
        <w:spacing w:before="0" w:beforeAutospacing="0" w:after="240" w:afterAutospacing="0"/>
        <w:divId w:val="1784762621"/>
        <w:rPr>
          <w:b/>
          <w:bCs/>
          <w:i/>
          <w:iCs/>
          <w:sz w:val="20"/>
          <w:szCs w:val="20"/>
        </w:rPr>
      </w:pPr>
      <w:r>
        <w:rPr>
          <w:b/>
          <w:bCs/>
          <w:i/>
          <w:iCs/>
          <w:sz w:val="20"/>
          <w:szCs w:val="20"/>
        </w:rPr>
        <w:t>Cash Flow</w:t>
      </w:r>
    </w:p>
    <w:p w:rsidR="00000000" w:rsidRDefault="009730FF">
      <w:pPr>
        <w:pStyle w:val="a3"/>
        <w:spacing w:before="0" w:beforeAutospacing="0" w:after="240" w:afterAutospacing="0"/>
        <w:ind w:firstLine="360"/>
        <w:divId w:val="1784762621"/>
        <w:rPr>
          <w:sz w:val="20"/>
          <w:szCs w:val="20"/>
        </w:rPr>
      </w:pPr>
      <w:r>
        <w:rPr>
          <w:sz w:val="20"/>
          <w:szCs w:val="20"/>
        </w:rPr>
        <w:t>Cash and cash equivalents and re</w:t>
      </w:r>
      <w:r>
        <w:rPr>
          <w:sz w:val="20"/>
          <w:szCs w:val="20"/>
        </w:rPr>
        <w:t>stricted cash and restricted cash equivalents on our condensed consolidated statements of cash flows is comprised of (i) cash and cash equivalents and (ii) cash held at consolidated affiliated partnerships and restricted cash.</w:t>
      </w:r>
    </w:p>
    <w:p w:rsidR="00000000" w:rsidRDefault="009730FF">
      <w:pPr>
        <w:pStyle w:val="a3"/>
        <w:spacing w:before="0" w:beforeAutospacing="0" w:after="240" w:afterAutospacing="0"/>
        <w:divId w:val="1784762621"/>
        <w:rPr>
          <w:b/>
          <w:bCs/>
          <w:i/>
          <w:iCs/>
          <w:sz w:val="20"/>
          <w:szCs w:val="20"/>
        </w:rPr>
      </w:pPr>
      <w:r>
        <w:rPr>
          <w:b/>
          <w:bCs/>
          <w:i/>
          <w:iCs/>
          <w:sz w:val="20"/>
          <w:szCs w:val="20"/>
        </w:rPr>
        <w:t>Cash Held at Consolidated Aff</w:t>
      </w:r>
      <w:r>
        <w:rPr>
          <w:b/>
          <w:bCs/>
          <w:i/>
          <w:iCs/>
          <w:sz w:val="20"/>
          <w:szCs w:val="20"/>
        </w:rPr>
        <w:t>iliated Partnerships and Restricted Cash</w:t>
      </w:r>
    </w:p>
    <w:p w:rsidR="00000000" w:rsidRDefault="009730FF">
      <w:pPr>
        <w:pStyle w:val="a3"/>
        <w:spacing w:before="0" w:beforeAutospacing="0" w:after="240" w:afterAutospacing="0"/>
        <w:ind w:firstLine="360"/>
        <w:divId w:val="1784762621"/>
        <w:rPr>
          <w:sz w:val="20"/>
          <w:szCs w:val="20"/>
        </w:rPr>
      </w:pPr>
      <w:r>
        <w:rPr>
          <w:sz w:val="20"/>
          <w:szCs w:val="20"/>
        </w:rPr>
        <w:t>Our cash held at consolidated affiliated partnerships balance was $2,084 million and $102 million as of March 31, 2022 and December 31, 2021, respectively. Cash held at consolidated affiliated partnerships relates t</w:t>
      </w:r>
      <w:r>
        <w:rPr>
          <w:sz w:val="20"/>
          <w:szCs w:val="20"/>
        </w:rPr>
        <w:t>o our Investment segment and consists of cash and cash equivalents held by the Investment Funds that, although not legally restricted, are not available to fund the general liquidity needs of the Investment segment or Icahn Enterprises.</w:t>
      </w:r>
    </w:p>
    <w:p w:rsidR="00000000" w:rsidRDefault="009730FF">
      <w:pPr>
        <w:pStyle w:val="a3"/>
        <w:spacing w:before="0" w:beforeAutospacing="0" w:after="240" w:afterAutospacing="0"/>
        <w:ind w:firstLine="360"/>
        <w:divId w:val="1784762621"/>
        <w:rPr>
          <w:sz w:val="20"/>
          <w:szCs w:val="20"/>
        </w:rPr>
      </w:pPr>
      <w:r>
        <w:rPr>
          <w:sz w:val="20"/>
          <w:szCs w:val="20"/>
        </w:rPr>
        <w:t>Our restricted cash</w:t>
      </w:r>
      <w:r>
        <w:rPr>
          <w:sz w:val="20"/>
          <w:szCs w:val="20"/>
        </w:rPr>
        <w:t xml:space="preserve"> balance was $1,717 million and $2,013 million as of March 31, 2022 and December 31, 2021, respectively. Restricted cash includes, but is not limited to, our Investment segment’s cash pledged and held for margin requirements on derivative transactions.</w:t>
      </w:r>
    </w:p>
    <w:p w:rsidR="00000000" w:rsidRDefault="009730FF">
      <w:pPr>
        <w:pStyle w:val="a3"/>
        <w:spacing w:before="0" w:beforeAutospacing="0" w:after="240" w:afterAutospacing="0"/>
        <w:divId w:val="1784762621"/>
        <w:rPr>
          <w:b/>
          <w:bCs/>
          <w:i/>
          <w:iCs/>
          <w:sz w:val="20"/>
          <w:szCs w:val="20"/>
        </w:rPr>
      </w:pPr>
      <w:r>
        <w:rPr>
          <w:b/>
          <w:bCs/>
          <w:i/>
          <w:iCs/>
          <w:sz w:val="20"/>
          <w:szCs w:val="20"/>
        </w:rPr>
        <w:t>Rev</w:t>
      </w:r>
      <w:r>
        <w:rPr>
          <w:b/>
          <w:bCs/>
          <w:i/>
          <w:iCs/>
          <w:sz w:val="20"/>
          <w:szCs w:val="20"/>
        </w:rPr>
        <w:t>enue From Contracts With Customers and Contract Balances</w:t>
      </w:r>
    </w:p>
    <w:p w:rsidR="00000000" w:rsidRDefault="009730FF">
      <w:pPr>
        <w:pStyle w:val="a3"/>
        <w:spacing w:before="0" w:beforeAutospacing="0" w:after="0" w:afterAutospacing="0"/>
        <w:ind w:firstLine="360"/>
        <w:divId w:val="1784762621"/>
        <w:rPr>
          <w:sz w:val="20"/>
          <w:szCs w:val="20"/>
        </w:rPr>
      </w:pPr>
      <w:r>
        <w:rPr>
          <w:sz w:val="20"/>
          <w:szCs w:val="20"/>
        </w:rPr>
        <w:t>Due to the nature of our business, we derive revenue from various sources in various industries. With the exception of all of our Investment segment’s and our Holding Company’s revenues, and our Real</w:t>
      </w:r>
      <w:r>
        <w:rPr>
          <w:sz w:val="20"/>
          <w:szCs w:val="20"/>
        </w:rPr>
        <w:t xml:space="preserve"> Estate segment’s leasing revenue, our revenue is generally derived from contracts with customers in accordance with U.S. GAAP. Such revenue from contracts with customers is included in net sales and other revenues from operations in the condensed consolid</w:t>
      </w:r>
      <w:r>
        <w:rPr>
          <w:sz w:val="20"/>
          <w:szCs w:val="20"/>
        </w:rPr>
        <w:t>ated statements of operations, however, our Real Estate segment’s leasing revenue, as disclosed in Note 9, “Leases,” is also included in other revenues from operations. Related contract assets are included in accounts receivable, net or other assets and re</w:t>
      </w:r>
      <w:r>
        <w:rPr>
          <w:sz w:val="20"/>
          <w:szCs w:val="20"/>
        </w:rPr>
        <w:t xml:space="preserve">lated contract liabilities are included in accrued expenses and other liabilities in the condensed consolidated balance sheets. Our disaggregation of revenue information includes our net sales and other revenues from operations for </w:t>
      </w:r>
    </w:p>
    <w:p w:rsidR="00000000" w:rsidRDefault="009730FF">
      <w:pPr>
        <w:pStyle w:val="a3"/>
        <w:spacing w:before="480" w:beforeAutospacing="0" w:after="0" w:afterAutospacing="0"/>
        <w:jc w:val="center"/>
        <w:divId w:val="731656775"/>
        <w:rPr>
          <w:sz w:val="20"/>
          <w:szCs w:val="20"/>
        </w:rPr>
      </w:pPr>
      <w:r>
        <w:rPr>
          <w:sz w:val="20"/>
          <w:szCs w:val="20"/>
        </w:rPr>
        <w:t>10</w:t>
      </w:r>
    </w:p>
    <w:p w:rsidR="00000000" w:rsidRDefault="009730FF">
      <w:pPr>
        <w:pStyle w:val="a3"/>
        <w:spacing w:before="0" w:beforeAutospacing="0" w:after="600" w:afterAutospacing="0"/>
        <w:divId w:val="550773885"/>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550773885"/>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550773885"/>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413047685"/>
        <w:rPr>
          <w:sz w:val="20"/>
          <w:szCs w:val="20"/>
        </w:rPr>
      </w:pPr>
      <w:r>
        <w:rPr>
          <w:sz w:val="20"/>
          <w:szCs w:val="20"/>
        </w:rPr>
        <w:t>each of our reporting segments as well as additional disaggregation of revenue information for our Energy and Automotive segmen</w:t>
      </w:r>
      <w:r>
        <w:rPr>
          <w:sz w:val="20"/>
          <w:szCs w:val="20"/>
        </w:rPr>
        <w:t>ts. See Note 12, “Segment Reporting,” for our complete disaggregation of revenue information. In addition, we disclose additional information with respect to revenue from contracts with customers and contract balances for our Energy and Automotive segments</w:t>
      </w:r>
      <w:r>
        <w:rPr>
          <w:sz w:val="20"/>
          <w:szCs w:val="20"/>
        </w:rPr>
        <w:t xml:space="preserve"> below.</w:t>
      </w:r>
    </w:p>
    <w:p w:rsidR="00000000" w:rsidRDefault="009730FF">
      <w:pPr>
        <w:pStyle w:val="a3"/>
        <w:spacing w:before="0" w:beforeAutospacing="0" w:after="240" w:afterAutospacing="0"/>
        <w:divId w:val="1413047685"/>
        <w:rPr>
          <w:i/>
          <w:iCs/>
          <w:sz w:val="20"/>
          <w:szCs w:val="20"/>
        </w:rPr>
      </w:pPr>
      <w:r>
        <w:rPr>
          <w:i/>
          <w:iCs/>
          <w:sz w:val="20"/>
          <w:szCs w:val="20"/>
        </w:rPr>
        <w:t>Energy</w:t>
      </w:r>
    </w:p>
    <w:p w:rsidR="00000000" w:rsidRDefault="009730FF">
      <w:pPr>
        <w:pStyle w:val="a3"/>
        <w:spacing w:before="0" w:beforeAutospacing="0" w:after="240" w:afterAutospacing="0"/>
        <w:ind w:firstLine="360"/>
        <w:divId w:val="1413047685"/>
        <w:rPr>
          <w:sz w:val="20"/>
          <w:szCs w:val="20"/>
        </w:rPr>
      </w:pPr>
      <w:r>
        <w:rPr>
          <w:sz w:val="20"/>
          <w:szCs w:val="20"/>
        </w:rPr>
        <w:t>Our Energy segment’s deferred revenue is a contract liability that primarily relates to fertilizer sales contracts requiring customer prepayment prior to product delivery to guarantee a price and supply of nitrogen fertilizer. Deferred reven</w:t>
      </w:r>
      <w:r>
        <w:rPr>
          <w:sz w:val="20"/>
          <w:szCs w:val="20"/>
        </w:rPr>
        <w:t>ue is recorded at the point in time in which a prepaid contract is legally enforceable and the associated right to consideration is unconditional prior to transferring product to the customer. An associated receivable is recorded for uncollected prepaid co</w:t>
      </w:r>
      <w:r>
        <w:rPr>
          <w:sz w:val="20"/>
          <w:szCs w:val="20"/>
        </w:rPr>
        <w:t>ntract amounts. Contracts requiring prepayment are generally short-term in nature and revenue is recognized at the point in time in which the customer obtains control of the product. Our Energy segment had deferred revenue of $81 million and $87 million as</w:t>
      </w:r>
      <w:r>
        <w:rPr>
          <w:sz w:val="20"/>
          <w:szCs w:val="20"/>
        </w:rPr>
        <w:t xml:space="preserve"> of March 31, 2022 and December 31, 2021, respectively. For the three months ended March 31, 2022 and 2021, our Energy segment recorded revenue of $17 million and $8 million, respectively, with respect to deferred revenue outstanding as of the beginning of</w:t>
      </w:r>
      <w:r>
        <w:rPr>
          <w:sz w:val="20"/>
          <w:szCs w:val="20"/>
        </w:rPr>
        <w:t xml:space="preserve"> each respective period.</w:t>
      </w:r>
    </w:p>
    <w:p w:rsidR="00000000" w:rsidRDefault="009730FF">
      <w:pPr>
        <w:pStyle w:val="a3"/>
        <w:spacing w:before="0" w:beforeAutospacing="0" w:after="240" w:afterAutospacing="0"/>
        <w:ind w:firstLine="360"/>
        <w:divId w:val="1413047685"/>
        <w:rPr>
          <w:sz w:val="20"/>
          <w:szCs w:val="20"/>
        </w:rPr>
      </w:pPr>
      <w:r>
        <w:rPr>
          <w:sz w:val="20"/>
          <w:szCs w:val="20"/>
        </w:rPr>
        <w:t xml:space="preserve">As of March 31, 2022, our Energy segment had $10 million of remaining performance obligations for contracts with an original expected duration of more than one year. Our Energy segment expects to recognize approximately $6 million </w:t>
      </w:r>
      <w:r>
        <w:rPr>
          <w:sz w:val="20"/>
          <w:szCs w:val="20"/>
        </w:rPr>
        <w:t>of these performance obligations as revenue by the end of 2022 and the remaining balance thereafter.</w:t>
      </w:r>
    </w:p>
    <w:p w:rsidR="00000000" w:rsidRDefault="009730FF">
      <w:pPr>
        <w:pStyle w:val="a3"/>
        <w:spacing w:before="0" w:beforeAutospacing="0" w:after="240" w:afterAutospacing="0"/>
        <w:divId w:val="1413047685"/>
        <w:rPr>
          <w:i/>
          <w:iCs/>
          <w:sz w:val="20"/>
          <w:szCs w:val="20"/>
        </w:rPr>
      </w:pPr>
      <w:r>
        <w:rPr>
          <w:i/>
          <w:iCs/>
          <w:sz w:val="20"/>
          <w:szCs w:val="20"/>
        </w:rPr>
        <w:t>Automotive</w:t>
      </w:r>
    </w:p>
    <w:p w:rsidR="00000000" w:rsidRDefault="009730FF">
      <w:pPr>
        <w:pStyle w:val="a3"/>
        <w:spacing w:before="0" w:beforeAutospacing="0" w:after="240" w:afterAutospacing="0"/>
        <w:ind w:firstLine="360"/>
        <w:divId w:val="1413047685"/>
        <w:rPr>
          <w:sz w:val="20"/>
          <w:szCs w:val="20"/>
        </w:rPr>
      </w:pPr>
      <w:r>
        <w:rPr>
          <w:sz w:val="20"/>
          <w:szCs w:val="20"/>
        </w:rPr>
        <w:t>Our Automotive segment has deferred revenue with respect to extended warranty plans of $42 million at each of March 31, 2022 and December 31, 20</w:t>
      </w:r>
      <w:r>
        <w:rPr>
          <w:sz w:val="20"/>
          <w:szCs w:val="20"/>
        </w:rPr>
        <w:t>21, which are included in accrued expenses and other liabilities on the condensed consolidated balance sheets. For the three months ended March 31, 2022 and 2021, our Automotive segment recorded revenue of $6 million and $6 million, respectively, with resp</w:t>
      </w:r>
      <w:r>
        <w:rPr>
          <w:sz w:val="20"/>
          <w:szCs w:val="20"/>
        </w:rPr>
        <w:t>ect to deferred revenue outstanding as of the beginning of each respective period.</w:t>
      </w:r>
    </w:p>
    <w:p w:rsidR="00000000" w:rsidRDefault="009730FF">
      <w:pPr>
        <w:pStyle w:val="a3"/>
        <w:spacing w:before="0" w:beforeAutospacing="0" w:after="240" w:afterAutospacing="0"/>
        <w:divId w:val="1413047685"/>
        <w:rPr>
          <w:sz w:val="20"/>
          <w:szCs w:val="20"/>
        </w:rPr>
      </w:pPr>
      <w:r>
        <w:rPr>
          <w:b/>
          <w:bCs/>
          <w:i/>
          <w:iCs/>
          <w:sz w:val="20"/>
          <w:szCs w:val="20"/>
        </w:rPr>
        <w:t>Recently Issued Accounting Standards</w:t>
      </w:r>
    </w:p>
    <w:p w:rsidR="00000000" w:rsidRDefault="009730FF">
      <w:pPr>
        <w:pStyle w:val="a3"/>
        <w:spacing w:before="0" w:beforeAutospacing="0" w:after="240" w:afterAutospacing="0"/>
        <w:ind w:firstLine="360"/>
        <w:divId w:val="1413047685"/>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Reference Rate Reform</w:t>
      </w:r>
      <w:r>
        <w:rPr>
          <w:sz w:val="20"/>
          <w:szCs w:val="20"/>
        </w:rPr>
        <w:t xml:space="preserve">. By June 30 2023, banks will no longer be required to report information that is used to determine London Interbank Offered </w:t>
      </w:r>
      <w:r>
        <w:rPr>
          <w:sz w:val="20"/>
          <w:szCs w:val="20"/>
        </w:rPr>
        <w:t>Rate (“LIBOR”) which is used globally by all types of entities for various types of transactions. As a result, LIBOR could be discontinued, as well as other interest rates used globally. This ASU provides companies with optional expedients for contract mod</w:t>
      </w:r>
      <w:r>
        <w:rPr>
          <w:sz w:val="20"/>
          <w:szCs w:val="20"/>
        </w:rPr>
        <w:t>ifications under U.S. GAAP, excluded components of certain hedging relationships, fair value hedges, and cash flow hedges, as well as certain exceptions, which are intended to help ease the potential accounting burden associated with transitioning away fro</w:t>
      </w:r>
      <w:r>
        <w:rPr>
          <w:sz w:val="20"/>
          <w:szCs w:val="20"/>
        </w:rPr>
        <w:t>m these reference rates. Companies can apply this ASU immediately and will only be available for a limited time (generally through December 31, 2022). We are currently assessing the impact of adopting this new accounting standard and do not expect it to ha</w:t>
      </w:r>
      <w:r>
        <w:rPr>
          <w:sz w:val="20"/>
          <w:szCs w:val="20"/>
        </w:rPr>
        <w:t>ve a material impact on our condensed consolidated financial statements.</w:t>
      </w:r>
    </w:p>
    <w:p w:rsidR="00000000" w:rsidRDefault="009730FF">
      <w:pPr>
        <w:pStyle w:val="a3"/>
        <w:spacing w:before="0" w:beforeAutospacing="0" w:after="240" w:afterAutospacing="0"/>
        <w:divId w:val="1413047685"/>
        <w:rPr>
          <w:b/>
          <w:bCs/>
          <w:sz w:val="20"/>
          <w:szCs w:val="20"/>
        </w:rPr>
      </w:pPr>
      <w:r>
        <w:rPr>
          <w:b/>
          <w:bCs/>
          <w:sz w:val="20"/>
          <w:szCs w:val="20"/>
        </w:rPr>
        <w:t>3.  Related Party Transactions</w:t>
      </w:r>
    </w:p>
    <w:p w:rsidR="00000000" w:rsidRDefault="009730FF">
      <w:pPr>
        <w:pStyle w:val="a3"/>
        <w:spacing w:before="0" w:beforeAutospacing="0" w:after="240" w:afterAutospacing="0"/>
        <w:ind w:firstLine="360"/>
        <w:divId w:val="1413047685"/>
        <w:rPr>
          <w:sz w:val="20"/>
          <w:szCs w:val="20"/>
        </w:rPr>
      </w:pPr>
      <w:r>
        <w:rPr>
          <w:sz w:val="20"/>
          <w:szCs w:val="20"/>
        </w:rPr>
        <w:t xml:space="preserve">Our second amended and restated agreement of limited partnership expressly permits us to enter into transactions with our general partner or any of its </w:t>
      </w:r>
      <w:r>
        <w:rPr>
          <w:sz w:val="20"/>
          <w:szCs w:val="20"/>
        </w:rPr>
        <w:t>affiliates, including buying or selling properties from or to our general partner and any of its affiliates and borrowing and lending money from or to our general partner and any of its affiliates, subject to limitations contained in our partnership agreem</w:t>
      </w:r>
      <w:r>
        <w:rPr>
          <w:sz w:val="20"/>
          <w:szCs w:val="20"/>
        </w:rPr>
        <w:t>ent and the Delaware Revised Uniform Limited Partnership Act. The indentures governing our indebtedness contain certain covenants applicable to transactions with affiliates.</w:t>
      </w:r>
    </w:p>
    <w:p w:rsidR="00000000" w:rsidRDefault="009730FF">
      <w:pPr>
        <w:pStyle w:val="a3"/>
        <w:spacing w:before="480" w:beforeAutospacing="0" w:after="0" w:afterAutospacing="0"/>
        <w:jc w:val="center"/>
        <w:divId w:val="1150054739"/>
        <w:rPr>
          <w:sz w:val="20"/>
          <w:szCs w:val="20"/>
        </w:rPr>
      </w:pPr>
      <w:r>
        <w:rPr>
          <w:sz w:val="20"/>
          <w:szCs w:val="20"/>
        </w:rPr>
        <w:t>11</w:t>
      </w:r>
    </w:p>
    <w:p w:rsidR="00000000" w:rsidRDefault="009730FF">
      <w:pPr>
        <w:pStyle w:val="a3"/>
        <w:spacing w:before="0" w:beforeAutospacing="0" w:after="600" w:afterAutospacing="0"/>
        <w:divId w:val="889540436"/>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889540436"/>
        <w:rPr>
          <w:sz w:val="20"/>
          <w:szCs w:val="20"/>
        </w:rPr>
      </w:pPr>
      <w:r>
        <w:rPr>
          <w:b/>
          <w:bCs/>
          <w:sz w:val="20"/>
          <w:szCs w:val="20"/>
        </w:rPr>
        <w:t>ICAHN ENTERPRISES L.P. AND SUBSIDIA</w:t>
      </w:r>
      <w:r>
        <w:rPr>
          <w:b/>
          <w:bCs/>
          <w:sz w:val="20"/>
          <w:szCs w:val="20"/>
        </w:rPr>
        <w:t>RIES</w:t>
      </w:r>
    </w:p>
    <w:p w:rsidR="00000000" w:rsidRDefault="009730FF">
      <w:pPr>
        <w:pStyle w:val="a3"/>
        <w:spacing w:before="0" w:beforeAutospacing="0" w:after="240" w:afterAutospacing="0"/>
        <w:jc w:val="center"/>
        <w:divId w:val="889540436"/>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915779364"/>
        <w:rPr>
          <w:b/>
          <w:bCs/>
          <w:i/>
          <w:iCs/>
          <w:sz w:val="20"/>
          <w:szCs w:val="20"/>
        </w:rPr>
      </w:pPr>
      <w:r>
        <w:rPr>
          <w:b/>
          <w:bCs/>
          <w:i/>
          <w:iCs/>
          <w:sz w:val="20"/>
          <w:szCs w:val="20"/>
        </w:rPr>
        <w:t>Investment Funds</w:t>
      </w:r>
    </w:p>
    <w:p w:rsidR="00000000" w:rsidRDefault="009730FF">
      <w:pPr>
        <w:pStyle w:val="a3"/>
        <w:spacing w:before="0" w:beforeAutospacing="0" w:after="240" w:afterAutospacing="0"/>
        <w:ind w:firstLine="360"/>
        <w:divId w:val="1915779364"/>
        <w:rPr>
          <w:sz w:val="20"/>
          <w:szCs w:val="20"/>
        </w:rPr>
      </w:pPr>
      <w:r>
        <w:rPr>
          <w:sz w:val="20"/>
          <w:szCs w:val="20"/>
        </w:rPr>
        <w:t>As of March 31, 2022 and December 31, 2021, the total fair market value of investments in the Investment Funds made by Mr. Icahn and his affiliates (excluding us and Bre</w:t>
      </w:r>
      <w:r>
        <w:rPr>
          <w:sz w:val="20"/>
          <w:szCs w:val="20"/>
        </w:rPr>
        <w:t>tt Icahn) was approximately $5.5 billion and $5.0 billion, respectively, representing approximately 54% and 54% of the Investment Funds’ assets under management as of each respective date.</w:t>
      </w:r>
    </w:p>
    <w:p w:rsidR="00000000" w:rsidRDefault="009730FF">
      <w:pPr>
        <w:pStyle w:val="a3"/>
        <w:spacing w:before="0" w:beforeAutospacing="0" w:after="240" w:afterAutospacing="0"/>
        <w:ind w:firstLine="360"/>
        <w:divId w:val="1915779364"/>
        <w:rPr>
          <w:sz w:val="20"/>
          <w:szCs w:val="20"/>
        </w:rPr>
      </w:pPr>
      <w:r>
        <w:rPr>
          <w:sz w:val="20"/>
          <w:szCs w:val="20"/>
        </w:rPr>
        <w:t>We pay for expenses pertaining to the operation, administration and</w:t>
      </w:r>
      <w:r>
        <w:rPr>
          <w:sz w:val="20"/>
          <w:szCs w:val="20"/>
        </w:rPr>
        <w:t xml:space="preserve"> investment activities of our Investment segment for the benefit of the Investment Funds (including salaries, benefits and rent). Based on an expense-sharing arrangement, certain expenses borne by us are reimbursed by the Investment Funds. For the three mo</w:t>
      </w:r>
      <w:r>
        <w:rPr>
          <w:sz w:val="20"/>
          <w:szCs w:val="20"/>
        </w:rPr>
        <w:t xml:space="preserve">nths ended March 31, 2022 and 2021, $3 million and $5 million, respectively, was allocated to the Investment Funds based on this expense-sharing arrangement. </w:t>
      </w:r>
    </w:p>
    <w:p w:rsidR="00000000" w:rsidRDefault="009730FF">
      <w:pPr>
        <w:pStyle w:val="a3"/>
        <w:spacing w:before="0" w:beforeAutospacing="0" w:after="240" w:afterAutospacing="0"/>
        <w:divId w:val="1915779364"/>
        <w:rPr>
          <w:b/>
          <w:bCs/>
          <w:i/>
          <w:iCs/>
          <w:sz w:val="20"/>
          <w:szCs w:val="20"/>
        </w:rPr>
      </w:pPr>
      <w:r>
        <w:rPr>
          <w:b/>
          <w:bCs/>
          <w:i/>
          <w:iCs/>
          <w:sz w:val="20"/>
          <w:szCs w:val="20"/>
        </w:rPr>
        <w:t>Hertz Global Holdings, Inc. and 767 Auto Leasing LLC</w:t>
      </w:r>
    </w:p>
    <w:p w:rsidR="00000000" w:rsidRDefault="009730FF">
      <w:pPr>
        <w:pStyle w:val="a3"/>
        <w:spacing w:before="0" w:beforeAutospacing="0" w:after="240" w:afterAutospacing="0"/>
        <w:ind w:firstLine="360"/>
        <w:divId w:val="1915779364"/>
        <w:rPr>
          <w:sz w:val="20"/>
          <w:szCs w:val="20"/>
        </w:rPr>
      </w:pPr>
      <w:r>
        <w:rPr>
          <w:sz w:val="20"/>
          <w:szCs w:val="20"/>
        </w:rPr>
        <w:t>The Investment Funds had an investment in th</w:t>
      </w:r>
      <w:r>
        <w:rPr>
          <w:sz w:val="20"/>
          <w:szCs w:val="20"/>
        </w:rPr>
        <w:t>e common stock of Hertz Global Holdings, Inc. (“Hertz”) measured at fair value that would have otherwise been subject to the equity method of accounting (until sold in the second quarter of 2020). Icahn Automotive provides services to Hertz in the ordinary</w:t>
      </w:r>
      <w:r>
        <w:rPr>
          <w:sz w:val="20"/>
          <w:szCs w:val="20"/>
        </w:rPr>
        <w:t xml:space="preserve"> course of business. </w:t>
      </w:r>
    </w:p>
    <w:p w:rsidR="00000000" w:rsidRDefault="009730FF">
      <w:pPr>
        <w:pStyle w:val="a3"/>
        <w:spacing w:before="0" w:beforeAutospacing="0" w:after="240" w:afterAutospacing="0"/>
        <w:ind w:firstLine="360"/>
        <w:divId w:val="1915779364"/>
        <w:rPr>
          <w:sz w:val="20"/>
          <w:szCs w:val="20"/>
        </w:rPr>
      </w:pPr>
      <w:r>
        <w:rPr>
          <w:sz w:val="20"/>
          <w:szCs w:val="20"/>
        </w:rPr>
        <w:t>In addition to our transactions with Hertz disclosed above, in January 2018, we entered into a Master Motor Vehicle Lease and Management Agreement with Hertz, pursuant to which Hertz granted 767 Leasing the option to acquire certain v</w:t>
      </w:r>
      <w:r>
        <w:rPr>
          <w:sz w:val="20"/>
          <w:szCs w:val="20"/>
        </w:rPr>
        <w:t>ehicles from Hertz at rates aligned with the rates at which Hertz sells vehicles to third parties. Under this agreement, as amended, Hertz will lease the vehicles that 767 Leasing purchases from Hertz, or from third parties, under a mutually developed flee</w:t>
      </w:r>
      <w:r>
        <w:rPr>
          <w:sz w:val="20"/>
          <w:szCs w:val="20"/>
        </w:rPr>
        <w:t>t plan and Hertz will manage, service, repair, sell and maintain those leased vehicles on behalf of 767 Leasing. Additionally, Hertz will rent the leased vehicles to transportation network company drivers from rental counters within locations leased or own</w:t>
      </w:r>
      <w:r>
        <w:rPr>
          <w:sz w:val="20"/>
          <w:szCs w:val="20"/>
        </w:rPr>
        <w:t>ed by us. This agreement had an initial term of 18 months and is subject to automatic six-month renewals thereafter, unless terminated by either party (with or without cause) prior to the start of any such six-month renewal. Our agreement with Hertz was un</w:t>
      </w:r>
      <w:r>
        <w:rPr>
          <w:sz w:val="20"/>
          <w:szCs w:val="20"/>
        </w:rPr>
        <w:t>animously approved by the independent directors of Icahn Enterprises’ audit committee. During 2021, this agreement was amended to commence the early disposition of vehicles owned by 767 Leasing. As of December 31, 2021, substantially all of 767 Leasing’s a</w:t>
      </w:r>
      <w:r>
        <w:rPr>
          <w:sz w:val="20"/>
          <w:szCs w:val="20"/>
        </w:rPr>
        <w:t>ssets were sold and its operations have ceased. Due to the nature of our involvement with 767 Leasing, which includes Icahn Enterprises and Icahn Enterprises Holdings guaranteeing the payment obligations of 767 Leasing and sharing in the profits of 767 Lea</w:t>
      </w:r>
      <w:r>
        <w:rPr>
          <w:sz w:val="20"/>
          <w:szCs w:val="20"/>
        </w:rPr>
        <w:t>sing with Hertz, we determined that 767 Leasing is a variable interest entity. Furthermore, we determined that we are not the primary beneficiary as we do not have the power to direct the activities of 767 Leasing that most significantly impact its economi</w:t>
      </w:r>
      <w:r>
        <w:rPr>
          <w:sz w:val="20"/>
          <w:szCs w:val="20"/>
        </w:rPr>
        <w:t xml:space="preserve">c performance. Therefore, we did not consolidate the results of 767 Leasing. Our exposure to loss with respect to 767 Leasing is primarily limited to our direct investment in 767 Leasing as well as any payment obligations of 767 Leasing that we guarantee, </w:t>
      </w:r>
      <w:r>
        <w:rPr>
          <w:sz w:val="20"/>
          <w:szCs w:val="20"/>
        </w:rPr>
        <w:t>which are not material.</w:t>
      </w:r>
    </w:p>
    <w:p w:rsidR="00000000" w:rsidRDefault="009730FF">
      <w:pPr>
        <w:pStyle w:val="a3"/>
        <w:spacing w:before="0" w:beforeAutospacing="0" w:after="240" w:afterAutospacing="0"/>
        <w:ind w:firstLine="360"/>
        <w:divId w:val="1915779364"/>
        <w:rPr>
          <w:sz w:val="20"/>
          <w:szCs w:val="20"/>
        </w:rPr>
      </w:pPr>
      <w:r>
        <w:rPr>
          <w:sz w:val="20"/>
          <w:szCs w:val="20"/>
        </w:rPr>
        <w:t>For the three months ended March 31, 2021, 767 Leasing distributed</w:t>
      </w:r>
      <w:r>
        <w:rPr>
          <w:sz w:val="20"/>
          <w:szCs w:val="20"/>
        </w:rPr>
        <w:t xml:space="preserve"> </w:t>
      </w:r>
      <w:r>
        <w:rPr>
          <w:sz w:val="20"/>
          <w:szCs w:val="20"/>
        </w:rPr>
        <w:t>$11 million to us. As of December 31, 2021 and March 31, 2022, we no longer had an equity investment in 767 Leasing.</w:t>
      </w:r>
    </w:p>
    <w:p w:rsidR="00000000" w:rsidRDefault="009730FF">
      <w:pPr>
        <w:pStyle w:val="a3"/>
        <w:spacing w:before="0" w:beforeAutospacing="0" w:after="240" w:afterAutospacing="0"/>
        <w:divId w:val="1915779364"/>
        <w:rPr>
          <w:sz w:val="20"/>
          <w:szCs w:val="20"/>
        </w:rPr>
      </w:pPr>
      <w:r>
        <w:rPr>
          <w:b/>
          <w:bCs/>
          <w:i/>
          <w:iCs/>
          <w:sz w:val="20"/>
          <w:szCs w:val="20"/>
        </w:rPr>
        <w:t>Other Related Party Agreements</w:t>
      </w:r>
    </w:p>
    <w:p w:rsidR="00000000" w:rsidRDefault="009730FF">
      <w:pPr>
        <w:pStyle w:val="a3"/>
        <w:spacing w:before="0" w:beforeAutospacing="0" w:after="0" w:afterAutospacing="0"/>
        <w:ind w:firstLine="360"/>
        <w:divId w:val="1915779364"/>
        <w:rPr>
          <w:sz w:val="20"/>
          <w:szCs w:val="20"/>
        </w:rPr>
      </w:pPr>
      <w:r>
        <w:rPr>
          <w:sz w:val="20"/>
          <w:szCs w:val="20"/>
        </w:rPr>
        <w:t>On October 1, 202</w:t>
      </w:r>
      <w:r>
        <w:rPr>
          <w:sz w:val="20"/>
          <w:szCs w:val="20"/>
        </w:rPr>
        <w:t xml:space="preserve">0, we entered into a manager agreement with Brett Icahn, the son of Carl C. Icahn, and affiliates of Brett Icahn. Under the manager agreement, Brett Icahn serves as the portfolio manager of a designated portfolio of assets within the Investment Funds over </w:t>
      </w:r>
      <w:r>
        <w:rPr>
          <w:sz w:val="20"/>
          <w:szCs w:val="20"/>
        </w:rPr>
        <w:t>a seven-year term, subject to veto rights by our Investment segment and Carl C. Icahn. On May 5, 2022, we entered into an amendment to the manager agreement, which allows the Investment Funds to add, from time to time, two additional separately tracked por</w:t>
      </w:r>
      <w:r>
        <w:rPr>
          <w:sz w:val="20"/>
          <w:szCs w:val="20"/>
        </w:rPr>
        <w:t>tfolios, in addition to the existing portfolios, which will not be subject to the manager agreement. Additionally, Brett Icahn provides certain other services, at our request, which may entail research, analysis and advice with respect to a separate design</w:t>
      </w:r>
      <w:r>
        <w:rPr>
          <w:sz w:val="20"/>
          <w:szCs w:val="20"/>
        </w:rPr>
        <w:t xml:space="preserve">ated portfolio of assets within the Investment Funds. Subject to the terms of the manager agreement, at the end of the seven-year term, Brett Icahn will be entitled to receive a </w:t>
      </w:r>
    </w:p>
    <w:p w:rsidR="00000000" w:rsidRDefault="009730FF">
      <w:pPr>
        <w:pStyle w:val="a3"/>
        <w:spacing w:before="480" w:beforeAutospacing="0" w:after="0" w:afterAutospacing="0"/>
        <w:jc w:val="center"/>
        <w:divId w:val="263848224"/>
        <w:rPr>
          <w:sz w:val="20"/>
          <w:szCs w:val="20"/>
        </w:rPr>
      </w:pPr>
      <w:r>
        <w:rPr>
          <w:sz w:val="20"/>
          <w:szCs w:val="20"/>
        </w:rPr>
        <w:t>12</w:t>
      </w:r>
    </w:p>
    <w:p w:rsidR="00000000" w:rsidRDefault="009730FF">
      <w:pPr>
        <w:pStyle w:val="a3"/>
        <w:spacing w:before="0" w:beforeAutospacing="0" w:after="600" w:afterAutospacing="0"/>
        <w:divId w:val="1831600868"/>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831600868"/>
        <w:rPr>
          <w:sz w:val="20"/>
          <w:szCs w:val="20"/>
        </w:rPr>
      </w:pPr>
      <w:r>
        <w:rPr>
          <w:b/>
          <w:bCs/>
          <w:sz w:val="20"/>
          <w:szCs w:val="20"/>
        </w:rPr>
        <w:t>ICAHN ENTERPRISES L.P. AND SUB</w:t>
      </w:r>
      <w:r>
        <w:rPr>
          <w:b/>
          <w:bCs/>
          <w:sz w:val="20"/>
          <w:szCs w:val="20"/>
        </w:rPr>
        <w:t>SIDIARIES</w:t>
      </w:r>
    </w:p>
    <w:p w:rsidR="00000000" w:rsidRDefault="009730FF">
      <w:pPr>
        <w:pStyle w:val="a3"/>
        <w:spacing w:before="0" w:beforeAutospacing="0" w:after="240" w:afterAutospacing="0"/>
        <w:jc w:val="center"/>
        <w:divId w:val="1831600868"/>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447894271"/>
        <w:rPr>
          <w:sz w:val="20"/>
          <w:szCs w:val="20"/>
        </w:rPr>
      </w:pPr>
      <w:r>
        <w:rPr>
          <w:sz w:val="20"/>
          <w:szCs w:val="20"/>
        </w:rPr>
        <w:t>one-time lump sum payment as described in and computed pursuant to the manager agreement. Brett Icahn will not be entitled to receive from us any other compensation (including any salary or bonus) in respect of the services he is to provide under the manag</w:t>
      </w:r>
      <w:r>
        <w:rPr>
          <w:sz w:val="20"/>
          <w:szCs w:val="20"/>
        </w:rPr>
        <w:t>er agreement other than restricted depositary units granted under a restricted unit agreement. In accordance with the manager agreement, Brett Icahn will co-invest with the Investment Funds in certain positions, will make cash contributions to the Investme</w:t>
      </w:r>
      <w:r>
        <w:rPr>
          <w:sz w:val="20"/>
          <w:szCs w:val="20"/>
        </w:rPr>
        <w:t>nt Funds in order to fund such co-investments and will have a special limited partnership interest in the Investment Funds through which the profit and loss attributable to such co-investments will be allocated to him. During 2022, Brett Icahn did not make</w:t>
      </w:r>
      <w:r>
        <w:rPr>
          <w:sz w:val="20"/>
          <w:szCs w:val="20"/>
        </w:rPr>
        <w:t xml:space="preserve"> any contributions in accordance with the manager agreement and in three months ended March 31, 2021 he contributed $40 million. As of March 31, 2022 and December 31, 2021 he had investments in the Investment Funds with a total fair market value of $86 mil</w:t>
      </w:r>
      <w:r>
        <w:rPr>
          <w:sz w:val="20"/>
          <w:szCs w:val="20"/>
        </w:rPr>
        <w:t xml:space="preserve">lion and $93 million, respectively. We also entered into a guaranty agreement with an affiliate of Brett Icahn, pursuant to which we guaranteed the payment of certain amounts required to be distributed by the Investment Funds to such affiliate pursuant to </w:t>
      </w:r>
      <w:r>
        <w:rPr>
          <w:sz w:val="20"/>
          <w:szCs w:val="20"/>
        </w:rPr>
        <w:t>the terms and conditions of the manager agreement.</w:t>
      </w:r>
    </w:p>
    <w:p w:rsidR="00000000" w:rsidRDefault="009730FF">
      <w:pPr>
        <w:pStyle w:val="a3"/>
        <w:spacing w:before="0" w:beforeAutospacing="0" w:after="240" w:afterAutospacing="0"/>
        <w:divId w:val="1447894271"/>
        <w:rPr>
          <w:b/>
          <w:bCs/>
          <w:sz w:val="20"/>
          <w:szCs w:val="20"/>
        </w:rPr>
      </w:pPr>
      <w:r>
        <w:rPr>
          <w:b/>
          <w:bCs/>
          <w:sz w:val="20"/>
          <w:szCs w:val="20"/>
        </w:rPr>
        <w:t>4.  Investments</w:t>
      </w:r>
    </w:p>
    <w:p w:rsidR="00000000" w:rsidRDefault="009730FF">
      <w:pPr>
        <w:pStyle w:val="a3"/>
        <w:spacing w:before="0" w:beforeAutospacing="0" w:after="240" w:afterAutospacing="0"/>
        <w:divId w:val="1447894271"/>
        <w:rPr>
          <w:b/>
          <w:bCs/>
          <w:i/>
          <w:iCs/>
          <w:sz w:val="20"/>
          <w:szCs w:val="20"/>
        </w:rPr>
      </w:pPr>
      <w:r>
        <w:rPr>
          <w:b/>
          <w:bCs/>
          <w:i/>
          <w:iCs/>
          <w:sz w:val="20"/>
          <w:szCs w:val="20"/>
        </w:rPr>
        <w:t>Investment</w:t>
      </w:r>
    </w:p>
    <w:p w:rsidR="00000000" w:rsidRDefault="009730FF">
      <w:pPr>
        <w:pStyle w:val="a3"/>
        <w:spacing w:before="0" w:beforeAutospacing="0" w:after="240" w:afterAutospacing="0"/>
        <w:ind w:firstLine="360"/>
        <w:divId w:val="1447894271"/>
        <w:rPr>
          <w:sz w:val="20"/>
          <w:szCs w:val="20"/>
        </w:rPr>
      </w:pPr>
      <w:r>
        <w:rPr>
          <w:sz w:val="20"/>
          <w:szCs w:val="20"/>
        </w:rPr>
        <w:t>Investments and securities sold, not yet purchased consist of equities, bonds, bank debt and other corporate obligations, all of which are reported at fair value in our condensed</w:t>
      </w:r>
      <w:r>
        <w:rPr>
          <w:sz w:val="20"/>
          <w:szCs w:val="20"/>
        </w:rPr>
        <w:t xml:space="preserve"> consolidated balance sheets. In addition, our Investment segment has certain derivative transactions which are discussed in Note 6, “Financial Instruments.” The carrying value and detail by security type, including business sector for equity securities, w</w:t>
      </w:r>
      <w:r>
        <w:rPr>
          <w:sz w:val="20"/>
          <w:szCs w:val="20"/>
        </w:rPr>
        <w:t>ith respect to investments and securities sold, not yet purchased held by our Investment segment consist of the following:</w:t>
      </w:r>
    </w:p>
    <w:p w:rsidR="00000000" w:rsidRDefault="009730FF">
      <w:pPr>
        <w:pStyle w:val="a3"/>
        <w:spacing w:before="0" w:beforeAutospacing="0" w:after="0" w:afterAutospacing="0"/>
        <w:divId w:val="144789427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8"/>
        <w:gridCol w:w="810"/>
        <w:gridCol w:w="200"/>
        <w:gridCol w:w="171"/>
        <w:gridCol w:w="1046"/>
      </w:tblGrid>
      <w:tr w:rsidR="00000000">
        <w:trPr>
          <w:divId w:val="1447894271"/>
          <w:trHeight w:val="20"/>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divId w:val="200501078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293930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14778658"/>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2345774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047369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2181748"/>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95575505"/>
              <w:rPr>
                <w:sz w:val="20"/>
                <w:szCs w:val="20"/>
              </w:rPr>
            </w:pPr>
            <w:r>
              <w:rPr>
                <w:sz w:val="2"/>
                <w:szCs w:val="2"/>
              </w:rPr>
              <w:t>​</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447894271"/>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447894271"/>
        </w:trPr>
        <w:tc>
          <w:tcPr>
            <w:tcW w:w="359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Communications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343</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352</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Consumer, cyclical</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959</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1,281</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Energy</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1,956</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3,184</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Utilities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1,097</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992</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Healthcare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842</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1,009</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Technology</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845</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931</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Materials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185</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194</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937</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895</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7,164</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8,838</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Corporate debt securities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112</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114</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7,276</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8,952</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Liabilities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Securities sold, not yet purchased, at fair value: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Consumer, cyclical</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813</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848</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1,581</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2,028</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Utilities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813</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659</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Healthcare</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990</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1,049</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Materials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282</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365</w:t>
            </w:r>
          </w:p>
        </w:tc>
      </w:tr>
      <w:tr w:rsidR="00000000">
        <w:trPr>
          <w:divId w:val="144789427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297</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391</w:t>
            </w:r>
          </w:p>
        </w:tc>
      </w:tr>
      <w:tr w:rsidR="00000000">
        <w:trPr>
          <w:divId w:val="144789427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4,776</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5,340</w:t>
            </w:r>
          </w:p>
        </w:tc>
      </w:tr>
    </w:tbl>
    <w:p w:rsidR="00000000" w:rsidRDefault="009730FF">
      <w:pPr>
        <w:pStyle w:val="a3"/>
        <w:spacing w:before="0" w:beforeAutospacing="0" w:after="0" w:afterAutospacing="0"/>
        <w:divId w:val="1447894271"/>
        <w:rPr>
          <w:sz w:val="20"/>
          <w:szCs w:val="20"/>
        </w:rPr>
      </w:pPr>
      <w:r>
        <w:rPr>
          <w:sz w:val="20"/>
          <w:szCs w:val="20"/>
        </w:rPr>
        <w:t>​</w:t>
      </w:r>
    </w:p>
    <w:p w:rsidR="00000000" w:rsidRDefault="009730FF">
      <w:pPr>
        <w:pStyle w:val="a3"/>
        <w:spacing w:before="480" w:beforeAutospacing="0" w:after="0" w:afterAutospacing="0"/>
        <w:jc w:val="center"/>
        <w:divId w:val="1712612328"/>
        <w:rPr>
          <w:sz w:val="20"/>
          <w:szCs w:val="20"/>
        </w:rPr>
      </w:pPr>
      <w:r>
        <w:rPr>
          <w:sz w:val="20"/>
          <w:szCs w:val="20"/>
        </w:rPr>
        <w:t>13</w:t>
      </w:r>
    </w:p>
    <w:p w:rsidR="00000000" w:rsidRDefault="009730FF">
      <w:pPr>
        <w:pStyle w:val="a3"/>
        <w:spacing w:before="0" w:beforeAutospacing="0" w:after="600" w:afterAutospacing="0"/>
        <w:divId w:val="625353341"/>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625353341"/>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625353341"/>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ind w:firstLine="360"/>
        <w:divId w:val="1381132041"/>
        <w:rPr>
          <w:sz w:val="20"/>
          <w:szCs w:val="20"/>
        </w:rPr>
      </w:pPr>
      <w:r>
        <w:rPr>
          <w:sz w:val="20"/>
          <w:szCs w:val="20"/>
        </w:rPr>
        <w:t>The portion of unrealized gains that relates to securities still held by our Investment segment, primarily equity securities, was $403 million and $1,122 million for the three months ended Ma</w:t>
      </w:r>
      <w:r>
        <w:rPr>
          <w:sz w:val="20"/>
          <w:szCs w:val="20"/>
        </w:rPr>
        <w:t>rch 31, 2022 and 2021, respectively.</w:t>
      </w:r>
    </w:p>
    <w:p w:rsidR="00000000" w:rsidRDefault="009730FF">
      <w:pPr>
        <w:pStyle w:val="a3"/>
        <w:spacing w:before="0" w:beforeAutospacing="0" w:after="240" w:afterAutospacing="0"/>
        <w:divId w:val="1381132041"/>
        <w:rPr>
          <w:b/>
          <w:bCs/>
          <w:i/>
          <w:iCs/>
          <w:sz w:val="20"/>
          <w:szCs w:val="20"/>
        </w:rPr>
      </w:pPr>
      <w:r>
        <w:rPr>
          <w:b/>
          <w:bCs/>
          <w:i/>
          <w:iCs/>
          <w:sz w:val="20"/>
          <w:szCs w:val="20"/>
        </w:rPr>
        <w:t>Other Segments and Holding Company</w:t>
      </w:r>
    </w:p>
    <w:p w:rsidR="00000000" w:rsidRDefault="009730FF">
      <w:pPr>
        <w:pStyle w:val="a3"/>
        <w:spacing w:before="0" w:beforeAutospacing="0" w:after="240" w:afterAutospacing="0"/>
        <w:ind w:firstLine="360"/>
        <w:divId w:val="1381132041"/>
        <w:rPr>
          <w:sz w:val="20"/>
          <w:szCs w:val="20"/>
        </w:rPr>
      </w:pPr>
      <w:r>
        <w:rPr>
          <w:sz w:val="20"/>
          <w:szCs w:val="20"/>
        </w:rPr>
        <w:t>With the exception of certain equity method investments at our operating subsidiaries and our Holding Company disclosed in the table below, our investments are measured at fair value i</w:t>
      </w:r>
      <w:r>
        <w:rPr>
          <w:sz w:val="20"/>
          <w:szCs w:val="20"/>
        </w:rPr>
        <w:t>n our condensed consolidated balance sheets. The carrying value of investments held by our other segments and our Holding Company consist of the following:</w:t>
      </w:r>
    </w:p>
    <w:p w:rsidR="00000000" w:rsidRDefault="009730FF">
      <w:pPr>
        <w:pStyle w:val="a3"/>
        <w:spacing w:before="0" w:beforeAutospacing="0" w:after="0" w:afterAutospacing="0"/>
        <w:divId w:val="13811320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8"/>
        <w:gridCol w:w="810"/>
        <w:gridCol w:w="200"/>
        <w:gridCol w:w="171"/>
        <w:gridCol w:w="1046"/>
      </w:tblGrid>
      <w:tr w:rsidR="00000000">
        <w:trPr>
          <w:divId w:val="1381132041"/>
          <w:trHeight w:val="20"/>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divId w:val="81645271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6748828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4282386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35039617"/>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1762295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5101253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15093704"/>
              <w:rPr>
                <w:sz w:val="20"/>
                <w:szCs w:val="20"/>
              </w:rPr>
            </w:pPr>
            <w:r>
              <w:rPr>
                <w:sz w:val="2"/>
                <w:szCs w:val="2"/>
              </w:rPr>
              <w:t>​</w:t>
            </w:r>
          </w:p>
        </w:tc>
      </w:tr>
      <w:tr w:rsidR="00000000">
        <w:trPr>
          <w:divId w:val="138113204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w:t>
            </w:r>
          </w:p>
        </w:tc>
      </w:tr>
      <w:tr w:rsidR="00000000">
        <w:trPr>
          <w:divId w:val="138113204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381132041"/>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38113204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38113204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Equity method investments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78</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79</w:t>
            </w:r>
          </w:p>
        </w:tc>
      </w:tr>
      <w:tr w:rsidR="00000000">
        <w:trPr>
          <w:divId w:val="1381132041"/>
        </w:trPr>
        <w:tc>
          <w:tcPr>
            <w:tcW w:w="35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investments measured at fair value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43</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120</w:t>
            </w:r>
          </w:p>
        </w:tc>
      </w:tr>
      <w:tr w:rsidR="00000000">
        <w:trPr>
          <w:divId w:val="1381132041"/>
        </w:trPr>
        <w:tc>
          <w:tcPr>
            <w:tcW w:w="35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121</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199</w:t>
            </w:r>
          </w:p>
        </w:tc>
      </w:tr>
    </w:tbl>
    <w:p w:rsidR="00000000" w:rsidRDefault="009730FF">
      <w:pPr>
        <w:pStyle w:val="a3"/>
        <w:spacing w:before="0" w:beforeAutospacing="0" w:after="0" w:afterAutospacing="0"/>
        <w:divId w:val="1381132041"/>
        <w:rPr>
          <w:sz w:val="20"/>
          <w:szCs w:val="20"/>
        </w:rPr>
      </w:pPr>
      <w:r>
        <w:rPr>
          <w:sz w:val="20"/>
          <w:szCs w:val="20"/>
        </w:rPr>
        <w:t>​</w:t>
      </w:r>
    </w:p>
    <w:p w:rsidR="00000000" w:rsidRDefault="009730FF">
      <w:pPr>
        <w:pStyle w:val="a3"/>
        <w:spacing w:before="0" w:beforeAutospacing="0" w:after="240" w:afterAutospacing="0"/>
        <w:ind w:firstLine="360"/>
        <w:divId w:val="1381132041"/>
        <w:rPr>
          <w:sz w:val="20"/>
          <w:szCs w:val="20"/>
        </w:rPr>
      </w:pPr>
      <w:r>
        <w:rPr>
          <w:sz w:val="20"/>
          <w:szCs w:val="20"/>
        </w:rPr>
        <w:t xml:space="preserve">The portion of unrealized gains that relates to equity securities still held by our other segments and Holding Company was .$58 million for each of the three months ended March 31, 2022 and 2021. </w:t>
      </w:r>
    </w:p>
    <w:p w:rsidR="00000000" w:rsidRDefault="009730FF">
      <w:pPr>
        <w:pStyle w:val="a3"/>
        <w:spacing w:before="0" w:beforeAutospacing="0" w:after="240" w:afterAutospacing="0"/>
        <w:divId w:val="1381132041"/>
        <w:rPr>
          <w:b/>
          <w:bCs/>
          <w:sz w:val="20"/>
          <w:szCs w:val="20"/>
        </w:rPr>
      </w:pPr>
      <w:r>
        <w:rPr>
          <w:b/>
          <w:bCs/>
          <w:sz w:val="20"/>
          <w:szCs w:val="20"/>
        </w:rPr>
        <w:t>5.  Fair Value Measurements</w:t>
      </w:r>
    </w:p>
    <w:p w:rsidR="00000000" w:rsidRDefault="009730FF">
      <w:pPr>
        <w:pStyle w:val="a3"/>
        <w:spacing w:before="0" w:beforeAutospacing="0" w:after="240" w:afterAutospacing="0"/>
        <w:ind w:firstLine="360"/>
        <w:divId w:val="1381132041"/>
        <w:rPr>
          <w:sz w:val="20"/>
          <w:szCs w:val="20"/>
        </w:rPr>
      </w:pPr>
      <w:r>
        <w:rPr>
          <w:sz w:val="20"/>
          <w:szCs w:val="20"/>
        </w:rPr>
        <w:t>U.S. GAAP requires enhanced dis</w:t>
      </w:r>
      <w:r>
        <w:rPr>
          <w:sz w:val="20"/>
          <w:szCs w:val="20"/>
        </w:rPr>
        <w:t>closures about assets and liabilities that are measured and reported at fair value and has established a hierarchal disclosure framework that prioritizes and ranks the level of market price observability used in measuring assets and liabilities at fair val</w:t>
      </w:r>
      <w:r>
        <w:rPr>
          <w:sz w:val="20"/>
          <w:szCs w:val="20"/>
        </w:rPr>
        <w:t>ue. Market price observability is impacted by a number of factors, including the type of, and the characteristics specific to, the assets and liabilities. Assets and liabilities with readily available active quoted prices or for which fair value can be mea</w:t>
      </w:r>
      <w:r>
        <w:rPr>
          <w:sz w:val="20"/>
          <w:szCs w:val="20"/>
        </w:rPr>
        <w:t>sured from actively quoted prices generally will have a higher degree of market price observability and a lesser degree of judgment used in measuring fair value.</w:t>
      </w:r>
    </w:p>
    <w:p w:rsidR="00000000" w:rsidRDefault="009730FF">
      <w:pPr>
        <w:pStyle w:val="a3"/>
        <w:spacing w:before="0" w:beforeAutospacing="0" w:after="240" w:afterAutospacing="0"/>
        <w:ind w:firstLine="360"/>
        <w:divId w:val="1381132041"/>
        <w:rPr>
          <w:sz w:val="20"/>
          <w:szCs w:val="20"/>
        </w:rPr>
      </w:pPr>
      <w:r>
        <w:rPr>
          <w:sz w:val="20"/>
          <w:szCs w:val="20"/>
        </w:rPr>
        <w:t>Assets and liabilities measured and reported at fair value are classified and disclosed in one</w:t>
      </w:r>
      <w:r>
        <w:rPr>
          <w:sz w:val="20"/>
          <w:szCs w:val="20"/>
        </w:rPr>
        <w:t xml:space="preserve"> of the following categories:</w:t>
      </w:r>
    </w:p>
    <w:p w:rsidR="00000000" w:rsidRDefault="009730FF">
      <w:pPr>
        <w:pStyle w:val="a3"/>
        <w:spacing w:before="0" w:beforeAutospacing="0" w:after="240" w:afterAutospacing="0"/>
        <w:ind w:left="360"/>
        <w:divId w:val="1381132041"/>
        <w:rPr>
          <w:sz w:val="20"/>
          <w:szCs w:val="20"/>
        </w:rPr>
      </w:pPr>
      <w:r>
        <w:rPr>
          <w:sz w:val="20"/>
          <w:szCs w:val="20"/>
        </w:rPr>
        <w:t>Level 1 - Quoted prices are available in active markets for identical assets and liabilities as of the reporting date.</w:t>
      </w:r>
    </w:p>
    <w:p w:rsidR="00000000" w:rsidRDefault="009730FF">
      <w:pPr>
        <w:pStyle w:val="a3"/>
        <w:spacing w:before="0" w:beforeAutospacing="0" w:after="240" w:afterAutospacing="0"/>
        <w:ind w:left="360"/>
        <w:divId w:val="1381132041"/>
        <w:rPr>
          <w:sz w:val="20"/>
          <w:szCs w:val="20"/>
        </w:rPr>
      </w:pPr>
      <w:r>
        <w:rPr>
          <w:sz w:val="20"/>
          <w:szCs w:val="20"/>
        </w:rPr>
        <w:t>Level 2 - Pricing inputs are other than quoted prices in active markets, which are either directly or indir</w:t>
      </w:r>
      <w:r>
        <w:rPr>
          <w:sz w:val="20"/>
          <w:szCs w:val="20"/>
        </w:rPr>
        <w:t>ectly observable as of the reporting date, and fair value is determined through the use of models or other valuation methodologies where all significant inputs are observable. The inputs and assumptions of our Level 2 assets and liabilities are derived fro</w:t>
      </w:r>
      <w:r>
        <w:rPr>
          <w:sz w:val="20"/>
          <w:szCs w:val="20"/>
        </w:rPr>
        <w:t>m market observable sources including reported trades, broker/dealer quotes and other pertinent data.</w:t>
      </w:r>
    </w:p>
    <w:p w:rsidR="00000000" w:rsidRDefault="009730FF">
      <w:pPr>
        <w:pStyle w:val="a3"/>
        <w:spacing w:before="0" w:beforeAutospacing="0" w:after="240" w:afterAutospacing="0"/>
        <w:ind w:left="360"/>
        <w:divId w:val="1381132041"/>
        <w:rPr>
          <w:sz w:val="20"/>
          <w:szCs w:val="20"/>
        </w:rPr>
      </w:pPr>
      <w:r>
        <w:rPr>
          <w:sz w:val="20"/>
          <w:szCs w:val="20"/>
        </w:rPr>
        <w:t>Level 3 - Pricing inputs are unobservable for the assets and liabilities and include situations where there is little, if any, market activity for the ass</w:t>
      </w:r>
      <w:r>
        <w:rPr>
          <w:sz w:val="20"/>
          <w:szCs w:val="20"/>
        </w:rPr>
        <w:t>ets and liabilities. The inputs into the determination of fair value require significant management judgment or estimation. Fair value is determined using comparable market transactions and other valuation methodologies, adjusted as appropriate for liquidi</w:t>
      </w:r>
      <w:r>
        <w:rPr>
          <w:sz w:val="20"/>
          <w:szCs w:val="20"/>
        </w:rPr>
        <w:t>ty, credit, market and/or other risk factors.</w:t>
      </w:r>
    </w:p>
    <w:p w:rsidR="00000000" w:rsidRDefault="009730FF">
      <w:pPr>
        <w:pStyle w:val="a3"/>
        <w:spacing w:before="0" w:beforeAutospacing="0" w:after="240" w:afterAutospacing="0"/>
        <w:ind w:firstLine="360"/>
        <w:divId w:val="1381132041"/>
        <w:rPr>
          <w:sz w:val="20"/>
          <w:szCs w:val="20"/>
        </w:rPr>
      </w:pPr>
      <w:r>
        <w:rPr>
          <w:sz w:val="20"/>
          <w:szCs w:val="20"/>
        </w:rPr>
        <w:t>In certain cases, the inputs used to measure fair value may fall into different levels of the fair value hierarchy. In such cases, the level within the fair value hierarchy is based on the lowest level of input</w:t>
      </w:r>
      <w:r>
        <w:rPr>
          <w:sz w:val="20"/>
          <w:szCs w:val="20"/>
        </w:rPr>
        <w:t xml:space="preserve"> that is significant to the fair value measurement. Our assessment of the significance of a particular input to the fair value measurement in its entirety requires judgment and consideration of factors specific to the assets and liabilities. Significant tr</w:t>
      </w:r>
      <w:r>
        <w:rPr>
          <w:sz w:val="20"/>
          <w:szCs w:val="20"/>
        </w:rPr>
        <w:t>ansfers, if any, between the levels within the fair value hierarchy are recognized at the beginning of the reporting period when changes in circumstances require such transfers.</w:t>
      </w:r>
    </w:p>
    <w:p w:rsidR="00000000" w:rsidRDefault="009730FF">
      <w:pPr>
        <w:pStyle w:val="a3"/>
        <w:spacing w:before="480" w:beforeAutospacing="0" w:after="0" w:afterAutospacing="0"/>
        <w:jc w:val="center"/>
        <w:divId w:val="2036734014"/>
        <w:rPr>
          <w:sz w:val="20"/>
          <w:szCs w:val="20"/>
        </w:rPr>
      </w:pPr>
      <w:r>
        <w:rPr>
          <w:sz w:val="20"/>
          <w:szCs w:val="20"/>
        </w:rPr>
        <w:t>14</w:t>
      </w:r>
    </w:p>
    <w:p w:rsidR="00000000" w:rsidRDefault="009730FF">
      <w:pPr>
        <w:pStyle w:val="a3"/>
        <w:spacing w:before="0" w:beforeAutospacing="0" w:after="600" w:afterAutospacing="0"/>
        <w:divId w:val="1654947763"/>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654947763"/>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654947763"/>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229777727"/>
        <w:rPr>
          <w:b/>
          <w:bCs/>
          <w:i/>
          <w:iCs/>
          <w:sz w:val="20"/>
          <w:szCs w:val="20"/>
        </w:rPr>
      </w:pPr>
      <w:r>
        <w:rPr>
          <w:b/>
          <w:bCs/>
          <w:i/>
          <w:iCs/>
          <w:sz w:val="20"/>
          <w:szCs w:val="20"/>
        </w:rPr>
        <w:t>Assets and Liabilities Measured at Fair Value on a Recurring Basis</w:t>
      </w:r>
    </w:p>
    <w:p w:rsidR="00000000" w:rsidRDefault="009730FF">
      <w:pPr>
        <w:pStyle w:val="a3"/>
        <w:spacing w:before="0" w:beforeAutospacing="0" w:after="240" w:afterAutospacing="0"/>
        <w:ind w:firstLine="360"/>
        <w:divId w:val="229777727"/>
        <w:rPr>
          <w:sz w:val="20"/>
          <w:szCs w:val="20"/>
        </w:rPr>
      </w:pPr>
      <w:r>
        <w:rPr>
          <w:sz w:val="20"/>
          <w:szCs w:val="20"/>
        </w:rPr>
        <w:t xml:space="preserve">The following table summarizes the valuation of our assets and liabilities by the above fair value hierarchy levels measured on a recurring basis: </w:t>
      </w:r>
    </w:p>
    <w:p w:rsidR="00000000" w:rsidRDefault="009730FF">
      <w:pPr>
        <w:pStyle w:val="a3"/>
        <w:spacing w:before="0" w:beforeAutospacing="0" w:after="0" w:afterAutospacing="0"/>
        <w:divId w:val="2297777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92"/>
        <w:gridCol w:w="160"/>
        <w:gridCol w:w="101"/>
        <w:gridCol w:w="524"/>
        <w:gridCol w:w="200"/>
        <w:gridCol w:w="101"/>
        <w:gridCol w:w="524"/>
        <w:gridCol w:w="200"/>
        <w:gridCol w:w="102"/>
        <w:gridCol w:w="515"/>
        <w:gridCol w:w="200"/>
        <w:gridCol w:w="100"/>
        <w:gridCol w:w="510"/>
        <w:gridCol w:w="200"/>
        <w:gridCol w:w="101"/>
        <w:gridCol w:w="524"/>
        <w:gridCol w:w="200"/>
        <w:gridCol w:w="101"/>
        <w:gridCol w:w="524"/>
        <w:gridCol w:w="200"/>
        <w:gridCol w:w="102"/>
        <w:gridCol w:w="515"/>
        <w:gridCol w:w="200"/>
        <w:gridCol w:w="100"/>
        <w:gridCol w:w="510"/>
      </w:tblGrid>
      <w:tr w:rsidR="00000000">
        <w:trPr>
          <w:divId w:val="229777727"/>
          <w:trHeight w:val="20"/>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divId w:val="5216243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1357177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8646137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7421444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57601275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651323548"/>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073592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9381479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1490048"/>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4019490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12165707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55901296"/>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5253086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631655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8785616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97572471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5457750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5102849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4325811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1165446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74175624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14134242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75223891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79760057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329338286"/>
              <w:rPr>
                <w:sz w:val="20"/>
                <w:szCs w:val="20"/>
              </w:rPr>
            </w:pPr>
            <w:r>
              <w:rPr>
                <w:sz w:val="2"/>
                <w:szCs w:val="2"/>
              </w:rPr>
              <w:t>​</w:t>
            </w: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1646" w:type="pct"/>
            <w:gridSpan w:val="11"/>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March 31, 2022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1646" w:type="pct"/>
            <w:gridSpan w:val="11"/>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December 31, 2021</w:t>
            </w: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Total</w:t>
            </w:r>
          </w:p>
        </w:tc>
      </w:tr>
      <w:tr w:rsidR="00000000">
        <w:trPr>
          <w:divId w:val="229777727"/>
        </w:trPr>
        <w:tc>
          <w:tcPr>
            <w:tcW w:w="0" w:type="auto"/>
            <w:gridSpan w:val="25"/>
            <w:tcMar>
              <w:top w:w="0" w:type="dxa"/>
              <w:left w:w="0" w:type="dxa"/>
              <w:bottom w:w="0" w:type="dxa"/>
              <w:right w:w="0" w:type="dxa"/>
            </w:tcMar>
            <w:vAlign w:val="center"/>
            <w:hideMark/>
          </w:tcPr>
          <w:p w:rsidR="00000000" w:rsidRDefault="009730FF">
            <w:pPr>
              <w:rPr>
                <w:sz w:val="20"/>
                <w:szCs w:val="20"/>
              </w:rPr>
            </w:pP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3396" w:type="pct"/>
            <w:gridSpan w:val="23"/>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229777727"/>
        </w:trPr>
        <w:tc>
          <w:tcPr>
            <w:tcW w:w="152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7,154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7,307</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8,905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9,060</w:t>
            </w:r>
          </w:p>
        </w:tc>
      </w:tr>
      <w:tr w:rsidR="00000000">
        <w:trPr>
          <w:divId w:val="229777727"/>
        </w:trPr>
        <w:tc>
          <w:tcPr>
            <w:tcW w:w="152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Derivative assets, net (Note 6)</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469</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469</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612</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612</w:t>
            </w: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7,154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580</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7,776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8,905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725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9,672</w:t>
            </w:r>
          </w:p>
        </w:tc>
      </w:tr>
      <w:tr w:rsidR="00000000">
        <w:trPr>
          <w:divId w:val="229777727"/>
        </w:trPr>
        <w:tc>
          <w:tcPr>
            <w:tcW w:w="152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4,776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4,776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5,340</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5,340</w:t>
            </w:r>
          </w:p>
        </w:tc>
      </w:tr>
      <w:tr w:rsidR="00000000">
        <w:trPr>
          <w:divId w:val="229777727"/>
        </w:trPr>
        <w:tc>
          <w:tcPr>
            <w:tcW w:w="152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Derivative liabilities, net (Note 6)</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729</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729</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787</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787</w:t>
            </w:r>
          </w:p>
        </w:tc>
      </w:tr>
      <w:tr w:rsidR="00000000">
        <w:trPr>
          <w:divId w:val="229777727"/>
        </w:trPr>
        <w:tc>
          <w:tcPr>
            <w:tcW w:w="152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RFS obligations (Note 16)</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585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585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494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494</w:t>
            </w:r>
          </w:p>
        </w:tc>
      </w:tr>
      <w:tr w:rsidR="00000000">
        <w:trPr>
          <w:divId w:val="229777727"/>
        </w:trPr>
        <w:tc>
          <w:tcPr>
            <w:tcW w:w="152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4,776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1,314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6,090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5,340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1,281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6,621</w:t>
            </w:r>
          </w:p>
        </w:tc>
      </w:tr>
    </w:tbl>
    <w:p w:rsidR="00000000" w:rsidRDefault="009730FF">
      <w:pPr>
        <w:pStyle w:val="a3"/>
        <w:spacing w:before="0" w:beforeAutospacing="0" w:after="0" w:afterAutospacing="0"/>
        <w:ind w:firstLine="360"/>
        <w:divId w:val="229777727"/>
        <w:rPr>
          <w:sz w:val="20"/>
          <w:szCs w:val="20"/>
        </w:rPr>
      </w:pPr>
      <w:r>
        <w:rPr>
          <w:sz w:val="2"/>
          <w:szCs w:val="2"/>
          <w:shd w:val="clear" w:color="auto" w:fill="FFFF00"/>
        </w:rPr>
        <w:t>​</w:t>
      </w:r>
    </w:p>
    <w:p w:rsidR="00000000" w:rsidRDefault="009730FF">
      <w:pPr>
        <w:pStyle w:val="a3"/>
        <w:spacing w:before="0" w:beforeAutospacing="0" w:after="0" w:afterAutospacing="0"/>
        <w:divId w:val="229777727"/>
        <w:rPr>
          <w:sz w:val="20"/>
          <w:szCs w:val="20"/>
        </w:rPr>
      </w:pPr>
      <w:r>
        <w:rPr>
          <w:sz w:val="20"/>
          <w:szCs w:val="20"/>
        </w:rPr>
        <w:t>​</w:t>
      </w:r>
    </w:p>
    <w:p w:rsidR="00000000" w:rsidRDefault="009730FF">
      <w:pPr>
        <w:pStyle w:val="a3"/>
        <w:spacing w:before="0" w:beforeAutospacing="0" w:after="240" w:afterAutospacing="0"/>
        <w:divId w:val="229777727"/>
        <w:rPr>
          <w:b/>
          <w:bCs/>
          <w:sz w:val="20"/>
          <w:szCs w:val="20"/>
        </w:rPr>
      </w:pPr>
      <w:r>
        <w:rPr>
          <w:b/>
          <w:bCs/>
          <w:sz w:val="20"/>
          <w:szCs w:val="20"/>
        </w:rPr>
        <w:t>6.  Financial Instruments</w:t>
      </w:r>
    </w:p>
    <w:p w:rsidR="00000000" w:rsidRDefault="009730FF">
      <w:pPr>
        <w:pStyle w:val="a3"/>
        <w:spacing w:before="0" w:beforeAutospacing="0" w:after="240" w:afterAutospacing="0"/>
        <w:divId w:val="229777727"/>
        <w:rPr>
          <w:b/>
          <w:bCs/>
          <w:i/>
          <w:iCs/>
          <w:sz w:val="20"/>
          <w:szCs w:val="20"/>
        </w:rPr>
      </w:pPr>
      <w:r>
        <w:rPr>
          <w:b/>
          <w:bCs/>
          <w:i/>
          <w:iCs/>
          <w:sz w:val="20"/>
          <w:szCs w:val="20"/>
        </w:rPr>
        <w:t>Overview</w:t>
      </w:r>
    </w:p>
    <w:p w:rsidR="00000000" w:rsidRDefault="009730FF">
      <w:pPr>
        <w:pStyle w:val="a3"/>
        <w:spacing w:before="0" w:beforeAutospacing="0" w:after="240" w:afterAutospacing="0"/>
        <w:divId w:val="229777727"/>
        <w:rPr>
          <w:i/>
          <w:iCs/>
          <w:sz w:val="20"/>
          <w:szCs w:val="20"/>
        </w:rPr>
      </w:pPr>
      <w:r>
        <w:rPr>
          <w:i/>
          <w:iCs/>
          <w:sz w:val="20"/>
          <w:szCs w:val="20"/>
        </w:rPr>
        <w:t>Investment</w:t>
      </w:r>
    </w:p>
    <w:p w:rsidR="00000000" w:rsidRDefault="009730FF">
      <w:pPr>
        <w:pStyle w:val="a3"/>
        <w:spacing w:before="0" w:beforeAutospacing="0" w:after="240" w:afterAutospacing="0"/>
        <w:ind w:firstLine="360"/>
        <w:divId w:val="229777727"/>
        <w:rPr>
          <w:sz w:val="20"/>
          <w:szCs w:val="20"/>
        </w:rPr>
      </w:pPr>
      <w:r>
        <w:rPr>
          <w:sz w:val="20"/>
          <w:szCs w:val="20"/>
        </w:rPr>
        <w:t>In the normal course of business, the Investment Funds may trade various financial instruments and enter into certain investment activities, which may give rise to off-balance-sheet risks, with the objective of capital appreciation or as economic hedges ag</w:t>
      </w:r>
      <w:r>
        <w:rPr>
          <w:sz w:val="20"/>
          <w:szCs w:val="20"/>
        </w:rPr>
        <w:t>ainst other securities or the market as a whole. The Investment Funds’ investments may include futures, options, swaps and securities sold, not yet purchased. These financial instruments represent future commitments to purchase or sell other financial inst</w:t>
      </w:r>
      <w:r>
        <w:rPr>
          <w:sz w:val="20"/>
          <w:szCs w:val="20"/>
        </w:rPr>
        <w:t>ruments or to exchange an amount of cash based on the change in an underlying instrument at specific terms at specified future dates. Risks arise with these financial instruments from potential counterparty non-performance and from changes in the market va</w:t>
      </w:r>
      <w:r>
        <w:rPr>
          <w:sz w:val="20"/>
          <w:szCs w:val="20"/>
        </w:rPr>
        <w:t>lues of underlying instruments.</w:t>
      </w:r>
    </w:p>
    <w:p w:rsidR="00000000" w:rsidRDefault="009730FF">
      <w:pPr>
        <w:pStyle w:val="a3"/>
        <w:spacing w:before="0" w:beforeAutospacing="0" w:after="240" w:afterAutospacing="0"/>
        <w:ind w:firstLine="360"/>
        <w:divId w:val="229777727"/>
        <w:rPr>
          <w:sz w:val="20"/>
          <w:szCs w:val="20"/>
        </w:rPr>
      </w:pPr>
      <w:r>
        <w:rPr>
          <w:sz w:val="20"/>
          <w:szCs w:val="20"/>
        </w:rPr>
        <w:t>Credit concentrations may arise from investment activities and may be impacted by changes in economic, industry or political factors. The Investment Funds routinely execute transactions with counterparties in the financial s</w:t>
      </w:r>
      <w:r>
        <w:rPr>
          <w:sz w:val="20"/>
          <w:szCs w:val="20"/>
        </w:rPr>
        <w:t>ervices industry, resulting in credit concentration with respect to the financial services industry. In the ordinary course of business, the Investment Funds may also be subject to a concentration of credit risk to a particular counterparty. The Investment</w:t>
      </w:r>
      <w:r>
        <w:rPr>
          <w:sz w:val="20"/>
          <w:szCs w:val="20"/>
        </w:rPr>
        <w:t xml:space="preserve"> Funds seek to mitigate these risks by actively monitoring exposures, collateral requirements and the creditworthiness of its counterparties.</w:t>
      </w:r>
    </w:p>
    <w:p w:rsidR="00000000" w:rsidRDefault="009730FF">
      <w:pPr>
        <w:pStyle w:val="a3"/>
        <w:spacing w:before="0" w:beforeAutospacing="0" w:after="240" w:afterAutospacing="0"/>
        <w:ind w:firstLine="360"/>
        <w:divId w:val="229777727"/>
        <w:rPr>
          <w:sz w:val="20"/>
          <w:szCs w:val="20"/>
        </w:rPr>
      </w:pPr>
      <w:r>
        <w:rPr>
          <w:sz w:val="20"/>
          <w:szCs w:val="20"/>
        </w:rPr>
        <w:t>The Investment Funds have entered into various types of swap contracts with other counterparties. These agreements</w:t>
      </w:r>
      <w:r>
        <w:rPr>
          <w:sz w:val="20"/>
          <w:szCs w:val="20"/>
        </w:rPr>
        <w:t xml:space="preserve"> provide that they are entitled to receive or are obligated to pay in cash an amount equal to the increase or decrease, respectively, in the value of the underlying shares, debt and other instruments that are the subject of the contracts, during the period</w:t>
      </w:r>
      <w:r>
        <w:rPr>
          <w:sz w:val="20"/>
          <w:szCs w:val="20"/>
        </w:rPr>
        <w:t xml:space="preserve"> from inception of the applicable agreement to its expiration. In addition, pursuant to the terms of such agreements, they are entitled to receive or obligated to pay other amounts, including interest, dividends and other distributions made in respect of t</w:t>
      </w:r>
      <w:r>
        <w:rPr>
          <w:sz w:val="20"/>
          <w:szCs w:val="20"/>
        </w:rPr>
        <w:t>he underlying shares, debt and other instruments during the specified time frame. They are also required to pay to the counterparty a floating interest rate equal to the product of the notional amount multiplied by an agreed-upon rate, and they receive int</w:t>
      </w:r>
      <w:r>
        <w:rPr>
          <w:sz w:val="20"/>
          <w:szCs w:val="20"/>
        </w:rPr>
        <w:t>erest on any cash collateral that they post to the counterparty at the federal funds or LIBOR rate in effect for such period.</w:t>
      </w:r>
    </w:p>
    <w:p w:rsidR="00000000" w:rsidRDefault="009730FF">
      <w:pPr>
        <w:pStyle w:val="a3"/>
        <w:spacing w:before="480" w:beforeAutospacing="0" w:after="0" w:afterAutospacing="0"/>
        <w:jc w:val="center"/>
        <w:divId w:val="64190262"/>
        <w:rPr>
          <w:sz w:val="20"/>
          <w:szCs w:val="20"/>
        </w:rPr>
      </w:pPr>
      <w:r>
        <w:rPr>
          <w:sz w:val="20"/>
          <w:szCs w:val="20"/>
        </w:rPr>
        <w:t>15</w:t>
      </w:r>
    </w:p>
    <w:p w:rsidR="00000000" w:rsidRDefault="009730FF">
      <w:pPr>
        <w:pStyle w:val="a3"/>
        <w:spacing w:before="0" w:beforeAutospacing="0" w:after="600" w:afterAutospacing="0"/>
        <w:divId w:val="1282960053"/>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282960053"/>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282960053"/>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ind w:firstLine="360"/>
        <w:divId w:val="744303184"/>
        <w:rPr>
          <w:sz w:val="20"/>
          <w:szCs w:val="20"/>
        </w:rPr>
      </w:pPr>
      <w:r>
        <w:rPr>
          <w:sz w:val="20"/>
          <w:szCs w:val="20"/>
        </w:rPr>
        <w:t>The Investment Funds may trade futures contracts. A futures contract is a firm commitment to buy or sell a specified quantity of a standardized amount of a deliverable grade commodity, securi</w:t>
      </w:r>
      <w:r>
        <w:rPr>
          <w:sz w:val="20"/>
          <w:szCs w:val="20"/>
        </w:rPr>
        <w:t>ty, currency or cash at a specified price and specified future date unless the contract is closed before the delivery date. Payments (or variation margin) are made or received by the Investment Funds each day, depending on the daily fluctuations in the val</w:t>
      </w:r>
      <w:r>
        <w:rPr>
          <w:sz w:val="20"/>
          <w:szCs w:val="20"/>
        </w:rPr>
        <w:t xml:space="preserve">ue of the contract, and the whole value change is recorded as an unrealized gain or loss by the Investment Funds. When the contract is closed, the Investment Funds record a realized gain or loss equal to the difference between the value of the contract at </w:t>
      </w:r>
      <w:r>
        <w:rPr>
          <w:sz w:val="20"/>
          <w:szCs w:val="20"/>
        </w:rPr>
        <w:t>the time it was opened and the value at the time it was closed.</w:t>
      </w:r>
    </w:p>
    <w:p w:rsidR="00000000" w:rsidRDefault="009730FF">
      <w:pPr>
        <w:pStyle w:val="a3"/>
        <w:spacing w:before="0" w:beforeAutospacing="0" w:after="240" w:afterAutospacing="0"/>
        <w:ind w:firstLine="360"/>
        <w:divId w:val="744303184"/>
        <w:rPr>
          <w:sz w:val="20"/>
          <w:szCs w:val="20"/>
        </w:rPr>
      </w:pPr>
      <w:r>
        <w:rPr>
          <w:sz w:val="20"/>
          <w:szCs w:val="20"/>
        </w:rPr>
        <w:t>The Investment Funds may utilize forward contracts to seek to protect their assets denominated in foreign currencies and precious metals holdings from losses due to fluctuations in foreign exc</w:t>
      </w:r>
      <w:r>
        <w:rPr>
          <w:sz w:val="20"/>
          <w:szCs w:val="20"/>
        </w:rPr>
        <w:t>hange rates and spot rates. The Investment Funds’ exposure to credit risk associated with non-performance of such forward contracts is limited to the unrealized gains or losses inherent in such contracts, which are recognized in other assets and accrued ex</w:t>
      </w:r>
      <w:r>
        <w:rPr>
          <w:sz w:val="20"/>
          <w:szCs w:val="20"/>
        </w:rPr>
        <w:t>penses and other liabilities in our condensed consolidated balance sheets.</w:t>
      </w:r>
    </w:p>
    <w:p w:rsidR="00000000" w:rsidRDefault="009730FF">
      <w:pPr>
        <w:pStyle w:val="a3"/>
        <w:spacing w:before="0" w:beforeAutospacing="0" w:after="240" w:afterAutospacing="0"/>
        <w:ind w:firstLine="360"/>
        <w:divId w:val="744303184"/>
        <w:rPr>
          <w:sz w:val="20"/>
          <w:szCs w:val="20"/>
        </w:rPr>
      </w:pPr>
      <w:r>
        <w:rPr>
          <w:sz w:val="20"/>
          <w:szCs w:val="20"/>
        </w:rPr>
        <w:t>The Investment Funds may also enter into foreign currency contracts for purposes other than hedging denominated securities. When entering into a foreign currency forward contract, t</w:t>
      </w:r>
      <w:r>
        <w:rPr>
          <w:sz w:val="20"/>
          <w:szCs w:val="20"/>
        </w:rPr>
        <w:t>he Investment Funds agree to receive or deliver a fixed quantity of foreign currency for an agreed-upon price on an agreed-upon future date unless the contract is closed before such date. The Investment Funds record unrealized gains or losses on the contra</w:t>
      </w:r>
      <w:r>
        <w:rPr>
          <w:sz w:val="20"/>
          <w:szCs w:val="20"/>
        </w:rPr>
        <w:t>cts as measured by the difference between the forward foreign exchange rates at the dates of entry into such contracts and the forward rates at the reporting date.</w:t>
      </w:r>
    </w:p>
    <w:p w:rsidR="00000000" w:rsidRDefault="009730FF">
      <w:pPr>
        <w:pStyle w:val="a3"/>
        <w:spacing w:before="0" w:beforeAutospacing="0" w:after="240" w:afterAutospacing="0"/>
        <w:ind w:firstLine="360"/>
        <w:divId w:val="744303184"/>
        <w:rPr>
          <w:sz w:val="20"/>
          <w:szCs w:val="20"/>
        </w:rPr>
      </w:pPr>
      <w:r>
        <w:rPr>
          <w:sz w:val="20"/>
          <w:szCs w:val="20"/>
        </w:rPr>
        <w:t>The Investment Funds may also purchase and write option contracts. As a writer of option con</w:t>
      </w:r>
      <w:r>
        <w:rPr>
          <w:sz w:val="20"/>
          <w:szCs w:val="20"/>
        </w:rPr>
        <w:t>tracts, the Investment Funds receive a premium at the outset and then bear the market risk of unfavorable changes in the price of the underlying financial instrument. As a result of writing option contracts, the Investment Funds are obligated to purchase o</w:t>
      </w:r>
      <w:r>
        <w:rPr>
          <w:sz w:val="20"/>
          <w:szCs w:val="20"/>
        </w:rPr>
        <w:t>r sell, at the holder’s option, the underlying financial instrument. Accordingly, these transactions result in off-balance-sheet risk, as the Investment Funds’ satisfaction of the obligations may exceed the amount recognized in our condensed consolidated b</w:t>
      </w:r>
      <w:r>
        <w:rPr>
          <w:sz w:val="20"/>
          <w:szCs w:val="20"/>
        </w:rPr>
        <w:t>alance sheets.</w:t>
      </w:r>
    </w:p>
    <w:p w:rsidR="00000000" w:rsidRDefault="009730FF">
      <w:pPr>
        <w:pStyle w:val="a3"/>
        <w:spacing w:before="0" w:beforeAutospacing="0" w:after="240" w:afterAutospacing="0"/>
        <w:ind w:firstLine="360"/>
        <w:divId w:val="744303184"/>
        <w:rPr>
          <w:sz w:val="20"/>
          <w:szCs w:val="20"/>
        </w:rPr>
      </w:pPr>
      <w:r>
        <w:rPr>
          <w:sz w:val="20"/>
          <w:szCs w:val="20"/>
        </w:rPr>
        <w:t>Certain terms of the Investment Funds’ contracts with derivative counterparties, which are standard and customary to such contracts, contain certain triggering events that would give the counterparties the right to terminate the derivative i</w:t>
      </w:r>
      <w:r>
        <w:rPr>
          <w:sz w:val="20"/>
          <w:szCs w:val="20"/>
        </w:rPr>
        <w:t>nstruments. In such events, the counterparties to the derivative instruments could request immediate payment on derivative instruments in net liability positions. The aggregate fair value of all of the Investment Funds’ derivative instruments with credit-r</w:t>
      </w:r>
      <w:r>
        <w:rPr>
          <w:sz w:val="20"/>
          <w:szCs w:val="20"/>
        </w:rPr>
        <w:t>isk-related contingent features that are in a liability position as of March 31, 2022 and December 31, 2021 was $1 million and $0 million, respectively.</w:t>
      </w:r>
    </w:p>
    <w:p w:rsidR="00000000" w:rsidRDefault="009730FF">
      <w:pPr>
        <w:pStyle w:val="a3"/>
        <w:spacing w:before="0" w:beforeAutospacing="0" w:after="240" w:afterAutospacing="0"/>
        <w:ind w:firstLine="360"/>
        <w:divId w:val="744303184"/>
        <w:rPr>
          <w:sz w:val="20"/>
          <w:szCs w:val="20"/>
        </w:rPr>
      </w:pPr>
      <w:r>
        <w:rPr>
          <w:sz w:val="20"/>
          <w:szCs w:val="20"/>
        </w:rPr>
        <w:t>The following table summarizes the volume of our Investment segment’s derivative activities based on th</w:t>
      </w:r>
      <w:r>
        <w:rPr>
          <w:sz w:val="20"/>
          <w:szCs w:val="20"/>
        </w:rPr>
        <w:t>eir notional exposure, categorized by primary underlying risk:</w:t>
      </w:r>
    </w:p>
    <w:p w:rsidR="00000000" w:rsidRDefault="009730FF">
      <w:pPr>
        <w:pStyle w:val="a3"/>
        <w:spacing w:before="0" w:beforeAutospacing="0" w:after="0" w:afterAutospacing="0"/>
        <w:divId w:val="7443031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7"/>
        <w:gridCol w:w="160"/>
        <w:gridCol w:w="104"/>
        <w:gridCol w:w="708"/>
        <w:gridCol w:w="200"/>
        <w:gridCol w:w="104"/>
        <w:gridCol w:w="708"/>
        <w:gridCol w:w="200"/>
        <w:gridCol w:w="104"/>
        <w:gridCol w:w="708"/>
        <w:gridCol w:w="201"/>
        <w:gridCol w:w="103"/>
        <w:gridCol w:w="709"/>
      </w:tblGrid>
      <w:tr w:rsidR="00000000">
        <w:trPr>
          <w:divId w:val="744303184"/>
          <w:trHeight w:val="20"/>
        </w:trPr>
        <w:tc>
          <w:tcPr>
            <w:tcW w:w="2838"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r>
      <w:tr w:rsidR="00000000">
        <w:trPr>
          <w:divId w:val="744303184"/>
        </w:trPr>
        <w:tc>
          <w:tcPr>
            <w:tcW w:w="2838"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16"/>
                <w:szCs w:val="16"/>
              </w:rPr>
              <w:t>​</w:t>
            </w:r>
          </w:p>
        </w:tc>
        <w:tc>
          <w:tcPr>
            <w:tcW w:w="98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March 31, 2022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December 31, 2021</w:t>
            </w:r>
          </w:p>
        </w:tc>
      </w:tr>
      <w:tr w:rsidR="00000000">
        <w:trPr>
          <w:divId w:val="744303184"/>
        </w:trPr>
        <w:tc>
          <w:tcPr>
            <w:tcW w:w="2838"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Long Notional Exposure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Short Notional Exposure</w:t>
            </w:r>
          </w:p>
        </w:tc>
      </w:tr>
      <w:tr w:rsidR="00000000">
        <w:trPr>
          <w:divId w:val="744303184"/>
        </w:trPr>
        <w:tc>
          <w:tcPr>
            <w:tcW w:w="0" w:type="auto"/>
            <w:gridSpan w:val="13"/>
            <w:tcMar>
              <w:top w:w="0" w:type="dxa"/>
              <w:left w:w="0" w:type="dxa"/>
              <w:bottom w:w="0" w:type="dxa"/>
              <w:right w:w="0" w:type="dxa"/>
            </w:tcMar>
            <w:vAlign w:val="center"/>
            <w:hideMark/>
          </w:tcPr>
          <w:p w:rsidR="00000000" w:rsidRDefault="009730FF">
            <w:pPr>
              <w:rPr>
                <w:sz w:val="20"/>
                <w:szCs w:val="20"/>
              </w:rPr>
            </w:pPr>
          </w:p>
        </w:tc>
      </w:tr>
      <w:tr w:rsidR="00000000">
        <w:trPr>
          <w:divId w:val="744303184"/>
        </w:trPr>
        <w:tc>
          <w:tcPr>
            <w:tcW w:w="2838"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744303184"/>
        </w:trPr>
        <w:tc>
          <w:tcPr>
            <w:tcW w:w="2838"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c>
          <w:tcPr>
            <w:tcW w:w="384"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rFonts w:ascii="Calibri" w:hAnsi="Calibri" w:cs="Calibri"/>
                <w:sz w:val="20"/>
                <w:szCs w:val="20"/>
              </w:rPr>
              <w:t>​</w:t>
            </w:r>
          </w:p>
        </w:tc>
      </w:tr>
      <w:tr w:rsidR="00000000">
        <w:trPr>
          <w:divId w:val="744303184"/>
        </w:trPr>
        <w:tc>
          <w:tcPr>
            <w:tcW w:w="2838"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1,450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4,385</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1,582</w:t>
            </w:r>
          </w:p>
        </w:tc>
        <w:tc>
          <w:tcPr>
            <w:tcW w:w="10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5,986</w:t>
            </w:r>
          </w:p>
        </w:tc>
      </w:tr>
      <w:tr w:rsidR="00000000">
        <w:trPr>
          <w:divId w:val="744303184"/>
        </w:trPr>
        <w:tc>
          <w:tcPr>
            <w:tcW w:w="2838"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1,710</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2,081</w:t>
            </w:r>
          </w:p>
        </w:tc>
      </w:tr>
    </w:tbl>
    <w:p w:rsidR="00000000" w:rsidRDefault="009730FF">
      <w:pPr>
        <w:divId w:val="7443031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44303184"/>
        </w:trPr>
        <w:tc>
          <w:tcPr>
            <w:tcW w:w="360" w:type="dxa"/>
            <w:noWrap/>
            <w:tcMar>
              <w:top w:w="0" w:type="dxa"/>
              <w:left w:w="0" w:type="dxa"/>
              <w:bottom w:w="0" w:type="dxa"/>
              <w:right w:w="0" w:type="dxa"/>
            </w:tcMar>
            <w:hideMark/>
          </w:tcPr>
          <w:p w:rsidR="00000000" w:rsidRDefault="009730FF">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16"/>
                <w:szCs w:val="16"/>
              </w:rPr>
              <w:t>The short notional amount on our credit default swap positions was approximately $6.6 billion at March 31, 2022. However, because credit spreads cannot compress below zero, our downside short notional exposure to loss is approximately $1.7 billion as of Ma</w:t>
            </w:r>
            <w:r>
              <w:rPr>
                <w:rFonts w:eastAsia="Times New Roman"/>
                <w:sz w:val="16"/>
                <w:szCs w:val="16"/>
              </w:rPr>
              <w:t>rch 31, 2022. The short notional amount on our credit default swap positions was approximately $6.6 billion as of December 31, 2021. However, because credit spreads cannot compress below zero, our downside short notional exposure to loss is approximately $</w:t>
            </w:r>
            <w:r>
              <w:rPr>
                <w:rFonts w:eastAsia="Times New Roman"/>
                <w:sz w:val="16"/>
                <w:szCs w:val="16"/>
              </w:rPr>
              <w:t>2.1 billion as of December 31, 2021.</w:t>
            </w:r>
          </w:p>
        </w:tc>
      </w:tr>
    </w:tbl>
    <w:p w:rsidR="00000000" w:rsidRDefault="009730FF">
      <w:pPr>
        <w:pStyle w:val="a3"/>
        <w:spacing w:before="480" w:beforeAutospacing="0" w:after="0" w:afterAutospacing="0"/>
        <w:jc w:val="center"/>
        <w:divId w:val="1318412955"/>
        <w:rPr>
          <w:sz w:val="20"/>
          <w:szCs w:val="20"/>
        </w:rPr>
      </w:pPr>
      <w:r>
        <w:rPr>
          <w:sz w:val="20"/>
          <w:szCs w:val="20"/>
        </w:rPr>
        <w:t>16</w:t>
      </w:r>
    </w:p>
    <w:p w:rsidR="00000000" w:rsidRDefault="009730FF">
      <w:pPr>
        <w:pStyle w:val="a3"/>
        <w:spacing w:before="0" w:beforeAutospacing="0" w:after="600" w:afterAutospacing="0"/>
        <w:divId w:val="440612926"/>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440612926"/>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440612926"/>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ind w:firstLine="360"/>
        <w:divId w:val="1205631447"/>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Values for the derivative financial in</w:t>
      </w:r>
      <w:r>
        <w:rPr>
          <w:sz w:val="20"/>
          <w:szCs w:val="20"/>
        </w:rPr>
        <w:t>struments, principally swaps, forwards, over-the-counter options and other conditional and exchange contracts, are reported on a net-by-counterparty basis.</w:t>
      </w:r>
    </w:p>
    <w:p w:rsidR="00000000" w:rsidRDefault="009730FF">
      <w:pPr>
        <w:pStyle w:val="a3"/>
        <w:spacing w:before="0" w:beforeAutospacing="0" w:after="240" w:afterAutospacing="0"/>
        <w:ind w:firstLine="360"/>
        <w:divId w:val="1205631447"/>
        <w:rPr>
          <w:sz w:val="20"/>
          <w:szCs w:val="20"/>
        </w:rPr>
      </w:pPr>
      <w:r>
        <w:rPr>
          <w:sz w:val="20"/>
          <w:szCs w:val="20"/>
        </w:rPr>
        <w:t>The following table presents the fair values of our Investment segment’s derivatives that are not designated as hedging instruments in accordance with U.S. GAAP:</w:t>
      </w:r>
    </w:p>
    <w:p w:rsidR="00000000" w:rsidRDefault="009730FF">
      <w:pPr>
        <w:pStyle w:val="a3"/>
        <w:spacing w:before="0" w:beforeAutospacing="0" w:after="0" w:afterAutospacing="0"/>
        <w:divId w:val="120563144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5"/>
        <w:gridCol w:w="200"/>
        <w:gridCol w:w="142"/>
        <w:gridCol w:w="1186"/>
        <w:gridCol w:w="200"/>
        <w:gridCol w:w="173"/>
        <w:gridCol w:w="1444"/>
        <w:gridCol w:w="200"/>
        <w:gridCol w:w="142"/>
        <w:gridCol w:w="1186"/>
        <w:gridCol w:w="201"/>
        <w:gridCol w:w="173"/>
        <w:gridCol w:w="1444"/>
      </w:tblGrid>
      <w:tr w:rsidR="00000000">
        <w:trPr>
          <w:divId w:val="1205631447"/>
          <w:trHeight w:val="20"/>
        </w:trPr>
        <w:tc>
          <w:tcPr>
            <w:tcW w:w="1552" w:type="pct"/>
            <w:tcMar>
              <w:top w:w="0" w:type="dxa"/>
              <w:left w:w="0" w:type="dxa"/>
              <w:bottom w:w="0" w:type="dxa"/>
              <w:right w:w="0" w:type="dxa"/>
            </w:tcMar>
            <w:vAlign w:val="bottom"/>
            <w:hideMark/>
          </w:tcPr>
          <w:p w:rsidR="00000000" w:rsidRDefault="009730FF">
            <w:pPr>
              <w:pStyle w:val="a3"/>
              <w:spacing w:before="0" w:beforeAutospacing="0" w:after="1" w:afterAutospacing="0"/>
              <w:divId w:val="74792556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7953755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407066946"/>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253356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6245627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70651273"/>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6773227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17626389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62568148"/>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5148965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8072687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864007183"/>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457020891"/>
              <w:rPr>
                <w:sz w:val="20"/>
                <w:szCs w:val="20"/>
              </w:rPr>
            </w:pPr>
            <w:r>
              <w:rPr>
                <w:sz w:val="2"/>
                <w:szCs w:val="2"/>
              </w:rPr>
              <w:t>​</w:t>
            </w:r>
          </w:p>
        </w:tc>
      </w:tr>
      <w:tr w:rsidR="00000000">
        <w:trPr>
          <w:divId w:val="1205631447"/>
        </w:trPr>
        <w:tc>
          <w:tcPr>
            <w:tcW w:w="155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Derivative Assets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1621"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Derivative Liabilities</w:t>
            </w:r>
          </w:p>
        </w:tc>
      </w:tr>
      <w:tr w:rsidR="00000000">
        <w:trPr>
          <w:divId w:val="1205631447"/>
        </w:trPr>
        <w:tc>
          <w:tcPr>
            <w:tcW w:w="155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March 31, 2022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March 31, 2022</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December 31, 2021</w:t>
            </w:r>
          </w:p>
        </w:tc>
      </w:tr>
      <w:tr w:rsidR="00000000">
        <w:trPr>
          <w:divId w:val="1205631447"/>
        </w:trPr>
        <w:tc>
          <w:tcPr>
            <w:tcW w:w="0" w:type="auto"/>
            <w:gridSpan w:val="13"/>
            <w:tcMar>
              <w:top w:w="0" w:type="dxa"/>
              <w:left w:w="0" w:type="dxa"/>
              <w:bottom w:w="0" w:type="dxa"/>
              <w:right w:w="0" w:type="dxa"/>
            </w:tcMar>
            <w:vAlign w:val="center"/>
            <w:hideMark/>
          </w:tcPr>
          <w:p w:rsidR="00000000" w:rsidRDefault="009730FF">
            <w:pPr>
              <w:rPr>
                <w:sz w:val="20"/>
                <w:szCs w:val="20"/>
              </w:rPr>
            </w:pPr>
          </w:p>
        </w:tc>
      </w:tr>
      <w:tr w:rsidR="00000000">
        <w:trPr>
          <w:divId w:val="1205631447"/>
        </w:trPr>
        <w:tc>
          <w:tcPr>
            <w:tcW w:w="155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3271" w:type="pct"/>
            <w:gridSpan w:val="10"/>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1205631447"/>
        </w:trPr>
        <w:tc>
          <w:tcPr>
            <w:tcW w:w="155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82</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68</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1,182</w:t>
            </w:r>
          </w:p>
        </w:tc>
        <w:tc>
          <w:tcPr>
            <w:tcW w:w="10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1,317</w:t>
            </w:r>
          </w:p>
        </w:tc>
      </w:tr>
      <w:tr w:rsidR="00000000">
        <w:trPr>
          <w:divId w:val="1205631447"/>
        </w:trPr>
        <w:tc>
          <w:tcPr>
            <w:tcW w:w="155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828</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1,075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r>
      <w:tr w:rsidR="00000000">
        <w:trPr>
          <w:divId w:val="1205631447"/>
        </w:trPr>
        <w:tc>
          <w:tcPr>
            <w:tcW w:w="155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910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1,143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1,183</w:t>
            </w:r>
          </w:p>
        </w:tc>
        <w:tc>
          <w:tcPr>
            <w:tcW w:w="10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1,317</w:t>
            </w:r>
          </w:p>
        </w:tc>
      </w:tr>
      <w:tr w:rsidR="00000000">
        <w:trPr>
          <w:divId w:val="1205631447"/>
        </w:trPr>
        <w:tc>
          <w:tcPr>
            <w:tcW w:w="1552"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(454)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(532)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(454)</w:t>
            </w:r>
          </w:p>
        </w:tc>
        <w:tc>
          <w:tcPr>
            <w:tcW w:w="10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(532)</w:t>
            </w:r>
          </w:p>
        </w:tc>
      </w:tr>
      <w:tr w:rsidR="00000000">
        <w:trPr>
          <w:divId w:val="1205631447"/>
        </w:trPr>
        <w:tc>
          <w:tcPr>
            <w:tcW w:w="155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456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611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729</w:t>
            </w:r>
          </w:p>
        </w:tc>
        <w:tc>
          <w:tcPr>
            <w:tcW w:w="10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785</w:t>
            </w:r>
          </w:p>
        </w:tc>
      </w:tr>
    </w:tbl>
    <w:p w:rsidR="00000000" w:rsidRDefault="009730FF">
      <w:pPr>
        <w:divId w:val="12056314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05631447"/>
        </w:trPr>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16"/>
                <w:szCs w:val="16"/>
              </w:rPr>
              <w:t>Excludes netting of cash collateral received and posted. The total collateral posted at March 31, 2022 and December 31, 2021 was $1,615 million and $1,906 million, respectively, across all counterparties, which are included in cash held at consolidated aff</w:t>
            </w:r>
            <w:r>
              <w:rPr>
                <w:rFonts w:eastAsia="Times New Roman"/>
                <w:sz w:val="16"/>
                <w:szCs w:val="16"/>
              </w:rPr>
              <w:t>iliated partnerships and restricted cash in the condensed consolidated balance sheets.</w:t>
            </w:r>
          </w:p>
        </w:tc>
      </w:tr>
    </w:tbl>
    <w:p w:rsidR="00000000" w:rsidRDefault="009730FF">
      <w:pPr>
        <w:pStyle w:val="a3"/>
        <w:spacing w:before="0" w:beforeAutospacing="0" w:after="240" w:afterAutospacing="0"/>
        <w:ind w:firstLine="360"/>
        <w:divId w:val="1205631447"/>
        <w:rPr>
          <w:sz w:val="20"/>
          <w:szCs w:val="20"/>
        </w:rPr>
      </w:pPr>
      <w:r>
        <w:rPr>
          <w:sz w:val="20"/>
          <w:szCs w:val="20"/>
        </w:rPr>
        <w:t>The following table presents the amount of gain (loss) recognized in the condensed consolidated statements of operations for our Investment segment’s derivatives not de</w:t>
      </w:r>
      <w:r>
        <w:rPr>
          <w:sz w:val="20"/>
          <w:szCs w:val="20"/>
        </w:rPr>
        <w:t xml:space="preserve">signated as hedging instruments: </w:t>
      </w:r>
    </w:p>
    <w:tbl>
      <w:tblPr>
        <w:tblW w:w="5000" w:type="pct"/>
        <w:tblCellMar>
          <w:top w:w="15" w:type="dxa"/>
          <w:left w:w="0" w:type="dxa"/>
          <w:bottom w:w="15" w:type="dxa"/>
          <w:right w:w="0" w:type="dxa"/>
        </w:tblCellMar>
        <w:tblLook w:val="04A0" w:firstRow="1" w:lastRow="0" w:firstColumn="1" w:lastColumn="0" w:noHBand="0" w:noVBand="1"/>
      </w:tblPr>
      <w:tblGrid>
        <w:gridCol w:w="5343"/>
        <w:gridCol w:w="134"/>
        <w:gridCol w:w="1246"/>
        <w:gridCol w:w="200"/>
        <w:gridCol w:w="135"/>
        <w:gridCol w:w="1248"/>
      </w:tblGrid>
      <w:tr w:rsidR="00000000">
        <w:trPr>
          <w:divId w:val="1205631447"/>
          <w:trHeight w:val="20"/>
        </w:trPr>
        <w:tc>
          <w:tcPr>
            <w:tcW w:w="3216"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5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5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r>
      <w:tr w:rsidR="00000000">
        <w:trPr>
          <w:divId w:val="1205631447"/>
        </w:trPr>
        <w:tc>
          <w:tcPr>
            <w:tcW w:w="3216"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783" w:type="pct"/>
            <w:gridSpan w:val="5"/>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Gain (loss) Recognized in Income</w:t>
            </w:r>
            <w:r>
              <w:rPr>
                <w:b/>
                <w:bCs/>
                <w:sz w:val="20"/>
                <w:szCs w:val="20"/>
              </w:rPr>
              <w:t xml:space="preserve"> </w:t>
            </w:r>
            <w:r>
              <w:rPr>
                <w:b/>
                <w:bCs/>
                <w:sz w:val="15"/>
                <w:szCs w:val="15"/>
                <w:vertAlign w:val="superscript"/>
              </w:rPr>
              <w:t>(1)</w:t>
            </w:r>
          </w:p>
        </w:tc>
      </w:tr>
      <w:tr w:rsidR="00000000">
        <w:trPr>
          <w:divId w:val="1205631447"/>
        </w:trPr>
        <w:tc>
          <w:tcPr>
            <w:tcW w:w="3216"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783" w:type="pct"/>
            <w:gridSpan w:val="5"/>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Three Months Ended March 31, </w:t>
            </w:r>
          </w:p>
        </w:tc>
      </w:tr>
      <w:tr w:rsidR="00000000">
        <w:trPr>
          <w:divId w:val="1205631447"/>
        </w:trPr>
        <w:tc>
          <w:tcPr>
            <w:tcW w:w="3216"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31"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2022</w:t>
            </w:r>
          </w:p>
        </w:tc>
        <w:tc>
          <w:tcPr>
            <w:tcW w:w="12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831"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2021</w:t>
            </w:r>
          </w:p>
        </w:tc>
      </w:tr>
      <w:tr w:rsidR="00000000">
        <w:trPr>
          <w:divId w:val="1205631447"/>
        </w:trPr>
        <w:tc>
          <w:tcPr>
            <w:tcW w:w="0" w:type="auto"/>
            <w:gridSpan w:val="6"/>
            <w:tcMar>
              <w:top w:w="0" w:type="dxa"/>
              <w:left w:w="0" w:type="dxa"/>
              <w:bottom w:w="0" w:type="dxa"/>
              <w:right w:w="0" w:type="dxa"/>
            </w:tcMar>
            <w:vAlign w:val="center"/>
            <w:hideMark/>
          </w:tcPr>
          <w:p w:rsidR="00000000" w:rsidRDefault="009730FF">
            <w:pPr>
              <w:rPr>
                <w:sz w:val="20"/>
                <w:szCs w:val="20"/>
              </w:rPr>
            </w:pPr>
          </w:p>
        </w:tc>
      </w:tr>
      <w:tr w:rsidR="00000000">
        <w:trPr>
          <w:divId w:val="1205631447"/>
        </w:trPr>
        <w:tc>
          <w:tcPr>
            <w:tcW w:w="3216"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1702" w:type="pct"/>
            <w:gridSpan w:val="4"/>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1205631447"/>
        </w:trPr>
        <w:tc>
          <w:tcPr>
            <w:tcW w:w="3216"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Equity contracts</w:t>
            </w:r>
          </w:p>
        </w:tc>
        <w:tc>
          <w:tcPr>
            <w:tcW w:w="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5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90</w:t>
            </w:r>
          </w:p>
        </w:tc>
        <w:tc>
          <w:tcPr>
            <w:tcW w:w="12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5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(324)</w:t>
            </w:r>
          </w:p>
        </w:tc>
      </w:tr>
      <w:tr w:rsidR="00000000">
        <w:trPr>
          <w:divId w:val="1205631447"/>
        </w:trPr>
        <w:tc>
          <w:tcPr>
            <w:tcW w:w="3216"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Credit contracts</w:t>
            </w:r>
          </w:p>
        </w:tc>
        <w:tc>
          <w:tcPr>
            <w:tcW w:w="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5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(285)</w:t>
            </w:r>
          </w:p>
        </w:tc>
        <w:tc>
          <w:tcPr>
            <w:tcW w:w="12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75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39</w:t>
            </w:r>
          </w:p>
        </w:tc>
      </w:tr>
      <w:tr w:rsidR="00000000">
        <w:trPr>
          <w:divId w:val="1205631447"/>
        </w:trPr>
        <w:tc>
          <w:tcPr>
            <w:tcW w:w="3216"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(195)</w:t>
            </w:r>
          </w:p>
        </w:tc>
        <w:tc>
          <w:tcPr>
            <w:tcW w:w="12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7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(285)</w:t>
            </w:r>
          </w:p>
        </w:tc>
      </w:tr>
    </w:tbl>
    <w:p w:rsidR="00000000" w:rsidRDefault="009730FF">
      <w:pPr>
        <w:divId w:val="12056314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05631447"/>
        </w:trPr>
        <w:tc>
          <w:tcPr>
            <w:tcW w:w="360" w:type="dxa"/>
            <w:noWrap/>
            <w:tcMar>
              <w:top w:w="0" w:type="dxa"/>
              <w:left w:w="0" w:type="dxa"/>
              <w:bottom w:w="0" w:type="dxa"/>
              <w:right w:w="0" w:type="dxa"/>
            </w:tcMar>
            <w:hideMark/>
          </w:tcPr>
          <w:p w:rsidR="00000000" w:rsidRDefault="009730FF">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16"/>
                <w:szCs w:val="16"/>
              </w:rPr>
              <w:t>Gains (losses) recognized on derivatives are classified in net gain (loss) from investment activities in our condensed consolidated statements of operations for our Investment segment.</w:t>
            </w:r>
          </w:p>
        </w:tc>
      </w:tr>
    </w:tbl>
    <w:p w:rsidR="00000000" w:rsidRDefault="009730FF">
      <w:pPr>
        <w:pStyle w:val="a3"/>
        <w:spacing w:before="0" w:beforeAutospacing="0" w:after="240" w:afterAutospacing="0"/>
        <w:divId w:val="1205631447"/>
        <w:rPr>
          <w:i/>
          <w:iCs/>
          <w:sz w:val="20"/>
          <w:szCs w:val="20"/>
        </w:rPr>
      </w:pPr>
      <w:r>
        <w:rPr>
          <w:i/>
          <w:iCs/>
          <w:sz w:val="20"/>
          <w:szCs w:val="20"/>
        </w:rPr>
        <w:t>Energy</w:t>
      </w:r>
    </w:p>
    <w:p w:rsidR="00000000" w:rsidRDefault="009730FF">
      <w:pPr>
        <w:pStyle w:val="a3"/>
        <w:spacing w:before="0" w:beforeAutospacing="0" w:after="240" w:afterAutospacing="0"/>
        <w:ind w:firstLine="360"/>
        <w:divId w:val="1205631447"/>
        <w:rPr>
          <w:sz w:val="20"/>
          <w:szCs w:val="20"/>
        </w:rPr>
      </w:pPr>
      <w:r>
        <w:rPr>
          <w:sz w:val="20"/>
          <w:szCs w:val="20"/>
        </w:rPr>
        <w:t>CVR Energy’s businesses are subject to price fluctuations cause</w:t>
      </w:r>
      <w:r>
        <w:rPr>
          <w:sz w:val="20"/>
          <w:szCs w:val="20"/>
        </w:rPr>
        <w:t>d by supply conditions, weather, economic conditions, interest rate fluctuations and other factors. To manage price risk on crude oil and other inventories and to fix margins on certain future production, CVR Refining regularly enters into various commodit</w:t>
      </w:r>
      <w:r>
        <w:rPr>
          <w:sz w:val="20"/>
          <w:szCs w:val="20"/>
        </w:rPr>
        <w:t>y derivative transactions. CVR Refining holds derivative instruments, such as exchange-traded crude oil futures and over-the-counter forward swap agreements, which it believes provide an economic hedge on future transactions, but such instruments are not d</w:t>
      </w:r>
      <w:r>
        <w:rPr>
          <w:sz w:val="20"/>
          <w:szCs w:val="20"/>
        </w:rPr>
        <w:t>esignated as hedge instruments. CVR Refining may enter into forward purchase or sale contracts associated with renewable identification numbers (“RINs”).</w:t>
      </w:r>
    </w:p>
    <w:p w:rsidR="00000000" w:rsidRDefault="009730FF">
      <w:pPr>
        <w:pStyle w:val="a3"/>
        <w:spacing w:before="0" w:beforeAutospacing="0" w:after="240" w:afterAutospacing="0"/>
        <w:ind w:firstLine="360"/>
        <w:divId w:val="1205631447"/>
        <w:rPr>
          <w:sz w:val="20"/>
          <w:szCs w:val="20"/>
        </w:rPr>
      </w:pPr>
      <w:r>
        <w:rPr>
          <w:sz w:val="20"/>
          <w:szCs w:val="20"/>
        </w:rPr>
        <w:t>As of March 31, 2022 and December 31, 2021, CVR Refining had 1 million and no outstanding commodity sw</w:t>
      </w:r>
      <w:r>
        <w:rPr>
          <w:sz w:val="20"/>
          <w:szCs w:val="20"/>
        </w:rPr>
        <w:t>ap positions, respectively. As of March 31, 2022 and December 31, 2021, CVR Refining had open forward purchase commitments for approximately 1 million barrels at each date, and less than 1 million and 1 million barrels in forward sale commitments, respecti</w:t>
      </w:r>
      <w:r>
        <w:rPr>
          <w:sz w:val="20"/>
          <w:szCs w:val="20"/>
        </w:rPr>
        <w:t>vely. As of March 31, 2022 and December 31, 2021, CVR Refining had open fixed-price commitments to purchase a net 1 million and 2 million RINs, respectively.</w:t>
      </w:r>
    </w:p>
    <w:p w:rsidR="00000000" w:rsidRDefault="009730FF">
      <w:pPr>
        <w:pStyle w:val="a3"/>
        <w:spacing w:before="480" w:beforeAutospacing="0" w:after="0" w:afterAutospacing="0"/>
        <w:jc w:val="center"/>
        <w:divId w:val="1354192125"/>
        <w:rPr>
          <w:sz w:val="20"/>
          <w:szCs w:val="20"/>
        </w:rPr>
      </w:pPr>
      <w:r>
        <w:rPr>
          <w:sz w:val="20"/>
          <w:szCs w:val="20"/>
        </w:rPr>
        <w:t>17</w:t>
      </w:r>
    </w:p>
    <w:p w:rsidR="00000000" w:rsidRDefault="009730FF">
      <w:pPr>
        <w:pStyle w:val="a3"/>
        <w:spacing w:before="0" w:beforeAutospacing="0" w:after="600" w:afterAutospacing="0"/>
        <w:divId w:val="1968926755"/>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968926755"/>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968926755"/>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ind w:firstLine="360"/>
        <w:divId w:val="463502599"/>
        <w:rPr>
          <w:sz w:val="20"/>
          <w:szCs w:val="20"/>
        </w:rPr>
      </w:pPr>
      <w:r>
        <w:rPr>
          <w:sz w:val="20"/>
          <w:szCs w:val="20"/>
        </w:rPr>
        <w:t xml:space="preserve">Certain derivative contracts executed by our Energy segment with a single counterparty are reported on a net-by-counterparty basis where a legal right </w:t>
      </w:r>
      <w:r>
        <w:rPr>
          <w:sz w:val="20"/>
          <w:szCs w:val="20"/>
        </w:rPr>
        <w:t>of offset exists under an enforceable netting agreement. As of March 31, 2022, our Energy segment had net asset derivatives of $13 million and net liability derivatives of $0 million and as of December 31, 2021, our Energy segment had net asset derivatives</w:t>
      </w:r>
      <w:r>
        <w:rPr>
          <w:sz w:val="20"/>
          <w:szCs w:val="20"/>
        </w:rPr>
        <w:t xml:space="preserve"> of $1 million and net liability derivatives of $2 million. Gains (losses) recognized on derivatives for our Energy segment were $2 million and $(32) million for the three months ended March 31, 2022 and 2021, respectively. Gains and losses recognized on d</w:t>
      </w:r>
      <w:r>
        <w:rPr>
          <w:sz w:val="20"/>
          <w:szCs w:val="20"/>
        </w:rPr>
        <w:t>erivatives for our Energy segment are included in cost of goods sold on the condensed consolidated statements of operations.</w:t>
      </w:r>
    </w:p>
    <w:p w:rsidR="00000000" w:rsidRDefault="009730FF">
      <w:pPr>
        <w:pStyle w:val="a3"/>
        <w:spacing w:before="0" w:beforeAutospacing="0" w:after="240" w:afterAutospacing="0"/>
        <w:divId w:val="463502599"/>
        <w:rPr>
          <w:b/>
          <w:bCs/>
          <w:sz w:val="20"/>
          <w:szCs w:val="20"/>
        </w:rPr>
      </w:pPr>
      <w:r>
        <w:rPr>
          <w:b/>
          <w:bCs/>
          <w:sz w:val="20"/>
          <w:szCs w:val="20"/>
        </w:rPr>
        <w:t>7.  Inventories, Net</w:t>
      </w:r>
    </w:p>
    <w:p w:rsidR="00000000" w:rsidRDefault="009730FF">
      <w:pPr>
        <w:pStyle w:val="a3"/>
        <w:spacing w:before="0" w:beforeAutospacing="0" w:after="240" w:afterAutospacing="0"/>
        <w:ind w:firstLine="360"/>
        <w:divId w:val="463502599"/>
        <w:rPr>
          <w:sz w:val="20"/>
          <w:szCs w:val="20"/>
        </w:rPr>
      </w:pPr>
      <w:r>
        <w:rPr>
          <w:sz w:val="20"/>
          <w:szCs w:val="20"/>
        </w:rPr>
        <w:t>Inventories, net consists of the following:</w:t>
      </w:r>
    </w:p>
    <w:p w:rsidR="00000000" w:rsidRDefault="009730FF">
      <w:pPr>
        <w:pStyle w:val="a3"/>
        <w:spacing w:before="0" w:beforeAutospacing="0" w:after="0" w:afterAutospacing="0"/>
        <w:divId w:val="4635025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06"/>
        <w:gridCol w:w="822"/>
        <w:gridCol w:w="200"/>
        <w:gridCol w:w="159"/>
        <w:gridCol w:w="1058"/>
      </w:tblGrid>
      <w:tr w:rsidR="00000000">
        <w:trPr>
          <w:divId w:val="463502599"/>
          <w:trHeight w:val="20"/>
        </w:trPr>
        <w:tc>
          <w:tcPr>
            <w:tcW w:w="3601" w:type="pct"/>
            <w:tcMar>
              <w:top w:w="0" w:type="dxa"/>
              <w:left w:w="0" w:type="dxa"/>
              <w:bottom w:w="0" w:type="dxa"/>
              <w:right w:w="0" w:type="dxa"/>
            </w:tcMar>
            <w:vAlign w:val="bottom"/>
            <w:hideMark/>
          </w:tcPr>
          <w:p w:rsidR="00000000" w:rsidRDefault="009730FF">
            <w:pPr>
              <w:pStyle w:val="a3"/>
              <w:spacing w:before="0" w:beforeAutospacing="0" w:after="1" w:afterAutospacing="0"/>
              <w:divId w:val="72549342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90283090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894845947"/>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4341978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92523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965156600"/>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567377641"/>
              <w:rPr>
                <w:sz w:val="20"/>
                <w:szCs w:val="20"/>
              </w:rPr>
            </w:pPr>
            <w:r>
              <w:rPr>
                <w:sz w:val="2"/>
                <w:szCs w:val="2"/>
              </w:rPr>
              <w:t>​</w:t>
            </w:r>
          </w:p>
        </w:tc>
      </w:tr>
      <w:tr w:rsidR="00000000">
        <w:trPr>
          <w:divId w:val="463502599"/>
        </w:trPr>
        <w:tc>
          <w:tcPr>
            <w:tcW w:w="3601"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December 31, </w:t>
            </w:r>
          </w:p>
        </w:tc>
      </w:tr>
      <w:tr w:rsidR="00000000">
        <w:trPr>
          <w:divId w:val="463502599"/>
        </w:trPr>
        <w:tc>
          <w:tcPr>
            <w:tcW w:w="3601"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2021</w:t>
            </w:r>
          </w:p>
        </w:tc>
      </w:tr>
      <w:tr w:rsidR="00000000">
        <w:trPr>
          <w:divId w:val="463502599"/>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463502599"/>
        </w:trPr>
        <w:tc>
          <w:tcPr>
            <w:tcW w:w="3601"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6"/>
                <w:szCs w:val="16"/>
              </w:rPr>
              <w:t>​</w:t>
            </w:r>
          </w:p>
        </w:tc>
        <w:tc>
          <w:tcPr>
            <w:tcW w:w="1290" w:type="pct"/>
            <w:gridSpan w:val="5"/>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463502599"/>
        </w:trPr>
        <w:tc>
          <w:tcPr>
            <w:tcW w:w="360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Raw materials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421</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291</w:t>
            </w:r>
          </w:p>
        </w:tc>
      </w:tr>
      <w:tr w:rsidR="00000000">
        <w:trPr>
          <w:divId w:val="463502599"/>
        </w:trPr>
        <w:tc>
          <w:tcPr>
            <w:tcW w:w="3601"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Work in process</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121</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83</w:t>
            </w:r>
          </w:p>
        </w:tc>
      </w:tr>
      <w:tr w:rsidR="00000000">
        <w:trPr>
          <w:divId w:val="463502599"/>
        </w:trPr>
        <w:tc>
          <w:tcPr>
            <w:tcW w:w="360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Finished goods</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1,178</w:t>
            </w:r>
          </w:p>
        </w:tc>
        <w:tc>
          <w:tcPr>
            <w:tcW w:w="1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1,104</w:t>
            </w:r>
          </w:p>
        </w:tc>
      </w:tr>
      <w:tr w:rsidR="00000000">
        <w:trPr>
          <w:divId w:val="463502599"/>
        </w:trPr>
        <w:tc>
          <w:tcPr>
            <w:tcW w:w="3601"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1,720</w:t>
            </w:r>
          </w:p>
        </w:tc>
        <w:tc>
          <w:tcPr>
            <w:tcW w:w="10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1,478</w:t>
            </w:r>
          </w:p>
        </w:tc>
      </w:tr>
    </w:tbl>
    <w:p w:rsidR="00000000" w:rsidRDefault="009730FF">
      <w:pPr>
        <w:pStyle w:val="a3"/>
        <w:spacing w:before="0" w:beforeAutospacing="0" w:after="0" w:afterAutospacing="0"/>
        <w:ind w:firstLine="360"/>
        <w:divId w:val="463502599"/>
        <w:rPr>
          <w:sz w:val="20"/>
          <w:szCs w:val="20"/>
        </w:rPr>
      </w:pPr>
      <w:r>
        <w:rPr>
          <w:sz w:val="2"/>
          <w:szCs w:val="2"/>
        </w:rPr>
        <w:t>​</w:t>
      </w:r>
    </w:p>
    <w:p w:rsidR="00000000" w:rsidRDefault="009730FF">
      <w:pPr>
        <w:pStyle w:val="a3"/>
        <w:spacing w:before="0" w:beforeAutospacing="0" w:after="0" w:afterAutospacing="0"/>
        <w:divId w:val="463502599"/>
        <w:rPr>
          <w:sz w:val="20"/>
          <w:szCs w:val="20"/>
        </w:rPr>
      </w:pPr>
      <w:r>
        <w:rPr>
          <w:sz w:val="2"/>
          <w:szCs w:val="2"/>
        </w:rPr>
        <w:t>​</w:t>
      </w:r>
    </w:p>
    <w:p w:rsidR="00000000" w:rsidRDefault="009730FF">
      <w:pPr>
        <w:pStyle w:val="a3"/>
        <w:spacing w:before="0" w:beforeAutospacing="0" w:after="0" w:afterAutospacing="0"/>
        <w:divId w:val="463502599"/>
        <w:rPr>
          <w:sz w:val="20"/>
          <w:szCs w:val="20"/>
        </w:rPr>
      </w:pPr>
      <w:r>
        <w:rPr>
          <w:sz w:val="2"/>
          <w:szCs w:val="2"/>
        </w:rPr>
        <w:t>​</w:t>
      </w:r>
    </w:p>
    <w:p w:rsidR="00000000" w:rsidRDefault="009730FF">
      <w:pPr>
        <w:pStyle w:val="a3"/>
        <w:spacing w:before="0" w:beforeAutospacing="0" w:after="0" w:afterAutospacing="0"/>
        <w:divId w:val="463502599"/>
        <w:rPr>
          <w:sz w:val="20"/>
          <w:szCs w:val="20"/>
        </w:rPr>
      </w:pPr>
      <w:r>
        <w:rPr>
          <w:sz w:val="2"/>
          <w:szCs w:val="2"/>
        </w:rPr>
        <w:t>​</w:t>
      </w:r>
    </w:p>
    <w:p w:rsidR="00000000" w:rsidRDefault="009730FF">
      <w:pPr>
        <w:pStyle w:val="a3"/>
        <w:spacing w:before="0" w:beforeAutospacing="0" w:after="0" w:afterAutospacing="0"/>
        <w:divId w:val="463502599"/>
        <w:rPr>
          <w:sz w:val="20"/>
          <w:szCs w:val="20"/>
        </w:rPr>
      </w:pPr>
      <w:r>
        <w:rPr>
          <w:sz w:val="2"/>
          <w:szCs w:val="2"/>
        </w:rPr>
        <w:t>​</w:t>
      </w:r>
    </w:p>
    <w:p w:rsidR="00000000" w:rsidRDefault="009730FF">
      <w:pPr>
        <w:pStyle w:val="a3"/>
        <w:spacing w:before="0" w:beforeAutospacing="0" w:after="0" w:afterAutospacing="0"/>
        <w:divId w:val="463502599"/>
        <w:rPr>
          <w:sz w:val="20"/>
          <w:szCs w:val="20"/>
        </w:rPr>
      </w:pPr>
      <w:r>
        <w:rPr>
          <w:sz w:val="2"/>
          <w:szCs w:val="2"/>
        </w:rPr>
        <w:t>​</w:t>
      </w:r>
    </w:p>
    <w:p w:rsidR="00000000" w:rsidRDefault="009730FF">
      <w:pPr>
        <w:pStyle w:val="a3"/>
        <w:spacing w:before="0" w:beforeAutospacing="0" w:after="240" w:afterAutospacing="0"/>
        <w:divId w:val="463502599"/>
        <w:rPr>
          <w:b/>
          <w:bCs/>
          <w:sz w:val="20"/>
          <w:szCs w:val="20"/>
        </w:rPr>
      </w:pPr>
      <w:r>
        <w:rPr>
          <w:b/>
          <w:bCs/>
          <w:sz w:val="20"/>
          <w:szCs w:val="20"/>
        </w:rPr>
        <w:t>8.  Goodwill and Intangible Assets, Net</w:t>
      </w:r>
    </w:p>
    <w:p w:rsidR="00000000" w:rsidRDefault="009730FF">
      <w:pPr>
        <w:pStyle w:val="a3"/>
        <w:spacing w:before="0" w:beforeAutospacing="0" w:after="240" w:afterAutospacing="0"/>
        <w:ind w:firstLine="360"/>
        <w:divId w:val="463502599"/>
        <w:rPr>
          <w:sz w:val="20"/>
          <w:szCs w:val="20"/>
        </w:rPr>
      </w:pPr>
      <w:r>
        <w:rPr>
          <w:sz w:val="20"/>
          <w:szCs w:val="20"/>
        </w:rPr>
        <w:t>Goodwill consists of the following:</w:t>
      </w:r>
    </w:p>
    <w:p w:rsidR="00000000" w:rsidRDefault="009730FF">
      <w:pPr>
        <w:pStyle w:val="a3"/>
        <w:spacing w:before="0" w:beforeAutospacing="0" w:after="0" w:afterAutospacing="0"/>
        <w:divId w:val="4635025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7"/>
        <w:gridCol w:w="682"/>
      </w:tblGrid>
      <w:tr w:rsidR="00000000">
        <w:trPr>
          <w:divId w:val="463502599"/>
          <w:trHeight w:val="20"/>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divId w:val="12298515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1017043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99892187"/>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6063374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8058576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62950583"/>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6211316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6660259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53331714"/>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3834627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4646538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25292849"/>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7129706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1222595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71537265"/>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25303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3575028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31278546"/>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24265920"/>
              <w:rPr>
                <w:sz w:val="20"/>
                <w:szCs w:val="20"/>
              </w:rPr>
            </w:pPr>
            <w:r>
              <w:rPr>
                <w:sz w:val="2"/>
                <w:szCs w:val="2"/>
              </w:rPr>
              <w:t>​</w:t>
            </w: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2022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2021</w:t>
            </w: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Net</w:t>
            </w: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Carrying</w:t>
            </w: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Value</w:t>
            </w:r>
          </w:p>
        </w:tc>
      </w:tr>
      <w:tr w:rsidR="00000000">
        <w:trPr>
          <w:divId w:val="463502599"/>
        </w:trPr>
        <w:tc>
          <w:tcPr>
            <w:tcW w:w="0" w:type="auto"/>
            <w:gridSpan w:val="19"/>
            <w:tcMar>
              <w:top w:w="0" w:type="dxa"/>
              <w:left w:w="0" w:type="dxa"/>
              <w:bottom w:w="0" w:type="dxa"/>
              <w:right w:w="0" w:type="dxa"/>
            </w:tcMar>
            <w:vAlign w:val="center"/>
            <w:hideMark/>
          </w:tcPr>
          <w:p w:rsidR="00000000" w:rsidRDefault="009730FF">
            <w:pPr>
              <w:rPr>
                <w:sz w:val="20"/>
                <w:szCs w:val="20"/>
              </w:rPr>
            </w:pP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463502599"/>
        </w:trPr>
        <w:tc>
          <w:tcPr>
            <w:tcW w:w="1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250</w:t>
            </w: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r>
      <w:tr w:rsidR="00000000">
        <w:trPr>
          <w:divId w:val="463502599"/>
        </w:trPr>
        <w:tc>
          <w:tcPr>
            <w:tcW w:w="1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Home Fashion</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5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22</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5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5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w:t>
            </w:r>
          </w:p>
        </w:tc>
      </w:tr>
      <w:tr w:rsidR="00000000">
        <w:trPr>
          <w:divId w:val="463502599"/>
        </w:trPr>
        <w:tc>
          <w:tcPr>
            <w:tcW w:w="1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Pharma</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13</w:t>
            </w:r>
          </w:p>
        </w:tc>
      </w:tr>
      <w:tr w:rsidR="00000000">
        <w:trPr>
          <w:divId w:val="463502599"/>
        </w:trPr>
        <w:tc>
          <w:tcPr>
            <w:tcW w:w="1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378</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288</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380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290</w:t>
            </w:r>
          </w:p>
        </w:tc>
      </w:tr>
    </w:tbl>
    <w:p w:rsidR="00000000" w:rsidRDefault="009730FF">
      <w:pPr>
        <w:pStyle w:val="a3"/>
        <w:spacing w:before="0" w:beforeAutospacing="0" w:after="0" w:afterAutospacing="0"/>
        <w:divId w:val="463502599"/>
        <w:rPr>
          <w:sz w:val="20"/>
          <w:szCs w:val="20"/>
        </w:rPr>
      </w:pPr>
      <w:r>
        <w:rPr>
          <w:sz w:val="20"/>
          <w:szCs w:val="20"/>
        </w:rPr>
        <w:t>​</w:t>
      </w:r>
    </w:p>
    <w:p w:rsidR="00000000" w:rsidRDefault="009730FF">
      <w:pPr>
        <w:pStyle w:val="a3"/>
        <w:spacing w:before="0" w:beforeAutospacing="0" w:after="240" w:afterAutospacing="0"/>
        <w:ind w:firstLine="360"/>
        <w:divId w:val="463502599"/>
        <w:rPr>
          <w:sz w:val="20"/>
          <w:szCs w:val="20"/>
        </w:rPr>
      </w:pPr>
      <w:r>
        <w:rPr>
          <w:sz w:val="20"/>
          <w:szCs w:val="20"/>
        </w:rPr>
        <w:t>Intangible assets, net consists of the following:</w:t>
      </w:r>
    </w:p>
    <w:p w:rsidR="00000000" w:rsidRDefault="009730FF">
      <w:pPr>
        <w:pStyle w:val="a3"/>
        <w:spacing w:before="0" w:beforeAutospacing="0" w:after="0" w:afterAutospacing="0"/>
        <w:divId w:val="4635025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9"/>
        <w:gridCol w:w="680"/>
      </w:tblGrid>
      <w:tr w:rsidR="00000000">
        <w:trPr>
          <w:divId w:val="463502599"/>
          <w:trHeight w:val="20"/>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divId w:val="2755216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7030850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54409817"/>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5981258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336494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90325565"/>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0346657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108141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18856672"/>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658443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6217732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40924359"/>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9715684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63578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46991207"/>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771292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7580217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68041586"/>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55683830"/>
              <w:rPr>
                <w:sz w:val="20"/>
                <w:szCs w:val="20"/>
              </w:rPr>
            </w:pPr>
            <w:r>
              <w:rPr>
                <w:sz w:val="2"/>
                <w:szCs w:val="2"/>
              </w:rPr>
              <w:t>​</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609"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2022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614"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2021</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12"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Net</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90"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12"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Carrying</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Value</w:t>
            </w:r>
          </w:p>
        </w:tc>
      </w:tr>
      <w:tr w:rsidR="00000000">
        <w:trPr>
          <w:divId w:val="463502599"/>
        </w:trPr>
        <w:tc>
          <w:tcPr>
            <w:tcW w:w="0" w:type="auto"/>
            <w:gridSpan w:val="19"/>
            <w:tcMar>
              <w:top w:w="0" w:type="dxa"/>
              <w:left w:w="0" w:type="dxa"/>
              <w:bottom w:w="0" w:type="dxa"/>
              <w:right w:w="0" w:type="dxa"/>
            </w:tcMar>
            <w:vAlign w:val="center"/>
            <w:hideMark/>
          </w:tcPr>
          <w:p w:rsidR="00000000" w:rsidRDefault="009730FF">
            <w:pPr>
              <w:rPr>
                <w:sz w:val="20"/>
                <w:szCs w:val="20"/>
              </w:rPr>
            </w:pP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463502599"/>
        </w:trPr>
        <w:tc>
          <w:tcPr>
            <w:tcW w:w="159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(196)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198</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(192)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202</w:t>
            </w:r>
          </w:p>
        </w:tc>
      </w:tr>
      <w:tr w:rsidR="00000000">
        <w:trPr>
          <w:divId w:val="463502599"/>
        </w:trPr>
        <w:tc>
          <w:tcPr>
            <w:tcW w:w="159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220</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166</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(79)</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87</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167</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(77)</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5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90</w:t>
            </w:r>
          </w:p>
        </w:tc>
      </w:tr>
      <w:tr w:rsidR="00000000">
        <w:trPr>
          <w:divId w:val="463502599"/>
        </w:trPr>
        <w:tc>
          <w:tcPr>
            <w:tcW w:w="159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814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(316)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498</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815</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(303)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512</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463502599"/>
        </w:trPr>
        <w:tc>
          <w:tcPr>
            <w:tcW w:w="159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83</w:t>
            </w:r>
          </w:p>
        </w:tc>
      </w:tr>
      <w:tr w:rsidR="00000000">
        <w:trPr>
          <w:divId w:val="463502599"/>
        </w:trPr>
        <w:tc>
          <w:tcPr>
            <w:tcW w:w="159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581</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595</w:t>
            </w:r>
          </w:p>
        </w:tc>
      </w:tr>
    </w:tbl>
    <w:p w:rsidR="00000000" w:rsidRDefault="009730FF">
      <w:pPr>
        <w:pStyle w:val="a3"/>
        <w:spacing w:before="480" w:beforeAutospacing="0" w:after="0" w:afterAutospacing="0"/>
        <w:jc w:val="center"/>
        <w:divId w:val="463936068"/>
        <w:rPr>
          <w:sz w:val="20"/>
          <w:szCs w:val="20"/>
        </w:rPr>
      </w:pPr>
      <w:r>
        <w:rPr>
          <w:sz w:val="20"/>
          <w:szCs w:val="20"/>
        </w:rPr>
        <w:t>18</w:t>
      </w:r>
    </w:p>
    <w:p w:rsidR="00000000" w:rsidRDefault="009730FF">
      <w:pPr>
        <w:pStyle w:val="a3"/>
        <w:spacing w:before="0" w:beforeAutospacing="0" w:after="600" w:afterAutospacing="0"/>
        <w:divId w:val="1063405135"/>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063405135"/>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063405135"/>
        <w:rPr>
          <w:sz w:val="20"/>
          <w:szCs w:val="20"/>
        </w:rPr>
      </w:pPr>
      <w:r>
        <w:rPr>
          <w:b/>
          <w:bCs/>
          <w:sz w:val="20"/>
          <w:szCs w:val="20"/>
        </w:rPr>
        <w:t>Notes to Condensed Consolidated Financial Statements (Unaudited)</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240" w:afterAutospacing="0"/>
        <w:ind w:firstLine="360"/>
        <w:divId w:val="1238637909"/>
        <w:rPr>
          <w:sz w:val="20"/>
          <w:szCs w:val="20"/>
        </w:rPr>
      </w:pPr>
      <w:r>
        <w:rPr>
          <w:sz w:val="20"/>
          <w:szCs w:val="20"/>
        </w:rPr>
        <w:t>Amortization expense associated with definite-lived intangible assets was $14 million and $15 million for the three months ended Ma</w:t>
      </w:r>
      <w:r>
        <w:rPr>
          <w:sz w:val="20"/>
          <w:szCs w:val="20"/>
        </w:rPr>
        <w:t>rch 31, 2022 and 2021, respectively.</w:t>
      </w:r>
    </w:p>
    <w:p w:rsidR="00000000" w:rsidRDefault="009730FF">
      <w:pPr>
        <w:pStyle w:val="a3"/>
        <w:spacing w:before="0" w:beforeAutospacing="0" w:after="240" w:afterAutospacing="0"/>
        <w:ind w:firstLine="360"/>
        <w:divId w:val="1238637909"/>
        <w:rPr>
          <w:sz w:val="20"/>
          <w:szCs w:val="20"/>
        </w:rPr>
      </w:pPr>
      <w:r>
        <w:rPr>
          <w:sz w:val="20"/>
          <w:szCs w:val="20"/>
        </w:rPr>
        <w:t xml:space="preserve">We utilize the straight-line method of amortization, recognized over the estimated useful lives of the assets. </w:t>
      </w:r>
    </w:p>
    <w:p w:rsidR="00000000" w:rsidRDefault="009730FF">
      <w:pPr>
        <w:pStyle w:val="a3"/>
        <w:spacing w:before="0" w:beforeAutospacing="0" w:after="240" w:afterAutospacing="0"/>
        <w:divId w:val="1238637909"/>
        <w:rPr>
          <w:b/>
          <w:bCs/>
          <w:sz w:val="20"/>
          <w:szCs w:val="20"/>
        </w:rPr>
      </w:pPr>
      <w:r>
        <w:rPr>
          <w:b/>
          <w:bCs/>
          <w:sz w:val="20"/>
          <w:szCs w:val="20"/>
        </w:rPr>
        <w:t>9.  Leases</w:t>
      </w:r>
    </w:p>
    <w:p w:rsidR="00000000" w:rsidRDefault="009730FF">
      <w:pPr>
        <w:pStyle w:val="a3"/>
        <w:spacing w:before="0" w:beforeAutospacing="0" w:after="240" w:afterAutospacing="0"/>
        <w:divId w:val="1238637909"/>
        <w:rPr>
          <w:i/>
          <w:iCs/>
          <w:sz w:val="20"/>
          <w:szCs w:val="20"/>
        </w:rPr>
      </w:pPr>
      <w:r>
        <w:rPr>
          <w:i/>
          <w:iCs/>
          <w:sz w:val="20"/>
          <w:szCs w:val="20"/>
        </w:rPr>
        <w:t>All Segments and Holding Company</w:t>
      </w:r>
    </w:p>
    <w:p w:rsidR="00000000" w:rsidRDefault="009730FF">
      <w:pPr>
        <w:pStyle w:val="a3"/>
        <w:spacing w:before="0" w:beforeAutospacing="0" w:after="240" w:afterAutospacing="0"/>
        <w:ind w:firstLine="360"/>
        <w:divId w:val="1238637909"/>
        <w:rPr>
          <w:sz w:val="20"/>
          <w:szCs w:val="20"/>
        </w:rPr>
      </w:pPr>
      <w:r>
        <w:rPr>
          <w:sz w:val="20"/>
          <w:szCs w:val="20"/>
        </w:rPr>
        <w:t>We have operating and finance leases primarily within our Autom</w:t>
      </w:r>
      <w:r>
        <w:rPr>
          <w:sz w:val="20"/>
          <w:szCs w:val="20"/>
        </w:rPr>
        <w:t>otive, Energy and Food Packaging segments. Our Automotive segment leases assets, primarily real estate (operating) and vehicles (financing). Our Energy segment leases certain pipelines, storage tanks, railcars, office space, land and equipment (operating a</w:t>
      </w:r>
      <w:r>
        <w:rPr>
          <w:sz w:val="20"/>
          <w:szCs w:val="20"/>
        </w:rPr>
        <w:t xml:space="preserve">nd financing). Our Food Packaging segment leases assets, primarily real estate, equipment and vehicles (primarily operating). Our lease agreements do not contain any material residual value guarantees or material restrictive covenants. Right-of-use assets </w:t>
      </w:r>
      <w:r>
        <w:rPr>
          <w:sz w:val="20"/>
          <w:szCs w:val="20"/>
        </w:rPr>
        <w:t>and related liabilities are recorded on the balance sheet for leases with an initial lease term in excess of twelve months and therefore, do not include any lease arrangements with initial lease terms of twelve months or less.</w:t>
      </w:r>
    </w:p>
    <w:p w:rsidR="00000000" w:rsidRDefault="009730FF">
      <w:pPr>
        <w:pStyle w:val="a3"/>
        <w:spacing w:before="0" w:beforeAutospacing="0" w:after="240" w:afterAutospacing="0"/>
        <w:ind w:firstLine="360"/>
        <w:divId w:val="1238637909"/>
        <w:rPr>
          <w:sz w:val="20"/>
          <w:szCs w:val="20"/>
        </w:rPr>
      </w:pPr>
      <w:r>
        <w:rPr>
          <w:sz w:val="20"/>
          <w:szCs w:val="20"/>
        </w:rPr>
        <w:t>Right-of-use assets and lease</w:t>
      </w:r>
      <w:r>
        <w:rPr>
          <w:sz w:val="20"/>
          <w:szCs w:val="20"/>
        </w:rPr>
        <w:t xml:space="preserve"> liabilities are as follows:</w:t>
      </w:r>
    </w:p>
    <w:p w:rsidR="00000000" w:rsidRDefault="009730FF">
      <w:pPr>
        <w:pStyle w:val="a3"/>
        <w:spacing w:before="0" w:beforeAutospacing="0" w:after="0" w:afterAutospacing="0"/>
        <w:divId w:val="123863790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07"/>
        <w:gridCol w:w="200"/>
        <w:gridCol w:w="101"/>
        <w:gridCol w:w="881"/>
        <w:gridCol w:w="200"/>
        <w:gridCol w:w="126"/>
        <w:gridCol w:w="1091"/>
      </w:tblGrid>
      <w:tr w:rsidR="00000000">
        <w:trPr>
          <w:divId w:val="1238637909"/>
          <w:trHeight w:val="20"/>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divId w:val="161640175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3400466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08837452"/>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3928871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7722360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02255352"/>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35643587"/>
              <w:rPr>
                <w:sz w:val="20"/>
                <w:szCs w:val="20"/>
              </w:rPr>
            </w:pPr>
            <w:r>
              <w:rPr>
                <w:sz w:val="2"/>
                <w:szCs w:val="2"/>
              </w:rPr>
              <w:t>​</w:t>
            </w:r>
          </w:p>
        </w:tc>
      </w:tr>
      <w:tr w:rsidR="00000000">
        <w:trPr>
          <w:divId w:val="1238637909"/>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    </w:t>
            </w:r>
          </w:p>
        </w:tc>
        <w:tc>
          <w:tcPr>
            <w:tcW w:w="64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b/>
                <w:bCs/>
                <w:sz w:val="20"/>
                <w:szCs w:val="20"/>
              </w:rPr>
              <w:t>March 31, </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    </w:t>
            </w:r>
          </w:p>
        </w:tc>
        <w:tc>
          <w:tcPr>
            <w:tcW w:w="66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1238637909"/>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b/>
                <w:bCs/>
                <w:sz w:val="20"/>
                <w:szCs w:val="20"/>
              </w:rPr>
              <w:t>2022</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20"/>
                <w:szCs w:val="20"/>
              </w:rPr>
              <w:t>​</w:t>
            </w:r>
          </w:p>
        </w:tc>
        <w:tc>
          <w:tcPr>
            <w:tcW w:w="66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b/>
                <w:bCs/>
                <w:sz w:val="20"/>
                <w:szCs w:val="20"/>
              </w:rPr>
              <w:t>2021</w:t>
            </w:r>
          </w:p>
        </w:tc>
      </w:tr>
      <w:tr w:rsidR="00000000">
        <w:trPr>
          <w:divId w:val="1238637909"/>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238637909"/>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16"/>
                <w:szCs w:val="16"/>
              </w:rPr>
              <w:t>​</w:t>
            </w:r>
          </w:p>
        </w:tc>
        <w:tc>
          <w:tcPr>
            <w:tcW w:w="1426"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rFonts w:ascii="Times" w:hAnsi="Times"/>
                <w:sz w:val="16"/>
                <w:szCs w:val="16"/>
              </w:rPr>
              <w:t>(in millions)</w:t>
            </w:r>
          </w:p>
        </w:tc>
      </w:tr>
      <w:tr w:rsidR="00000000">
        <w:trPr>
          <w:divId w:val="1238637909"/>
        </w:trPr>
        <w:tc>
          <w:tcPr>
            <w:tcW w:w="34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r>
      <w:tr w:rsidR="00000000">
        <w:trPr>
          <w:divId w:val="1238637909"/>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Right-of-use assets (other assets</w:t>
            </w:r>
            <w:r>
              <w:rPr>
                <w:sz w:val="20"/>
                <w:szCs w:val="20"/>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452</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467</w:t>
            </w:r>
          </w:p>
        </w:tc>
      </w:tr>
      <w:tr w:rsidR="00000000">
        <w:trPr>
          <w:divId w:val="1238637909"/>
        </w:trPr>
        <w:tc>
          <w:tcPr>
            <w:tcW w:w="34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Lease liabilities (accrued expenses and other liabilities</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463</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479</w:t>
            </w:r>
          </w:p>
        </w:tc>
      </w:tr>
      <w:tr w:rsidR="00000000">
        <w:trPr>
          <w:divId w:val="1238637909"/>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238637909"/>
        </w:trPr>
        <w:tc>
          <w:tcPr>
            <w:tcW w:w="34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238637909"/>
        </w:trPr>
        <w:tc>
          <w:tcPr>
            <w:tcW w:w="3463"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Right-of-use assets (property, plant and equipment, net</w:t>
            </w:r>
            <w:r>
              <w:rPr>
                <w:sz w:val="20"/>
                <w:szCs w:val="20"/>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54</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56</w:t>
            </w:r>
          </w:p>
        </w:tc>
      </w:tr>
      <w:tr w:rsidR="00000000">
        <w:trPr>
          <w:divId w:val="1238637909"/>
        </w:trPr>
        <w:tc>
          <w:tcPr>
            <w:tcW w:w="34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20"/>
                <w:szCs w:val="20"/>
              </w:rPr>
              <w:t>Lease liabilities (debt</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71</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72</w:t>
            </w:r>
          </w:p>
        </w:tc>
      </w:tr>
    </w:tbl>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240" w:afterAutospacing="0"/>
        <w:ind w:firstLine="360"/>
        <w:divId w:val="1238637909"/>
        <w:rPr>
          <w:sz w:val="20"/>
          <w:szCs w:val="20"/>
        </w:rPr>
      </w:pPr>
      <w:r>
        <w:rPr>
          <w:sz w:val="20"/>
          <w:szCs w:val="20"/>
        </w:rPr>
        <w:t xml:space="preserve">Additional information with respect to our operating leases as of March 31, 2022 and December 31, 2021 is presented below. The lease terms and discount rates for our Energy, Automotive and Food Packaging segments represent weighted averages based on their </w:t>
      </w:r>
      <w:r>
        <w:rPr>
          <w:sz w:val="20"/>
          <w:szCs w:val="20"/>
        </w:rPr>
        <w:t xml:space="preserve">respective lease liability balances. </w:t>
      </w:r>
    </w:p>
    <w:p w:rsidR="00000000" w:rsidRDefault="009730FF">
      <w:pPr>
        <w:pStyle w:val="a3"/>
        <w:spacing w:before="0" w:beforeAutospacing="0" w:after="0" w:afterAutospacing="0"/>
        <w:divId w:val="123863790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1238637909"/>
          <w:trHeight w:val="20"/>
        </w:trPr>
        <w:tc>
          <w:tcPr>
            <w:tcW w:w="2810" w:type="pct"/>
            <w:tcMar>
              <w:top w:w="0" w:type="dxa"/>
              <w:left w:w="0" w:type="dxa"/>
              <w:bottom w:w="0" w:type="dxa"/>
              <w:right w:w="0" w:type="dxa"/>
            </w:tcMar>
            <w:vAlign w:val="bottom"/>
            <w:hideMark/>
          </w:tcPr>
          <w:p w:rsidR="00000000" w:rsidRDefault="009730FF">
            <w:pPr>
              <w:pStyle w:val="a3"/>
              <w:spacing w:before="0" w:beforeAutospacing="0" w:after="0" w:afterAutospacing="0"/>
              <w:divId w:val="189257440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7148220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35015505"/>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4667129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335562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41422804"/>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04343956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8906185"/>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798725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16588709"/>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47727072"/>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46102690"/>
              <w:rPr>
                <w:sz w:val="20"/>
                <w:szCs w:val="20"/>
              </w:rPr>
            </w:pPr>
            <w:r>
              <w:rPr>
                <w:sz w:val="2"/>
                <w:szCs w:val="2"/>
              </w:rPr>
              <w:t>​</w:t>
            </w:r>
          </w:p>
        </w:tc>
      </w:tr>
      <w:tr w:rsidR="00000000">
        <w:trPr>
          <w:divId w:val="1238637909"/>
        </w:trPr>
        <w:tc>
          <w:tcPr>
            <w:tcW w:w="281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 </w:t>
            </w:r>
          </w:p>
        </w:tc>
      </w:tr>
      <w:tr w:rsidR="00000000">
        <w:trPr>
          <w:divId w:val="1238637909"/>
        </w:trPr>
        <w:tc>
          <w:tcPr>
            <w:tcW w:w="2810" w:type="pct"/>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Operating Leases as of March 31, 2022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 </w:t>
            </w:r>
          </w:p>
        </w:tc>
      </w:tr>
      <w:tr w:rsidR="00000000">
        <w:trPr>
          <w:divId w:val="1238637909"/>
        </w:trPr>
        <w:tc>
          <w:tcPr>
            <w:tcW w:w="0" w:type="auto"/>
            <w:gridSpan w:val="12"/>
            <w:tcMar>
              <w:top w:w="0" w:type="dxa"/>
              <w:left w:w="0" w:type="dxa"/>
              <w:bottom w:w="0" w:type="dxa"/>
              <w:right w:w="0" w:type="dxa"/>
            </w:tcMar>
            <w:vAlign w:val="center"/>
            <w:hideMark/>
          </w:tcPr>
          <w:p w:rsidR="00000000" w:rsidRDefault="009730FF">
            <w:pPr>
              <w:rPr>
                <w:sz w:val="16"/>
                <w:szCs w:val="16"/>
              </w:rPr>
            </w:pPr>
          </w:p>
        </w:tc>
      </w:tr>
      <w:tr w:rsidR="00000000">
        <w:trPr>
          <w:divId w:val="1238637909"/>
        </w:trPr>
        <w:tc>
          <w:tcPr>
            <w:tcW w:w="281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r>
      <w:tr w:rsidR="00000000">
        <w:trPr>
          <w:divId w:val="1238637909"/>
        </w:trPr>
        <w:tc>
          <w:tcPr>
            <w:tcW w:w="281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35</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4.1 years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5.3%</w:t>
            </w:r>
          </w:p>
        </w:tc>
        <w:tc>
          <w:tcPr>
            <w:tcW w:w="2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238637909"/>
        </w:trPr>
        <w:tc>
          <w:tcPr>
            <w:tcW w:w="281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359</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373</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4.4 years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5.8%</w:t>
            </w:r>
          </w:p>
        </w:tc>
        <w:tc>
          <w:tcPr>
            <w:tcW w:w="20"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238637909"/>
        </w:trPr>
        <w:tc>
          <w:tcPr>
            <w:tcW w:w="281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30</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10.4 years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238637909"/>
        </w:trPr>
        <w:tc>
          <w:tcPr>
            <w:tcW w:w="2810"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1238637909"/>
        </w:trPr>
        <w:tc>
          <w:tcPr>
            <w:tcW w:w="281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452</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463</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bl>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0" w:beforeAutospacing="0" w:after="0" w:afterAutospacing="0"/>
        <w:divId w:val="1238637909"/>
        <w:rPr>
          <w:sz w:val="20"/>
          <w:szCs w:val="20"/>
        </w:rPr>
      </w:pPr>
      <w:r>
        <w:rPr>
          <w:sz w:val="20"/>
          <w:szCs w:val="20"/>
        </w:rPr>
        <w:t>​</w:t>
      </w:r>
    </w:p>
    <w:p w:rsidR="00000000" w:rsidRDefault="009730FF">
      <w:pPr>
        <w:pStyle w:val="a3"/>
        <w:spacing w:before="480" w:beforeAutospacing="0" w:after="0" w:afterAutospacing="0"/>
        <w:jc w:val="center"/>
        <w:divId w:val="1761638936"/>
        <w:rPr>
          <w:sz w:val="20"/>
          <w:szCs w:val="20"/>
        </w:rPr>
      </w:pPr>
      <w:r>
        <w:rPr>
          <w:sz w:val="20"/>
          <w:szCs w:val="20"/>
        </w:rPr>
        <w:t>19</w:t>
      </w:r>
    </w:p>
    <w:p w:rsidR="00000000" w:rsidRDefault="009730FF">
      <w:pPr>
        <w:pStyle w:val="a3"/>
        <w:spacing w:before="0" w:beforeAutospacing="0" w:after="600" w:afterAutospacing="0"/>
        <w:divId w:val="1062799535"/>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062799535"/>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062799535"/>
        <w:rPr>
          <w:sz w:val="20"/>
          <w:szCs w:val="20"/>
        </w:rPr>
      </w:pPr>
      <w:r>
        <w:rPr>
          <w:b/>
          <w:bCs/>
          <w:sz w:val="20"/>
          <w:szCs w:val="20"/>
        </w:rPr>
        <w:t>Notes to Condensed Consolidated Financial Statements (Unaudited)</w:t>
      </w:r>
    </w:p>
    <w:tbl>
      <w:tblPr>
        <w:tblW w:w="5003" w:type="pct"/>
        <w:tblCellMar>
          <w:top w:w="15" w:type="dxa"/>
          <w:left w:w="0" w:type="dxa"/>
          <w:bottom w:w="15" w:type="dxa"/>
          <w:right w:w="0" w:type="dxa"/>
        </w:tblCellMar>
        <w:tblLook w:val="04A0" w:firstRow="1" w:lastRow="0" w:firstColumn="1" w:lastColumn="0" w:noHBand="0" w:noVBand="1"/>
      </w:tblPr>
      <w:tblGrid>
        <w:gridCol w:w="4304"/>
        <w:gridCol w:w="200"/>
        <w:gridCol w:w="101"/>
        <w:gridCol w:w="471"/>
        <w:gridCol w:w="200"/>
        <w:gridCol w:w="112"/>
        <w:gridCol w:w="744"/>
        <w:gridCol w:w="200"/>
        <w:gridCol w:w="1017"/>
        <w:gridCol w:w="200"/>
        <w:gridCol w:w="756"/>
        <w:gridCol w:w="6"/>
      </w:tblGrid>
      <w:tr w:rsidR="00000000">
        <w:trPr>
          <w:divId w:val="476454580"/>
          <w:trHeight w:val="20"/>
        </w:trPr>
        <w:tc>
          <w:tcPr>
            <w:tcW w:w="2815" w:type="pct"/>
            <w:tcMar>
              <w:top w:w="0" w:type="dxa"/>
              <w:left w:w="0" w:type="dxa"/>
              <w:bottom w:w="0" w:type="dxa"/>
              <w:right w:w="0" w:type="dxa"/>
            </w:tcMar>
            <w:vAlign w:val="bottom"/>
            <w:hideMark/>
          </w:tcPr>
          <w:p w:rsidR="00000000" w:rsidRDefault="009730FF">
            <w:pPr>
              <w:pStyle w:val="a3"/>
              <w:spacing w:before="0" w:beforeAutospacing="0" w:after="1" w:afterAutospacing="0"/>
              <w:divId w:val="45509836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42090389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637687421"/>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5586384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49233088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9595438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81825644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79202505"/>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3012306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5889242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20673812"/>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60395659"/>
              <w:rPr>
                <w:sz w:val="20"/>
                <w:szCs w:val="20"/>
              </w:rPr>
            </w:pPr>
            <w:r>
              <w:rPr>
                <w:sz w:val="2"/>
                <w:szCs w:val="2"/>
              </w:rPr>
              <w:t>​</w:t>
            </w:r>
          </w:p>
        </w:tc>
      </w:tr>
      <w:tr w:rsidR="00000000">
        <w:trPr>
          <w:divId w:val="476454580"/>
        </w:trPr>
        <w:tc>
          <w:tcPr>
            <w:tcW w:w="2815"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r w:rsidR="00000000">
        <w:trPr>
          <w:divId w:val="476454580"/>
        </w:trPr>
        <w:tc>
          <w:tcPr>
            <w:tcW w:w="2815" w:type="pct"/>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Operating Leases as of December 31, 2021</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r w:rsidR="00000000">
        <w:trPr>
          <w:divId w:val="476454580"/>
        </w:trPr>
        <w:tc>
          <w:tcPr>
            <w:tcW w:w="0" w:type="auto"/>
            <w:gridSpan w:val="12"/>
            <w:tcMar>
              <w:top w:w="0" w:type="dxa"/>
              <w:left w:w="0" w:type="dxa"/>
              <w:bottom w:w="0" w:type="dxa"/>
              <w:right w:w="0" w:type="dxa"/>
            </w:tcMar>
            <w:vAlign w:val="center"/>
            <w:hideMark/>
          </w:tcPr>
          <w:p w:rsidR="00000000" w:rsidRDefault="009730FF">
            <w:pPr>
              <w:rPr>
                <w:sz w:val="20"/>
                <w:szCs w:val="20"/>
              </w:rPr>
            </w:pPr>
          </w:p>
        </w:tc>
      </w:tr>
      <w:tr w:rsidR="00000000">
        <w:trPr>
          <w:divId w:val="476454580"/>
        </w:trPr>
        <w:tc>
          <w:tcPr>
            <w:tcW w:w="2815"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6"/>
                <w:szCs w:val="16"/>
              </w:rPr>
              <w:t>​</w:t>
            </w:r>
          </w:p>
        </w:tc>
      </w:tr>
      <w:tr w:rsidR="00000000">
        <w:trPr>
          <w:divId w:val="476454580"/>
        </w:trPr>
        <w:tc>
          <w:tcPr>
            <w:tcW w:w="281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4.1 years</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5.4%</w:t>
            </w:r>
          </w:p>
        </w:tc>
        <w:tc>
          <w:tcPr>
            <w:tcW w:w="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r w:rsidR="00000000">
        <w:trPr>
          <w:divId w:val="476454580"/>
        </w:trPr>
        <w:tc>
          <w:tcPr>
            <w:tcW w:w="2815"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369</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385</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4.9 years</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5.8%</w:t>
            </w:r>
          </w:p>
        </w:tc>
        <w:tc>
          <w:tcPr>
            <w:tcW w:w="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r w:rsidR="00000000">
        <w:trPr>
          <w:divId w:val="476454580"/>
        </w:trPr>
        <w:tc>
          <w:tcPr>
            <w:tcW w:w="281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28</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31</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10.5 years</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r w:rsidR="00000000">
        <w:trPr>
          <w:divId w:val="476454580"/>
        </w:trPr>
        <w:tc>
          <w:tcPr>
            <w:tcW w:w="2815"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33</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26</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r w:rsidR="00000000">
        <w:trPr>
          <w:divId w:val="476454580"/>
        </w:trPr>
        <w:tc>
          <w:tcPr>
            <w:tcW w:w="281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467</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479</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Calibri" w:hAnsi="Calibri" w:cs="Calibri"/>
                <w:sz w:val="22"/>
                <w:szCs w:val="22"/>
              </w:rPr>
              <w:t>​</w:t>
            </w:r>
          </w:p>
        </w:tc>
      </w:tr>
    </w:tbl>
    <w:p w:rsidR="00000000" w:rsidRDefault="009730FF">
      <w:pPr>
        <w:pStyle w:val="a3"/>
        <w:spacing w:before="0" w:beforeAutospacing="0" w:after="0" w:afterAutospacing="0"/>
        <w:ind w:firstLine="360"/>
        <w:divId w:val="476454580"/>
        <w:rPr>
          <w:sz w:val="20"/>
          <w:szCs w:val="20"/>
        </w:rPr>
      </w:pPr>
      <w:r>
        <w:rPr>
          <w:sz w:val="20"/>
          <w:szCs w:val="20"/>
        </w:rPr>
        <w:t>​</w:t>
      </w:r>
    </w:p>
    <w:p w:rsidR="00000000" w:rsidRDefault="009730FF">
      <w:pPr>
        <w:pStyle w:val="a3"/>
        <w:spacing w:before="0" w:beforeAutospacing="0" w:after="240" w:afterAutospacing="0"/>
        <w:ind w:firstLine="360"/>
        <w:divId w:val="476454580"/>
        <w:rPr>
          <w:sz w:val="20"/>
          <w:szCs w:val="20"/>
        </w:rPr>
      </w:pPr>
      <w:r>
        <w:rPr>
          <w:sz w:val="20"/>
          <w:szCs w:val="20"/>
        </w:rPr>
        <w:t xml:space="preserve">For the three months ended March 31, 2022 and 2021, lease cost was comprised of (i) operating lease cost of $47 million and $51 million, respectively, (ii) amortization of financing lease right-of-use assets of $3 million and $3 million, respectively, and </w:t>
      </w:r>
      <w:r>
        <w:rPr>
          <w:sz w:val="20"/>
          <w:szCs w:val="20"/>
        </w:rPr>
        <w:t>(iii) interest expense on financing lease liabilities of $1 million and $1 million, respectively. Our automotive segment accounted for $40 million and $4</w:t>
      </w:r>
      <w:r>
        <w:rPr>
          <w:sz w:val="20"/>
          <w:szCs w:val="20"/>
        </w:rPr>
        <w:t>3</w:t>
      </w:r>
      <w:r>
        <w:rPr>
          <w:sz w:val="20"/>
          <w:szCs w:val="20"/>
        </w:rPr>
        <w:t xml:space="preserve"> million of total lease cost for the three months ended March 31, 2022 and 2021, respectively.</w:t>
      </w:r>
      <w:r>
        <w:rPr>
          <w:sz w:val="20"/>
          <w:szCs w:val="20"/>
        </w:rPr>
        <w:t xml:space="preserve"> </w:t>
      </w:r>
    </w:p>
    <w:p w:rsidR="00000000" w:rsidRDefault="009730FF">
      <w:pPr>
        <w:pStyle w:val="a3"/>
        <w:spacing w:before="0" w:beforeAutospacing="0" w:after="240" w:afterAutospacing="0"/>
        <w:divId w:val="476454580"/>
        <w:rPr>
          <w:i/>
          <w:iCs/>
          <w:sz w:val="20"/>
          <w:szCs w:val="20"/>
        </w:rPr>
      </w:pPr>
      <w:r>
        <w:rPr>
          <w:i/>
          <w:iCs/>
          <w:sz w:val="20"/>
          <w:szCs w:val="20"/>
        </w:rPr>
        <w:t>Real E</w:t>
      </w:r>
      <w:r>
        <w:rPr>
          <w:i/>
          <w:iCs/>
          <w:sz w:val="20"/>
          <w:szCs w:val="20"/>
        </w:rPr>
        <w:t>state</w:t>
      </w:r>
    </w:p>
    <w:p w:rsidR="00000000" w:rsidRDefault="009730FF">
      <w:pPr>
        <w:pStyle w:val="a3"/>
        <w:spacing w:before="0" w:beforeAutospacing="0" w:after="240" w:afterAutospacing="0"/>
        <w:ind w:firstLine="360"/>
        <w:divId w:val="476454580"/>
        <w:rPr>
          <w:sz w:val="20"/>
          <w:szCs w:val="20"/>
        </w:rPr>
      </w:pPr>
      <w:r>
        <w:rPr>
          <w:sz w:val="20"/>
          <w:szCs w:val="20"/>
        </w:rPr>
        <w:t>Our Real Estate segment leases real estate, primarily commercial properties under long-term operating leases. As of March 31, 2022 and December 31, 2021, our Real Estate segment has assets leased to others included in property, plant and equipment of</w:t>
      </w:r>
      <w:r>
        <w:rPr>
          <w:sz w:val="20"/>
          <w:szCs w:val="20"/>
        </w:rPr>
        <w:t xml:space="preserve"> $252 million and $251 million, respectively, net of accumulated depreciation. Our Real Estate segment’s revenue from operating leases were $2 million and $5 million for the three months ended March 31, 2022 and 2021, respectively. Revenues from operating </w:t>
      </w:r>
      <w:r>
        <w:rPr>
          <w:sz w:val="20"/>
          <w:szCs w:val="20"/>
        </w:rPr>
        <w:t>leases are included in other revenue from operations in the condensed consolidated statements of operations.</w:t>
      </w:r>
    </w:p>
    <w:p w:rsidR="00000000" w:rsidRDefault="009730FF">
      <w:pPr>
        <w:pStyle w:val="a3"/>
        <w:spacing w:before="0" w:beforeAutospacing="0" w:after="240" w:afterAutospacing="0"/>
        <w:divId w:val="476454580"/>
        <w:rPr>
          <w:b/>
          <w:bCs/>
          <w:sz w:val="20"/>
          <w:szCs w:val="20"/>
        </w:rPr>
      </w:pPr>
      <w:r>
        <w:rPr>
          <w:b/>
          <w:bCs/>
          <w:sz w:val="20"/>
          <w:szCs w:val="20"/>
        </w:rPr>
        <w:t>10.  Debt</w:t>
      </w:r>
    </w:p>
    <w:p w:rsidR="00000000" w:rsidRDefault="009730FF">
      <w:pPr>
        <w:pStyle w:val="a3"/>
        <w:spacing w:before="0" w:beforeAutospacing="0" w:after="240" w:afterAutospacing="0"/>
        <w:ind w:firstLine="360"/>
        <w:divId w:val="476454580"/>
        <w:rPr>
          <w:sz w:val="20"/>
          <w:szCs w:val="20"/>
        </w:rPr>
      </w:pPr>
      <w:r>
        <w:rPr>
          <w:sz w:val="20"/>
          <w:szCs w:val="20"/>
        </w:rPr>
        <w:t>Debt consists of the following:</w:t>
      </w:r>
    </w:p>
    <w:p w:rsidR="00000000" w:rsidRDefault="009730FF">
      <w:pPr>
        <w:pStyle w:val="a3"/>
        <w:spacing w:before="0" w:beforeAutospacing="0" w:after="0" w:afterAutospacing="0"/>
        <w:divId w:val="47645458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6"/>
        <w:gridCol w:w="822"/>
        <w:gridCol w:w="200"/>
        <w:gridCol w:w="159"/>
        <w:gridCol w:w="1058"/>
      </w:tblGrid>
      <w:tr w:rsidR="00000000">
        <w:trPr>
          <w:divId w:val="476454580"/>
          <w:trHeight w:val="2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divId w:val="2137066312"/>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0930159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20738275"/>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9395936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322891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09476359"/>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68724016"/>
              <w:rPr>
                <w:sz w:val="20"/>
                <w:szCs w:val="20"/>
              </w:rPr>
            </w:pPr>
            <w:r>
              <w:rPr>
                <w:sz w:val="2"/>
                <w:szCs w:val="2"/>
              </w:rPr>
              <w:t>​</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552"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476454580"/>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  </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6.750% senior unsecured notes due 2024</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499</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4.750%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1,105</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1,105</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6.375% senior unsecured notes due 2025</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748</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6.250</w:t>
            </w:r>
            <w:r>
              <w:rPr>
                <w:sz w:val="20"/>
                <w:szCs w:val="20"/>
              </w:rPr>
              <w:t>% senior unsecured notes due 2026</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1,250</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1,250</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5.250% senior unsecured notes due 2027</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1,460</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1,461</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4.375% senior unsecured notes due 2029</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747</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747</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5,311</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5,810</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Reporting Segments:</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Energy</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1,595</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1,660</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Automotive</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20</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26</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Food Packaging</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158</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155</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41</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40</w:t>
            </w:r>
          </w:p>
        </w:tc>
      </w:tr>
      <w:tr w:rsidR="00000000">
        <w:trPr>
          <w:divId w:val="476454580"/>
        </w:trPr>
        <w:tc>
          <w:tcPr>
            <w:tcW w:w="360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1,815</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1,882</w:t>
            </w:r>
          </w:p>
        </w:tc>
      </w:tr>
      <w:tr w:rsidR="00000000">
        <w:trPr>
          <w:divId w:val="476454580"/>
        </w:trPr>
        <w:tc>
          <w:tcPr>
            <w:tcW w:w="360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Total Debt</w:t>
            </w:r>
          </w:p>
        </w:tc>
        <w:tc>
          <w:tcPr>
            <w:tcW w:w="10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7,126</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7,692</w:t>
            </w:r>
          </w:p>
        </w:tc>
      </w:tr>
    </w:tbl>
    <w:p w:rsidR="00000000" w:rsidRDefault="009730FF">
      <w:pPr>
        <w:pStyle w:val="a3"/>
        <w:spacing w:before="0" w:beforeAutospacing="0" w:after="0" w:afterAutospacing="0"/>
        <w:divId w:val="476454580"/>
        <w:rPr>
          <w:sz w:val="20"/>
          <w:szCs w:val="20"/>
        </w:rPr>
      </w:pPr>
      <w:r>
        <w:rPr>
          <w:sz w:val="20"/>
          <w:szCs w:val="20"/>
        </w:rPr>
        <w:t>​</w:t>
      </w:r>
    </w:p>
    <w:p w:rsidR="00000000" w:rsidRDefault="009730FF">
      <w:pPr>
        <w:pStyle w:val="a3"/>
        <w:spacing w:before="480" w:beforeAutospacing="0" w:after="0" w:afterAutospacing="0"/>
        <w:jc w:val="center"/>
        <w:divId w:val="2099911155"/>
        <w:rPr>
          <w:sz w:val="20"/>
          <w:szCs w:val="20"/>
        </w:rPr>
      </w:pPr>
      <w:r>
        <w:rPr>
          <w:sz w:val="20"/>
          <w:szCs w:val="20"/>
        </w:rPr>
        <w:t>20</w:t>
      </w:r>
    </w:p>
    <w:p w:rsidR="00000000" w:rsidRDefault="009730FF">
      <w:pPr>
        <w:pStyle w:val="a3"/>
        <w:spacing w:before="0" w:beforeAutospacing="0" w:after="600" w:afterAutospacing="0"/>
        <w:divId w:val="1534689137"/>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534689137"/>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534689137"/>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379160417"/>
        <w:rPr>
          <w:b/>
          <w:bCs/>
          <w:sz w:val="20"/>
          <w:szCs w:val="20"/>
        </w:rPr>
      </w:pPr>
      <w:r>
        <w:rPr>
          <w:b/>
          <w:bCs/>
          <w:sz w:val="20"/>
          <w:szCs w:val="20"/>
        </w:rPr>
        <w:t>Holding Company</w:t>
      </w:r>
    </w:p>
    <w:p w:rsidR="00000000" w:rsidRDefault="009730FF">
      <w:pPr>
        <w:pStyle w:val="a3"/>
        <w:spacing w:before="0" w:beforeAutospacing="0" w:after="240" w:afterAutospacing="0"/>
        <w:ind w:firstLine="360"/>
        <w:divId w:val="1379160417"/>
        <w:rPr>
          <w:sz w:val="20"/>
          <w:szCs w:val="20"/>
        </w:rPr>
      </w:pPr>
      <w:r>
        <w:rPr>
          <w:sz w:val="20"/>
          <w:szCs w:val="20"/>
        </w:rPr>
        <w:t>In February 2022, we redeemed all of our $500 million aggregate principal amount of 6.750% senior unsecured notes due 2024 at par. As a</w:t>
      </w:r>
      <w:r>
        <w:rPr>
          <w:sz w:val="20"/>
          <w:szCs w:val="20"/>
        </w:rPr>
        <w:t xml:space="preserve"> result of this transaction, Icahn Enterprises recorded a loss on extinguishment of debt of $1 million.</w:t>
      </w:r>
    </w:p>
    <w:p w:rsidR="00000000" w:rsidRDefault="009730FF">
      <w:pPr>
        <w:pStyle w:val="a3"/>
        <w:spacing w:before="0" w:beforeAutospacing="0" w:after="240" w:afterAutospacing="0"/>
        <w:divId w:val="1379160417"/>
        <w:rPr>
          <w:sz w:val="20"/>
          <w:szCs w:val="20"/>
        </w:rPr>
      </w:pPr>
      <w:r>
        <w:rPr>
          <w:b/>
          <w:bCs/>
          <w:sz w:val="20"/>
          <w:szCs w:val="20"/>
        </w:rPr>
        <w:t>Reporting Segments</w:t>
      </w:r>
    </w:p>
    <w:p w:rsidR="00000000" w:rsidRDefault="009730FF">
      <w:pPr>
        <w:pStyle w:val="a3"/>
        <w:spacing w:before="0" w:beforeAutospacing="0" w:after="240" w:afterAutospacing="0"/>
        <w:divId w:val="1379160417"/>
        <w:rPr>
          <w:sz w:val="20"/>
          <w:szCs w:val="20"/>
        </w:rPr>
      </w:pPr>
      <w:r>
        <w:rPr>
          <w:i/>
          <w:iCs/>
          <w:sz w:val="20"/>
          <w:szCs w:val="20"/>
        </w:rPr>
        <w:t>Energy</w:t>
      </w:r>
    </w:p>
    <w:p w:rsidR="00000000" w:rsidRDefault="009730FF">
      <w:pPr>
        <w:pStyle w:val="a3"/>
        <w:spacing w:before="0" w:beforeAutospacing="0" w:after="240" w:afterAutospacing="0"/>
        <w:ind w:firstLine="360"/>
        <w:divId w:val="1379160417"/>
        <w:rPr>
          <w:sz w:val="20"/>
          <w:szCs w:val="20"/>
        </w:rPr>
      </w:pPr>
      <w:r>
        <w:rPr>
          <w:sz w:val="20"/>
          <w:szCs w:val="20"/>
        </w:rPr>
        <w:t>In February 2022, CVR Partners redeemed the remaining $65 million aggregate principal amount of its 9.25% senior secured notes</w:t>
      </w:r>
      <w:r>
        <w:rPr>
          <w:sz w:val="20"/>
          <w:szCs w:val="20"/>
        </w:rPr>
        <w:t xml:space="preserve"> due June 2023 at par. As a result of this transaction, CVR Partners recognized a loss on extinguishment of debt of $1 million. </w:t>
      </w:r>
    </w:p>
    <w:p w:rsidR="00000000" w:rsidRDefault="009730FF">
      <w:pPr>
        <w:pStyle w:val="a3"/>
        <w:spacing w:before="0" w:beforeAutospacing="0" w:after="240" w:afterAutospacing="0"/>
        <w:divId w:val="1379160417"/>
        <w:rPr>
          <w:sz w:val="20"/>
          <w:szCs w:val="20"/>
        </w:rPr>
      </w:pPr>
      <w:r>
        <w:rPr>
          <w:b/>
          <w:bCs/>
          <w:sz w:val="20"/>
          <w:szCs w:val="20"/>
        </w:rPr>
        <w:t>Covenants</w:t>
      </w:r>
    </w:p>
    <w:p w:rsidR="00000000" w:rsidRDefault="009730FF">
      <w:pPr>
        <w:pStyle w:val="a3"/>
        <w:spacing w:before="0" w:beforeAutospacing="0" w:after="240" w:afterAutospacing="0"/>
        <w:ind w:firstLine="360"/>
        <w:divId w:val="1379160417"/>
        <w:rPr>
          <w:sz w:val="20"/>
          <w:szCs w:val="20"/>
        </w:rPr>
      </w:pPr>
      <w:r>
        <w:rPr>
          <w:sz w:val="20"/>
          <w:szCs w:val="20"/>
        </w:rPr>
        <w:t>We and all of our subsidiaries are currently in compliance with all covenants and restrictions as described in the va</w:t>
      </w:r>
      <w:r>
        <w:rPr>
          <w:sz w:val="20"/>
          <w:szCs w:val="20"/>
        </w:rPr>
        <w:t>rious executed agreements and contracts with respect to each debt instrument. These covenants include limitations on indebtedness, liens, investments, acquisitions, asset sales, dividends and other restricted payments and affiliate and extraordinary transa</w:t>
      </w:r>
      <w:r>
        <w:rPr>
          <w:sz w:val="20"/>
          <w:szCs w:val="20"/>
        </w:rPr>
        <w:t>ctions.</w:t>
      </w:r>
    </w:p>
    <w:p w:rsidR="00000000" w:rsidRDefault="009730FF">
      <w:pPr>
        <w:pStyle w:val="a3"/>
        <w:spacing w:before="0" w:beforeAutospacing="0" w:after="240" w:afterAutospacing="0"/>
        <w:divId w:val="1379160417"/>
        <w:rPr>
          <w:b/>
          <w:bCs/>
          <w:sz w:val="20"/>
          <w:szCs w:val="20"/>
        </w:rPr>
      </w:pPr>
      <w:r>
        <w:rPr>
          <w:b/>
          <w:bCs/>
          <w:sz w:val="20"/>
          <w:szCs w:val="20"/>
        </w:rPr>
        <w:t>Non-Cash Charges to Interest Expense</w:t>
      </w:r>
    </w:p>
    <w:p w:rsidR="00000000" w:rsidRDefault="009730FF">
      <w:pPr>
        <w:pStyle w:val="a3"/>
        <w:spacing w:before="0" w:beforeAutospacing="0" w:after="240" w:afterAutospacing="0"/>
        <w:ind w:firstLine="360"/>
        <w:divId w:val="1379160417"/>
        <w:rPr>
          <w:sz w:val="20"/>
          <w:szCs w:val="20"/>
        </w:rPr>
      </w:pPr>
      <w:r>
        <w:rPr>
          <w:sz w:val="20"/>
          <w:szCs w:val="20"/>
        </w:rPr>
        <w:t>The amortization of deferred financing costs and debt discounts and premiums included in interest expense in the condensed consolidated statements of operations were $1 million and $1 million for the three months ended March 31, 2022 and 2021, respectively</w:t>
      </w:r>
      <w:r>
        <w:rPr>
          <w:sz w:val="20"/>
          <w:szCs w:val="20"/>
        </w:rPr>
        <w:t>.</w:t>
      </w:r>
    </w:p>
    <w:p w:rsidR="00000000" w:rsidRDefault="009730FF">
      <w:pPr>
        <w:pStyle w:val="a3"/>
        <w:spacing w:before="0" w:beforeAutospacing="0" w:after="240" w:afterAutospacing="0"/>
        <w:divId w:val="1379160417"/>
        <w:rPr>
          <w:b/>
          <w:bCs/>
          <w:sz w:val="20"/>
          <w:szCs w:val="20"/>
        </w:rPr>
      </w:pPr>
      <w:r>
        <w:rPr>
          <w:b/>
          <w:bCs/>
          <w:sz w:val="20"/>
          <w:szCs w:val="20"/>
        </w:rPr>
        <w:t>11.  Net Income Per LP Unit</w:t>
      </w:r>
    </w:p>
    <w:p w:rsidR="00000000" w:rsidRDefault="009730FF">
      <w:pPr>
        <w:pStyle w:val="a3"/>
        <w:spacing w:before="0" w:beforeAutospacing="0" w:after="240" w:afterAutospacing="0"/>
        <w:ind w:firstLine="360"/>
        <w:divId w:val="1379160417"/>
        <w:rPr>
          <w:sz w:val="20"/>
          <w:szCs w:val="20"/>
        </w:rPr>
      </w:pPr>
      <w:r>
        <w:rPr>
          <w:sz w:val="20"/>
          <w:szCs w:val="20"/>
        </w:rPr>
        <w:t>The components of the computation of basic and diluted income per LP unit of Icahn Enterprises are as follows:</w:t>
      </w:r>
    </w:p>
    <w:p w:rsidR="00000000" w:rsidRDefault="009730FF">
      <w:pPr>
        <w:pStyle w:val="a3"/>
        <w:spacing w:before="0" w:beforeAutospacing="0" w:after="0" w:afterAutospacing="0"/>
        <w:divId w:val="1379160417"/>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5359"/>
        <w:gridCol w:w="160"/>
        <w:gridCol w:w="160"/>
        <w:gridCol w:w="1122"/>
        <w:gridCol w:w="251"/>
        <w:gridCol w:w="155"/>
        <w:gridCol w:w="1112"/>
      </w:tblGrid>
      <w:tr w:rsidR="00000000">
        <w:trPr>
          <w:divId w:val="1379160417"/>
          <w:trHeight w:val="20"/>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divId w:val="94877641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00054077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8536906"/>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59312200"/>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13132162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912545484"/>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53013212"/>
              <w:rPr>
                <w:sz w:val="20"/>
                <w:szCs w:val="20"/>
              </w:rPr>
            </w:pPr>
            <w:r>
              <w:rPr>
                <w:sz w:val="2"/>
                <w:szCs w:val="2"/>
              </w:rPr>
              <w:t>​</w:t>
            </w: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440"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Three Months Ended March 31, </w:t>
            </w: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sz w:val="16"/>
                <w:szCs w:val="16"/>
              </w:rPr>
              <w:t>    </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2022</w:t>
            </w:r>
          </w:p>
        </w:tc>
        <w:tc>
          <w:tcPr>
            <w:tcW w:w="12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51"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2021</w:t>
            </w:r>
          </w:p>
        </w:tc>
      </w:tr>
      <w:tr w:rsidR="00000000">
        <w:trPr>
          <w:divId w:val="1379160417"/>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357" w:type="pct"/>
            <w:gridSpan w:val="4"/>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 except per unit amounts)</w:t>
            </w:r>
          </w:p>
        </w:tc>
      </w:tr>
      <w:tr w:rsidR="00000000">
        <w:trPr>
          <w:divId w:val="1379160417"/>
        </w:trPr>
        <w:tc>
          <w:tcPr>
            <w:tcW w:w="347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Net income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323</w:t>
            </w:r>
          </w:p>
        </w:tc>
        <w:tc>
          <w:tcPr>
            <w:tcW w:w="12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162</w:t>
            </w: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Net income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317</w:t>
            </w:r>
          </w:p>
        </w:tc>
        <w:tc>
          <w:tcPr>
            <w:tcW w:w="12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159</w:t>
            </w:r>
          </w:p>
        </w:tc>
      </w:tr>
      <w:tr w:rsidR="00000000">
        <w:trPr>
          <w:divId w:val="1379160417"/>
        </w:trPr>
        <w:tc>
          <w:tcPr>
            <w:tcW w:w="347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Basic income per LP unit: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1.08</w:t>
            </w:r>
          </w:p>
        </w:tc>
        <w:tc>
          <w:tcPr>
            <w:tcW w:w="12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0.66</w:t>
            </w:r>
          </w:p>
        </w:tc>
      </w:tr>
      <w:tr w:rsidR="00000000">
        <w:trPr>
          <w:divId w:val="1379160417"/>
        </w:trPr>
        <w:tc>
          <w:tcPr>
            <w:tcW w:w="347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Basic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294</w:t>
            </w:r>
          </w:p>
        </w:tc>
        <w:tc>
          <w:tcPr>
            <w:tcW w:w="12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242</w:t>
            </w: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2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r>
      <w:tr w:rsidR="00000000">
        <w:trPr>
          <w:divId w:val="1379160417"/>
        </w:trPr>
        <w:tc>
          <w:tcPr>
            <w:tcW w:w="347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Diluted income per LP unit: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1.06</w:t>
            </w:r>
          </w:p>
        </w:tc>
        <w:tc>
          <w:tcPr>
            <w:tcW w:w="12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0.65</w:t>
            </w:r>
          </w:p>
        </w:tc>
      </w:tr>
      <w:tr w:rsidR="00000000">
        <w:trPr>
          <w:divId w:val="1379160417"/>
        </w:trPr>
        <w:tc>
          <w:tcPr>
            <w:tcW w:w="3477"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Diluted weighted average LP units outstanding</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299</w:t>
            </w:r>
          </w:p>
        </w:tc>
        <w:tc>
          <w:tcPr>
            <w:tcW w:w="129"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7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245</w:t>
            </w:r>
          </w:p>
        </w:tc>
      </w:tr>
      <w:tr w:rsidR="00000000">
        <w:trPr>
          <w:divId w:val="1379160417"/>
        </w:trPr>
        <w:tc>
          <w:tcPr>
            <w:tcW w:w="347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r>
    </w:tbl>
    <w:p w:rsidR="00000000" w:rsidRDefault="009730FF">
      <w:pPr>
        <w:pStyle w:val="a3"/>
        <w:spacing w:before="0" w:beforeAutospacing="0" w:after="0" w:afterAutospacing="0"/>
        <w:divId w:val="1379160417"/>
        <w:rPr>
          <w:sz w:val="20"/>
          <w:szCs w:val="20"/>
        </w:rPr>
      </w:pPr>
      <w:r>
        <w:rPr>
          <w:sz w:val="2"/>
          <w:szCs w:val="2"/>
        </w:rPr>
        <w:t>​</w:t>
      </w:r>
    </w:p>
    <w:p w:rsidR="00000000" w:rsidRDefault="009730FF">
      <w:pPr>
        <w:pStyle w:val="a3"/>
        <w:spacing w:before="0" w:beforeAutospacing="0" w:after="240" w:afterAutospacing="0"/>
        <w:divId w:val="1379160417"/>
        <w:rPr>
          <w:b/>
          <w:bCs/>
          <w:i/>
          <w:iCs/>
          <w:sz w:val="20"/>
          <w:szCs w:val="20"/>
        </w:rPr>
      </w:pPr>
      <w:r>
        <w:rPr>
          <w:b/>
          <w:bCs/>
          <w:i/>
          <w:iCs/>
          <w:sz w:val="20"/>
          <w:szCs w:val="20"/>
        </w:rPr>
        <w:t>LP Unit Transactions</w:t>
      </w:r>
    </w:p>
    <w:p w:rsidR="00000000" w:rsidRDefault="009730FF">
      <w:pPr>
        <w:pStyle w:val="a3"/>
        <w:spacing w:before="0" w:beforeAutospacing="0" w:after="240" w:afterAutospacing="0"/>
        <w:divId w:val="1379160417"/>
        <w:rPr>
          <w:b/>
          <w:bCs/>
          <w:i/>
          <w:iCs/>
          <w:sz w:val="20"/>
          <w:szCs w:val="20"/>
        </w:rPr>
      </w:pPr>
      <w:r>
        <w:rPr>
          <w:i/>
          <w:iCs/>
          <w:sz w:val="20"/>
          <w:szCs w:val="20"/>
        </w:rPr>
        <w:t>Unit Distributions</w:t>
      </w:r>
    </w:p>
    <w:p w:rsidR="00000000" w:rsidRDefault="009730FF">
      <w:pPr>
        <w:pStyle w:val="a3"/>
        <w:spacing w:before="0" w:beforeAutospacing="0" w:after="0" w:afterAutospacing="0"/>
        <w:ind w:firstLine="360"/>
        <w:divId w:val="1379160417"/>
        <w:rPr>
          <w:sz w:val="20"/>
          <w:szCs w:val="20"/>
        </w:rPr>
      </w:pPr>
      <w:r>
        <w:rPr>
          <w:sz w:val="20"/>
          <w:szCs w:val="20"/>
        </w:rPr>
        <w:t>On February 23, 2022, we declared a quarterly distribution in the amount of $2.00 per depositary unit in which each depositary unitholder had the option to make an election to receive either cash or additional depositary units. Because t</w:t>
      </w:r>
      <w:r>
        <w:rPr>
          <w:sz w:val="20"/>
          <w:szCs w:val="20"/>
        </w:rPr>
        <w:t xml:space="preserve">he </w:t>
      </w:r>
    </w:p>
    <w:p w:rsidR="00000000" w:rsidRDefault="009730FF">
      <w:pPr>
        <w:pStyle w:val="a3"/>
        <w:spacing w:before="480" w:beforeAutospacing="0" w:after="0" w:afterAutospacing="0"/>
        <w:jc w:val="center"/>
        <w:divId w:val="483083283"/>
        <w:rPr>
          <w:sz w:val="20"/>
          <w:szCs w:val="20"/>
        </w:rPr>
      </w:pPr>
      <w:r>
        <w:rPr>
          <w:sz w:val="20"/>
          <w:szCs w:val="20"/>
        </w:rPr>
        <w:t>21</w:t>
      </w:r>
    </w:p>
    <w:p w:rsidR="00000000" w:rsidRDefault="009730FF">
      <w:pPr>
        <w:pStyle w:val="a3"/>
        <w:spacing w:before="0" w:beforeAutospacing="0" w:after="600" w:afterAutospacing="0"/>
        <w:divId w:val="460611001"/>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460611001"/>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460611001"/>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648173604"/>
        <w:rPr>
          <w:sz w:val="20"/>
          <w:szCs w:val="20"/>
        </w:rPr>
      </w:pPr>
      <w:r>
        <w:rPr>
          <w:sz w:val="20"/>
          <w:szCs w:val="20"/>
        </w:rPr>
        <w:t>depositary unitholders had the election to receive the distribution either in cash or additional dep</w:t>
      </w:r>
      <w:r>
        <w:rPr>
          <w:sz w:val="20"/>
          <w:szCs w:val="20"/>
        </w:rPr>
        <w:t>ositary units, we recorded a unit distribution liability of $603 million as the unit distribution had not been made as of March 31, 2022. In addition, the unit distribution liability, which is included in accrued expenses and other liabilities in the conde</w:t>
      </w:r>
      <w:r>
        <w:rPr>
          <w:sz w:val="20"/>
          <w:szCs w:val="20"/>
        </w:rPr>
        <w:t>nsed consolidated balance sheets, is considered a potentially dilutive security and is considered in the calculation of diluted income per LP unit as disclosed above. Any difference between the liability recorded and the amount representing the aggregate v</w:t>
      </w:r>
      <w:r>
        <w:rPr>
          <w:sz w:val="20"/>
          <w:szCs w:val="20"/>
        </w:rPr>
        <w:t xml:space="preserve">alue of the number of depositary units distributed and cash paid would be charged to equity. </w:t>
      </w:r>
    </w:p>
    <w:p w:rsidR="00000000" w:rsidRDefault="009730FF">
      <w:pPr>
        <w:pStyle w:val="a3"/>
        <w:spacing w:before="0" w:beforeAutospacing="0" w:after="240" w:afterAutospacing="0"/>
        <w:ind w:firstLine="360"/>
        <w:divId w:val="648173604"/>
        <w:rPr>
          <w:sz w:val="20"/>
          <w:szCs w:val="20"/>
        </w:rPr>
      </w:pPr>
      <w:r>
        <w:rPr>
          <w:sz w:val="20"/>
          <w:szCs w:val="20"/>
        </w:rPr>
        <w:t>In April 2022, we distributed an aggregate 10,115,441 depositary units to unitholders who did not elect to receive cash, of which an aggregate of 9,585,515 deposi</w:t>
      </w:r>
      <w:r>
        <w:rPr>
          <w:sz w:val="20"/>
          <w:szCs w:val="20"/>
        </w:rPr>
        <w:t xml:space="preserve">tary units were distributed to Mr. Icahn and his affiliates. In connection with these distributions, aggregate cash distributions to all depositary unitholders that made a timely election to receive cash was $48 million. </w:t>
      </w:r>
    </w:p>
    <w:p w:rsidR="00000000" w:rsidRDefault="009730FF">
      <w:pPr>
        <w:pStyle w:val="a3"/>
        <w:spacing w:before="0" w:beforeAutospacing="0" w:after="240" w:afterAutospacing="0"/>
        <w:divId w:val="648173604"/>
        <w:rPr>
          <w:b/>
          <w:bCs/>
          <w:i/>
          <w:iCs/>
          <w:sz w:val="20"/>
          <w:szCs w:val="20"/>
        </w:rPr>
      </w:pPr>
      <w:r>
        <w:rPr>
          <w:i/>
          <w:iCs/>
          <w:sz w:val="20"/>
          <w:szCs w:val="20"/>
        </w:rPr>
        <w:t>At-The-Market Offerings</w:t>
      </w:r>
    </w:p>
    <w:p w:rsidR="00000000" w:rsidRDefault="009730FF">
      <w:pPr>
        <w:pStyle w:val="a3"/>
        <w:spacing w:before="0" w:beforeAutospacing="0" w:after="240" w:afterAutospacing="0"/>
        <w:ind w:firstLine="360"/>
        <w:divId w:val="648173604"/>
        <w:rPr>
          <w:sz w:val="20"/>
          <w:szCs w:val="20"/>
        </w:rPr>
      </w:pPr>
      <w:r>
        <w:rPr>
          <w:sz w:val="20"/>
          <w:szCs w:val="20"/>
        </w:rPr>
        <w:t>During the three months ended March 31, 2022, Icahn Enterprises sold 3,436,553 depositary units pursuant to its Open Market Sale Agreement entered into on December 3, 2021, resulting in gross proceeds of $182 million. As of March 31, 2022, we continue to h</w:t>
      </w:r>
      <w:r>
        <w:rPr>
          <w:sz w:val="20"/>
          <w:szCs w:val="20"/>
        </w:rPr>
        <w:t xml:space="preserve">ave an active Open Market Sale Agreement and Icahn Enterprises may sell its depositary units for up to an additional $145 million in aggregate gross sale proceeds pursuant to this agreement. </w:t>
      </w:r>
    </w:p>
    <w:p w:rsidR="00000000" w:rsidRDefault="009730FF">
      <w:pPr>
        <w:pStyle w:val="a3"/>
        <w:spacing w:before="0" w:beforeAutospacing="0" w:after="240" w:afterAutospacing="0"/>
        <w:divId w:val="648173604"/>
        <w:rPr>
          <w:b/>
          <w:bCs/>
          <w:i/>
          <w:iCs/>
          <w:sz w:val="20"/>
          <w:szCs w:val="20"/>
        </w:rPr>
      </w:pPr>
      <w:r>
        <w:rPr>
          <w:i/>
          <w:iCs/>
          <w:sz w:val="20"/>
          <w:szCs w:val="20"/>
        </w:rPr>
        <w:t>2017 Incentive Plan</w:t>
      </w:r>
    </w:p>
    <w:p w:rsidR="00000000" w:rsidRDefault="009730FF">
      <w:pPr>
        <w:pStyle w:val="a3"/>
        <w:spacing w:before="0" w:beforeAutospacing="0" w:after="240" w:afterAutospacing="0"/>
        <w:ind w:firstLine="360"/>
        <w:divId w:val="648173604"/>
        <w:rPr>
          <w:sz w:val="20"/>
          <w:szCs w:val="20"/>
        </w:rPr>
      </w:pPr>
      <w:r>
        <w:rPr>
          <w:sz w:val="20"/>
          <w:szCs w:val="20"/>
        </w:rPr>
        <w:t>During the three months ended March 31, 2022</w:t>
      </w:r>
      <w:r>
        <w:rPr>
          <w:sz w:val="20"/>
          <w:szCs w:val="20"/>
        </w:rPr>
        <w:t>, Icahn Enterprises distributed 13,083 depositary units, net of payroll withholdings, with respect to certain restricted depositary units that vested during the period in connection with the Icahn Enterprises L.P. 2017 Long Term Incentive Plan (the “2017 I</w:t>
      </w:r>
      <w:r>
        <w:rPr>
          <w:sz w:val="20"/>
          <w:szCs w:val="20"/>
        </w:rPr>
        <w:t xml:space="preserve">ncentive Plan”). The aggregate impact of the 2017 Incentive Plan is not material with respect to our condensed consolidated financial statements, including the calculation of potentially dilutive units and diluted income per LP unit. </w:t>
      </w:r>
    </w:p>
    <w:p w:rsidR="00000000" w:rsidRDefault="009730FF">
      <w:pPr>
        <w:pStyle w:val="a3"/>
        <w:spacing w:before="0" w:beforeAutospacing="0" w:after="240" w:afterAutospacing="0"/>
        <w:divId w:val="648173604"/>
        <w:rPr>
          <w:b/>
          <w:bCs/>
          <w:sz w:val="20"/>
          <w:szCs w:val="20"/>
        </w:rPr>
      </w:pPr>
      <w:r>
        <w:rPr>
          <w:b/>
          <w:bCs/>
          <w:sz w:val="20"/>
          <w:szCs w:val="20"/>
        </w:rPr>
        <w:t>12.  Segment Reportin</w:t>
      </w:r>
      <w:r>
        <w:rPr>
          <w:b/>
          <w:bCs/>
          <w:sz w:val="20"/>
          <w:szCs w:val="20"/>
        </w:rPr>
        <w:t>g</w:t>
      </w:r>
    </w:p>
    <w:p w:rsidR="00000000" w:rsidRDefault="009730FF">
      <w:pPr>
        <w:pStyle w:val="a3"/>
        <w:spacing w:before="0" w:beforeAutospacing="0" w:after="240" w:afterAutospacing="0"/>
        <w:ind w:firstLine="360"/>
        <w:divId w:val="648173604"/>
        <w:rPr>
          <w:sz w:val="20"/>
          <w:szCs w:val="20"/>
        </w:rPr>
      </w:pPr>
      <w:r>
        <w:rPr>
          <w:sz w:val="20"/>
          <w:szCs w:val="20"/>
        </w:rPr>
        <w:t>We report segment information based on the various industries in which our businesses operate and how we manage those businesses in accordance with our investment strategies, which may include: identifying and acquiring undervalued assets and businesses,</w:t>
      </w:r>
      <w:r>
        <w:rPr>
          <w:sz w:val="20"/>
          <w:szCs w:val="20"/>
        </w:rPr>
        <w:t xml:space="preserve"> often through the purchase of distressed securities; increasing value through management, financial or other operational changes; and managing complex legal, regulatory or financial issues, which may include bankruptcy or insolvency, environmental, zoning</w:t>
      </w:r>
      <w:r>
        <w:rPr>
          <w:sz w:val="20"/>
          <w:szCs w:val="20"/>
        </w:rPr>
        <w:t>, permitting and licensing issues. Therefore, although many of our businesses are operated under separate local management, certain of our businesses are grouped together when they operate within a similar industry, comprising similarities in products, cus</w:t>
      </w:r>
      <w:r>
        <w:rPr>
          <w:sz w:val="20"/>
          <w:szCs w:val="20"/>
        </w:rPr>
        <w:t>tomers, production processes and regulatory environments, and when such businesses, when considered together, may be managed in accordance with one or more investment strategies specific to those businesses. Among other measures, we assess and measure segm</w:t>
      </w:r>
      <w:r>
        <w:rPr>
          <w:sz w:val="20"/>
          <w:szCs w:val="20"/>
        </w:rPr>
        <w:t>ent operating results based on net income from continuing operations attributable to Icahn Enterprises. Certain terms of financings for certain of our businesses impose restrictions on the business’ ability to transfer funds to us, including restrictions o</w:t>
      </w:r>
      <w:r>
        <w:rPr>
          <w:sz w:val="20"/>
          <w:szCs w:val="20"/>
        </w:rPr>
        <w:t>n dividends, distributions, loans and other transactions.</w:t>
      </w:r>
    </w:p>
    <w:p w:rsidR="00000000" w:rsidRDefault="009730FF">
      <w:pPr>
        <w:pStyle w:val="a3"/>
        <w:spacing w:before="0" w:beforeAutospacing="0" w:after="240" w:afterAutospacing="0"/>
        <w:divId w:val="648173604"/>
        <w:rPr>
          <w:sz w:val="20"/>
          <w:szCs w:val="20"/>
        </w:rPr>
      </w:pPr>
      <w:r>
        <w:rPr>
          <w:b/>
          <w:bCs/>
          <w:sz w:val="20"/>
          <w:szCs w:val="20"/>
        </w:rPr>
        <w:t>​</w:t>
      </w:r>
    </w:p>
    <w:p w:rsidR="00000000" w:rsidRDefault="009730FF">
      <w:pPr>
        <w:pStyle w:val="a3"/>
        <w:spacing w:before="0" w:beforeAutospacing="0" w:after="240" w:afterAutospacing="0"/>
        <w:divId w:val="648173604"/>
        <w:rPr>
          <w:sz w:val="20"/>
          <w:szCs w:val="20"/>
        </w:rPr>
      </w:pPr>
      <w:r>
        <w:rPr>
          <w:b/>
          <w:bCs/>
          <w:sz w:val="20"/>
          <w:szCs w:val="20"/>
        </w:rPr>
        <w:t>​</w:t>
      </w:r>
    </w:p>
    <w:p w:rsidR="00000000" w:rsidRDefault="009730FF">
      <w:pPr>
        <w:pStyle w:val="a3"/>
        <w:spacing w:before="0" w:beforeAutospacing="0" w:after="240" w:afterAutospacing="0"/>
        <w:divId w:val="648173604"/>
        <w:rPr>
          <w:sz w:val="20"/>
          <w:szCs w:val="20"/>
        </w:rPr>
      </w:pPr>
      <w:r>
        <w:rPr>
          <w:b/>
          <w:bCs/>
          <w:sz w:val="20"/>
          <w:szCs w:val="20"/>
        </w:rPr>
        <w:t>​</w:t>
      </w:r>
    </w:p>
    <w:p w:rsidR="00000000" w:rsidRDefault="009730FF">
      <w:pPr>
        <w:pStyle w:val="a3"/>
        <w:spacing w:before="0" w:beforeAutospacing="0" w:after="240" w:afterAutospacing="0"/>
        <w:divId w:val="648173604"/>
        <w:rPr>
          <w:sz w:val="20"/>
          <w:szCs w:val="20"/>
        </w:rPr>
      </w:pPr>
      <w:r>
        <w:rPr>
          <w:b/>
          <w:bCs/>
          <w:sz w:val="20"/>
          <w:szCs w:val="20"/>
        </w:rPr>
        <w:t>​</w:t>
      </w:r>
    </w:p>
    <w:p w:rsidR="00000000" w:rsidRDefault="009730FF">
      <w:pPr>
        <w:pStyle w:val="a3"/>
        <w:spacing w:before="0" w:beforeAutospacing="0" w:after="240" w:afterAutospacing="0"/>
        <w:divId w:val="648173604"/>
        <w:rPr>
          <w:sz w:val="20"/>
          <w:szCs w:val="20"/>
        </w:rPr>
      </w:pPr>
      <w:r>
        <w:rPr>
          <w:b/>
          <w:bCs/>
          <w:sz w:val="20"/>
          <w:szCs w:val="20"/>
        </w:rPr>
        <w:t>​</w:t>
      </w:r>
    </w:p>
    <w:p w:rsidR="00000000" w:rsidRDefault="009730FF">
      <w:pPr>
        <w:pStyle w:val="a3"/>
        <w:spacing w:before="480" w:beforeAutospacing="0" w:after="0" w:afterAutospacing="0"/>
        <w:jc w:val="center"/>
        <w:divId w:val="295068599"/>
        <w:rPr>
          <w:sz w:val="20"/>
          <w:szCs w:val="20"/>
        </w:rPr>
      </w:pPr>
      <w:r>
        <w:rPr>
          <w:sz w:val="20"/>
          <w:szCs w:val="20"/>
        </w:rPr>
        <w:t>22</w:t>
      </w:r>
    </w:p>
    <w:p w:rsidR="00000000" w:rsidRDefault="009730FF">
      <w:pPr>
        <w:pStyle w:val="a3"/>
        <w:spacing w:before="0" w:beforeAutospacing="0" w:after="600" w:afterAutospacing="0"/>
        <w:divId w:val="228000051"/>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228000051"/>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228000051"/>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398239520"/>
        <w:rPr>
          <w:sz w:val="20"/>
          <w:szCs w:val="20"/>
        </w:rPr>
      </w:pPr>
      <w:r>
        <w:rPr>
          <w:b/>
          <w:bCs/>
          <w:sz w:val="20"/>
          <w:szCs w:val="20"/>
        </w:rPr>
        <w:t>Condensed Statements of Operations</w:t>
      </w:r>
    </w:p>
    <w:p w:rsidR="00000000" w:rsidRDefault="009730FF">
      <w:pPr>
        <w:pStyle w:val="a3"/>
        <w:spacing w:before="0" w:beforeAutospacing="0" w:after="0" w:afterAutospacing="0"/>
        <w:divId w:val="13982395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1398239520"/>
          <w:trHeight w:val="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
                <w:szCs w:val="2"/>
              </w:rPr>
              <w:t>​</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Three Months Ended March 31, 2022</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b/>
                <w:bCs/>
                <w:sz w:val="14"/>
                <w:szCs w:val="14"/>
              </w:rPr>
              <w:t>Consolidated</w:t>
            </w:r>
          </w:p>
        </w:tc>
      </w:tr>
      <w:tr w:rsidR="00000000">
        <w:trPr>
          <w:divId w:val="1398239520"/>
        </w:trPr>
        <w:tc>
          <w:tcPr>
            <w:tcW w:w="0" w:type="auto"/>
            <w:gridSpan w:val="31"/>
            <w:tcMar>
              <w:top w:w="0" w:type="dxa"/>
              <w:left w:w="0" w:type="dxa"/>
              <w:bottom w:w="0" w:type="dxa"/>
              <w:right w:w="0" w:type="dxa"/>
            </w:tcMar>
            <w:vAlign w:val="center"/>
            <w:hideMark/>
          </w:tcPr>
          <w:p w:rsidR="00000000" w:rsidRDefault="009730FF">
            <w:pPr>
              <w:rPr>
                <w:sz w:val="14"/>
                <w:szCs w:val="14"/>
              </w:rPr>
            </w:pP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4"/>
                <w:szCs w:val="14"/>
              </w:rPr>
            </w:pPr>
            <w:r>
              <w:rPr>
                <w:sz w:val="14"/>
                <w:szCs w:val="14"/>
              </w:rPr>
              <w:t>(in millions)</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sz w:val="14"/>
                <w:szCs w:val="14"/>
              </w:rPr>
              <w:t>​</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2,373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407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2,968</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147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159</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908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939</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42</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(24)</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931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2,363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556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102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28</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4,084</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2,123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267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2,538</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117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128</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208</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301</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76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134</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2,192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593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95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3,101</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895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171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(37)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983</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Income tax expense</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(76)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(98)</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895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141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(126)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885</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481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562</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414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61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6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14"/>
                <w:szCs w:val="14"/>
              </w:rPr>
            </w:pPr>
            <w:r>
              <w:rPr>
                <w:sz w:val="14"/>
                <w:szCs w:val="14"/>
              </w:rPr>
              <w:t>(126)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323</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14"/>
                <w:szCs w:val="14"/>
              </w:rPr>
              <w:t>​</w:t>
            </w:r>
          </w:p>
        </w:tc>
      </w:tr>
      <w:tr w:rsidR="00000000">
        <w:trPr>
          <w:divId w:val="1398239520"/>
        </w:trPr>
        <w:tc>
          <w:tcPr>
            <w:tcW w:w="1399"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55</w:t>
            </w:r>
          </w:p>
        </w:tc>
      </w:tr>
      <w:tr w:rsidR="009730FF">
        <w:trPr>
          <w:divId w:val="1398239520"/>
        </w:trPr>
        <w:tc>
          <w:tcPr>
            <w:tcW w:w="139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45"/>
              <w:jc w:val="right"/>
              <w:rPr>
                <w:sz w:val="14"/>
                <w:szCs w:val="14"/>
              </w:rPr>
            </w:pPr>
            <w:r>
              <w:rPr>
                <w:sz w:val="14"/>
                <w:szCs w:val="14"/>
              </w:rPr>
              <w:t>122</w:t>
            </w:r>
          </w:p>
        </w:tc>
      </w:tr>
    </w:tbl>
    <w:p w:rsidR="00000000" w:rsidRDefault="009730FF">
      <w:pPr>
        <w:pStyle w:val="a3"/>
        <w:spacing w:before="0" w:beforeAutospacing="0" w:after="0" w:afterAutospacing="0"/>
        <w:divId w:val="13982395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64"/>
        <w:gridCol w:w="140"/>
        <w:gridCol w:w="102"/>
        <w:gridCol w:w="567"/>
        <w:gridCol w:w="140"/>
        <w:gridCol w:w="71"/>
        <w:gridCol w:w="370"/>
        <w:gridCol w:w="140"/>
        <w:gridCol w:w="107"/>
        <w:gridCol w:w="593"/>
        <w:gridCol w:w="140"/>
        <w:gridCol w:w="94"/>
        <w:gridCol w:w="529"/>
        <w:gridCol w:w="140"/>
        <w:gridCol w:w="71"/>
        <w:gridCol w:w="310"/>
        <w:gridCol w:w="140"/>
        <w:gridCol w:w="72"/>
        <w:gridCol w:w="403"/>
        <w:gridCol w:w="140"/>
        <w:gridCol w:w="74"/>
        <w:gridCol w:w="409"/>
        <w:gridCol w:w="140"/>
        <w:gridCol w:w="71"/>
        <w:gridCol w:w="334"/>
        <w:gridCol w:w="140"/>
        <w:gridCol w:w="84"/>
        <w:gridCol w:w="500"/>
        <w:gridCol w:w="35"/>
        <w:gridCol w:w="116"/>
        <w:gridCol w:w="670"/>
      </w:tblGrid>
      <w:tr w:rsidR="00000000">
        <w:trPr>
          <w:divId w:val="1398239520"/>
          <w:trHeight w:val="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
                <w:szCs w:val="2"/>
              </w:rPr>
              <w:t>​</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506" w:type="pct"/>
            <w:gridSpan w:val="29"/>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Three Months Ended March 31, 2021</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18"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2"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Holding Company</w:t>
            </w:r>
          </w:p>
        </w:tc>
        <w:tc>
          <w:tcPr>
            <w:tcW w:w="25" w:type="pct"/>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rFonts w:ascii="Times" w:hAnsi="Times"/>
                <w:sz w:val="14"/>
                <w:szCs w:val="14"/>
              </w:rPr>
              <w:t> </w:t>
            </w:r>
          </w:p>
        </w:tc>
        <w:tc>
          <w:tcPr>
            <w:tcW w:w="407"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Consolidated</w:t>
            </w:r>
          </w:p>
        </w:tc>
      </w:tr>
      <w:tr w:rsidR="00000000">
        <w:trPr>
          <w:divId w:val="1398239520"/>
        </w:trPr>
        <w:tc>
          <w:tcPr>
            <w:tcW w:w="0" w:type="auto"/>
            <w:gridSpan w:val="31"/>
            <w:tcMar>
              <w:top w:w="0" w:type="dxa"/>
              <w:left w:w="0" w:type="dxa"/>
              <w:bottom w:w="0" w:type="dxa"/>
              <w:right w:w="0" w:type="dxa"/>
            </w:tcMar>
            <w:vAlign w:val="center"/>
            <w:hideMark/>
          </w:tcPr>
          <w:p w:rsidR="00000000" w:rsidRDefault="009730FF">
            <w:pPr>
              <w:rPr>
                <w:sz w:val="14"/>
                <w:szCs w:val="14"/>
              </w:rPr>
            </w:pP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073" w:type="pct"/>
            <w:gridSpan w:val="26"/>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(in millions)</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rFonts w:ascii="Times" w:hAnsi="Times"/>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1,463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456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120</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2,218</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152</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939</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1,006</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26</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(18)</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943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1,532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597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121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3,384</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1,579</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313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80</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2,139</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118</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227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316</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83</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195</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1,645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655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45</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91</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2,768</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862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(113)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(58)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(83)</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616</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(74)</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(17)</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862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(67)</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(157)</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599</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437</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Net (loss) income attributable to Icahn Enterprises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391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(33)</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(46)</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8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(157)</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Times" w:hAnsi="Times"/>
                <w:sz w:val="14"/>
                <w:szCs w:val="14"/>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162</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r>
      <w:tr w:rsidR="00000000">
        <w:trPr>
          <w:divId w:val="1398239520"/>
        </w:trPr>
        <w:tc>
          <w:tcPr>
            <w:tcW w:w="1421" w:type="pct"/>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w:t>
            </w:r>
          </w:p>
        </w:tc>
      </w:tr>
      <w:tr w:rsidR="009730FF">
        <w:trPr>
          <w:divId w:val="1398239520"/>
        </w:trPr>
        <w:tc>
          <w:tcPr>
            <w:tcW w:w="142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127</w:t>
            </w:r>
          </w:p>
        </w:tc>
      </w:tr>
    </w:tbl>
    <w:p w:rsidR="00000000" w:rsidRDefault="009730FF">
      <w:pPr>
        <w:pStyle w:val="a3"/>
        <w:spacing w:before="0" w:beforeAutospacing="0" w:after="0" w:afterAutospacing="0"/>
        <w:divId w:val="1398239520"/>
        <w:rPr>
          <w:sz w:val="20"/>
          <w:szCs w:val="20"/>
        </w:rPr>
      </w:pPr>
      <w:r>
        <w:rPr>
          <w:sz w:val="20"/>
          <w:szCs w:val="20"/>
        </w:rPr>
        <w:t>​</w:t>
      </w:r>
    </w:p>
    <w:p w:rsidR="00000000" w:rsidRDefault="009730FF">
      <w:pPr>
        <w:pStyle w:val="a3"/>
        <w:spacing w:before="0" w:beforeAutospacing="0" w:after="0" w:afterAutospacing="0"/>
        <w:divId w:val="1398239520"/>
        <w:rPr>
          <w:sz w:val="20"/>
          <w:szCs w:val="20"/>
        </w:rPr>
      </w:pPr>
      <w:r>
        <w:rPr>
          <w:b/>
          <w:bCs/>
          <w:sz w:val="20"/>
          <w:szCs w:val="20"/>
        </w:rPr>
        <w:t>​</w:t>
      </w:r>
    </w:p>
    <w:p w:rsidR="00000000" w:rsidRDefault="009730FF">
      <w:pPr>
        <w:pStyle w:val="a3"/>
        <w:spacing w:before="480" w:beforeAutospacing="0" w:after="0" w:afterAutospacing="0"/>
        <w:jc w:val="center"/>
        <w:divId w:val="2033339458"/>
        <w:rPr>
          <w:sz w:val="20"/>
          <w:szCs w:val="20"/>
        </w:rPr>
      </w:pPr>
      <w:r>
        <w:rPr>
          <w:sz w:val="20"/>
          <w:szCs w:val="20"/>
        </w:rPr>
        <w:t>23</w:t>
      </w:r>
    </w:p>
    <w:p w:rsidR="00000000" w:rsidRDefault="009730FF">
      <w:pPr>
        <w:pStyle w:val="a3"/>
        <w:spacing w:before="0" w:beforeAutospacing="0" w:after="600" w:afterAutospacing="0"/>
        <w:divId w:val="252059283"/>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252059283"/>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252059283"/>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679305881"/>
        <w:rPr>
          <w:b/>
          <w:bCs/>
          <w:sz w:val="20"/>
          <w:szCs w:val="20"/>
        </w:rPr>
      </w:pPr>
      <w:r>
        <w:rPr>
          <w:b/>
          <w:bCs/>
          <w:sz w:val="20"/>
          <w:szCs w:val="20"/>
        </w:rPr>
        <w:t>Disaggregation of Revenue</w:t>
      </w:r>
    </w:p>
    <w:p w:rsidR="00000000" w:rsidRDefault="009730FF">
      <w:pPr>
        <w:pStyle w:val="a3"/>
        <w:spacing w:before="0" w:beforeAutospacing="0" w:after="240" w:afterAutospacing="0"/>
        <w:ind w:firstLine="360"/>
        <w:divId w:val="1679305881"/>
        <w:rPr>
          <w:sz w:val="20"/>
          <w:szCs w:val="20"/>
        </w:rPr>
      </w:pPr>
      <w:r>
        <w:rPr>
          <w:sz w:val="20"/>
          <w:szCs w:val="20"/>
        </w:rPr>
        <w:t>In addition to the condensed statements of operations by reporting segment above, we provide additional disaggregated revenue information for our Energy and Automotive segments below</w:t>
      </w:r>
    </w:p>
    <w:p w:rsidR="00000000" w:rsidRDefault="009730FF">
      <w:pPr>
        <w:pStyle w:val="a3"/>
        <w:spacing w:before="0" w:beforeAutospacing="0" w:after="240" w:afterAutospacing="0"/>
        <w:divId w:val="1679305881"/>
        <w:rPr>
          <w:b/>
          <w:bCs/>
          <w:i/>
          <w:iCs/>
          <w:sz w:val="20"/>
          <w:szCs w:val="20"/>
        </w:rPr>
      </w:pPr>
      <w:r>
        <w:rPr>
          <w:b/>
          <w:bCs/>
          <w:i/>
          <w:iCs/>
          <w:sz w:val="20"/>
          <w:szCs w:val="20"/>
        </w:rPr>
        <w:t>Energy</w:t>
      </w:r>
    </w:p>
    <w:p w:rsidR="00000000" w:rsidRDefault="009730FF">
      <w:pPr>
        <w:pStyle w:val="a3"/>
        <w:spacing w:before="0" w:beforeAutospacing="0" w:after="0" w:afterAutospacing="0"/>
        <w:divId w:val="1679305881"/>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5318"/>
        <w:gridCol w:w="200"/>
        <w:gridCol w:w="150"/>
        <w:gridCol w:w="1130"/>
        <w:gridCol w:w="238"/>
        <w:gridCol w:w="149"/>
        <w:gridCol w:w="1133"/>
      </w:tblGrid>
      <w:tr w:rsidR="00000000">
        <w:trPr>
          <w:divId w:val="1679305881"/>
          <w:trHeight w:val="20"/>
        </w:trPr>
        <w:tc>
          <w:tcPr>
            <w:tcW w:w="3369" w:type="pct"/>
            <w:tcMar>
              <w:top w:w="0" w:type="dxa"/>
              <w:left w:w="0" w:type="dxa"/>
              <w:bottom w:w="0" w:type="dxa"/>
              <w:right w:w="0" w:type="dxa"/>
            </w:tcMar>
            <w:vAlign w:val="bottom"/>
            <w:hideMark/>
          </w:tcPr>
          <w:p w:rsidR="00000000" w:rsidRDefault="009730FF">
            <w:pPr>
              <w:pStyle w:val="a3"/>
              <w:spacing w:before="0" w:beforeAutospacing="0" w:after="0" w:afterAutospacing="0"/>
              <w:divId w:val="1988582054"/>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05069036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81848590"/>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60811667"/>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8802742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3205773"/>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42073069"/>
              <w:rPr>
                <w:sz w:val="20"/>
                <w:szCs w:val="20"/>
              </w:rPr>
            </w:pPr>
            <w:r>
              <w:rPr>
                <w:sz w:val="2"/>
                <w:szCs w:val="2"/>
              </w:rPr>
              <w:t>​</w:t>
            </w:r>
          </w:p>
        </w:tc>
      </w:tr>
      <w:tr w:rsidR="00000000">
        <w:trPr>
          <w:divId w:val="1679305881"/>
        </w:trPr>
        <w:tc>
          <w:tcPr>
            <w:tcW w:w="3369"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50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1679305881"/>
        </w:trPr>
        <w:tc>
          <w:tcPr>
            <w:tcW w:w="3369"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8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8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679305881"/>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679305881"/>
        </w:trPr>
        <w:tc>
          <w:tcPr>
            <w:tcW w:w="3369"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421" w:type="pct"/>
            <w:gridSpan w:val="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679305881"/>
        </w:trPr>
        <w:tc>
          <w:tcPr>
            <w:tcW w:w="336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Petroleum products</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2,150</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1,402</w:t>
            </w:r>
          </w:p>
        </w:tc>
      </w:tr>
      <w:tr w:rsidR="00000000">
        <w:trPr>
          <w:divId w:val="1679305881"/>
        </w:trPr>
        <w:tc>
          <w:tcPr>
            <w:tcW w:w="3369"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Nitrogen fertilizer products</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223</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61</w:t>
            </w:r>
          </w:p>
        </w:tc>
      </w:tr>
      <w:tr w:rsidR="00000000">
        <w:trPr>
          <w:divId w:val="1679305881"/>
        </w:trPr>
        <w:tc>
          <w:tcPr>
            <w:tcW w:w="3369"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2,373</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1,463</w:t>
            </w:r>
          </w:p>
        </w:tc>
      </w:tr>
    </w:tbl>
    <w:p w:rsidR="00000000" w:rsidRDefault="009730FF">
      <w:pPr>
        <w:pStyle w:val="a3"/>
        <w:spacing w:before="0" w:beforeAutospacing="0" w:after="0" w:afterAutospacing="0"/>
        <w:divId w:val="1679305881"/>
        <w:rPr>
          <w:sz w:val="20"/>
          <w:szCs w:val="20"/>
        </w:rPr>
      </w:pPr>
      <w:r>
        <w:rPr>
          <w:sz w:val="20"/>
          <w:szCs w:val="20"/>
        </w:rPr>
        <w:t>​</w:t>
      </w:r>
    </w:p>
    <w:p w:rsidR="00000000" w:rsidRDefault="009730FF">
      <w:pPr>
        <w:pStyle w:val="a3"/>
        <w:spacing w:before="0" w:beforeAutospacing="0" w:after="240" w:afterAutospacing="0"/>
        <w:divId w:val="1679305881"/>
        <w:rPr>
          <w:b/>
          <w:bCs/>
          <w:i/>
          <w:iCs/>
          <w:sz w:val="20"/>
          <w:szCs w:val="20"/>
        </w:rPr>
      </w:pPr>
      <w:r>
        <w:rPr>
          <w:b/>
          <w:bCs/>
          <w:i/>
          <w:iCs/>
          <w:sz w:val="20"/>
          <w:szCs w:val="20"/>
        </w:rPr>
        <w:t>Automotive</w:t>
      </w:r>
    </w:p>
    <w:p w:rsidR="00000000" w:rsidRDefault="009730FF">
      <w:pPr>
        <w:pStyle w:val="a3"/>
        <w:spacing w:before="0" w:beforeAutospacing="0" w:after="0" w:afterAutospacing="0"/>
        <w:divId w:val="1679305881"/>
        <w:rPr>
          <w:sz w:val="20"/>
          <w:szCs w:val="20"/>
        </w:rPr>
      </w:pPr>
      <w:r>
        <w:rPr>
          <w:sz w:val="2"/>
          <w:szCs w:val="2"/>
        </w:rPr>
        <w:t>​</w:t>
      </w:r>
    </w:p>
    <w:tbl>
      <w:tblPr>
        <w:tblW w:w="5022" w:type="pct"/>
        <w:tblCellMar>
          <w:top w:w="15" w:type="dxa"/>
          <w:left w:w="0" w:type="dxa"/>
          <w:bottom w:w="15" w:type="dxa"/>
          <w:right w:w="0" w:type="dxa"/>
        </w:tblCellMar>
        <w:tblLook w:val="04A0" w:firstRow="1" w:lastRow="0" w:firstColumn="1" w:lastColumn="0" w:noHBand="0" w:noVBand="1"/>
      </w:tblPr>
      <w:tblGrid>
        <w:gridCol w:w="5343"/>
        <w:gridCol w:w="200"/>
        <w:gridCol w:w="151"/>
        <w:gridCol w:w="1129"/>
        <w:gridCol w:w="239"/>
        <w:gridCol w:w="151"/>
        <w:gridCol w:w="1130"/>
      </w:tblGrid>
      <w:tr w:rsidR="00000000">
        <w:trPr>
          <w:divId w:val="1679305881"/>
          <w:trHeight w:val="20"/>
        </w:trPr>
        <w:tc>
          <w:tcPr>
            <w:tcW w:w="3368" w:type="pct"/>
            <w:tcMar>
              <w:top w:w="0" w:type="dxa"/>
              <w:left w:w="0" w:type="dxa"/>
              <w:bottom w:w="0" w:type="dxa"/>
              <w:right w:w="0" w:type="dxa"/>
            </w:tcMar>
            <w:vAlign w:val="bottom"/>
            <w:hideMark/>
          </w:tcPr>
          <w:p w:rsidR="00000000" w:rsidRDefault="009730FF">
            <w:pPr>
              <w:pStyle w:val="a3"/>
              <w:spacing w:before="0" w:beforeAutospacing="0" w:after="0" w:afterAutospacing="0"/>
              <w:divId w:val="467403655"/>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5263150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15043886"/>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47633505"/>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4163907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16794569"/>
              <w:rPr>
                <w:sz w:val="20"/>
                <w:szCs w:val="20"/>
              </w:rPr>
            </w:pPr>
            <w:r>
              <w:rPr>
                <w:sz w:val="2"/>
                <w:szCs w:val="2"/>
              </w:rPr>
              <w:t>​</w:t>
            </w:r>
          </w:p>
        </w:tc>
        <w:tc>
          <w:tcPr>
            <w:tcW w:w="60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62567185"/>
              <w:rPr>
                <w:sz w:val="20"/>
                <w:szCs w:val="20"/>
              </w:rPr>
            </w:pPr>
            <w:r>
              <w:rPr>
                <w:sz w:val="2"/>
                <w:szCs w:val="2"/>
              </w:rPr>
              <w:t>​</w:t>
            </w:r>
          </w:p>
        </w:tc>
      </w:tr>
      <w:tr w:rsidR="00000000">
        <w:trPr>
          <w:divId w:val="1679305881"/>
        </w:trPr>
        <w:tc>
          <w:tcPr>
            <w:tcW w:w="3368"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503"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1679305881"/>
        </w:trPr>
        <w:tc>
          <w:tcPr>
            <w:tcW w:w="3368"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8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8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679305881"/>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679305881"/>
        </w:trPr>
        <w:tc>
          <w:tcPr>
            <w:tcW w:w="3368"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w:t>
            </w:r>
          </w:p>
        </w:tc>
        <w:tc>
          <w:tcPr>
            <w:tcW w:w="1422" w:type="pct"/>
            <w:gridSpan w:val="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679305881"/>
        </w:trPr>
        <w:tc>
          <w:tcPr>
            <w:tcW w:w="3368"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Automotive services</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353</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327</w:t>
            </w:r>
          </w:p>
        </w:tc>
      </w:tr>
      <w:tr w:rsidR="00000000">
        <w:trPr>
          <w:divId w:val="1679305881"/>
        </w:trPr>
        <w:tc>
          <w:tcPr>
            <w:tcW w:w="3368"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Aftermarket parts sales</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201</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0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271</w:t>
            </w:r>
          </w:p>
        </w:tc>
      </w:tr>
      <w:tr w:rsidR="00000000">
        <w:trPr>
          <w:divId w:val="1679305881"/>
        </w:trPr>
        <w:tc>
          <w:tcPr>
            <w:tcW w:w="3368"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554</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598</w:t>
            </w:r>
          </w:p>
        </w:tc>
      </w:tr>
    </w:tbl>
    <w:p w:rsidR="00000000" w:rsidRDefault="009730FF">
      <w:pPr>
        <w:pStyle w:val="a3"/>
        <w:spacing w:before="0" w:beforeAutospacing="0" w:after="0" w:afterAutospacing="0"/>
        <w:divId w:val="1679305881"/>
        <w:rPr>
          <w:sz w:val="20"/>
          <w:szCs w:val="20"/>
        </w:rPr>
      </w:pPr>
      <w:r>
        <w:rPr>
          <w:b/>
          <w:bCs/>
          <w:sz w:val="20"/>
          <w:szCs w:val="20"/>
        </w:rPr>
        <w:t>​</w:t>
      </w:r>
    </w:p>
    <w:p w:rsidR="00000000" w:rsidRDefault="009730FF">
      <w:pPr>
        <w:pStyle w:val="a3"/>
        <w:spacing w:before="0" w:beforeAutospacing="0" w:after="0" w:afterAutospacing="0"/>
        <w:divId w:val="1679305881"/>
        <w:rPr>
          <w:sz w:val="20"/>
          <w:szCs w:val="20"/>
        </w:rPr>
      </w:pPr>
      <w:r>
        <w:rPr>
          <w:b/>
          <w:bCs/>
          <w:sz w:val="20"/>
          <w:szCs w:val="20"/>
        </w:rPr>
        <w:t>​</w:t>
      </w:r>
    </w:p>
    <w:p w:rsidR="00000000" w:rsidRDefault="009730FF">
      <w:pPr>
        <w:pStyle w:val="a3"/>
        <w:spacing w:before="480" w:beforeAutospacing="0" w:after="0" w:afterAutospacing="0"/>
        <w:jc w:val="center"/>
        <w:divId w:val="252856135"/>
        <w:rPr>
          <w:sz w:val="20"/>
          <w:szCs w:val="20"/>
        </w:rPr>
      </w:pPr>
      <w:r>
        <w:rPr>
          <w:sz w:val="20"/>
          <w:szCs w:val="20"/>
        </w:rPr>
        <w:t>24</w:t>
      </w:r>
    </w:p>
    <w:p w:rsidR="00000000" w:rsidRDefault="009730FF">
      <w:pPr>
        <w:pStyle w:val="a3"/>
        <w:spacing w:before="0" w:beforeAutospacing="0" w:after="600" w:afterAutospacing="0"/>
        <w:divId w:val="891111900"/>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891111900"/>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891111900"/>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735614917"/>
        <w:rPr>
          <w:b/>
          <w:bCs/>
          <w:sz w:val="20"/>
          <w:szCs w:val="20"/>
        </w:rPr>
      </w:pPr>
      <w:r>
        <w:rPr>
          <w:b/>
          <w:bCs/>
          <w:sz w:val="20"/>
          <w:szCs w:val="20"/>
        </w:rPr>
        <w:t>Condensed Balance Sheets</w:t>
      </w:r>
    </w:p>
    <w:p w:rsidR="00000000" w:rsidRDefault="009730FF">
      <w:pPr>
        <w:pStyle w:val="a3"/>
        <w:spacing w:before="0" w:beforeAutospacing="0" w:after="0" w:afterAutospacing="0"/>
        <w:divId w:val="1735614917"/>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255"/>
        <w:gridCol w:w="77"/>
        <w:gridCol w:w="96"/>
        <w:gridCol w:w="573"/>
        <w:gridCol w:w="77"/>
        <w:gridCol w:w="71"/>
        <w:gridCol w:w="444"/>
        <w:gridCol w:w="77"/>
        <w:gridCol w:w="96"/>
        <w:gridCol w:w="604"/>
        <w:gridCol w:w="77"/>
        <w:gridCol w:w="84"/>
        <w:gridCol w:w="539"/>
        <w:gridCol w:w="77"/>
        <w:gridCol w:w="71"/>
        <w:gridCol w:w="444"/>
        <w:gridCol w:w="77"/>
        <w:gridCol w:w="71"/>
        <w:gridCol w:w="445"/>
        <w:gridCol w:w="78"/>
        <w:gridCol w:w="70"/>
        <w:gridCol w:w="445"/>
        <w:gridCol w:w="78"/>
        <w:gridCol w:w="73"/>
        <w:gridCol w:w="511"/>
        <w:gridCol w:w="80"/>
        <w:gridCol w:w="124"/>
        <w:gridCol w:w="662"/>
      </w:tblGrid>
      <w:tr w:rsidR="00000000">
        <w:trPr>
          <w:divId w:val="1735614917"/>
          <w:trHeight w:val="20"/>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divId w:val="59979954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8768566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35904525"/>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7906215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0242482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44415242"/>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3448337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6556975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009867978"/>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1119782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12515386"/>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50172193"/>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1169507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8546448"/>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67998338"/>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0932283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09711749"/>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06404714"/>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403469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63847504"/>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40417188"/>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1790860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1949438"/>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6584783"/>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2219282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9827412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68035167"/>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02574171"/>
              <w:rPr>
                <w:sz w:val="20"/>
                <w:szCs w:val="20"/>
              </w:rPr>
            </w:pPr>
            <w:r>
              <w:rPr>
                <w:sz w:val="2"/>
                <w:szCs w:val="2"/>
              </w:rPr>
              <w:t>​</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569" w:type="pct"/>
            <w:gridSpan w:val="26"/>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March 31, 2022</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5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Pharma</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Consolidated</w:t>
            </w:r>
          </w:p>
        </w:tc>
      </w:tr>
      <w:tr w:rsidR="00000000">
        <w:trPr>
          <w:divId w:val="1735614917"/>
        </w:trPr>
        <w:tc>
          <w:tcPr>
            <w:tcW w:w="0" w:type="auto"/>
            <w:gridSpan w:val="28"/>
            <w:tcMar>
              <w:top w:w="0" w:type="dxa"/>
              <w:left w:w="0" w:type="dxa"/>
              <w:bottom w:w="0" w:type="dxa"/>
              <w:right w:w="0" w:type="dxa"/>
            </w:tcMar>
            <w:vAlign w:val="center"/>
            <w:hideMark/>
          </w:tcPr>
          <w:p w:rsidR="00000000" w:rsidRDefault="009730FF">
            <w:pPr>
              <w:rPr>
                <w:sz w:val="14"/>
                <w:szCs w:val="14"/>
              </w:rPr>
            </w:pP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569" w:type="pct"/>
            <w:gridSpan w:val="26"/>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(in millions)</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ASSETS</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Cash and cash equivalents</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676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1,369</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2,160</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Cash held at consolidated affiliated partnerships and restricted cash</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3,699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66</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3,801</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Investments</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7,276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28</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7,397</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Accounts receivable, net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353</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604</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Inventories, net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683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805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1,720</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Property, plant and equipment, net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2,720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789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143</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350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4,067</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Goodwill and intangible assets, net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360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247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869</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Other assets</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6,178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495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23</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7,211</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asset</w:t>
            </w:r>
            <w:r>
              <w:rPr>
                <w:sz w:val="14"/>
                <w:szCs w:val="14"/>
              </w:rPr>
              <w:t>s</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17,173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5,010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2,612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522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1,492</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27,829</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LIABILITIES AND EQUITY</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Accounts payable, accrued expenses and other liabilities</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2,113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1,973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986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775</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6,169</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Securities sold, not yet purchased, at fair value</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4,776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4,776</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Debt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1,595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5,311</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7,126</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liabilitie</w:t>
            </w:r>
            <w:r>
              <w:rPr>
                <w:sz w:val="14"/>
                <w:szCs w:val="14"/>
              </w:rPr>
              <w:t>s</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6,889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3,568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1,006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310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6,086</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18,071</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3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Equity attributable to Icahn Enterprises</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4,684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746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1,606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462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(4,594)</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3,443</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Equity attributable to non-controlling interests</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5,600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696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6,315</w:t>
            </w:r>
          </w:p>
        </w:tc>
      </w:tr>
      <w:tr w:rsidR="009730FF">
        <w:trPr>
          <w:divId w:val="1735614917"/>
        </w:trPr>
        <w:tc>
          <w:tcPr>
            <w:tcW w:w="136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equit</w:t>
            </w:r>
            <w:r>
              <w:rPr>
                <w:sz w:val="14"/>
                <w:szCs w:val="14"/>
              </w:rPr>
              <w:t>y</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10,284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1,442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1,606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466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(4,594)</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9,758</w:t>
            </w:r>
          </w:p>
        </w:tc>
      </w:tr>
      <w:tr w:rsidR="00000000">
        <w:trPr>
          <w:divId w:val="1735614917"/>
        </w:trPr>
        <w:tc>
          <w:tcPr>
            <w:tcW w:w="1364"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liabilities and equit</w:t>
            </w:r>
            <w:r>
              <w:rPr>
                <w:sz w:val="14"/>
                <w:szCs w:val="14"/>
              </w:rPr>
              <w:t>y</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17,173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5,010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2,612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522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1,492</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27,829</w:t>
            </w:r>
          </w:p>
        </w:tc>
      </w:tr>
    </w:tbl>
    <w:p w:rsidR="00000000" w:rsidRDefault="009730FF">
      <w:pPr>
        <w:pStyle w:val="a3"/>
        <w:spacing w:before="0" w:beforeAutospacing="0" w:after="0" w:afterAutospacing="0"/>
        <w:divId w:val="17356149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34"/>
        <w:gridCol w:w="74"/>
        <w:gridCol w:w="92"/>
        <w:gridCol w:w="577"/>
        <w:gridCol w:w="76"/>
        <w:gridCol w:w="71"/>
        <w:gridCol w:w="436"/>
        <w:gridCol w:w="76"/>
        <w:gridCol w:w="93"/>
        <w:gridCol w:w="607"/>
        <w:gridCol w:w="76"/>
        <w:gridCol w:w="86"/>
        <w:gridCol w:w="537"/>
        <w:gridCol w:w="76"/>
        <w:gridCol w:w="71"/>
        <w:gridCol w:w="436"/>
        <w:gridCol w:w="76"/>
        <w:gridCol w:w="71"/>
        <w:gridCol w:w="436"/>
        <w:gridCol w:w="76"/>
        <w:gridCol w:w="71"/>
        <w:gridCol w:w="436"/>
        <w:gridCol w:w="76"/>
        <w:gridCol w:w="75"/>
        <w:gridCol w:w="509"/>
        <w:gridCol w:w="76"/>
        <w:gridCol w:w="125"/>
        <w:gridCol w:w="661"/>
      </w:tblGrid>
      <w:tr w:rsidR="00000000">
        <w:trPr>
          <w:divId w:val="1735614917"/>
          <w:trHeight w:val="20"/>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divId w:val="170551814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5933491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98362986"/>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6362172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9005337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2745532"/>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8212289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3430347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4882004"/>
              <w:rPr>
                <w:sz w:val="20"/>
                <w:szCs w:val="20"/>
              </w:rPr>
            </w:pPr>
            <w:r>
              <w:rPr>
                <w:sz w:val="2"/>
                <w:szCs w:val="2"/>
              </w:rPr>
              <w:t>​</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3092847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31180875"/>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128813443"/>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7026720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0304445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64849322"/>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2115891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7499787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13757677"/>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2048834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5794991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25845911"/>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1816553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0742314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45644120"/>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4851305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2994830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42942308"/>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80778725"/>
              <w:rPr>
                <w:sz w:val="20"/>
                <w:szCs w:val="20"/>
              </w:rPr>
            </w:pPr>
            <w:r>
              <w:rPr>
                <w:sz w:val="2"/>
                <w:szCs w:val="2"/>
              </w:rPr>
              <w:t>​</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571" w:type="pct"/>
            <w:gridSpan w:val="26"/>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December 31, 2021</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6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Pharma</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Consolidated</w:t>
            </w:r>
          </w:p>
        </w:tc>
      </w:tr>
      <w:tr w:rsidR="00000000">
        <w:trPr>
          <w:divId w:val="1735614917"/>
        </w:trPr>
        <w:tc>
          <w:tcPr>
            <w:tcW w:w="0" w:type="auto"/>
            <w:gridSpan w:val="28"/>
            <w:tcMar>
              <w:top w:w="0" w:type="dxa"/>
              <w:left w:w="0" w:type="dxa"/>
              <w:bottom w:w="0" w:type="dxa"/>
              <w:right w:w="0" w:type="dxa"/>
            </w:tcMar>
            <w:vAlign w:val="center"/>
            <w:hideMark/>
          </w:tcPr>
          <w:p w:rsidR="00000000" w:rsidRDefault="009730FF">
            <w:pPr>
              <w:rPr>
                <w:sz w:val="14"/>
                <w:szCs w:val="14"/>
              </w:rPr>
            </w:pP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571" w:type="pct"/>
            <w:gridSpan w:val="26"/>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sz w:val="14"/>
                <w:szCs w:val="14"/>
              </w:rPr>
              <w:t>(in millions)</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ASSETS</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4"/>
                <w:szCs w:val="14"/>
              </w:rPr>
              <w:t>​</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Cash and cash equivalents</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510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1,707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2,321</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Cash held at consolidated affiliated partnerships and restricted cash</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2,008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2,115</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Investments</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8,952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9,151</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Accounts receivable, net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299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103</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546</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Inventories, net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484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780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1,478</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Property, plant and equipment, net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2,735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786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351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4,085</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Goodwill and intangible assets, net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221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362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885</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Other assets</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6,156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506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7,165</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asset</w:t>
            </w:r>
            <w:r>
              <w:rPr>
                <w:sz w:val="14"/>
                <w:szCs w:val="14"/>
              </w:rPr>
              <w:t>s</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17,135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4,587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2,582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458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526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1,906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27,746</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4"/>
                <w:szCs w:val="14"/>
              </w:rPr>
            </w:pPr>
            <w:r>
              <w:rPr>
                <w:b/>
                <w:bCs/>
                <w:sz w:val="14"/>
                <w:szCs w:val="14"/>
              </w:rPr>
              <w:t>LIABILITIES AND EQUITY</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4"/>
                <w:szCs w:val="14"/>
              </w:rPr>
              <w:t>​</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Accounts payable, accrued expenses and other liabilities</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2,405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1,579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981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5,371</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Securities sold, not yet purchased, at fair value</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5,340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5,340</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Debt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1,660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5,810</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7,692</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liabilitie</w:t>
            </w:r>
            <w:r>
              <w:rPr>
                <w:sz w:val="14"/>
                <w:szCs w:val="14"/>
              </w:rPr>
              <w:t>s</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7,745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3,239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1,007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111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5,900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18,403</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1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7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2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Equity attributable to Icahn Enterprises</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4,271</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686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1,575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143</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(3,994)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3,544</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Equity attributable to non-controlling interests</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5,119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662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5,799</w:t>
            </w:r>
          </w:p>
        </w:tc>
      </w:tr>
      <w:tr w:rsidR="009730FF">
        <w:trPr>
          <w:divId w:val="1735614917"/>
        </w:trPr>
        <w:tc>
          <w:tcPr>
            <w:tcW w:w="1363"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equit</w:t>
            </w:r>
            <w:r>
              <w:rPr>
                <w:sz w:val="14"/>
                <w:szCs w:val="14"/>
              </w:rPr>
              <w:t>y</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9,390</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1,348</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1,575</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157</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476</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132</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259</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4"/>
                <w:szCs w:val="14"/>
              </w:rPr>
            </w:pPr>
            <w:r>
              <w:rPr>
                <w:sz w:val="14"/>
                <w:szCs w:val="14"/>
              </w:rPr>
              <w:t>(3,994)</w:t>
            </w:r>
          </w:p>
        </w:tc>
        <w:tc>
          <w:tcPr>
            <w:tcW w:w="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9,343</w:t>
            </w:r>
          </w:p>
        </w:tc>
      </w:tr>
      <w:tr w:rsidR="00000000">
        <w:trPr>
          <w:divId w:val="1735614917"/>
        </w:trPr>
        <w:tc>
          <w:tcPr>
            <w:tcW w:w="1363" w:type="pct"/>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Total liabilities and equit</w:t>
            </w:r>
            <w:r>
              <w:rPr>
                <w:sz w:val="14"/>
                <w:szCs w:val="14"/>
              </w:rPr>
              <w:t>y</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17,135</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4,587</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2,582</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458</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526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309</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1,906</w:t>
            </w:r>
          </w:p>
        </w:tc>
        <w:tc>
          <w:tcPr>
            <w:tcW w:w="6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45"/>
              <w:jc w:val="right"/>
              <w:rPr>
                <w:sz w:val="14"/>
                <w:szCs w:val="14"/>
              </w:rPr>
            </w:pPr>
            <w:r>
              <w:rPr>
                <w:sz w:val="14"/>
                <w:szCs w:val="14"/>
              </w:rPr>
              <w:t>27,746</w:t>
            </w:r>
          </w:p>
        </w:tc>
      </w:tr>
    </w:tbl>
    <w:p w:rsidR="00000000" w:rsidRDefault="009730FF">
      <w:pPr>
        <w:pStyle w:val="a3"/>
        <w:spacing w:before="0" w:beforeAutospacing="0" w:after="0" w:afterAutospacing="0"/>
        <w:divId w:val="1735614917"/>
        <w:rPr>
          <w:sz w:val="20"/>
          <w:szCs w:val="20"/>
        </w:rPr>
      </w:pPr>
      <w:r>
        <w:rPr>
          <w:sz w:val="2"/>
          <w:szCs w:val="2"/>
        </w:rPr>
        <w:t>​</w:t>
      </w:r>
    </w:p>
    <w:p w:rsidR="00000000" w:rsidRDefault="009730FF">
      <w:pPr>
        <w:pStyle w:val="a3"/>
        <w:spacing w:before="0" w:beforeAutospacing="0" w:after="0" w:afterAutospacing="0"/>
        <w:divId w:val="1735614917"/>
        <w:rPr>
          <w:sz w:val="20"/>
          <w:szCs w:val="20"/>
        </w:rPr>
      </w:pPr>
      <w:r>
        <w:rPr>
          <w:sz w:val="2"/>
          <w:szCs w:val="2"/>
        </w:rPr>
        <w:t>​</w:t>
      </w:r>
    </w:p>
    <w:p w:rsidR="00000000" w:rsidRDefault="009730FF">
      <w:pPr>
        <w:pStyle w:val="a3"/>
        <w:spacing w:before="0" w:beforeAutospacing="0" w:after="0" w:afterAutospacing="0"/>
        <w:divId w:val="1735614917"/>
        <w:rPr>
          <w:sz w:val="20"/>
          <w:szCs w:val="20"/>
        </w:rPr>
      </w:pPr>
      <w:r>
        <w:rPr>
          <w:sz w:val="2"/>
          <w:szCs w:val="2"/>
        </w:rPr>
        <w:t>​</w:t>
      </w:r>
    </w:p>
    <w:p w:rsidR="00000000" w:rsidRDefault="009730FF">
      <w:pPr>
        <w:pStyle w:val="a3"/>
        <w:spacing w:before="0" w:beforeAutospacing="0" w:after="0" w:afterAutospacing="0"/>
        <w:divId w:val="1735614917"/>
        <w:rPr>
          <w:sz w:val="20"/>
          <w:szCs w:val="20"/>
        </w:rPr>
      </w:pPr>
      <w:r>
        <w:rPr>
          <w:sz w:val="2"/>
          <w:szCs w:val="2"/>
        </w:rPr>
        <w:t>​</w:t>
      </w:r>
    </w:p>
    <w:p w:rsidR="00000000" w:rsidRDefault="009730FF">
      <w:pPr>
        <w:pStyle w:val="a3"/>
        <w:spacing w:before="0" w:beforeAutospacing="0" w:after="0" w:afterAutospacing="0"/>
        <w:divId w:val="1735614917"/>
        <w:rPr>
          <w:sz w:val="20"/>
          <w:szCs w:val="20"/>
        </w:rPr>
      </w:pPr>
      <w:r>
        <w:rPr>
          <w:sz w:val="2"/>
          <w:szCs w:val="2"/>
        </w:rPr>
        <w:t>​</w:t>
      </w:r>
    </w:p>
    <w:p w:rsidR="00000000" w:rsidRDefault="009730FF">
      <w:pPr>
        <w:pStyle w:val="a3"/>
        <w:spacing w:before="0" w:beforeAutospacing="0" w:after="0" w:afterAutospacing="0"/>
        <w:divId w:val="1735614917"/>
        <w:rPr>
          <w:sz w:val="20"/>
          <w:szCs w:val="20"/>
        </w:rPr>
      </w:pPr>
      <w:r>
        <w:rPr>
          <w:sz w:val="2"/>
          <w:szCs w:val="2"/>
        </w:rPr>
        <w:t>​</w:t>
      </w:r>
    </w:p>
    <w:p w:rsidR="00000000" w:rsidRDefault="009730FF">
      <w:pPr>
        <w:pStyle w:val="a3"/>
        <w:spacing w:before="0" w:beforeAutospacing="0" w:after="240" w:afterAutospacing="0"/>
        <w:divId w:val="1735614917"/>
        <w:rPr>
          <w:b/>
          <w:bCs/>
          <w:sz w:val="20"/>
          <w:szCs w:val="20"/>
        </w:rPr>
      </w:pPr>
      <w:r>
        <w:rPr>
          <w:sz w:val="20"/>
          <w:szCs w:val="20"/>
        </w:rPr>
        <w:t>​</w:t>
      </w:r>
    </w:p>
    <w:p w:rsidR="00000000" w:rsidRDefault="009730FF">
      <w:pPr>
        <w:pStyle w:val="a3"/>
        <w:spacing w:before="0" w:beforeAutospacing="0" w:after="240" w:afterAutospacing="0"/>
        <w:divId w:val="1735614917"/>
        <w:rPr>
          <w:b/>
          <w:bCs/>
          <w:sz w:val="20"/>
          <w:szCs w:val="20"/>
        </w:rPr>
      </w:pPr>
      <w:r>
        <w:rPr>
          <w:b/>
          <w:bCs/>
          <w:sz w:val="20"/>
          <w:szCs w:val="20"/>
        </w:rPr>
        <w:t>13.  Income Taxes</w:t>
      </w:r>
    </w:p>
    <w:p w:rsidR="00000000" w:rsidRDefault="009730FF">
      <w:pPr>
        <w:pStyle w:val="a3"/>
        <w:spacing w:before="0" w:beforeAutospacing="0" w:after="240" w:afterAutospacing="0"/>
        <w:ind w:firstLine="360"/>
        <w:divId w:val="1735614917"/>
        <w:rPr>
          <w:sz w:val="20"/>
          <w:szCs w:val="20"/>
        </w:rPr>
      </w:pPr>
      <w:r>
        <w:rPr>
          <w:sz w:val="20"/>
          <w:szCs w:val="20"/>
        </w:rPr>
        <w:t>For the three months ended March 31, 2022, we recorded an income tax expense of $98 million on pre-tax income of $983 million compared to an income tax expense of $17 million on pre-tax income of $616 million for the three mo</w:t>
      </w:r>
      <w:r>
        <w:rPr>
          <w:sz w:val="20"/>
          <w:szCs w:val="20"/>
        </w:rPr>
        <w:t>nths ended March 31, 2021. Our effective income tax rate was 10.0% and 2.8% for the three months ended March 31, 2022 and 2021, respectively.</w:t>
      </w:r>
    </w:p>
    <w:p w:rsidR="00000000" w:rsidRDefault="009730FF">
      <w:pPr>
        <w:pStyle w:val="a3"/>
        <w:spacing w:before="480" w:beforeAutospacing="0" w:after="0" w:afterAutospacing="0"/>
        <w:jc w:val="center"/>
        <w:divId w:val="1906406309"/>
        <w:rPr>
          <w:sz w:val="20"/>
          <w:szCs w:val="20"/>
        </w:rPr>
      </w:pPr>
      <w:r>
        <w:rPr>
          <w:sz w:val="20"/>
          <w:szCs w:val="20"/>
        </w:rPr>
        <w:t>25</w:t>
      </w:r>
    </w:p>
    <w:p w:rsidR="00000000" w:rsidRDefault="009730FF">
      <w:pPr>
        <w:pStyle w:val="a3"/>
        <w:spacing w:before="0" w:beforeAutospacing="0" w:after="600" w:afterAutospacing="0"/>
        <w:divId w:val="1333027676"/>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333027676"/>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333027676"/>
        <w:rPr>
          <w:sz w:val="20"/>
          <w:szCs w:val="20"/>
        </w:rPr>
      </w:pPr>
      <w:r>
        <w:rPr>
          <w:b/>
          <w:bCs/>
          <w:sz w:val="20"/>
          <w:szCs w:val="20"/>
        </w:rPr>
        <w:t>Notes to Condensed Consolid</w:t>
      </w:r>
      <w:r>
        <w:rPr>
          <w:b/>
          <w:bCs/>
          <w:sz w:val="20"/>
          <w:szCs w:val="20"/>
        </w:rPr>
        <w:t>ated Financial Statements (Unaudited)</w:t>
      </w:r>
    </w:p>
    <w:p w:rsidR="00000000" w:rsidRDefault="009730FF">
      <w:pPr>
        <w:pStyle w:val="a3"/>
        <w:spacing w:before="0" w:beforeAutospacing="0" w:after="240" w:afterAutospacing="0"/>
        <w:ind w:firstLine="360"/>
        <w:divId w:val="366684444"/>
        <w:rPr>
          <w:sz w:val="20"/>
          <w:szCs w:val="20"/>
        </w:rPr>
      </w:pPr>
      <w:r>
        <w:rPr>
          <w:sz w:val="20"/>
          <w:szCs w:val="20"/>
        </w:rPr>
        <w:t>For the three months ended March 31, 2022, the effective tax rate was lower than the statutory federal rate of 21%, for corporations, </w:t>
      </w:r>
      <w:r>
        <w:rPr>
          <w:sz w:val="20"/>
          <w:szCs w:val="20"/>
        </w:rPr>
        <w:t>primarily due to partnership income for which there was no tax expense, as such income is allocated to the partners.</w:t>
      </w:r>
    </w:p>
    <w:p w:rsidR="00000000" w:rsidRDefault="009730FF">
      <w:pPr>
        <w:pStyle w:val="a3"/>
        <w:spacing w:before="0" w:beforeAutospacing="0" w:after="240" w:afterAutospacing="0"/>
        <w:ind w:firstLine="360"/>
        <w:divId w:val="366684444"/>
        <w:rPr>
          <w:sz w:val="20"/>
          <w:szCs w:val="20"/>
        </w:rPr>
      </w:pPr>
      <w:r>
        <w:rPr>
          <w:sz w:val="20"/>
          <w:szCs w:val="20"/>
        </w:rPr>
        <w:t>For the three months ended March 31, 2021, the effective tax rate was lower than the statutory federal rate of 21%, for corporations, prima</w:t>
      </w:r>
      <w:r>
        <w:rPr>
          <w:sz w:val="20"/>
          <w:szCs w:val="20"/>
        </w:rPr>
        <w:t xml:space="preserve">rily due to partnership income for which there was no tax expense, as such income is allocated to the partners. </w:t>
      </w:r>
    </w:p>
    <w:p w:rsidR="00000000" w:rsidRDefault="009730FF">
      <w:pPr>
        <w:pStyle w:val="a3"/>
        <w:spacing w:before="0" w:beforeAutospacing="0" w:after="240" w:afterAutospacing="0"/>
        <w:divId w:val="366684444"/>
        <w:rPr>
          <w:b/>
          <w:bCs/>
          <w:sz w:val="20"/>
          <w:szCs w:val="20"/>
        </w:rPr>
      </w:pPr>
      <w:r>
        <w:rPr>
          <w:b/>
          <w:bCs/>
          <w:sz w:val="20"/>
          <w:szCs w:val="20"/>
        </w:rPr>
        <w:t>14.  Changes in Accumulated Other Comprehensive Loss</w:t>
      </w:r>
    </w:p>
    <w:p w:rsidR="00000000" w:rsidRDefault="009730FF">
      <w:pPr>
        <w:pStyle w:val="a3"/>
        <w:spacing w:before="0" w:beforeAutospacing="0" w:after="240" w:afterAutospacing="0"/>
        <w:ind w:firstLine="360"/>
        <w:divId w:val="366684444"/>
        <w:rPr>
          <w:sz w:val="20"/>
          <w:szCs w:val="20"/>
        </w:rPr>
      </w:pPr>
      <w:r>
        <w:rPr>
          <w:sz w:val="20"/>
          <w:szCs w:val="20"/>
        </w:rPr>
        <w:t>Changes in accumulated other comprehensive loss consists of the following:</w:t>
      </w:r>
    </w:p>
    <w:p w:rsidR="00000000" w:rsidRDefault="009730FF">
      <w:pPr>
        <w:pStyle w:val="a3"/>
        <w:spacing w:before="0" w:beforeAutospacing="0" w:after="0" w:afterAutospacing="0"/>
        <w:divId w:val="3666844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366684444"/>
          <w:trHeight w:val="20"/>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divId w:val="16801564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8098510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88333666"/>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049487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411023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093550067"/>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610399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2264482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29498914"/>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66364156"/>
              <w:rPr>
                <w:sz w:val="20"/>
                <w:szCs w:val="20"/>
              </w:rPr>
            </w:pPr>
            <w:r>
              <w:rPr>
                <w:sz w:val="2"/>
                <w:szCs w:val="2"/>
              </w:rPr>
              <w:t>​</w:t>
            </w:r>
          </w:p>
        </w:tc>
      </w:tr>
      <w:tr w:rsidR="00000000">
        <w:trPr>
          <w:divId w:val="366684444"/>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w:t>
            </w:r>
          </w:p>
        </w:tc>
      </w:tr>
      <w:tr w:rsidR="00000000">
        <w:trPr>
          <w:divId w:val="366684444"/>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w:t>
            </w:r>
          </w:p>
        </w:tc>
      </w:tr>
      <w:tr w:rsidR="00000000">
        <w:trPr>
          <w:divId w:val="366684444"/>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Total</w:t>
            </w:r>
          </w:p>
        </w:tc>
      </w:tr>
      <w:tr w:rsidR="00000000">
        <w:trPr>
          <w:divId w:val="366684444"/>
        </w:trPr>
        <w:tc>
          <w:tcPr>
            <w:tcW w:w="0" w:type="auto"/>
            <w:gridSpan w:val="10"/>
            <w:tcMar>
              <w:top w:w="0" w:type="dxa"/>
              <w:left w:w="0" w:type="dxa"/>
              <w:bottom w:w="0" w:type="dxa"/>
              <w:right w:w="0" w:type="dxa"/>
            </w:tcMar>
            <w:vAlign w:val="center"/>
            <w:hideMark/>
          </w:tcPr>
          <w:p w:rsidR="00000000" w:rsidRDefault="009730FF">
            <w:pPr>
              <w:rPr>
                <w:sz w:val="20"/>
                <w:szCs w:val="20"/>
              </w:rPr>
            </w:pPr>
          </w:p>
        </w:tc>
      </w:tr>
      <w:tr w:rsidR="00000000">
        <w:trPr>
          <w:divId w:val="366684444"/>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366684444"/>
        </w:trPr>
        <w:tc>
          <w:tcPr>
            <w:tcW w:w="249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(74)</w:t>
            </w:r>
          </w:p>
        </w:tc>
      </w:tr>
      <w:tr w:rsidR="00000000">
        <w:trPr>
          <w:divId w:val="366684444"/>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comprehensive (loss) income before reclassifications, net of tax</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r>
      <w:tr w:rsidR="00000000">
        <w:trPr>
          <w:divId w:val="366684444"/>
        </w:trPr>
        <w:tc>
          <w:tcPr>
            <w:tcW w:w="249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r>
      <w:tr w:rsidR="00000000">
        <w:trPr>
          <w:divId w:val="366684444"/>
        </w:trPr>
        <w:tc>
          <w:tcPr>
            <w:tcW w:w="249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 comprehensive (loss) income, net of tax</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r>
      <w:tr w:rsidR="00000000">
        <w:trPr>
          <w:divId w:val="366684444"/>
        </w:trPr>
        <w:tc>
          <w:tcPr>
            <w:tcW w:w="2491"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Balance, March 31, 2022</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(74)</w:t>
            </w:r>
          </w:p>
        </w:tc>
      </w:tr>
    </w:tbl>
    <w:p w:rsidR="00000000" w:rsidRDefault="009730FF">
      <w:pPr>
        <w:pStyle w:val="a3"/>
        <w:spacing w:before="0" w:beforeAutospacing="0" w:after="0" w:afterAutospacing="0"/>
        <w:divId w:val="366684444"/>
        <w:rPr>
          <w:sz w:val="20"/>
          <w:szCs w:val="20"/>
        </w:rPr>
      </w:pPr>
      <w:r>
        <w:rPr>
          <w:sz w:val="2"/>
          <w:szCs w:val="2"/>
        </w:rPr>
        <w:t>​</w:t>
      </w:r>
    </w:p>
    <w:p w:rsidR="00000000" w:rsidRDefault="009730FF">
      <w:pPr>
        <w:pStyle w:val="a3"/>
        <w:spacing w:before="0" w:beforeAutospacing="0" w:after="0" w:afterAutospacing="0"/>
        <w:divId w:val="366684444"/>
        <w:rPr>
          <w:sz w:val="20"/>
          <w:szCs w:val="20"/>
        </w:rPr>
      </w:pPr>
      <w:r>
        <w:rPr>
          <w:sz w:val="20"/>
          <w:szCs w:val="20"/>
        </w:rPr>
        <w:t>​</w:t>
      </w:r>
    </w:p>
    <w:p w:rsidR="00000000" w:rsidRDefault="009730FF">
      <w:pPr>
        <w:pStyle w:val="a3"/>
        <w:spacing w:before="0" w:beforeAutospacing="0" w:after="0" w:afterAutospacing="0"/>
        <w:divId w:val="366684444"/>
        <w:rPr>
          <w:sz w:val="20"/>
          <w:szCs w:val="20"/>
        </w:rPr>
      </w:pPr>
      <w:r>
        <w:rPr>
          <w:sz w:val="2"/>
          <w:szCs w:val="2"/>
        </w:rPr>
        <w:t>​</w:t>
      </w:r>
    </w:p>
    <w:p w:rsidR="00000000" w:rsidRDefault="009730FF">
      <w:pPr>
        <w:pStyle w:val="a3"/>
        <w:spacing w:before="0" w:beforeAutospacing="0" w:after="0" w:afterAutospacing="0"/>
        <w:divId w:val="366684444"/>
        <w:rPr>
          <w:sz w:val="20"/>
          <w:szCs w:val="20"/>
        </w:rPr>
      </w:pPr>
      <w:r>
        <w:rPr>
          <w:sz w:val="2"/>
          <w:szCs w:val="2"/>
        </w:rPr>
        <w:t>​</w:t>
      </w:r>
    </w:p>
    <w:p w:rsidR="00000000" w:rsidRDefault="009730FF">
      <w:pPr>
        <w:pStyle w:val="a3"/>
        <w:spacing w:before="0" w:beforeAutospacing="0" w:after="240" w:afterAutospacing="0"/>
        <w:divId w:val="366684444"/>
        <w:rPr>
          <w:b/>
          <w:bCs/>
          <w:sz w:val="20"/>
          <w:szCs w:val="20"/>
        </w:rPr>
      </w:pPr>
      <w:r>
        <w:rPr>
          <w:b/>
          <w:bCs/>
          <w:sz w:val="20"/>
          <w:szCs w:val="20"/>
        </w:rPr>
        <w:t>15.  Other (Loss) Income, Net</w:t>
      </w:r>
    </w:p>
    <w:p w:rsidR="00000000" w:rsidRDefault="009730FF">
      <w:pPr>
        <w:pStyle w:val="a3"/>
        <w:spacing w:before="0" w:beforeAutospacing="0" w:after="240" w:afterAutospacing="0"/>
        <w:ind w:firstLine="360"/>
        <w:divId w:val="366684444"/>
        <w:rPr>
          <w:sz w:val="20"/>
          <w:szCs w:val="20"/>
        </w:rPr>
      </w:pPr>
      <w:r>
        <w:rPr>
          <w:sz w:val="20"/>
          <w:szCs w:val="20"/>
        </w:rPr>
        <w:t>Other (loss) income, net consists of the following</w:t>
      </w:r>
      <w:r>
        <w:rPr>
          <w:sz w:val="20"/>
          <w:szCs w:val="20"/>
        </w:rPr>
        <w:t>:</w:t>
      </w:r>
    </w:p>
    <w:p w:rsidR="00000000" w:rsidRDefault="009730FF">
      <w:pPr>
        <w:pStyle w:val="a3"/>
        <w:spacing w:before="0" w:beforeAutospacing="0" w:after="0" w:afterAutospacing="0"/>
        <w:divId w:val="366684444"/>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5319"/>
        <w:gridCol w:w="200"/>
        <w:gridCol w:w="166"/>
        <w:gridCol w:w="1106"/>
        <w:gridCol w:w="262"/>
        <w:gridCol w:w="163"/>
        <w:gridCol w:w="1103"/>
      </w:tblGrid>
      <w:tr w:rsidR="00000000">
        <w:trPr>
          <w:divId w:val="366684444"/>
          <w:trHeight w:val="20"/>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divId w:val="18536847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9459977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18537521"/>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1120668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77466314"/>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14036979"/>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11373943"/>
              <w:rPr>
                <w:sz w:val="20"/>
                <w:szCs w:val="20"/>
              </w:rPr>
            </w:pPr>
            <w:r>
              <w:rPr>
                <w:sz w:val="2"/>
                <w:szCs w:val="2"/>
              </w:rPr>
              <w:t>​</w:t>
            </w:r>
          </w:p>
        </w:tc>
      </w:tr>
      <w:tr w:rsidR="00000000">
        <w:trPr>
          <w:divId w:val="366684444"/>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441"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366684444"/>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3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5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366684444"/>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366684444"/>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356" w:type="pct"/>
            <w:gridSpan w:val="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366684444"/>
        </w:trPr>
        <w:tc>
          <w:tcPr>
            <w:tcW w:w="345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Dividend expense</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(17)</w:t>
            </w:r>
          </w:p>
        </w:tc>
        <w:tc>
          <w:tcPr>
            <w:tcW w:w="1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(21)</w:t>
            </w:r>
          </w:p>
        </w:tc>
      </w:tr>
      <w:tr w:rsidR="00000000">
        <w:trPr>
          <w:divId w:val="366684444"/>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Equity earnings from non-consolidated affiliates</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w:t>
            </w:r>
          </w:p>
        </w:tc>
        <w:tc>
          <w:tcPr>
            <w:tcW w:w="13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p>
        </w:tc>
      </w:tr>
      <w:tr w:rsidR="00000000">
        <w:trPr>
          <w:divId w:val="366684444"/>
        </w:trPr>
        <w:tc>
          <w:tcPr>
            <w:tcW w:w="345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Gain on disposition of assets, net</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r>
      <w:tr w:rsidR="00000000">
        <w:trPr>
          <w:divId w:val="366684444"/>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Foreign currency transaction gain (loss)</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p>
        </w:tc>
        <w:tc>
          <w:tcPr>
            <w:tcW w:w="13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(6)</w:t>
            </w:r>
          </w:p>
        </w:tc>
      </w:tr>
      <w:tr w:rsidR="00000000">
        <w:trPr>
          <w:divId w:val="366684444"/>
        </w:trPr>
        <w:tc>
          <w:tcPr>
            <w:tcW w:w="345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(Loss) gain on extinguishment of debt, net</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w:t>
            </w:r>
          </w:p>
        </w:tc>
      </w:tr>
      <w:tr w:rsidR="00000000">
        <w:trPr>
          <w:divId w:val="366684444"/>
        </w:trPr>
        <w:tc>
          <w:tcPr>
            <w:tcW w:w="345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w:t>
            </w:r>
          </w:p>
        </w:tc>
        <w:tc>
          <w:tcPr>
            <w:tcW w:w="10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(10)</w:t>
            </w:r>
          </w:p>
        </w:tc>
        <w:tc>
          <w:tcPr>
            <w:tcW w:w="13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6</w:t>
            </w:r>
          </w:p>
        </w:tc>
      </w:tr>
      <w:tr w:rsidR="00000000">
        <w:trPr>
          <w:divId w:val="366684444"/>
        </w:trPr>
        <w:tc>
          <w:tcPr>
            <w:tcW w:w="345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w:t>
            </w:r>
            <w:r>
              <w:rPr>
                <w:sz w:val="20"/>
                <w:szCs w:val="20"/>
              </w:rPr>
              <w:t>24)</w:t>
            </w:r>
          </w:p>
        </w:tc>
        <w:tc>
          <w:tcPr>
            <w:tcW w:w="13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(18)</w:t>
            </w:r>
          </w:p>
        </w:tc>
      </w:tr>
    </w:tbl>
    <w:p w:rsidR="00000000" w:rsidRDefault="009730FF">
      <w:pPr>
        <w:pStyle w:val="a3"/>
        <w:spacing w:before="0" w:beforeAutospacing="0" w:after="0" w:afterAutospacing="0"/>
        <w:divId w:val="366684444"/>
        <w:rPr>
          <w:sz w:val="20"/>
          <w:szCs w:val="20"/>
        </w:rPr>
      </w:pPr>
      <w:r>
        <w:rPr>
          <w:sz w:val="2"/>
          <w:szCs w:val="2"/>
        </w:rPr>
        <w:t>​</w:t>
      </w:r>
    </w:p>
    <w:p w:rsidR="00000000" w:rsidRDefault="009730FF">
      <w:pPr>
        <w:pStyle w:val="a3"/>
        <w:spacing w:before="0" w:beforeAutospacing="0" w:after="0" w:afterAutospacing="0"/>
        <w:divId w:val="366684444"/>
        <w:rPr>
          <w:sz w:val="20"/>
          <w:szCs w:val="20"/>
        </w:rPr>
      </w:pPr>
      <w:r>
        <w:rPr>
          <w:sz w:val="20"/>
          <w:szCs w:val="20"/>
        </w:rPr>
        <w:t>​</w:t>
      </w:r>
    </w:p>
    <w:p w:rsidR="00000000" w:rsidRDefault="009730FF">
      <w:pPr>
        <w:pStyle w:val="a3"/>
        <w:spacing w:before="0" w:beforeAutospacing="0" w:after="0" w:afterAutospacing="0"/>
        <w:divId w:val="366684444"/>
        <w:rPr>
          <w:sz w:val="20"/>
          <w:szCs w:val="20"/>
        </w:rPr>
      </w:pPr>
      <w:r>
        <w:rPr>
          <w:sz w:val="2"/>
          <w:szCs w:val="2"/>
        </w:rPr>
        <w:t>​</w:t>
      </w:r>
    </w:p>
    <w:p w:rsidR="00000000" w:rsidRDefault="009730FF">
      <w:pPr>
        <w:pStyle w:val="a3"/>
        <w:spacing w:before="0" w:beforeAutospacing="0" w:after="240" w:afterAutospacing="0"/>
        <w:divId w:val="366684444"/>
        <w:rPr>
          <w:b/>
          <w:bCs/>
          <w:sz w:val="20"/>
          <w:szCs w:val="20"/>
        </w:rPr>
      </w:pPr>
      <w:r>
        <w:rPr>
          <w:b/>
          <w:bCs/>
          <w:sz w:val="20"/>
          <w:szCs w:val="20"/>
        </w:rPr>
        <w:t>16.  Commitments and Contingencies</w:t>
      </w:r>
    </w:p>
    <w:p w:rsidR="00000000" w:rsidRDefault="009730FF">
      <w:pPr>
        <w:pStyle w:val="a3"/>
        <w:spacing w:before="0" w:beforeAutospacing="0" w:after="240" w:afterAutospacing="0"/>
        <w:divId w:val="366684444"/>
        <w:rPr>
          <w:b/>
          <w:bCs/>
          <w:i/>
          <w:iCs/>
          <w:sz w:val="20"/>
          <w:szCs w:val="20"/>
        </w:rPr>
      </w:pPr>
      <w:r>
        <w:rPr>
          <w:b/>
          <w:bCs/>
          <w:i/>
          <w:iCs/>
          <w:sz w:val="20"/>
          <w:szCs w:val="20"/>
        </w:rPr>
        <w:t>Environmental Matters</w:t>
      </w:r>
    </w:p>
    <w:p w:rsidR="00000000" w:rsidRDefault="009730FF">
      <w:pPr>
        <w:pStyle w:val="a3"/>
        <w:spacing w:before="0" w:beforeAutospacing="0" w:after="240" w:afterAutospacing="0"/>
        <w:ind w:firstLine="360"/>
        <w:divId w:val="366684444"/>
        <w:rPr>
          <w:sz w:val="20"/>
          <w:szCs w:val="20"/>
        </w:rPr>
      </w:pPr>
      <w:r>
        <w:rPr>
          <w:sz w:val="20"/>
          <w:szCs w:val="20"/>
        </w:rPr>
        <w:t xml:space="preserve">Due to the nature of our business, certain of our subsidiaries’ </w:t>
      </w:r>
      <w:r>
        <w:rPr>
          <w:sz w:val="20"/>
          <w:szCs w:val="20"/>
        </w:rPr>
        <w:t>operations are subject to numerous existing and proposed laws and governmental regulations designed to protect the environment, particularly regarding plant wastes and emissions and solid waste disposal. Our consolidated environmental liabilities on an und</w:t>
      </w:r>
      <w:r>
        <w:rPr>
          <w:sz w:val="20"/>
          <w:szCs w:val="20"/>
        </w:rPr>
        <w:t>iscounted basis were $25 million and $13 million as of March 31, 2022 and December 31, 2021, respectively, primarily within our Energy segment, which are included in accrued expenses and other liabilities in our condensed consolidated balance sheets. We do</w:t>
      </w:r>
      <w:r>
        <w:rPr>
          <w:sz w:val="20"/>
          <w:szCs w:val="20"/>
        </w:rPr>
        <w:t xml:space="preserve"> not believe that environmental matters will have a material adverse impact on our consolidated results of operations and financial condition.</w:t>
      </w:r>
    </w:p>
    <w:p w:rsidR="00000000" w:rsidRDefault="009730FF">
      <w:pPr>
        <w:pStyle w:val="a3"/>
        <w:spacing w:before="480" w:beforeAutospacing="0" w:after="0" w:afterAutospacing="0"/>
        <w:jc w:val="center"/>
        <w:divId w:val="1014383064"/>
        <w:rPr>
          <w:sz w:val="20"/>
          <w:szCs w:val="20"/>
        </w:rPr>
      </w:pPr>
      <w:r>
        <w:rPr>
          <w:sz w:val="20"/>
          <w:szCs w:val="20"/>
        </w:rPr>
        <w:t>26</w:t>
      </w:r>
    </w:p>
    <w:p w:rsidR="00000000" w:rsidRDefault="009730FF">
      <w:pPr>
        <w:pStyle w:val="a3"/>
        <w:spacing w:before="0" w:beforeAutospacing="0" w:after="600" w:afterAutospacing="0"/>
        <w:divId w:val="23796538"/>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23796538"/>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23796538"/>
        <w:rPr>
          <w:sz w:val="20"/>
          <w:szCs w:val="20"/>
        </w:rPr>
      </w:pPr>
      <w:r>
        <w:rPr>
          <w:b/>
          <w:bCs/>
          <w:sz w:val="20"/>
          <w:szCs w:val="20"/>
        </w:rPr>
        <w:t>Notes to Condensed Consoli</w:t>
      </w:r>
      <w:r>
        <w:rPr>
          <w:b/>
          <w:bCs/>
          <w:sz w:val="20"/>
          <w:szCs w:val="20"/>
        </w:rPr>
        <w:t>dated Financial Statements (Unaudited)</w:t>
      </w:r>
    </w:p>
    <w:p w:rsidR="00000000" w:rsidRDefault="009730FF">
      <w:pPr>
        <w:pStyle w:val="a3"/>
        <w:spacing w:before="0" w:beforeAutospacing="0" w:after="240" w:afterAutospacing="0"/>
        <w:divId w:val="519395377"/>
        <w:rPr>
          <w:sz w:val="20"/>
          <w:szCs w:val="20"/>
        </w:rPr>
      </w:pPr>
      <w:r>
        <w:rPr>
          <w:i/>
          <w:iCs/>
          <w:sz w:val="20"/>
          <w:szCs w:val="20"/>
        </w:rPr>
        <w:t>Energy</w:t>
      </w:r>
    </w:p>
    <w:p w:rsidR="00000000" w:rsidRDefault="009730FF">
      <w:pPr>
        <w:pStyle w:val="a3"/>
        <w:spacing w:before="0" w:beforeAutospacing="0" w:after="240" w:afterAutospacing="0"/>
        <w:ind w:firstLine="360"/>
        <w:divId w:val="519395377"/>
        <w:rPr>
          <w:sz w:val="20"/>
          <w:szCs w:val="20"/>
        </w:rPr>
      </w:pPr>
      <w:r>
        <w:rPr>
          <w:sz w:val="20"/>
          <w:szCs w:val="20"/>
        </w:rPr>
        <w:t xml:space="preserve">A wholly-owned subsidiary of CVR Refining is party to proceedings pending before </w:t>
      </w:r>
      <w:r>
        <w:rPr>
          <w:sz w:val="20"/>
          <w:szCs w:val="20"/>
          <w:shd w:val="clear" w:color="auto" w:fill="FFFFFF"/>
        </w:rPr>
        <w:t xml:space="preserve">the </w:t>
      </w:r>
      <w:r>
        <w:rPr>
          <w:sz w:val="20"/>
          <w:szCs w:val="20"/>
        </w:rPr>
        <w:t>United States District Court for the District of Kansas (“D. Kan.”) relating to claims by United States Department of Justice</w:t>
      </w:r>
      <w:r>
        <w:rPr>
          <w:sz w:val="20"/>
          <w:szCs w:val="20"/>
        </w:rPr>
        <w:t xml:space="preserve"> (the “DOJ”) on behalf of the U.S. Environmental Protection Agency (the “EPA”) and the Kansas Department of Health and Environment (“KDHE”) (a) alleging violations of the Clean Air Act and a 2012 Consent Decree (“CD”) between CVR Refining, the United State</w:t>
      </w:r>
      <w:r>
        <w:rPr>
          <w:sz w:val="20"/>
          <w:szCs w:val="20"/>
        </w:rPr>
        <w:t>s (on behalf of the EPA) and KDHE at its Coffeyville refinery primarily relating to flares and seeking stipulated penalties under the CD (the “Stipulated Claims”) and (b) alleging violations of the CAA, the Kansas State Implementation Plan, Kansas law, Par</w:t>
      </w:r>
      <w:r>
        <w:rPr>
          <w:sz w:val="20"/>
          <w:szCs w:val="20"/>
        </w:rPr>
        <w:t>t 63 of the National Emission Standards for Hazardous Air Pollutants from Petroleum Refineries Subparts CC and R (“NESHAP”) and CRRM’s permits relating to flares, heaters, and related matters and seeking civil penalties, injunctive and related relief under</w:t>
      </w:r>
      <w:r>
        <w:rPr>
          <w:sz w:val="20"/>
          <w:szCs w:val="20"/>
        </w:rPr>
        <w:t xml:space="preserve"> an amended complaint filed by the United States (on behalf of the EPA) and KDHE on February 17, 2022 (collectively, the “Statutory Claims”). On March 30, 2022, D. Kan. denied CVR Refining’s petition for judicial review of approximately $6.8 million in Sti</w:t>
      </w:r>
      <w:r>
        <w:rPr>
          <w:sz w:val="20"/>
          <w:szCs w:val="20"/>
        </w:rPr>
        <w:t xml:space="preserve">pulated Claims, which amount </w:t>
      </w:r>
      <w:r>
        <w:rPr>
          <w:sz w:val="20"/>
          <w:szCs w:val="20"/>
          <w:shd w:val="clear" w:color="auto" w:fill="FFFFFF"/>
        </w:rPr>
        <w:t xml:space="preserve">CVR Refining previously </w:t>
      </w:r>
      <w:r>
        <w:rPr>
          <w:sz w:val="20"/>
          <w:szCs w:val="20"/>
        </w:rPr>
        <w:t>deposited into a commercial escrow account. CVR Refining is currently evaluating its response to this denial, including its appeal rights. The escrowed funds are legally restricted for use and are includ</w:t>
      </w:r>
      <w:r>
        <w:rPr>
          <w:sz w:val="20"/>
          <w:szCs w:val="20"/>
        </w:rPr>
        <w:t>ed within Prepaid expenses and other current assets on CVR Energy’s consolidated balance sheets. On March 21, 2022, CVR Refining filed with D. Kan. a Motion to Dismiss the Statutory Claims, which motion is currently pending before the court. As negotiation</w:t>
      </w:r>
      <w:r>
        <w:rPr>
          <w:sz w:val="20"/>
          <w:szCs w:val="20"/>
        </w:rPr>
        <w:t>s and proceedings relating to the Stipulated Claims and the Statutory Claims are ongoing, CVR Energy cannot at this time determine the outcome of these matters, including whether such outcome, or any subsequent enforcement or litigation relating thereto wo</w:t>
      </w:r>
      <w:r>
        <w:rPr>
          <w:sz w:val="20"/>
          <w:szCs w:val="20"/>
        </w:rPr>
        <w:t>uld have a material impact on our Energy segment’s financial position, results of operations, or cash flows.</w:t>
      </w:r>
    </w:p>
    <w:p w:rsidR="00000000" w:rsidRDefault="009730FF">
      <w:pPr>
        <w:pStyle w:val="a3"/>
        <w:spacing w:before="0" w:beforeAutospacing="0" w:after="240" w:afterAutospacing="0"/>
        <w:ind w:firstLine="360"/>
        <w:divId w:val="519395377"/>
        <w:rPr>
          <w:sz w:val="20"/>
          <w:szCs w:val="20"/>
        </w:rPr>
      </w:pPr>
      <w:r>
        <w:rPr>
          <w:sz w:val="20"/>
          <w:szCs w:val="20"/>
        </w:rPr>
        <w:t>As of March 31, 2022 and December 31, 2021, our Energy segment had environmental accruals of $24 million and $12 million, respectively, representin</w:t>
      </w:r>
      <w:r>
        <w:rPr>
          <w:sz w:val="20"/>
          <w:szCs w:val="20"/>
        </w:rPr>
        <w:t>g estimated costs for future remediation efforts at certain sites.</w:t>
      </w:r>
    </w:p>
    <w:p w:rsidR="00000000" w:rsidRDefault="009730FF">
      <w:pPr>
        <w:pStyle w:val="a3"/>
        <w:spacing w:before="0" w:beforeAutospacing="0" w:after="240" w:afterAutospacing="0"/>
        <w:divId w:val="519395377"/>
        <w:rPr>
          <w:b/>
          <w:bCs/>
          <w:i/>
          <w:iCs/>
          <w:sz w:val="20"/>
          <w:szCs w:val="20"/>
        </w:rPr>
      </w:pPr>
      <w:r>
        <w:rPr>
          <w:b/>
          <w:bCs/>
          <w:i/>
          <w:iCs/>
          <w:sz w:val="20"/>
          <w:szCs w:val="20"/>
        </w:rPr>
        <w:t>Renewable Fuel Standards</w:t>
      </w:r>
    </w:p>
    <w:p w:rsidR="00000000" w:rsidRDefault="009730FF">
      <w:pPr>
        <w:pStyle w:val="a3"/>
        <w:spacing w:before="0" w:beforeAutospacing="0" w:after="240" w:afterAutospacing="0"/>
        <w:ind w:firstLine="360"/>
        <w:divId w:val="519395377"/>
        <w:rPr>
          <w:sz w:val="20"/>
          <w:szCs w:val="20"/>
        </w:rPr>
      </w:pPr>
      <w:r>
        <w:rPr>
          <w:sz w:val="20"/>
          <w:szCs w:val="20"/>
        </w:rPr>
        <w:t>CVR Refining is subject to the Renewable Fuel Standard (“RFS”) implemented primarily by the EPA which requires refiners to either blend renewable fuels into their t</w:t>
      </w:r>
      <w:r>
        <w:rPr>
          <w:sz w:val="20"/>
          <w:szCs w:val="20"/>
        </w:rPr>
        <w:t>ransportation fuels or purchase renewable fuel credits, known as RINs, in lieu of blending. CVR Refining is not able to blend the substantial majority of its transportation fuels and has to purchase RINs on the open market and may have to obtain waiver cre</w:t>
      </w:r>
      <w:r>
        <w:rPr>
          <w:sz w:val="20"/>
          <w:szCs w:val="20"/>
        </w:rPr>
        <w:t>dits for cellulosic biofuels or other exemptions from the EPA, to the extent available, in order to comply with the RFS. Wholly owned subsidiaries of CVR Refining are or expect to be party to or have interest in various lawsuits relating to the RFS, includ</w:t>
      </w:r>
      <w:r>
        <w:rPr>
          <w:sz w:val="20"/>
          <w:szCs w:val="20"/>
        </w:rPr>
        <w:t>ing a lawsuit against the EPA for damages sustained by the EPA’s failure to timely issue small refinery exemptions (“SREs”) to its Wynnewood refinery.</w:t>
      </w:r>
      <w:r>
        <w:rPr>
          <w:sz w:val="20"/>
          <w:szCs w:val="20"/>
        </w:rPr>
        <w:t xml:space="preserve"> </w:t>
      </w:r>
      <w:r>
        <w:rPr>
          <w:sz w:val="20"/>
          <w:szCs w:val="20"/>
          <w:shd w:val="clear" w:color="auto" w:fill="FFFFFF"/>
        </w:rPr>
        <w:t>On April 7, 2022, the EPA notified CVR Refining that it was now denying the 2018 SRE previously granted t</w:t>
      </w:r>
      <w:r>
        <w:rPr>
          <w:sz w:val="20"/>
          <w:szCs w:val="20"/>
          <w:shd w:val="clear" w:color="auto" w:fill="FFFFFF"/>
        </w:rPr>
        <w:t>o Wynnewood, though is not requiring it to purchase or redeem additional RFS credits as a result of this denial. On December 7, 2021, the EPA also issued a Proposed RFS Small Refinery Exemption Decision (the “Proposed Denial”), in which the EPA announced i</w:t>
      </w:r>
      <w:r>
        <w:rPr>
          <w:sz w:val="20"/>
          <w:szCs w:val="20"/>
          <w:shd w:val="clear" w:color="auto" w:fill="FFFFFF"/>
        </w:rPr>
        <w:t>ts intention to change its statutory interpretation of the CAA and deny 65 pending SRE petitions, including those submitted by Wynnewood for 2019, 2020, and 2021. CVR Refining expects to file litigation against the EPA should it finalize its Proposed Denia</w:t>
      </w:r>
      <w:r>
        <w:rPr>
          <w:sz w:val="20"/>
          <w:szCs w:val="20"/>
          <w:shd w:val="clear" w:color="auto" w:fill="FFFFFF"/>
        </w:rPr>
        <w:t xml:space="preserve">l. Given the early stages of these matters, CVR Energy cannot determine at this time the outcomes of these matters. CVR Energy </w:t>
      </w:r>
      <w:r>
        <w:rPr>
          <w:sz w:val="20"/>
          <w:szCs w:val="20"/>
        </w:rPr>
        <w:t xml:space="preserve">firmly believes the EPA’s actions are unlawful and violate the RFS, and while it intends to pursue all available legal remedies, </w:t>
      </w:r>
      <w:r>
        <w:rPr>
          <w:sz w:val="20"/>
          <w:szCs w:val="20"/>
        </w:rPr>
        <w:t>if these matters are ultimately concluded in a manner adverse to CVR Energy, they could have a material effect on CVR Energy’s financial position, results of operations, or cash flows.</w:t>
      </w:r>
    </w:p>
    <w:p w:rsidR="00000000" w:rsidRDefault="009730FF">
      <w:pPr>
        <w:pStyle w:val="a3"/>
        <w:spacing w:before="0" w:beforeAutospacing="0" w:after="0" w:afterAutospacing="0"/>
        <w:ind w:firstLine="360"/>
        <w:divId w:val="519395377"/>
        <w:rPr>
          <w:sz w:val="20"/>
          <w:szCs w:val="20"/>
        </w:rPr>
      </w:pPr>
      <w:r>
        <w:rPr>
          <w:sz w:val="20"/>
          <w:szCs w:val="20"/>
        </w:rPr>
        <w:t xml:space="preserve">For the three months ended March 31, 2022 and 2021, our Energy segment </w:t>
      </w:r>
      <w:r>
        <w:rPr>
          <w:sz w:val="20"/>
          <w:szCs w:val="20"/>
        </w:rPr>
        <w:t>recognized an expense of $107 million and $178 million, respectively, for CVR Refining’s compliance with the RFS (based on our Energy segment’s 2020 annual renewal volume obligation (“RVO”) for all periods since the EPA has not yet set the 2021 RVO and exc</w:t>
      </w:r>
      <w:r>
        <w:rPr>
          <w:sz w:val="20"/>
          <w:szCs w:val="20"/>
        </w:rPr>
        <w:t>luding the impacts of any exemptions or waivers to which our Energy segment may be entitled). These recognized amounts are included in cost of goods sold in the condensed consolidated statements of operations and represent costs to comply with the RFS obli</w:t>
      </w:r>
      <w:r>
        <w:rPr>
          <w:sz w:val="20"/>
          <w:szCs w:val="20"/>
        </w:rPr>
        <w:t xml:space="preserve">gation through purchasing of RINs not otherwise reduced by blending of ethanol or biodiesel. At each </w:t>
      </w:r>
    </w:p>
    <w:p w:rsidR="00000000" w:rsidRDefault="009730FF">
      <w:pPr>
        <w:pStyle w:val="a3"/>
        <w:spacing w:before="480" w:beforeAutospacing="0" w:after="0" w:afterAutospacing="0"/>
        <w:jc w:val="center"/>
        <w:divId w:val="1895307048"/>
        <w:rPr>
          <w:sz w:val="20"/>
          <w:szCs w:val="20"/>
        </w:rPr>
      </w:pPr>
      <w:r>
        <w:rPr>
          <w:sz w:val="20"/>
          <w:szCs w:val="20"/>
        </w:rPr>
        <w:t>27</w:t>
      </w:r>
    </w:p>
    <w:p w:rsidR="00000000" w:rsidRDefault="009730FF">
      <w:pPr>
        <w:pStyle w:val="a3"/>
        <w:spacing w:before="0" w:beforeAutospacing="0" w:after="600" w:afterAutospacing="0"/>
        <w:divId w:val="514078112"/>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514078112"/>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514078112"/>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1342203357"/>
        <w:rPr>
          <w:sz w:val="20"/>
          <w:szCs w:val="20"/>
        </w:rPr>
      </w:pPr>
      <w:r>
        <w:rPr>
          <w:sz w:val="20"/>
          <w:szCs w:val="20"/>
        </w:rPr>
        <w:t>reporting period, to the extent RINs purchased or generated through blending are less than the RFS obligation (excluding the impact of exemptions or waivers to which CVR Refining may be entitled), the remaining position is marked-to-market using RIN market</w:t>
      </w:r>
      <w:r>
        <w:rPr>
          <w:sz w:val="20"/>
          <w:szCs w:val="20"/>
        </w:rPr>
        <w:t xml:space="preserve"> prices at period end. As of March 31, 2022 and December 31, 2021, CVR Refining’s RFS position was $585 million and $494 million, respectively, and is included in accrued expenses and other liabilities in the condensed consolidated balance sheets. </w:t>
      </w:r>
    </w:p>
    <w:p w:rsidR="00000000" w:rsidRDefault="009730FF">
      <w:pPr>
        <w:pStyle w:val="a3"/>
        <w:spacing w:before="0" w:beforeAutospacing="0" w:after="240" w:afterAutospacing="0"/>
        <w:divId w:val="1342203357"/>
        <w:rPr>
          <w:b/>
          <w:bCs/>
          <w:i/>
          <w:iCs/>
          <w:sz w:val="20"/>
          <w:szCs w:val="20"/>
        </w:rPr>
      </w:pPr>
      <w:r>
        <w:rPr>
          <w:b/>
          <w:bCs/>
          <w:i/>
          <w:iCs/>
          <w:sz w:val="20"/>
          <w:szCs w:val="20"/>
        </w:rPr>
        <w:t>Litigat</w:t>
      </w:r>
      <w:r>
        <w:rPr>
          <w:b/>
          <w:bCs/>
          <w:i/>
          <w:iCs/>
          <w:sz w:val="20"/>
          <w:szCs w:val="20"/>
        </w:rPr>
        <w:t>ion</w:t>
      </w:r>
    </w:p>
    <w:p w:rsidR="00000000" w:rsidRDefault="009730FF">
      <w:pPr>
        <w:pStyle w:val="a3"/>
        <w:spacing w:before="0" w:beforeAutospacing="0" w:after="240" w:afterAutospacing="0"/>
        <w:ind w:firstLine="360"/>
        <w:divId w:val="1342203357"/>
        <w:rPr>
          <w:sz w:val="20"/>
          <w:szCs w:val="20"/>
        </w:rPr>
      </w:pPr>
      <w:r>
        <w:rPr>
          <w:sz w:val="20"/>
          <w:szCs w:val="20"/>
        </w:rPr>
        <w:t>From time to time, we and our subsidiaries are involved in various lawsuits arising in the normal course of business. We do not believe that such normal routine litigation will have a material effect on our financial condition or results of operations.</w:t>
      </w:r>
    </w:p>
    <w:p w:rsidR="00000000" w:rsidRDefault="009730FF">
      <w:pPr>
        <w:pStyle w:val="a3"/>
        <w:spacing w:before="0" w:beforeAutospacing="0" w:after="240" w:afterAutospacing="0"/>
        <w:divId w:val="1342203357"/>
        <w:rPr>
          <w:i/>
          <w:iCs/>
          <w:sz w:val="20"/>
          <w:szCs w:val="20"/>
        </w:rPr>
      </w:pPr>
      <w:r>
        <w:rPr>
          <w:i/>
          <w:iCs/>
          <w:sz w:val="20"/>
          <w:szCs w:val="20"/>
        </w:rPr>
        <w:t>Energy</w:t>
      </w:r>
    </w:p>
    <w:p w:rsidR="00000000" w:rsidRDefault="009730FF">
      <w:pPr>
        <w:pStyle w:val="a3"/>
        <w:spacing w:before="0" w:beforeAutospacing="0" w:after="240" w:afterAutospacing="0"/>
        <w:ind w:firstLine="360"/>
        <w:divId w:val="1342203357"/>
        <w:rPr>
          <w:sz w:val="20"/>
          <w:szCs w:val="20"/>
        </w:rPr>
      </w:pPr>
      <w:r>
        <w:rPr>
          <w:sz w:val="20"/>
          <w:szCs w:val="20"/>
        </w:rPr>
        <w:t>On July 29, 2021, trial concluded in the consolidated lawsuits filed by purported former unitholders of CVR Refining on behalf of themselves and an alleged class of similarly situated unitholders against CVR Energy, CVR Refining and its general par</w:t>
      </w:r>
      <w:r>
        <w:rPr>
          <w:sz w:val="20"/>
          <w:szCs w:val="20"/>
        </w:rPr>
        <w:t>tner, CVR Refining Holdings, Icahn Enterprises and certain directors and affiliates in the Court of Chancery of the State of Delaware related to CVR Energy’s exercise of the call option under the CVR Refining Amended and Restated Agreement of Limited Partn</w:t>
      </w:r>
      <w:r>
        <w:rPr>
          <w:sz w:val="20"/>
          <w:szCs w:val="20"/>
        </w:rPr>
        <w:t>ership assigned to it by CVR Refining’s general partner (the “Delaware Lawsuits”) primarily alleging breach of contract, tortious interference, and breach of the implied covenant of good faith and fair dealing. The parties are currently in post-trial proce</w:t>
      </w:r>
      <w:r>
        <w:rPr>
          <w:sz w:val="20"/>
          <w:szCs w:val="20"/>
        </w:rPr>
        <w:t>edings. The plaintiffs filed their Opening Post-Trial Brief on December 22, 2021, quantifying alleged damages in excess of $300 million, the Call Defendants filed their Post-Trial Answering Brief on February 22, 2022, and the plaintiffs filed their Reply P</w:t>
      </w:r>
      <w:r>
        <w:rPr>
          <w:sz w:val="20"/>
          <w:szCs w:val="20"/>
        </w:rPr>
        <w:t>ost-Trial Brief on April 1, 2022. Post-trial briefing and related activities are in process. CVR Energy believes the Delaware Lawsuits are without merit and has vigorously defended against them. As no ruling in the case has yet been issued, CVR Energy cann</w:t>
      </w:r>
      <w:r>
        <w:rPr>
          <w:sz w:val="20"/>
          <w:szCs w:val="20"/>
        </w:rPr>
        <w:t>ot determine at this time the outcome of the Delaware Lawsuits. However, while CVR Energy firmly believes the Delaware Lawsuits are without merit, if concluded in a manner averse to CVR Energy, they could have a material impact on our Energy segment’s fina</w:t>
      </w:r>
      <w:r>
        <w:rPr>
          <w:sz w:val="20"/>
          <w:szCs w:val="20"/>
        </w:rPr>
        <w:t xml:space="preserve">ncial position, results of operations, or cash flows. </w:t>
      </w:r>
    </w:p>
    <w:p w:rsidR="00000000" w:rsidRDefault="009730FF">
      <w:pPr>
        <w:pStyle w:val="a3"/>
        <w:spacing w:before="0" w:beforeAutospacing="0" w:after="240" w:afterAutospacing="0"/>
        <w:divId w:val="1342203357"/>
        <w:rPr>
          <w:b/>
          <w:bCs/>
          <w:i/>
          <w:iCs/>
          <w:sz w:val="20"/>
          <w:szCs w:val="20"/>
        </w:rPr>
      </w:pPr>
      <w:r>
        <w:rPr>
          <w:b/>
          <w:bCs/>
          <w:i/>
          <w:iCs/>
          <w:sz w:val="20"/>
          <w:szCs w:val="20"/>
        </w:rPr>
        <w:t>Other Matters</w:t>
      </w:r>
    </w:p>
    <w:p w:rsidR="00000000" w:rsidRDefault="009730FF">
      <w:pPr>
        <w:pStyle w:val="a3"/>
        <w:spacing w:before="0" w:beforeAutospacing="0" w:after="240" w:afterAutospacing="0"/>
        <w:divId w:val="1342203357"/>
        <w:rPr>
          <w:i/>
          <w:iCs/>
          <w:sz w:val="20"/>
          <w:szCs w:val="20"/>
        </w:rPr>
      </w:pPr>
      <w:r>
        <w:rPr>
          <w:i/>
          <w:iCs/>
          <w:sz w:val="20"/>
          <w:szCs w:val="20"/>
        </w:rPr>
        <w:t>Pension Obligations</w:t>
      </w:r>
    </w:p>
    <w:p w:rsidR="00000000" w:rsidRDefault="009730FF">
      <w:pPr>
        <w:pStyle w:val="a3"/>
        <w:spacing w:before="0" w:beforeAutospacing="0" w:after="240" w:afterAutospacing="0"/>
        <w:ind w:firstLine="360"/>
        <w:divId w:val="1342203357"/>
        <w:rPr>
          <w:sz w:val="20"/>
          <w:szCs w:val="20"/>
        </w:rPr>
      </w:pPr>
      <w:r>
        <w:rPr>
          <w:sz w:val="20"/>
          <w:szCs w:val="20"/>
        </w:rPr>
        <w:t>Mr. Icahn, through certain affiliates, owns 100% of Icahn Enterprises GP and approximately 87% of Icahn Enterprises’ outstanding depositary units as of March 31, 2022.</w:t>
      </w:r>
      <w:r>
        <w:rPr>
          <w:sz w:val="20"/>
          <w:szCs w:val="20"/>
        </w:rPr>
        <w:t xml:space="preserve"> Applicable pension and tax laws make each member of a “controlled group” of entities, generally defined as entities in which there is at least an 80% common ownership interest, jointly and severally liable for certain pension plan obligations of any membe</w:t>
      </w:r>
      <w:r>
        <w:rPr>
          <w:sz w:val="20"/>
          <w:szCs w:val="20"/>
        </w:rPr>
        <w:t>r of the controlled group. These pension obligations include ongoing contributions to fund the plan, as well as liability for any unfunded liabilities that may exist at the time the plan is terminated. In addition, the failure to pay these pension obligati</w:t>
      </w:r>
      <w:r>
        <w:rPr>
          <w:sz w:val="20"/>
          <w:szCs w:val="20"/>
        </w:rPr>
        <w:t>ons when due may result in the creation of liens in favor of the pension plan or the Pension Benefit Guaranty Corporation (the “PBGC”) against the assets of each member of the controlled group.</w:t>
      </w:r>
    </w:p>
    <w:p w:rsidR="00000000" w:rsidRDefault="009730FF">
      <w:pPr>
        <w:pStyle w:val="a3"/>
        <w:spacing w:before="0" w:beforeAutospacing="0" w:after="0" w:afterAutospacing="0"/>
        <w:ind w:firstLine="360"/>
        <w:divId w:val="1342203357"/>
        <w:rPr>
          <w:sz w:val="20"/>
          <w:szCs w:val="20"/>
        </w:rPr>
      </w:pPr>
      <w:r>
        <w:rPr>
          <w:sz w:val="20"/>
          <w:szCs w:val="20"/>
        </w:rPr>
        <w:t>As a result of the more than 80% ownership interest in us by M</w:t>
      </w:r>
      <w:r>
        <w:rPr>
          <w:sz w:val="20"/>
          <w:szCs w:val="20"/>
        </w:rPr>
        <w:t>r. Icahn’s affiliates, we and our subsidiaries are subject to the pension liabilities of entities in which Mr. Icahn has a direct or indirect ownership interest of at least 80%, which includes the liabilities of pension plans sponsored by Viskase and ACF I</w:t>
      </w:r>
      <w:r>
        <w:rPr>
          <w:sz w:val="20"/>
          <w:szCs w:val="20"/>
        </w:rPr>
        <w:t>ndustries LLC (“ACF”), an affiliate of Mr. Icahn. All the minimum funding requirements of the Internal Revenue Code, as amended, and the Employee Retirement Income Security Act of 1974, as amended, for the Viskase and ACF plans have been met as of March 31</w:t>
      </w:r>
      <w:r>
        <w:rPr>
          <w:sz w:val="20"/>
          <w:szCs w:val="20"/>
        </w:rPr>
        <w:t xml:space="preserve">, 2022. If the plans were voluntarily terminated, they would be underfunded by an aggregate of approximately $90 million as of March 31, 2022. These results are based on the most recent information provided by the plans’ actuaries. These liabilities could </w:t>
      </w:r>
      <w:r>
        <w:rPr>
          <w:sz w:val="20"/>
          <w:szCs w:val="20"/>
        </w:rPr>
        <w:t xml:space="preserve">increase or decrease, depending on a number of factors, including future changes in benefits, investment returns, and the assumptions used to calculate the liability. As members of the controlled group, we would be liable for </w:t>
      </w:r>
    </w:p>
    <w:p w:rsidR="00000000" w:rsidRDefault="009730FF">
      <w:pPr>
        <w:pStyle w:val="a3"/>
        <w:spacing w:before="480" w:beforeAutospacing="0" w:after="0" w:afterAutospacing="0"/>
        <w:jc w:val="center"/>
        <w:divId w:val="1793934014"/>
        <w:rPr>
          <w:sz w:val="20"/>
          <w:szCs w:val="20"/>
        </w:rPr>
      </w:pPr>
      <w:r>
        <w:rPr>
          <w:sz w:val="20"/>
          <w:szCs w:val="20"/>
        </w:rPr>
        <w:t>28</w:t>
      </w:r>
    </w:p>
    <w:p w:rsidR="00000000" w:rsidRDefault="009730FF">
      <w:pPr>
        <w:pStyle w:val="a3"/>
        <w:spacing w:before="0" w:beforeAutospacing="0" w:after="600" w:afterAutospacing="0"/>
        <w:divId w:val="115802737"/>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15802737"/>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15802737"/>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988945237"/>
        <w:rPr>
          <w:sz w:val="20"/>
          <w:szCs w:val="20"/>
        </w:rPr>
      </w:pPr>
      <w:r>
        <w:rPr>
          <w:sz w:val="20"/>
          <w:szCs w:val="20"/>
        </w:rPr>
        <w:t>any failure of Viskase or ACF to make ongoing pension contributions or to pay the unfunded liabilities upon a termination of the Viskase or ACF pension plans. In addition, other entities now or in the future within the controlled group in which we are incl</w:t>
      </w:r>
      <w:r>
        <w:rPr>
          <w:sz w:val="20"/>
          <w:szCs w:val="20"/>
        </w:rPr>
        <w:t>uded may have pension plan obligations that are, or may become, underfunded and we would be liable for any failure of such entities to make ongoing pension contributions or to pay the unfunded liabilities upon termination of such plans.</w:t>
      </w:r>
    </w:p>
    <w:p w:rsidR="00000000" w:rsidRDefault="009730FF">
      <w:pPr>
        <w:pStyle w:val="a3"/>
        <w:spacing w:before="0" w:beforeAutospacing="0" w:after="240" w:afterAutospacing="0"/>
        <w:ind w:firstLine="360"/>
        <w:divId w:val="988945237"/>
        <w:rPr>
          <w:sz w:val="20"/>
          <w:szCs w:val="20"/>
        </w:rPr>
      </w:pPr>
      <w:r>
        <w:rPr>
          <w:sz w:val="20"/>
          <w:szCs w:val="20"/>
        </w:rPr>
        <w:t>The current underfu</w:t>
      </w:r>
      <w:r>
        <w:rPr>
          <w:sz w:val="20"/>
          <w:szCs w:val="20"/>
        </w:rPr>
        <w:t>nded status of the pension plans of Viskase and ACF requires them to notify the PBGC of certain “reportable events,” such as if we cease to be a member of the Viskase or ACF controlled group, or if we make certain extraordinary dividends or stock redemptio</w:t>
      </w:r>
      <w:r>
        <w:rPr>
          <w:sz w:val="20"/>
          <w:szCs w:val="20"/>
        </w:rPr>
        <w:t>ns. The obligation to report could cause us to seek to delay or reconsider the occurrence of such reportable events.</w:t>
      </w:r>
    </w:p>
    <w:p w:rsidR="00000000" w:rsidRDefault="009730FF">
      <w:pPr>
        <w:pStyle w:val="a3"/>
        <w:spacing w:before="0" w:beforeAutospacing="0" w:after="240" w:afterAutospacing="0"/>
        <w:ind w:firstLine="360"/>
        <w:divId w:val="988945237"/>
        <w:rPr>
          <w:sz w:val="20"/>
          <w:szCs w:val="20"/>
        </w:rPr>
      </w:pPr>
      <w:r>
        <w:rPr>
          <w:sz w:val="20"/>
          <w:szCs w:val="20"/>
        </w:rPr>
        <w:t>Starfire Holding Corporation (“Starfire”), which is 99.6% owned by Mr. Icahn, has undertaken to indemnify us and our subsidiaries from loss</w:t>
      </w:r>
      <w:r>
        <w:rPr>
          <w:sz w:val="20"/>
          <w:szCs w:val="20"/>
        </w:rPr>
        <w:t>es resulting from any imposition of certain pension funding or termination liabilities that may be imposed on us and our subsidiaries or our assets as a result of being a member of the Icahn controlled group, including ACF. The Starfire indemnity provides,</w:t>
      </w:r>
      <w:r>
        <w:rPr>
          <w:sz w:val="20"/>
          <w:szCs w:val="20"/>
        </w:rPr>
        <w:t xml:space="preserve"> among other things, that so long as such contingent liabilities exist and could be imposed on us, Starfire will not make any distributions to its stockholders that would reduce its net worth to below $250 million. Nonetheless, Starfire may not be able to </w:t>
      </w:r>
      <w:r>
        <w:rPr>
          <w:sz w:val="20"/>
          <w:szCs w:val="20"/>
        </w:rPr>
        <w:t>fund its indemnification obligations to us.</w:t>
      </w:r>
    </w:p>
    <w:p w:rsidR="00000000" w:rsidRDefault="009730FF">
      <w:pPr>
        <w:pStyle w:val="a3"/>
        <w:spacing w:before="0" w:beforeAutospacing="0" w:after="240" w:afterAutospacing="0"/>
        <w:divId w:val="988945237"/>
        <w:rPr>
          <w:i/>
          <w:iCs/>
          <w:sz w:val="20"/>
          <w:szCs w:val="20"/>
        </w:rPr>
      </w:pPr>
      <w:r>
        <w:rPr>
          <w:i/>
          <w:iCs/>
          <w:sz w:val="20"/>
          <w:szCs w:val="20"/>
        </w:rPr>
        <w:t>Other</w:t>
      </w:r>
    </w:p>
    <w:p w:rsidR="00000000" w:rsidRDefault="009730FF">
      <w:pPr>
        <w:pStyle w:val="a3"/>
        <w:spacing w:before="0" w:beforeAutospacing="0" w:after="240" w:afterAutospacing="0"/>
        <w:ind w:firstLine="360"/>
        <w:divId w:val="988945237"/>
        <w:rPr>
          <w:sz w:val="20"/>
          <w:szCs w:val="20"/>
        </w:rPr>
      </w:pPr>
      <w:r>
        <w:rPr>
          <w:sz w:val="20"/>
          <w:szCs w:val="20"/>
        </w:rPr>
        <w:t>The U.S. Attorney’s office for the Southern District of New York contacted Icahn Enterprises L.P. in September 2017 seeking production of information pertaining to our and Mr. Icahn’s activities relating to</w:t>
      </w:r>
      <w:r>
        <w:rPr>
          <w:sz w:val="20"/>
          <w:szCs w:val="20"/>
        </w:rPr>
        <w:t xml:space="preserve"> the Renewable Fuels Standard and Mr. Icahn’s former role as an advisor to the former President of the United States. We cooperated with the request and provided information in response to the subpoena. The U.S. Attorney’s office for the Southern District </w:t>
      </w:r>
      <w:r>
        <w:rPr>
          <w:sz w:val="20"/>
          <w:szCs w:val="20"/>
        </w:rPr>
        <w:t xml:space="preserve">of New York contacted Icahn Enterprises L.P. in June 2018 seeking production of information pertaining to trading in Manitowoc Company, Inc. securities. We cooperated with the request and provided documents in response to the subpoena. The U.S. Attorney’s </w:t>
      </w:r>
      <w:r>
        <w:rPr>
          <w:sz w:val="20"/>
          <w:szCs w:val="20"/>
        </w:rPr>
        <w:t>office has not made any claims or allegations against us or Mr. Icahn with respect to either of the foregoing inquiries. We believe that we maintain a strong compliance program and, while no assurances can be made, we do not believe these inquiries will ha</w:t>
      </w:r>
      <w:r>
        <w:rPr>
          <w:sz w:val="20"/>
          <w:szCs w:val="20"/>
        </w:rPr>
        <w:t>ve a material impact on our business, financial condition, results of operations or cash flows.</w:t>
      </w:r>
    </w:p>
    <w:p w:rsidR="00000000" w:rsidRDefault="009730FF">
      <w:pPr>
        <w:pStyle w:val="a3"/>
        <w:spacing w:before="0" w:beforeAutospacing="0" w:after="240" w:afterAutospacing="0"/>
        <w:divId w:val="988945237"/>
        <w:rPr>
          <w:b/>
          <w:bCs/>
          <w:sz w:val="20"/>
          <w:szCs w:val="20"/>
        </w:rPr>
      </w:pPr>
      <w:r>
        <w:rPr>
          <w:b/>
          <w:bCs/>
          <w:sz w:val="20"/>
          <w:szCs w:val="20"/>
        </w:rPr>
        <w:t>17.  Supplemental Cash Flow Information</w:t>
      </w:r>
    </w:p>
    <w:p w:rsidR="00000000" w:rsidRDefault="009730FF">
      <w:pPr>
        <w:pStyle w:val="a3"/>
        <w:spacing w:before="0" w:beforeAutospacing="0" w:after="240" w:afterAutospacing="0"/>
        <w:ind w:firstLine="360"/>
        <w:divId w:val="988945237"/>
        <w:rPr>
          <w:sz w:val="20"/>
          <w:szCs w:val="20"/>
        </w:rPr>
      </w:pPr>
      <w:r>
        <w:rPr>
          <w:sz w:val="20"/>
          <w:szCs w:val="20"/>
        </w:rPr>
        <w:t xml:space="preserve">Supplemental cash flow information consists of the following: </w:t>
      </w:r>
    </w:p>
    <w:p w:rsidR="00000000" w:rsidRDefault="009730FF">
      <w:pPr>
        <w:pStyle w:val="a3"/>
        <w:spacing w:before="0" w:beforeAutospacing="0" w:after="0" w:afterAutospacing="0"/>
        <w:divId w:val="98894523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7"/>
        <w:gridCol w:w="1103"/>
        <w:gridCol w:w="261"/>
        <w:gridCol w:w="165"/>
        <w:gridCol w:w="1104"/>
      </w:tblGrid>
      <w:tr w:rsidR="00000000">
        <w:trPr>
          <w:divId w:val="988945237"/>
          <w:trHeight w:val="20"/>
        </w:trPr>
        <w:tc>
          <w:tcPr>
            <w:tcW w:w="3454" w:type="pct"/>
            <w:tcMar>
              <w:top w:w="0" w:type="dxa"/>
              <w:left w:w="0" w:type="dxa"/>
              <w:bottom w:w="0" w:type="dxa"/>
              <w:right w:w="0" w:type="dxa"/>
            </w:tcMar>
            <w:vAlign w:val="bottom"/>
            <w:hideMark/>
          </w:tcPr>
          <w:p w:rsidR="00000000" w:rsidRDefault="009730FF">
            <w:pPr>
              <w:pStyle w:val="a3"/>
              <w:spacing w:before="0" w:beforeAutospacing="0" w:after="1" w:afterAutospacing="0"/>
              <w:divId w:val="58438683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5756238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01300104"/>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878539113"/>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5345488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52555688"/>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043866383"/>
              <w:rPr>
                <w:sz w:val="20"/>
                <w:szCs w:val="20"/>
              </w:rPr>
            </w:pPr>
            <w:r>
              <w:rPr>
                <w:sz w:val="2"/>
                <w:szCs w:val="2"/>
              </w:rPr>
              <w:t>​</w:t>
            </w:r>
          </w:p>
        </w:tc>
      </w:tr>
      <w:tr w:rsidR="00000000">
        <w:trPr>
          <w:divId w:val="988945237"/>
        </w:trPr>
        <w:tc>
          <w:tcPr>
            <w:tcW w:w="3454"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Three Months Ended March 31, </w:t>
            </w:r>
          </w:p>
        </w:tc>
      </w:tr>
      <w:tr w:rsidR="00000000">
        <w:trPr>
          <w:divId w:val="988945237"/>
        </w:trPr>
        <w:tc>
          <w:tcPr>
            <w:tcW w:w="3454"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2022</w:t>
            </w:r>
          </w:p>
        </w:tc>
        <w:tc>
          <w:tcPr>
            <w:tcW w:w="13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6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2021</w:t>
            </w:r>
          </w:p>
        </w:tc>
      </w:tr>
      <w:tr w:rsidR="00000000">
        <w:trPr>
          <w:divId w:val="988945237"/>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988945237"/>
        </w:trPr>
        <w:tc>
          <w:tcPr>
            <w:tcW w:w="3454"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442" w:type="pct"/>
            <w:gridSpan w:val="5"/>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988945237"/>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Cash payments for interest, net of amounts capitalized</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(98)</w:t>
            </w:r>
          </w:p>
        </w:tc>
        <w:tc>
          <w:tcPr>
            <w:tcW w:w="13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(117)</w:t>
            </w:r>
          </w:p>
        </w:tc>
      </w:tr>
      <w:tr w:rsidR="00000000">
        <w:trPr>
          <w:divId w:val="988945237"/>
        </w:trPr>
        <w:tc>
          <w:tcPr>
            <w:tcW w:w="3454"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Cash (payments) receipts for income taxes, net of payments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p>
        </w:tc>
        <w:tc>
          <w:tcPr>
            <w:tcW w:w="13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p>
        </w:tc>
      </w:tr>
      <w:tr w:rsidR="00000000">
        <w:trPr>
          <w:divId w:val="988945237"/>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Partnership distributions payable</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(603)</w:t>
            </w:r>
          </w:p>
        </w:tc>
        <w:tc>
          <w:tcPr>
            <w:tcW w:w="13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(499)</w:t>
            </w:r>
          </w:p>
        </w:tc>
      </w:tr>
    </w:tbl>
    <w:p w:rsidR="00000000" w:rsidRDefault="009730FF">
      <w:pPr>
        <w:pStyle w:val="a3"/>
        <w:spacing w:before="0" w:beforeAutospacing="0" w:after="0" w:afterAutospacing="0"/>
        <w:ind w:firstLine="360"/>
        <w:divId w:val="988945237"/>
        <w:rPr>
          <w:sz w:val="20"/>
          <w:szCs w:val="20"/>
        </w:rPr>
      </w:pPr>
      <w:r>
        <w:rPr>
          <w:sz w:val="2"/>
          <w:szCs w:val="2"/>
        </w:rPr>
        <w:t>​</w:t>
      </w:r>
    </w:p>
    <w:p w:rsidR="00000000" w:rsidRDefault="009730FF">
      <w:pPr>
        <w:pStyle w:val="a3"/>
        <w:spacing w:before="0" w:beforeAutospacing="0" w:after="240" w:afterAutospacing="0"/>
        <w:ind w:firstLine="360"/>
        <w:divId w:val="988945237"/>
        <w:rPr>
          <w:sz w:val="20"/>
          <w:szCs w:val="20"/>
        </w:rPr>
      </w:pPr>
      <w:r>
        <w:rPr>
          <w:sz w:val="2"/>
          <w:szCs w:val="2"/>
        </w:rPr>
        <w:t>​</w:t>
      </w:r>
    </w:p>
    <w:p w:rsidR="00000000" w:rsidRDefault="009730FF">
      <w:pPr>
        <w:pStyle w:val="a3"/>
        <w:spacing w:before="0" w:beforeAutospacing="0" w:after="0" w:afterAutospacing="0"/>
        <w:ind w:firstLine="360"/>
        <w:divId w:val="988945237"/>
        <w:rPr>
          <w:sz w:val="20"/>
          <w:szCs w:val="20"/>
        </w:rPr>
      </w:pPr>
      <w:r>
        <w:rPr>
          <w:sz w:val="2"/>
          <w:szCs w:val="2"/>
        </w:rPr>
        <w:t>​</w:t>
      </w:r>
    </w:p>
    <w:p w:rsidR="00000000" w:rsidRDefault="009730FF">
      <w:pPr>
        <w:pStyle w:val="a3"/>
        <w:spacing w:before="0" w:beforeAutospacing="0" w:after="240" w:afterAutospacing="0"/>
        <w:divId w:val="988945237"/>
        <w:rPr>
          <w:b/>
          <w:bCs/>
          <w:sz w:val="20"/>
          <w:szCs w:val="20"/>
        </w:rPr>
      </w:pPr>
      <w:r>
        <w:rPr>
          <w:b/>
          <w:bCs/>
          <w:sz w:val="20"/>
          <w:szCs w:val="20"/>
        </w:rPr>
        <w:t>18. Subsequent Events</w:t>
      </w:r>
    </w:p>
    <w:p w:rsidR="00000000" w:rsidRDefault="009730FF">
      <w:pPr>
        <w:pStyle w:val="a3"/>
        <w:spacing w:before="0" w:beforeAutospacing="0" w:after="240" w:afterAutospacing="0"/>
        <w:divId w:val="988945237"/>
        <w:rPr>
          <w:b/>
          <w:bCs/>
          <w:i/>
          <w:iCs/>
          <w:sz w:val="20"/>
          <w:szCs w:val="20"/>
        </w:rPr>
      </w:pPr>
      <w:r>
        <w:rPr>
          <w:b/>
          <w:bCs/>
          <w:i/>
          <w:iCs/>
          <w:sz w:val="20"/>
          <w:szCs w:val="20"/>
        </w:rPr>
        <w:t>Icahn Enterprises</w:t>
      </w:r>
    </w:p>
    <w:p w:rsidR="00000000" w:rsidRDefault="009730FF">
      <w:pPr>
        <w:pStyle w:val="a3"/>
        <w:spacing w:before="0" w:beforeAutospacing="0" w:after="240" w:afterAutospacing="0"/>
        <w:divId w:val="988945237"/>
        <w:rPr>
          <w:i/>
          <w:iCs/>
          <w:sz w:val="20"/>
          <w:szCs w:val="20"/>
        </w:rPr>
      </w:pPr>
      <w:r>
        <w:rPr>
          <w:i/>
          <w:iCs/>
          <w:sz w:val="20"/>
          <w:szCs w:val="20"/>
        </w:rPr>
        <w:t>LP Unit Distribution</w:t>
      </w:r>
    </w:p>
    <w:p w:rsidR="00000000" w:rsidRDefault="009730FF">
      <w:pPr>
        <w:pStyle w:val="a3"/>
        <w:spacing w:before="0" w:beforeAutospacing="0" w:after="0" w:afterAutospacing="0"/>
        <w:ind w:firstLine="360"/>
        <w:divId w:val="988945237"/>
        <w:rPr>
          <w:sz w:val="20"/>
          <w:szCs w:val="20"/>
        </w:rPr>
      </w:pPr>
      <w:r>
        <w:rPr>
          <w:sz w:val="20"/>
          <w:szCs w:val="20"/>
        </w:rPr>
        <w:t xml:space="preserve">On May 4, 2022, the Board of Directors of the general partner of Icahn Enterprises declared a quarterly distribution in the amount of $2.00 per depositary unit, which will be paid on or about June 29, 2022 to depositary unitholders of </w:t>
      </w:r>
    </w:p>
    <w:p w:rsidR="00000000" w:rsidRDefault="009730FF">
      <w:pPr>
        <w:pStyle w:val="a3"/>
        <w:spacing w:before="480" w:beforeAutospacing="0" w:after="0" w:afterAutospacing="0"/>
        <w:jc w:val="center"/>
        <w:divId w:val="266042521"/>
        <w:rPr>
          <w:sz w:val="20"/>
          <w:szCs w:val="20"/>
        </w:rPr>
      </w:pPr>
      <w:r>
        <w:rPr>
          <w:sz w:val="20"/>
          <w:szCs w:val="20"/>
        </w:rPr>
        <w:t>29</w:t>
      </w:r>
    </w:p>
    <w:p w:rsidR="00000000" w:rsidRDefault="009730FF">
      <w:pPr>
        <w:pStyle w:val="a3"/>
        <w:spacing w:before="0" w:beforeAutospacing="0" w:after="600" w:afterAutospacing="0"/>
        <w:divId w:val="1967930626"/>
        <w:rPr>
          <w:sz w:val="20"/>
          <w:szCs w:val="20"/>
        </w:rPr>
      </w:pPr>
      <w:hyperlink w:anchor="TOC" w:history="1">
        <w:r>
          <w:rPr>
            <w:rStyle w:val="a4"/>
            <w:sz w:val="20"/>
            <w:szCs w:val="20"/>
          </w:rPr>
          <w:t>Table of Contents</w:t>
        </w:r>
      </w:hyperlink>
    </w:p>
    <w:p w:rsidR="00000000" w:rsidRDefault="009730FF">
      <w:pPr>
        <w:pStyle w:val="a3"/>
        <w:spacing w:before="0" w:beforeAutospacing="0" w:after="0" w:afterAutospacing="0"/>
        <w:jc w:val="center"/>
        <w:divId w:val="1967930626"/>
        <w:rPr>
          <w:sz w:val="20"/>
          <w:szCs w:val="20"/>
        </w:rPr>
      </w:pPr>
      <w:r>
        <w:rPr>
          <w:b/>
          <w:bCs/>
          <w:sz w:val="20"/>
          <w:szCs w:val="20"/>
        </w:rPr>
        <w:t>ICAHN ENTERPRISES L.P. AND SUBSIDIARIES</w:t>
      </w:r>
    </w:p>
    <w:p w:rsidR="00000000" w:rsidRDefault="009730FF">
      <w:pPr>
        <w:pStyle w:val="a3"/>
        <w:spacing w:before="0" w:beforeAutospacing="0" w:after="240" w:afterAutospacing="0"/>
        <w:jc w:val="center"/>
        <w:divId w:val="1967930626"/>
        <w:rPr>
          <w:sz w:val="20"/>
          <w:szCs w:val="20"/>
        </w:rPr>
      </w:pPr>
      <w:r>
        <w:rPr>
          <w:b/>
          <w:bCs/>
          <w:sz w:val="20"/>
          <w:szCs w:val="20"/>
        </w:rPr>
        <w:t>Notes to Condensed Consolidated Financial Statements (Unaudited)</w:t>
      </w:r>
    </w:p>
    <w:p w:rsidR="00000000" w:rsidRDefault="009730FF">
      <w:pPr>
        <w:pStyle w:val="a3"/>
        <w:spacing w:before="0" w:beforeAutospacing="0" w:after="240" w:afterAutospacing="0"/>
        <w:divId w:val="489097146"/>
        <w:rPr>
          <w:sz w:val="20"/>
          <w:szCs w:val="20"/>
        </w:rPr>
      </w:pPr>
      <w:r>
        <w:rPr>
          <w:sz w:val="20"/>
          <w:szCs w:val="20"/>
        </w:rPr>
        <w:t>record at the close of business on May 20, 2022. Depositary unitholders will have until June 16, 2022 to make a timely elect</w:t>
      </w:r>
      <w:r>
        <w:rPr>
          <w:sz w:val="20"/>
          <w:szCs w:val="20"/>
        </w:rPr>
        <w:t>ion to receive either cash or additional depositary units. If a unitholder does not make a timely election, it will automatically be deemed to have elected to receive the distribution in additional depositary units. Depositary unitholders who elect to rece</w:t>
      </w:r>
      <w:r>
        <w:rPr>
          <w:sz w:val="20"/>
          <w:szCs w:val="20"/>
        </w:rPr>
        <w:t xml:space="preserve">ive (or who are deemed to have elected to receive) additional depositary units will receive units valued at the volume weighted average trading price of the units during the five consecutive trading days ending June 24, 2022. Icahn Enterprises will make a </w:t>
      </w:r>
      <w:r>
        <w:rPr>
          <w:sz w:val="20"/>
          <w:szCs w:val="20"/>
        </w:rPr>
        <w:t xml:space="preserve">cash payment in lieu of issuing fractional depositary units to any unitholders electing to receive (or who are deemed to have elected to receive) depositary units. </w:t>
      </w:r>
    </w:p>
    <w:p w:rsidR="00000000" w:rsidRDefault="009730FF">
      <w:pPr>
        <w:pStyle w:val="a3"/>
        <w:spacing w:before="0" w:beforeAutospacing="0" w:after="240" w:afterAutospacing="0"/>
        <w:ind w:firstLine="360"/>
        <w:divId w:val="489097146"/>
        <w:rPr>
          <w:sz w:val="20"/>
          <w:szCs w:val="20"/>
        </w:rPr>
      </w:pPr>
      <w:r>
        <w:rPr>
          <w:b/>
          <w:bCs/>
          <w:sz w:val="20"/>
          <w:szCs w:val="20"/>
        </w:rPr>
        <w:t>​</w:t>
      </w:r>
    </w:p>
    <w:p w:rsidR="00000000" w:rsidRDefault="009730FF">
      <w:pPr>
        <w:pStyle w:val="a3"/>
        <w:spacing w:before="0" w:beforeAutospacing="0" w:after="0" w:afterAutospacing="0" w:line="0" w:lineRule="atLeast"/>
        <w:divId w:val="489097146"/>
        <w:rPr>
          <w:vanish/>
        </w:rPr>
      </w:pPr>
      <w:r>
        <w:rPr>
          <w:b/>
          <w:bCs/>
          <w:vanish/>
          <w:sz w:val="2"/>
          <w:szCs w:val="2"/>
        </w:rPr>
        <w:t>​</w:t>
      </w:r>
    </w:p>
    <w:p w:rsidR="00000000" w:rsidRDefault="009730FF">
      <w:pPr>
        <w:pStyle w:val="a3"/>
        <w:spacing w:before="480" w:beforeAutospacing="0" w:after="0" w:afterAutospacing="0"/>
        <w:jc w:val="center"/>
        <w:divId w:val="2011328644"/>
        <w:rPr>
          <w:sz w:val="20"/>
          <w:szCs w:val="20"/>
        </w:rPr>
      </w:pPr>
      <w:r>
        <w:rPr>
          <w:sz w:val="20"/>
          <w:szCs w:val="20"/>
        </w:rPr>
        <w:t>30</w:t>
      </w:r>
    </w:p>
    <w:p w:rsidR="00000000" w:rsidRDefault="009730FF">
      <w:pPr>
        <w:pStyle w:val="a3"/>
        <w:spacing w:before="0" w:beforeAutospacing="0" w:after="600" w:afterAutospacing="0"/>
        <w:divId w:val="1639338047"/>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538082709"/>
        <w:rPr>
          <w:b/>
          <w:bCs/>
          <w:sz w:val="20"/>
          <w:szCs w:val="20"/>
        </w:rPr>
      </w:pPr>
      <w:r>
        <w:rPr>
          <w:b/>
          <w:bCs/>
          <w:sz w:val="20"/>
          <w:szCs w:val="20"/>
        </w:rPr>
        <w:t>Item 2. Management’</w:t>
      </w:r>
      <w:r>
        <w:rPr>
          <w:b/>
          <w:bCs/>
          <w:sz w:val="20"/>
          <w:szCs w:val="20"/>
        </w:rPr>
        <w:t>s Discussion and Analysis of Financial Condition and Results of Operations</w:t>
      </w:r>
    </w:p>
    <w:p w:rsidR="00000000" w:rsidRDefault="009730FF">
      <w:pPr>
        <w:pStyle w:val="a3"/>
        <w:spacing w:before="0" w:beforeAutospacing="0" w:after="240" w:afterAutospacing="0"/>
        <w:ind w:firstLine="360"/>
        <w:divId w:val="538082709"/>
        <w:rPr>
          <w:sz w:val="20"/>
          <w:szCs w:val="20"/>
        </w:rPr>
      </w:pPr>
      <w:r>
        <w:rPr>
          <w:i/>
          <w:iCs/>
          <w:sz w:val="20"/>
          <w:szCs w:val="20"/>
        </w:rPr>
        <w:t>The following discussion is intended to assist you in understanding our present business and the results of operations together with our present financial condition. This section sh</w:t>
      </w:r>
      <w:r>
        <w:rPr>
          <w:i/>
          <w:iCs/>
          <w:sz w:val="20"/>
          <w:szCs w:val="20"/>
        </w:rPr>
        <w:t>ould be read in conjunction with our unaudited condensed consolidated financial statements and the accompanying notes contained in this Quarterly Report on Form 10-Q for the period ended March 31, 2022 (this “Report”), as well as our Annual Report on Form </w:t>
      </w:r>
      <w:r>
        <w:rPr>
          <w:i/>
          <w:iCs/>
          <w:sz w:val="20"/>
          <w:szCs w:val="20"/>
        </w:rPr>
        <w:t>10-K for the year ended December 31, 2021 filed with the Securities and Exchange Commission on February 25, 2022.</w:t>
      </w:r>
    </w:p>
    <w:p w:rsidR="00000000" w:rsidRDefault="009730FF">
      <w:pPr>
        <w:pStyle w:val="a3"/>
        <w:spacing w:before="0" w:beforeAutospacing="0" w:after="240" w:afterAutospacing="0"/>
        <w:divId w:val="538082709"/>
        <w:rPr>
          <w:b/>
          <w:bCs/>
          <w:sz w:val="20"/>
          <w:szCs w:val="20"/>
        </w:rPr>
      </w:pPr>
      <w:r>
        <w:rPr>
          <w:b/>
          <w:bCs/>
          <w:sz w:val="20"/>
          <w:szCs w:val="20"/>
        </w:rPr>
        <w:t>Executive Overview</w:t>
      </w:r>
    </w:p>
    <w:p w:rsidR="00000000" w:rsidRDefault="009730FF">
      <w:pPr>
        <w:pStyle w:val="a3"/>
        <w:spacing w:before="0" w:beforeAutospacing="0" w:after="240" w:afterAutospacing="0"/>
        <w:divId w:val="538082709"/>
        <w:rPr>
          <w:b/>
          <w:bCs/>
          <w:i/>
          <w:iCs/>
          <w:sz w:val="20"/>
          <w:szCs w:val="20"/>
        </w:rPr>
      </w:pPr>
      <w:r>
        <w:rPr>
          <w:b/>
          <w:bCs/>
          <w:i/>
          <w:iCs/>
          <w:sz w:val="20"/>
          <w:szCs w:val="20"/>
        </w:rPr>
        <w:t>Introduction</w:t>
      </w:r>
    </w:p>
    <w:p w:rsidR="00000000" w:rsidRDefault="009730FF">
      <w:pPr>
        <w:pStyle w:val="a3"/>
        <w:spacing w:before="0" w:beforeAutospacing="0" w:after="240" w:afterAutospacing="0"/>
        <w:ind w:firstLine="360"/>
        <w:divId w:val="538082709"/>
        <w:rPr>
          <w:sz w:val="20"/>
          <w:szCs w:val="20"/>
        </w:rPr>
      </w:pPr>
      <w:r>
        <w:rPr>
          <w:sz w:val="20"/>
          <w:szCs w:val="20"/>
        </w:rPr>
        <w:t>Icahn Enterprises L.P. (“Icahn Enterprises”</w:t>
      </w:r>
      <w:r>
        <w:rPr>
          <w:sz w:val="20"/>
          <w:szCs w:val="20"/>
        </w:rPr>
        <w:t>) is a master limited partnership formed in Delaware on February 17, 1987 and headquartered in Sunny Isles Beach, Florida. We are a diversified holding company owning subsidiaries currently engaged in the following continuing operating businesses: Investme</w:t>
      </w:r>
      <w:r>
        <w:rPr>
          <w:sz w:val="20"/>
          <w:szCs w:val="20"/>
        </w:rPr>
        <w:t>nt, Energy, Automotive, Food Packaging, Real Estate, Home Fashion and Pharma. In addition, we operated our Metals segment until sold in December 2021.</w:t>
      </w:r>
      <w:r>
        <w:rPr>
          <w:color w:val="231F20"/>
          <w:sz w:val="20"/>
          <w:szCs w:val="20"/>
        </w:rPr>
        <w:t xml:space="preserve"> </w:t>
      </w:r>
      <w:r>
        <w:rPr>
          <w:sz w:val="20"/>
          <w:szCs w:val="20"/>
        </w:rPr>
        <w:t xml:space="preserve">We also report the results of our Holding Company, which includes the results of certain subsidiaries of </w:t>
      </w:r>
      <w:r>
        <w:rPr>
          <w:sz w:val="20"/>
          <w:szCs w:val="20"/>
        </w:rPr>
        <w:t>Icahn Enterprises (unless otherwise noted), and investment activity and expenses associated with our Holding Company. References to “we,” “our” or “us” herein include Icahn Enterprises and its subsidiaries, unless the context otherwise requires.</w:t>
      </w:r>
    </w:p>
    <w:p w:rsidR="00000000" w:rsidRDefault="009730FF">
      <w:pPr>
        <w:pStyle w:val="a3"/>
        <w:spacing w:before="0" w:beforeAutospacing="0" w:after="240" w:afterAutospacing="0"/>
        <w:ind w:firstLine="360"/>
        <w:divId w:val="538082709"/>
        <w:rPr>
          <w:sz w:val="20"/>
          <w:szCs w:val="20"/>
        </w:rPr>
      </w:pPr>
      <w:r>
        <w:rPr>
          <w:sz w:val="20"/>
          <w:szCs w:val="20"/>
        </w:rPr>
        <w:t>Icahn Ente</w:t>
      </w:r>
      <w:r>
        <w:rPr>
          <w:sz w:val="20"/>
          <w:szCs w:val="20"/>
        </w:rPr>
        <w:t>rprises owns a 99% limited partner interest in Icahn Enterprises Holdings L.P. (“Icahn Enterprises Holdings”). Icahn Enterprises Holdings and its subsidiaries own substantially all of our assets and liabilities and conduct substantially all of our operatio</w:t>
      </w:r>
      <w:r>
        <w:rPr>
          <w:sz w:val="20"/>
          <w:szCs w:val="20"/>
        </w:rPr>
        <w:t>ns. Icahn Enterprises G.P. Inc. (“Icahn Enterprises GP”), which is indirectly owned and controlled by Mr. Carl C. Icahn, owns a 1% general partner interest in each of Icahn Enterprises and Icahn Enterprises Holdings as of March 31, 2022, representing an ag</w:t>
      </w:r>
      <w:r>
        <w:rPr>
          <w:sz w:val="20"/>
          <w:szCs w:val="20"/>
        </w:rPr>
        <w:t>gregate 1.99% general partner interest in Icahn Enterprises Holdings and us. Mr. Icahn and his affiliates owned approximately 87% of Icahn Enterprises’ outstanding depositary units as of March 31, 2022.</w:t>
      </w:r>
    </w:p>
    <w:p w:rsidR="00000000" w:rsidRDefault="009730FF">
      <w:pPr>
        <w:pStyle w:val="a3"/>
        <w:spacing w:before="0" w:beforeAutospacing="0" w:after="240" w:afterAutospacing="0"/>
        <w:divId w:val="538082709"/>
        <w:rPr>
          <w:b/>
          <w:bCs/>
          <w:i/>
          <w:iCs/>
          <w:sz w:val="20"/>
          <w:szCs w:val="20"/>
        </w:rPr>
      </w:pPr>
      <w:r>
        <w:rPr>
          <w:b/>
          <w:bCs/>
          <w:i/>
          <w:iCs/>
          <w:sz w:val="20"/>
          <w:szCs w:val="20"/>
        </w:rPr>
        <w:t>Significant Transactions and Developments</w:t>
      </w:r>
    </w:p>
    <w:p w:rsidR="00000000" w:rsidRDefault="009730FF">
      <w:pPr>
        <w:pStyle w:val="a3"/>
        <w:spacing w:before="0" w:beforeAutospacing="0" w:after="240" w:afterAutospacing="0"/>
        <w:divId w:val="538082709"/>
        <w:rPr>
          <w:sz w:val="20"/>
          <w:szCs w:val="20"/>
        </w:rPr>
      </w:pPr>
      <w:r>
        <w:rPr>
          <w:i/>
          <w:iCs/>
          <w:sz w:val="20"/>
          <w:szCs w:val="20"/>
        </w:rPr>
        <w:t>Tender Offe</w:t>
      </w:r>
      <w:r>
        <w:rPr>
          <w:i/>
          <w:iCs/>
          <w:sz w:val="20"/>
          <w:szCs w:val="20"/>
        </w:rPr>
        <w:t>r</w:t>
      </w:r>
    </w:p>
    <w:p w:rsidR="00000000" w:rsidRDefault="009730FF">
      <w:pPr>
        <w:pStyle w:val="a3"/>
        <w:spacing w:before="0" w:beforeAutospacing="0" w:after="240" w:afterAutospacing="0"/>
        <w:ind w:firstLine="360"/>
        <w:divId w:val="538082709"/>
        <w:rPr>
          <w:sz w:val="20"/>
          <w:szCs w:val="20"/>
        </w:rPr>
      </w:pPr>
      <w:r>
        <w:rPr>
          <w:sz w:val="20"/>
          <w:szCs w:val="20"/>
        </w:rPr>
        <w:t>On October 27, 2021, IEP Utility Holdings LLC (“IEP Utility”), a wholly owned subsidiary of Icahn Enterprises Holdings, commenced a cash offer (the “SWX Tender Offer”) to acquire, subject to certain terms and conditions, all of the issued and outstanding</w:t>
      </w:r>
      <w:r>
        <w:rPr>
          <w:sz w:val="20"/>
          <w:szCs w:val="20"/>
        </w:rPr>
        <w:t xml:space="preserve"> shares of common stock of Southwest Gas Holdings, Inc. (“Southwest Gas”) not held by affiliates of Icahn Enterprises Holdings at a price of $75.00 per share. On March 14, 2022, IEP Utility amended its SWX Tender Offer purchase price to $82.50 per share. S</w:t>
      </w:r>
      <w:r>
        <w:rPr>
          <w:sz w:val="20"/>
          <w:szCs w:val="20"/>
        </w:rPr>
        <w:t xml:space="preserve">outhwest Gas, through its wholly owned subsidiaries, is engaged in the business of purchasing, distributing, and transporting natural gas for customers in portions of Arizona, Nevada, and California. Southwest Gas’ shares of common stock are listed on the </w:t>
      </w:r>
      <w:r>
        <w:rPr>
          <w:sz w:val="20"/>
          <w:szCs w:val="20"/>
        </w:rPr>
        <w:t xml:space="preserve">New York Stock Exchange under the symbol “SWX.” The SWX Tender Offer has been extended and is scheduled to expire at 12:00 midnight, New York City Time, on May 9, 2022, unless the offer is further extended. </w:t>
      </w:r>
    </w:p>
    <w:p w:rsidR="00000000" w:rsidRDefault="009730FF">
      <w:pPr>
        <w:pStyle w:val="a3"/>
        <w:spacing w:before="0" w:beforeAutospacing="0" w:after="240" w:afterAutospacing="0"/>
        <w:divId w:val="538082709"/>
        <w:rPr>
          <w:sz w:val="20"/>
          <w:szCs w:val="20"/>
        </w:rPr>
      </w:pPr>
      <w:r>
        <w:rPr>
          <w:i/>
          <w:iCs/>
          <w:sz w:val="20"/>
          <w:szCs w:val="20"/>
        </w:rPr>
        <w:t>Debt Repayments</w:t>
      </w:r>
    </w:p>
    <w:p w:rsidR="00000000" w:rsidRDefault="009730FF">
      <w:pPr>
        <w:pStyle w:val="a3"/>
        <w:spacing w:before="0" w:beforeAutospacing="0" w:after="240" w:afterAutospacing="0"/>
        <w:ind w:firstLine="360"/>
        <w:divId w:val="538082709"/>
        <w:rPr>
          <w:sz w:val="20"/>
          <w:szCs w:val="20"/>
        </w:rPr>
      </w:pPr>
      <w:r>
        <w:rPr>
          <w:sz w:val="20"/>
          <w:szCs w:val="20"/>
        </w:rPr>
        <w:t>In February 2022, we redeemed al</w:t>
      </w:r>
      <w:r>
        <w:rPr>
          <w:sz w:val="20"/>
          <w:szCs w:val="20"/>
        </w:rPr>
        <w:t>l of our $500 million aggregate principal amount of 6.750% senior unsecured notes due 2024 at par.</w:t>
      </w:r>
    </w:p>
    <w:p w:rsidR="00000000" w:rsidRDefault="009730FF">
      <w:pPr>
        <w:pStyle w:val="a3"/>
        <w:spacing w:before="0" w:beforeAutospacing="0" w:after="240" w:afterAutospacing="0"/>
        <w:divId w:val="538082709"/>
        <w:rPr>
          <w:sz w:val="20"/>
          <w:szCs w:val="20"/>
        </w:rPr>
      </w:pPr>
      <w:r>
        <w:rPr>
          <w:b/>
          <w:bCs/>
          <w:sz w:val="20"/>
          <w:szCs w:val="20"/>
        </w:rPr>
        <w:t>Results of Operations.</w:t>
      </w:r>
    </w:p>
    <w:p w:rsidR="00000000" w:rsidRDefault="009730FF">
      <w:pPr>
        <w:pStyle w:val="a3"/>
        <w:spacing w:before="0" w:beforeAutospacing="0" w:after="240" w:afterAutospacing="0"/>
        <w:divId w:val="538082709"/>
        <w:rPr>
          <w:b/>
          <w:bCs/>
          <w:i/>
          <w:iCs/>
          <w:sz w:val="20"/>
          <w:szCs w:val="20"/>
        </w:rPr>
      </w:pPr>
      <w:r>
        <w:rPr>
          <w:b/>
          <w:bCs/>
          <w:i/>
          <w:iCs/>
          <w:sz w:val="20"/>
          <w:szCs w:val="20"/>
        </w:rPr>
        <w:t>Consolidated Financial Results</w:t>
      </w:r>
    </w:p>
    <w:p w:rsidR="00000000" w:rsidRDefault="009730FF">
      <w:pPr>
        <w:pStyle w:val="a3"/>
        <w:spacing w:before="0" w:beforeAutospacing="0" w:after="0" w:afterAutospacing="0"/>
        <w:ind w:firstLine="360"/>
        <w:divId w:val="538082709"/>
        <w:rPr>
          <w:sz w:val="20"/>
          <w:szCs w:val="20"/>
        </w:rPr>
      </w:pPr>
      <w:r>
        <w:rPr>
          <w:sz w:val="20"/>
          <w:szCs w:val="20"/>
        </w:rPr>
        <w:t>Our operating businesses comprise consolidated subsidiaries which operate in various industries and are</w:t>
      </w:r>
      <w:r>
        <w:rPr>
          <w:sz w:val="20"/>
          <w:szCs w:val="20"/>
        </w:rPr>
        <w:t xml:space="preserve"> managed on a decentralized basis. In addition to our Investment segment’s revenues from investment transactions, revenues for our operating businesses primarily consist of net sales of various products, services revenue, franchisor operations and </w:t>
      </w:r>
    </w:p>
    <w:p w:rsidR="00000000" w:rsidRDefault="009730FF">
      <w:pPr>
        <w:pStyle w:val="a3"/>
        <w:spacing w:before="480" w:beforeAutospacing="0" w:after="0" w:afterAutospacing="0"/>
        <w:jc w:val="center"/>
        <w:divId w:val="1907491912"/>
        <w:rPr>
          <w:sz w:val="20"/>
          <w:szCs w:val="20"/>
        </w:rPr>
      </w:pPr>
      <w:r>
        <w:rPr>
          <w:sz w:val="20"/>
          <w:szCs w:val="20"/>
        </w:rPr>
        <w:t>31</w:t>
      </w:r>
    </w:p>
    <w:p w:rsidR="00000000" w:rsidRDefault="009730FF">
      <w:pPr>
        <w:pStyle w:val="a3"/>
        <w:spacing w:before="0" w:beforeAutospacing="0" w:after="600" w:afterAutospacing="0"/>
        <w:divId w:val="1184127421"/>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1518690364"/>
        <w:rPr>
          <w:sz w:val="20"/>
          <w:szCs w:val="20"/>
        </w:rPr>
      </w:pPr>
      <w:r>
        <w:rPr>
          <w:sz w:val="20"/>
          <w:szCs w:val="20"/>
        </w:rPr>
        <w:t>leasing of real estate. Due to the structure and nature of our business, we primarily discuss the results of operations by individual reporting segment in order to better understand our consolidated operating perform</w:t>
      </w:r>
      <w:r>
        <w:rPr>
          <w:sz w:val="20"/>
          <w:szCs w:val="20"/>
        </w:rPr>
        <w:t>ance. In addition to the summarized financial results below, refer to Note 12, “Segment Reporting,” to the condensed consolidated financial statements for a reconciliation of each of our reporting segment’s results of continuing operations to our consolida</w:t>
      </w:r>
      <w:r>
        <w:rPr>
          <w:sz w:val="20"/>
          <w:szCs w:val="20"/>
        </w:rPr>
        <w:t>ted results.</w:t>
      </w:r>
    </w:p>
    <w:p w:rsidR="00000000" w:rsidRDefault="009730FF">
      <w:pPr>
        <w:pStyle w:val="a3"/>
        <w:spacing w:before="0" w:beforeAutospacing="0" w:after="0" w:afterAutospacing="0"/>
        <w:ind w:firstLine="360"/>
        <w:divId w:val="1518690364"/>
        <w:rPr>
          <w:sz w:val="20"/>
          <w:szCs w:val="20"/>
        </w:rPr>
      </w:pPr>
      <w:r>
        <w:rPr>
          <w:sz w:val="20"/>
          <w:szCs w:val="20"/>
        </w:rPr>
        <w:t>The comparability of our summarized consolidated financial results presented below is affected primarily by the performance of the Investment Funds (as defined below), and the results of operations of our Energy segment, impacted by the demand</w:t>
      </w:r>
      <w:r>
        <w:rPr>
          <w:sz w:val="20"/>
          <w:szCs w:val="20"/>
        </w:rPr>
        <w:t xml:space="preserve"> and pricing for its products. Refer to our respective segment discussions and “Other Consolidated Results of Operations,” below for further discussion.</w:t>
      </w:r>
    </w:p>
    <w:p w:rsidR="00000000" w:rsidRDefault="009730FF">
      <w:pPr>
        <w:pStyle w:val="a3"/>
        <w:spacing w:before="0" w:beforeAutospacing="0" w:after="0" w:afterAutospacing="0"/>
        <w:ind w:firstLine="360"/>
        <w:divId w:val="15186903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77"/>
        <w:gridCol w:w="160"/>
        <w:gridCol w:w="146"/>
        <w:gridCol w:w="859"/>
        <w:gridCol w:w="232"/>
        <w:gridCol w:w="143"/>
        <w:gridCol w:w="860"/>
        <w:gridCol w:w="160"/>
        <w:gridCol w:w="146"/>
        <w:gridCol w:w="859"/>
        <w:gridCol w:w="232"/>
        <w:gridCol w:w="143"/>
        <w:gridCol w:w="860"/>
        <w:gridCol w:w="160"/>
        <w:gridCol w:w="154"/>
        <w:gridCol w:w="906"/>
        <w:gridCol w:w="246"/>
        <w:gridCol w:w="151"/>
        <w:gridCol w:w="912"/>
      </w:tblGrid>
      <w:tr w:rsidR="00000000">
        <w:trPr>
          <w:divId w:val="1518690364"/>
          <w:trHeight w:val="20"/>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divId w:val="11418524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7116322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8580236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66856665"/>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4690851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62867336"/>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8362214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1705144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15961314"/>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60843846"/>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3243217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43486908"/>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835278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9680180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1443498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93134003"/>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41595393"/>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35002697"/>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894265634"/>
              <w:rPr>
                <w:sz w:val="20"/>
                <w:szCs w:val="20"/>
              </w:rPr>
            </w:pPr>
            <w:r>
              <w:rPr>
                <w:sz w:val="2"/>
                <w:szCs w:val="2"/>
              </w:rPr>
              <w:t>​</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Net Income (Loss)</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1153"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53"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1153"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Three Months Ended March 31, </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53"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Three Months Ended March 31, </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Three Months Ended March 31, </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2022</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2022</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2022</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2021</w:t>
            </w:r>
          </w:p>
        </w:tc>
      </w:tr>
      <w:tr w:rsidR="00000000">
        <w:trPr>
          <w:divId w:val="1518690364"/>
        </w:trPr>
        <w:tc>
          <w:tcPr>
            <w:tcW w:w="0" w:type="auto"/>
            <w:gridSpan w:val="19"/>
            <w:tcMar>
              <w:top w:w="0" w:type="dxa"/>
              <w:left w:w="0" w:type="dxa"/>
              <w:bottom w:w="0" w:type="dxa"/>
              <w:right w:w="0" w:type="dxa"/>
            </w:tcMar>
            <w:vAlign w:val="center"/>
            <w:hideMark/>
          </w:tcPr>
          <w:p w:rsidR="00000000" w:rsidRDefault="009730FF">
            <w:pPr>
              <w:rPr>
                <w:sz w:val="16"/>
                <w:szCs w:val="16"/>
              </w:rPr>
            </w:pP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3693" w:type="pct"/>
            <w:gridSpan w:val="17"/>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93</w:t>
            </w:r>
            <w:r>
              <w:rPr>
                <w:sz w:val="16"/>
                <w:szCs w:val="16"/>
              </w:rPr>
              <w:t>1</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94</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89</w:t>
            </w:r>
            <w:r>
              <w:rPr>
                <w:sz w:val="16"/>
                <w:szCs w:val="16"/>
              </w:rPr>
              <w:t>5</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86</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41</w:t>
            </w:r>
            <w:r>
              <w:rPr>
                <w:sz w:val="16"/>
                <w:szCs w:val="16"/>
              </w:rPr>
              <w:t>4</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39</w:t>
            </w:r>
            <w:r>
              <w:rPr>
                <w:sz w:val="16"/>
                <w:szCs w:val="16"/>
              </w:rPr>
              <w:t>1</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w:t>
            </w:r>
            <w:r>
              <w:rPr>
                <w:sz w:val="16"/>
                <w:szCs w:val="16"/>
              </w:rPr>
              <w:t>2</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8</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(126</w:t>
            </w:r>
            <w:r>
              <w:rPr>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(157</w:t>
            </w: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(126</w:t>
            </w:r>
            <w:r>
              <w:rPr>
                <w:sz w:val="16"/>
                <w:szCs w:val="16"/>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(157</w:t>
            </w:r>
            <w:r>
              <w:rPr>
                <w:sz w:val="16"/>
                <w:szCs w:val="16"/>
              </w:rPr>
              <w:t>)</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Other Operating Segments</w:t>
            </w: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16"/>
                <w:szCs w:val="16"/>
              </w:rPr>
              <w:t>​</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2,36</w:t>
            </w:r>
            <w:r>
              <w:rPr>
                <w:sz w:val="16"/>
                <w:szCs w:val="16"/>
              </w:rPr>
              <w:t>3</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1,53</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14</w:t>
            </w:r>
            <w:r>
              <w:rPr>
                <w:sz w:val="16"/>
                <w:szCs w:val="16"/>
              </w:rPr>
              <w:t>1</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(67</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6</w:t>
            </w:r>
            <w:r>
              <w:rPr>
                <w:sz w:val="16"/>
                <w:szCs w:val="16"/>
              </w:rPr>
              <w:t>1</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(33</w:t>
            </w:r>
            <w:r>
              <w:rPr>
                <w:sz w:val="16"/>
                <w:szCs w:val="16"/>
              </w:rPr>
              <w:t>)</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55</w:t>
            </w:r>
            <w:r>
              <w:rPr>
                <w:sz w:val="16"/>
                <w:szCs w:val="16"/>
              </w:rPr>
              <w:t>6</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59</w:t>
            </w:r>
            <w:r>
              <w:rPr>
                <w:sz w:val="16"/>
                <w:szCs w:val="16"/>
              </w:rPr>
              <w:t>7</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(28</w:t>
            </w:r>
            <w:r>
              <w:rPr>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(46</w:t>
            </w: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(28</w:t>
            </w:r>
            <w:r>
              <w:rPr>
                <w:sz w:val="16"/>
                <w:szCs w:val="16"/>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(46</w:t>
            </w:r>
            <w:r>
              <w:rPr>
                <w:sz w:val="16"/>
                <w:szCs w:val="16"/>
              </w:rPr>
              <w:t>)</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10</w:t>
            </w:r>
            <w:r>
              <w:rPr>
                <w:sz w:val="16"/>
                <w:szCs w:val="16"/>
              </w:rPr>
              <w:t>2</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9</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6</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w:t>
            </w:r>
            <w:r>
              <w:rPr>
                <w:sz w:val="16"/>
                <w:szCs w:val="16"/>
              </w:rPr>
              <w:t>)</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Real Estate</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2</w:t>
            </w:r>
            <w:r>
              <w:rPr>
                <w:sz w:val="16"/>
                <w:szCs w:val="16"/>
              </w:rPr>
              <w:t>8</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w:t>
            </w:r>
            <w:r>
              <w:rPr>
                <w:sz w:val="16"/>
                <w:szCs w:val="16"/>
              </w:rPr>
              <w:t>7</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w:t>
            </w: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w:t>
            </w:r>
            <w:r>
              <w:rPr>
                <w:sz w:val="16"/>
                <w:szCs w:val="16"/>
              </w:rPr>
              <w:t>)</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Home Fashion</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w:t>
            </w:r>
            <w:r>
              <w:rPr>
                <w:sz w:val="16"/>
                <w:szCs w:val="16"/>
              </w:rPr>
              <w:t>5</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4</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w:t>
            </w:r>
            <w:r>
              <w:rPr>
                <w:sz w:val="16"/>
                <w:szCs w:val="16"/>
              </w:rPr>
              <w:t>)</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(4</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(4</w:t>
            </w:r>
            <w:r>
              <w:rPr>
                <w:sz w:val="16"/>
                <w:szCs w:val="16"/>
              </w:rPr>
              <w:t>)</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Pharma</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w:t>
            </w:r>
            <w:r>
              <w:rPr>
                <w:sz w:val="16"/>
                <w:szCs w:val="16"/>
              </w:rPr>
              <w:t>7</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w:t>
            </w:r>
            <w:r>
              <w:rPr>
                <w:sz w:val="16"/>
                <w:szCs w:val="16"/>
              </w:rPr>
              <w:t>0</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(5</w:t>
            </w:r>
            <w:r>
              <w:rPr>
                <w:sz w:val="16"/>
                <w:szCs w:val="16"/>
              </w:rPr>
              <w:t>)</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8</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(5</w:t>
            </w:r>
            <w:r>
              <w:rPr>
                <w:sz w:val="16"/>
                <w:szCs w:val="16"/>
              </w:rPr>
              <w:t>)</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8</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Metals</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12</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w:t>
            </w:r>
          </w:p>
        </w:tc>
      </w:tr>
      <w:tr w:rsidR="00000000">
        <w:trPr>
          <w:divId w:val="1518690364"/>
        </w:trPr>
        <w:tc>
          <w:tcPr>
            <w:tcW w:w="1224" w:type="pct"/>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3,12</w:t>
            </w:r>
            <w:r>
              <w:rPr>
                <w:sz w:val="16"/>
                <w:szCs w:val="16"/>
              </w:rPr>
              <w:t>1</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2,43</w:t>
            </w:r>
            <w:r>
              <w:rPr>
                <w:sz w:val="16"/>
                <w:szCs w:val="16"/>
              </w:rPr>
              <w:t>3</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11</w:t>
            </w:r>
            <w:r>
              <w:rPr>
                <w:sz w:val="16"/>
                <w:szCs w:val="16"/>
              </w:rPr>
              <w:t>6</w:t>
            </w:r>
          </w:p>
        </w:tc>
        <w:tc>
          <w:tcPr>
            <w:tcW w:w="11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(106</w:t>
            </w:r>
            <w:r>
              <w:rPr>
                <w:sz w:val="16"/>
                <w:szCs w:val="16"/>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w:t>
            </w:r>
            <w:r>
              <w:rPr>
                <w:sz w:val="16"/>
                <w:szCs w:val="16"/>
              </w:rPr>
              <w:t>5</w:t>
            </w:r>
          </w:p>
        </w:tc>
        <w:tc>
          <w:tcPr>
            <w:tcW w:w="12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16"/>
                <w:szCs w:val="16"/>
              </w:rPr>
            </w:pPr>
            <w:r>
              <w:rPr>
                <w:sz w:val="16"/>
                <w:szCs w:val="16"/>
              </w:rPr>
              <w:t>(72</w:t>
            </w:r>
            <w:r>
              <w:rPr>
                <w:sz w:val="16"/>
                <w:szCs w:val="16"/>
              </w:rPr>
              <w:t>)</w:t>
            </w:r>
          </w:p>
        </w:tc>
      </w:tr>
      <w:tr w:rsidR="00000000">
        <w:trPr>
          <w:divId w:val="1518690364"/>
        </w:trPr>
        <w:tc>
          <w:tcPr>
            <w:tcW w:w="122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4,08</w:t>
            </w:r>
            <w:r>
              <w:rPr>
                <w:sz w:val="16"/>
                <w:szCs w:val="16"/>
              </w:rPr>
              <w:t>4</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3,38</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88</w:t>
            </w:r>
            <w:r>
              <w:rPr>
                <w:sz w:val="16"/>
                <w:szCs w:val="16"/>
              </w:rPr>
              <w:t>5</w:t>
            </w:r>
          </w:p>
        </w:tc>
        <w:tc>
          <w:tcPr>
            <w:tcW w:w="11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59</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32</w:t>
            </w:r>
            <w:r>
              <w:rPr>
                <w:sz w:val="16"/>
                <w:szCs w:val="16"/>
              </w:rPr>
              <w:t>3</w:t>
            </w:r>
          </w:p>
        </w:tc>
        <w:tc>
          <w:tcPr>
            <w:tcW w:w="12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6"/>
                <w:szCs w:val="16"/>
              </w:rPr>
            </w:pPr>
            <w:r>
              <w:rPr>
                <w:sz w:val="16"/>
                <w:szCs w:val="16"/>
              </w:rPr>
              <w:t>16</w:t>
            </w:r>
            <w:r>
              <w:rPr>
                <w:sz w:val="16"/>
                <w:szCs w:val="16"/>
              </w:rPr>
              <w:t>2</w:t>
            </w:r>
          </w:p>
        </w:tc>
      </w:tr>
    </w:tbl>
    <w:p w:rsidR="00000000" w:rsidRDefault="009730FF">
      <w:pPr>
        <w:pStyle w:val="a3"/>
        <w:spacing w:before="0" w:beforeAutospacing="0" w:after="0" w:afterAutospacing="0"/>
        <w:ind w:firstLine="360"/>
        <w:divId w:val="1518690364"/>
        <w:rPr>
          <w:sz w:val="20"/>
          <w:szCs w:val="20"/>
        </w:rPr>
      </w:pPr>
      <w:r>
        <w:rPr>
          <w:sz w:val="20"/>
          <w:szCs w:val="20"/>
        </w:rPr>
        <w:t>​</w:t>
      </w:r>
    </w:p>
    <w:p w:rsidR="00000000" w:rsidRDefault="009730FF">
      <w:pPr>
        <w:pStyle w:val="a3"/>
        <w:spacing w:before="0" w:beforeAutospacing="0" w:after="0" w:afterAutospacing="0"/>
        <w:ind w:firstLine="360"/>
        <w:divId w:val="1518690364"/>
        <w:rPr>
          <w:sz w:val="20"/>
          <w:szCs w:val="20"/>
        </w:rPr>
      </w:pPr>
      <w:r>
        <w:rPr>
          <w:sz w:val="20"/>
          <w:szCs w:val="20"/>
        </w:rPr>
        <w:t>​</w:t>
      </w:r>
    </w:p>
    <w:p w:rsidR="00000000" w:rsidRDefault="009730FF">
      <w:pPr>
        <w:pStyle w:val="a3"/>
        <w:spacing w:before="0" w:beforeAutospacing="0" w:after="240" w:afterAutospacing="0"/>
        <w:divId w:val="1518690364"/>
        <w:rPr>
          <w:b/>
          <w:bCs/>
          <w:i/>
          <w:iCs/>
          <w:sz w:val="20"/>
          <w:szCs w:val="20"/>
        </w:rPr>
      </w:pPr>
      <w:r>
        <w:rPr>
          <w:b/>
          <w:bCs/>
          <w:i/>
          <w:iCs/>
          <w:sz w:val="20"/>
          <w:szCs w:val="20"/>
        </w:rPr>
        <w:t>Investment</w:t>
      </w:r>
    </w:p>
    <w:p w:rsidR="00000000" w:rsidRDefault="009730FF">
      <w:pPr>
        <w:pStyle w:val="a3"/>
        <w:spacing w:before="0" w:beforeAutospacing="0" w:after="240" w:afterAutospacing="0"/>
        <w:ind w:firstLine="360"/>
        <w:divId w:val="1518690364"/>
        <w:rPr>
          <w:sz w:val="20"/>
          <w:szCs w:val="20"/>
        </w:rPr>
      </w:pPr>
      <w:r>
        <w:rPr>
          <w:sz w:val="20"/>
          <w:szCs w:val="20"/>
        </w:rPr>
        <w:t>We invest our proprietary capital through various private investment funds (“Investment Funds”). As of March 31, 2022 and December 31, 2021, we had investments with a fair market value of approximately $4.7 billion and $4.2 billion, respectively, in the In</w:t>
      </w:r>
      <w:r>
        <w:rPr>
          <w:sz w:val="20"/>
          <w:szCs w:val="20"/>
        </w:rPr>
        <w:t>vestment Funds. As of March 31, 2022 and December 31, 2021, the total fair market value of investments in the Investment Funds made by Mr. Icahn and his affiliates (excluding us and Brett Icahn) was approximately $5.5 billion and $5.0 billion, respectively</w:t>
      </w:r>
      <w:r>
        <w:rPr>
          <w:sz w:val="20"/>
          <w:szCs w:val="20"/>
        </w:rPr>
        <w:t xml:space="preserve">. </w:t>
      </w:r>
    </w:p>
    <w:p w:rsidR="00000000" w:rsidRDefault="009730FF">
      <w:pPr>
        <w:pStyle w:val="a3"/>
        <w:spacing w:before="0" w:beforeAutospacing="0" w:after="240" w:afterAutospacing="0"/>
        <w:ind w:firstLine="360"/>
        <w:divId w:val="1518690364"/>
        <w:rPr>
          <w:sz w:val="20"/>
          <w:szCs w:val="20"/>
        </w:rPr>
      </w:pPr>
      <w:r>
        <w:rPr>
          <w:sz w:val="20"/>
          <w:szCs w:val="20"/>
        </w:rPr>
        <w:t>Our Investment segment’s results of operations are reflected in net income in the condensed consolidated statements of operations. Our Investment segment’s net income (loss) is driven by the amount of funds allocated to the Investment Funds and the perf</w:t>
      </w:r>
      <w:r>
        <w:rPr>
          <w:sz w:val="20"/>
          <w:szCs w:val="20"/>
        </w:rPr>
        <w:t>ormance of the underlying investments in the Investment Funds. Future funds allocated to the Investment Funds may increase or decrease based on the contributions and redemptions by our Holding Company, Mr. Icahn and his affiliates and by Brett Icahn, Mr. I</w:t>
      </w:r>
      <w:r>
        <w:rPr>
          <w:sz w:val="20"/>
          <w:szCs w:val="20"/>
        </w:rPr>
        <w:t>cahn’s son. Additionally, historical performance results of the Investment Funds are not indicative of future results as past market conditions, investment opportunities and investment decisions may not occur in the future. Changes in general market condit</w:t>
      </w:r>
      <w:r>
        <w:rPr>
          <w:sz w:val="20"/>
          <w:szCs w:val="20"/>
        </w:rPr>
        <w:t>ions coupled with changes in exposure to short and long positions have significant impact on our Investment segment’s results of operations and the comparability of results of operations year over year and as such, future results of operations will be impa</w:t>
      </w:r>
      <w:r>
        <w:rPr>
          <w:sz w:val="20"/>
          <w:szCs w:val="20"/>
        </w:rPr>
        <w:t>cted by our future exposures and future market conditions, which may not be consistent with prior trends. Refer to the “Investment Segment Liquidity” section of our “Liquidity and Capital Resources” discussion for additional information regarding our Inves</w:t>
      </w:r>
      <w:r>
        <w:rPr>
          <w:sz w:val="20"/>
          <w:szCs w:val="20"/>
        </w:rPr>
        <w:t>tment segment’s exposure as of March 31, 2022.</w:t>
      </w:r>
    </w:p>
    <w:p w:rsidR="00000000" w:rsidRDefault="009730FF">
      <w:pPr>
        <w:pStyle w:val="a3"/>
        <w:spacing w:before="0" w:beforeAutospacing="0" w:after="240" w:afterAutospacing="0"/>
        <w:ind w:firstLine="360"/>
        <w:divId w:val="1518690364"/>
        <w:rPr>
          <w:sz w:val="20"/>
          <w:szCs w:val="20"/>
        </w:rPr>
      </w:pPr>
      <w:r>
        <w:rPr>
          <w:sz w:val="20"/>
          <w:szCs w:val="20"/>
        </w:rPr>
        <w:t xml:space="preserve">For the three months ended March 31, 2022 and 2021, our Investment Funds’ returns were 9.6% and 9.2%, respectively. Our Investment Funds’ returns represent a weighted-average composite of the average returns, </w:t>
      </w:r>
      <w:r>
        <w:rPr>
          <w:sz w:val="20"/>
          <w:szCs w:val="20"/>
        </w:rPr>
        <w:t>net of expenses.</w:t>
      </w:r>
    </w:p>
    <w:p w:rsidR="00000000" w:rsidRDefault="009730FF">
      <w:pPr>
        <w:pStyle w:val="a3"/>
        <w:spacing w:before="480" w:beforeAutospacing="0" w:after="0" w:afterAutospacing="0"/>
        <w:jc w:val="center"/>
        <w:divId w:val="1869835183"/>
        <w:rPr>
          <w:sz w:val="20"/>
          <w:szCs w:val="20"/>
        </w:rPr>
      </w:pPr>
      <w:r>
        <w:rPr>
          <w:sz w:val="20"/>
          <w:szCs w:val="20"/>
        </w:rPr>
        <w:t>32</w:t>
      </w:r>
    </w:p>
    <w:p w:rsidR="00000000" w:rsidRDefault="009730FF">
      <w:pPr>
        <w:pStyle w:val="a3"/>
        <w:spacing w:before="0" w:beforeAutospacing="0" w:after="600" w:afterAutospacing="0"/>
        <w:divId w:val="1901474225"/>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ind w:firstLine="360"/>
        <w:divId w:val="535000146"/>
        <w:rPr>
          <w:sz w:val="20"/>
          <w:szCs w:val="20"/>
        </w:rPr>
      </w:pPr>
      <w:r>
        <w:rPr>
          <w:sz w:val="20"/>
          <w:szCs w:val="20"/>
        </w:rPr>
        <w:t>The following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5039"/>
        <w:gridCol w:w="200"/>
        <w:gridCol w:w="1261"/>
        <w:gridCol w:w="277"/>
        <w:gridCol w:w="1262"/>
        <w:gridCol w:w="267"/>
      </w:tblGrid>
      <w:tr w:rsidR="00000000">
        <w:trPr>
          <w:divId w:val="535000146"/>
          <w:trHeight w:val="20"/>
        </w:trPr>
        <w:tc>
          <w:tcPr>
            <w:tcW w:w="3317" w:type="pct"/>
            <w:tcMar>
              <w:top w:w="0" w:type="dxa"/>
              <w:left w:w="0" w:type="dxa"/>
              <w:bottom w:w="0" w:type="dxa"/>
              <w:right w:w="0" w:type="dxa"/>
            </w:tcMar>
            <w:vAlign w:val="bottom"/>
            <w:hideMark/>
          </w:tcPr>
          <w:p w:rsidR="00000000" w:rsidRDefault="009730FF">
            <w:pPr>
              <w:pStyle w:val="a3"/>
              <w:spacing w:before="0" w:beforeAutospacing="0" w:after="0" w:afterAutospacing="0"/>
              <w:divId w:val="18150209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86278509"/>
              <w:rPr>
                <w:sz w:val="20"/>
                <w:szCs w:val="20"/>
              </w:rPr>
            </w:pPr>
            <w:r>
              <w:rPr>
                <w:sz w:val="2"/>
                <w:szCs w:val="2"/>
              </w:rPr>
              <w:t>​</w:t>
            </w:r>
          </w:p>
        </w:tc>
        <w:tc>
          <w:tcPr>
            <w:tcW w:w="6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44678117"/>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55882469"/>
              <w:rPr>
                <w:sz w:val="20"/>
                <w:szCs w:val="20"/>
              </w:rPr>
            </w:pPr>
            <w:r>
              <w:rPr>
                <w:sz w:val="2"/>
                <w:szCs w:val="2"/>
              </w:rPr>
              <w:t>​</w:t>
            </w:r>
          </w:p>
        </w:tc>
        <w:tc>
          <w:tcPr>
            <w:tcW w:w="64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395937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83459942"/>
              <w:rPr>
                <w:sz w:val="20"/>
                <w:szCs w:val="20"/>
              </w:rPr>
            </w:pPr>
            <w:r>
              <w:rPr>
                <w:sz w:val="2"/>
                <w:szCs w:val="2"/>
              </w:rPr>
              <w:t>​</w:t>
            </w:r>
          </w:p>
        </w:tc>
      </w:tr>
      <w:tr w:rsidR="00000000">
        <w:trPr>
          <w:divId w:val="535000146"/>
        </w:trPr>
        <w:tc>
          <w:tcPr>
            <w:tcW w:w="331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1442" w:type="pct"/>
            <w:gridSpan w:val="3"/>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r>
      <w:tr w:rsidR="00000000">
        <w:trPr>
          <w:divId w:val="535000146"/>
        </w:trPr>
        <w:tc>
          <w:tcPr>
            <w:tcW w:w="331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4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r>
      <w:tr w:rsidR="00000000">
        <w:trPr>
          <w:divId w:val="535000146"/>
        </w:trPr>
        <w:tc>
          <w:tcPr>
            <w:tcW w:w="331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w:t>
            </w:r>
            <w:r>
              <w:rPr>
                <w:sz w:val="20"/>
                <w:szCs w:val="20"/>
              </w:rPr>
              <w:t>1</w:t>
            </w:r>
          </w:p>
        </w:tc>
        <w:tc>
          <w:tcPr>
            <w:tcW w:w="1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r>
      <w:tr w:rsidR="00000000">
        <w:trPr>
          <w:divId w:val="535000146"/>
        </w:trPr>
        <w:tc>
          <w:tcPr>
            <w:tcW w:w="331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(5.4</w:t>
            </w:r>
            <w:r>
              <w:rPr>
                <w:sz w:val="20"/>
                <w:szCs w:val="20"/>
              </w:rPr>
              <w:t>)</w:t>
            </w:r>
          </w:p>
        </w:tc>
        <w:tc>
          <w:tcPr>
            <w:tcW w:w="1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(9.2</w:t>
            </w:r>
            <w:r>
              <w:rPr>
                <w:sz w:val="20"/>
                <w:szCs w:val="20"/>
              </w:rPr>
              <w:t>)</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r>
      <w:tr w:rsidR="00000000">
        <w:trPr>
          <w:divId w:val="535000146"/>
        </w:trPr>
        <w:tc>
          <w:tcPr>
            <w:tcW w:w="3317"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(0.1</w:t>
            </w: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(0.1</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r>
      <w:tr w:rsidR="00000000">
        <w:trPr>
          <w:divId w:val="535000146"/>
        </w:trPr>
        <w:tc>
          <w:tcPr>
            <w:tcW w:w="3317"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w:t>
            </w:r>
            <w:r>
              <w:rPr>
                <w:sz w:val="20"/>
                <w:szCs w:val="20"/>
              </w:rPr>
              <w:t>6</w:t>
            </w:r>
          </w:p>
        </w:tc>
        <w:tc>
          <w:tcPr>
            <w:tcW w:w="14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64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9.</w:t>
            </w:r>
            <w:r>
              <w:rPr>
                <w:sz w:val="20"/>
                <w:szCs w:val="20"/>
              </w:rPr>
              <w:t>2</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r>
    </w:tbl>
    <w:p w:rsidR="00000000" w:rsidRDefault="009730FF">
      <w:pPr>
        <w:pStyle w:val="a3"/>
        <w:spacing w:before="0" w:beforeAutospacing="0" w:after="0" w:afterAutospacing="0"/>
        <w:divId w:val="535000146"/>
        <w:rPr>
          <w:sz w:val="20"/>
          <w:szCs w:val="20"/>
        </w:rPr>
      </w:pPr>
      <w:r>
        <w:rPr>
          <w:sz w:val="20"/>
          <w:szCs w:val="20"/>
        </w:rPr>
        <w:t>​</w:t>
      </w:r>
    </w:p>
    <w:p w:rsidR="00000000" w:rsidRDefault="009730FF">
      <w:pPr>
        <w:pStyle w:val="a3"/>
        <w:spacing w:before="0" w:beforeAutospacing="0" w:after="240" w:afterAutospacing="0"/>
        <w:ind w:firstLine="360"/>
        <w:divId w:val="535000146"/>
        <w:rPr>
          <w:sz w:val="20"/>
          <w:szCs w:val="20"/>
        </w:rPr>
      </w:pPr>
      <w:r>
        <w:rPr>
          <w:sz w:val="20"/>
          <w:szCs w:val="20"/>
        </w:rPr>
        <w:t>The following table presents net income (loss) for our Investment segment for the three months ended March 31, 2022 and 2021.</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58"/>
        <w:gridCol w:w="1119"/>
        <w:gridCol w:w="248"/>
        <w:gridCol w:w="155"/>
        <w:gridCol w:w="1120"/>
      </w:tblGrid>
      <w:tr w:rsidR="00000000">
        <w:trPr>
          <w:divId w:val="535000146"/>
          <w:trHeight w:val="20"/>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divId w:val="156934609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03253454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49472136"/>
              <w:rPr>
                <w:sz w:val="20"/>
                <w:szCs w:val="20"/>
              </w:rPr>
            </w:pPr>
            <w:r>
              <w:rPr>
                <w:sz w:val="2"/>
                <w:szCs w:val="2"/>
              </w:rPr>
              <w:t>​</w:t>
            </w:r>
          </w:p>
        </w:tc>
        <w:tc>
          <w:tcPr>
            <w:tcW w:w="57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76156603"/>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5867972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83149528"/>
              <w:rPr>
                <w:sz w:val="20"/>
                <w:szCs w:val="20"/>
              </w:rPr>
            </w:pPr>
            <w:r>
              <w:rPr>
                <w:sz w:val="2"/>
                <w:szCs w:val="2"/>
              </w:rPr>
              <w:t>​</w:t>
            </w:r>
          </w:p>
        </w:tc>
        <w:tc>
          <w:tcPr>
            <w:tcW w:w="57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15265605"/>
              <w:rPr>
                <w:sz w:val="20"/>
                <w:szCs w:val="20"/>
              </w:rPr>
            </w:pPr>
            <w:r>
              <w:rPr>
                <w:sz w:val="2"/>
                <w:szCs w:val="2"/>
              </w:rPr>
              <w:t>​</w:t>
            </w:r>
          </w:p>
        </w:tc>
      </w:tr>
      <w:tr w:rsidR="00000000">
        <w:trPr>
          <w:divId w:val="535000146"/>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535000146"/>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5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535000146"/>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535000146"/>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361" w:type="pct"/>
            <w:gridSpan w:val="4"/>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535000146"/>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1,49</w:t>
            </w:r>
            <w:r>
              <w:rPr>
                <w:sz w:val="20"/>
                <w:szCs w:val="20"/>
              </w:rPr>
              <w:t>4</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1,91</w:t>
            </w:r>
            <w:r>
              <w:rPr>
                <w:sz w:val="20"/>
                <w:szCs w:val="20"/>
              </w:rPr>
              <w:t>4</w:t>
            </w:r>
          </w:p>
        </w:tc>
      </w:tr>
      <w:tr w:rsidR="00000000">
        <w:trPr>
          <w:divId w:val="535000146"/>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(586</w:t>
            </w:r>
            <w:r>
              <w:rPr>
                <w:sz w:val="20"/>
                <w:szCs w:val="20"/>
              </w:rPr>
              <w:t>)</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5" w:type="pct"/>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(1,041</w:t>
            </w:r>
            <w:r>
              <w:rPr>
                <w:sz w:val="20"/>
                <w:szCs w:val="20"/>
              </w:rPr>
              <w:t>)</w:t>
            </w:r>
          </w:p>
        </w:tc>
      </w:tr>
      <w:tr w:rsidR="00000000">
        <w:trPr>
          <w:divId w:val="535000146"/>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(13</w:t>
            </w: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(11</w:t>
            </w:r>
            <w:r>
              <w:rPr>
                <w:sz w:val="20"/>
                <w:szCs w:val="20"/>
              </w:rPr>
              <w:t>)</w:t>
            </w:r>
          </w:p>
        </w:tc>
      </w:tr>
      <w:tr w:rsidR="00000000">
        <w:trPr>
          <w:divId w:val="535000146"/>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89</w:t>
            </w:r>
            <w:r>
              <w:rPr>
                <w:sz w:val="20"/>
                <w:szCs w:val="20"/>
              </w:rPr>
              <w:t>5</w:t>
            </w:r>
          </w:p>
        </w:tc>
        <w:tc>
          <w:tcPr>
            <w:tcW w:w="12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5"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86</w:t>
            </w:r>
            <w:r>
              <w:rPr>
                <w:sz w:val="20"/>
                <w:szCs w:val="20"/>
              </w:rPr>
              <w:t>2</w:t>
            </w:r>
          </w:p>
        </w:tc>
      </w:tr>
    </w:tbl>
    <w:p w:rsidR="00000000" w:rsidRDefault="009730FF">
      <w:pPr>
        <w:pStyle w:val="a3"/>
        <w:spacing w:before="0" w:beforeAutospacing="0" w:after="0" w:afterAutospacing="0"/>
        <w:divId w:val="535000146"/>
        <w:rPr>
          <w:sz w:val="20"/>
          <w:szCs w:val="20"/>
        </w:rPr>
      </w:pPr>
      <w:r>
        <w:rPr>
          <w:sz w:val="20"/>
          <w:szCs w:val="20"/>
        </w:rPr>
        <w:t>​</w:t>
      </w:r>
    </w:p>
    <w:p w:rsidR="00000000" w:rsidRDefault="009730FF">
      <w:pPr>
        <w:pStyle w:val="a3"/>
        <w:spacing w:before="0" w:beforeAutospacing="0" w:after="240" w:afterAutospacing="0"/>
        <w:divId w:val="535000146"/>
        <w:rPr>
          <w:i/>
          <w:iCs/>
          <w:sz w:val="20"/>
          <w:szCs w:val="20"/>
        </w:rPr>
      </w:pPr>
      <w:r>
        <w:rPr>
          <w:i/>
          <w:iCs/>
          <w:sz w:val="20"/>
          <w:szCs w:val="20"/>
        </w:rPr>
        <w:t>Three Months Ended March 31, 2022 and 2021</w:t>
      </w:r>
    </w:p>
    <w:p w:rsidR="00000000" w:rsidRDefault="009730FF">
      <w:pPr>
        <w:pStyle w:val="a3"/>
        <w:spacing w:before="0" w:beforeAutospacing="0" w:after="240" w:afterAutospacing="0"/>
        <w:ind w:firstLine="360"/>
        <w:divId w:val="535000146"/>
        <w:rPr>
          <w:sz w:val="20"/>
          <w:szCs w:val="20"/>
        </w:rPr>
      </w:pPr>
      <w:r>
        <w:rPr>
          <w:sz w:val="20"/>
          <w:szCs w:val="20"/>
        </w:rPr>
        <w:t xml:space="preserve">For the three months ended March 31, 2022, the Investment Funds’ positive performance was primarily driven by net gains in long positions, offset in part by net losses in short positions. The positive performance of our Investment segment’s long positions </w:t>
      </w:r>
      <w:r>
        <w:rPr>
          <w:sz w:val="20"/>
          <w:szCs w:val="20"/>
        </w:rPr>
        <w:t xml:space="preserve">was driven primarily by gains in two energy sector investments aggregating approximately $1.8 billion. The positive performance of our Investment segment’s long positions was offset in part by losses from two healthcare sector investments aggregating $267 </w:t>
      </w:r>
      <w:r>
        <w:rPr>
          <w:sz w:val="20"/>
          <w:szCs w:val="20"/>
        </w:rPr>
        <w:t>million and a consumer, cyclical sector investment of $109 million. The negative performance of our Investment segment’s short positions was driven primarily by the negative performance of an energy sector hedge of $416 million and the negative performance</w:t>
      </w:r>
      <w:r>
        <w:rPr>
          <w:sz w:val="20"/>
          <w:szCs w:val="20"/>
        </w:rPr>
        <w:t xml:space="preserve"> of certain credit default swaps positions of $314 million. These decreases were offset in part by the positive performance of a broad market hedge totaling $269 million.</w:t>
      </w:r>
    </w:p>
    <w:p w:rsidR="00000000" w:rsidRDefault="009730FF">
      <w:pPr>
        <w:pStyle w:val="a3"/>
        <w:spacing w:before="0" w:beforeAutospacing="0" w:after="240" w:afterAutospacing="0"/>
        <w:ind w:firstLine="360"/>
        <w:divId w:val="535000146"/>
        <w:rPr>
          <w:sz w:val="20"/>
          <w:szCs w:val="20"/>
        </w:rPr>
      </w:pPr>
      <w:r>
        <w:rPr>
          <w:sz w:val="20"/>
          <w:szCs w:val="20"/>
        </w:rPr>
        <w:t>For the three months ended March 31, 2021, the Investment Funds’ positive performance</w:t>
      </w:r>
      <w:r>
        <w:rPr>
          <w:sz w:val="20"/>
          <w:szCs w:val="20"/>
        </w:rPr>
        <w:t xml:space="preserve"> was driven by net gains in their long positions, offset in part by net losses in their short positions. The positive performance of our Investment segment’s long positions was driven primarily by gains in two energy sector investments aggregating approxim</w:t>
      </w:r>
      <w:r>
        <w:rPr>
          <w:sz w:val="20"/>
          <w:szCs w:val="20"/>
        </w:rPr>
        <w:t>ately $1.1 billion and a consumer, cyclical sector investment of $253 million. The aggregate performance of investments with net gains across various sectors accounted for an additional positive performance of our Investment segment’s long positions. The n</w:t>
      </w:r>
      <w:r>
        <w:rPr>
          <w:sz w:val="20"/>
          <w:szCs w:val="20"/>
        </w:rPr>
        <w:t>egative performance of our Investment segment’s short positions was driven primarily by the negative performance of an energy sector investment of $494 million and broad market hedges of $329 million. The aggregate performance of investments with net losse</w:t>
      </w:r>
      <w:r>
        <w:rPr>
          <w:sz w:val="20"/>
          <w:szCs w:val="20"/>
        </w:rPr>
        <w:t>s across various sectors accounted for an additional negative performance of our Investment segment’s short positions. The negative performance of our Investment segment’s short positions was offset in part by gains from a consumer, cyclical sector investm</w:t>
      </w:r>
      <w:r>
        <w:rPr>
          <w:sz w:val="20"/>
          <w:szCs w:val="20"/>
        </w:rPr>
        <w:t xml:space="preserve">ent of $196 million. </w:t>
      </w:r>
    </w:p>
    <w:p w:rsidR="00000000" w:rsidRDefault="009730FF">
      <w:pPr>
        <w:pStyle w:val="a3"/>
        <w:spacing w:before="0" w:beforeAutospacing="0" w:after="240" w:afterAutospacing="0"/>
        <w:divId w:val="535000146"/>
        <w:rPr>
          <w:b/>
          <w:bCs/>
          <w:i/>
          <w:iCs/>
          <w:sz w:val="20"/>
          <w:szCs w:val="20"/>
        </w:rPr>
      </w:pPr>
      <w:r>
        <w:rPr>
          <w:b/>
          <w:bCs/>
          <w:i/>
          <w:iCs/>
          <w:sz w:val="20"/>
          <w:szCs w:val="20"/>
        </w:rPr>
        <w:t>Energy</w:t>
      </w:r>
    </w:p>
    <w:p w:rsidR="00000000" w:rsidRDefault="009730FF">
      <w:pPr>
        <w:pStyle w:val="a3"/>
        <w:spacing w:before="0" w:beforeAutospacing="0" w:after="240" w:afterAutospacing="0"/>
        <w:ind w:firstLine="360"/>
        <w:divId w:val="535000146"/>
        <w:rPr>
          <w:sz w:val="20"/>
          <w:szCs w:val="20"/>
        </w:rPr>
      </w:pPr>
      <w:r>
        <w:rPr>
          <w:sz w:val="20"/>
          <w:szCs w:val="20"/>
        </w:rPr>
        <w:t xml:space="preserve">Our Energy segment is primarily engaged in the petroleum refining and nitrogen fertilizer manufacturing businesses. The petroleum business accounted for approximately 91% and 96% of our Energy segment’s net sales for the three </w:t>
      </w:r>
      <w:r>
        <w:rPr>
          <w:sz w:val="20"/>
          <w:szCs w:val="20"/>
        </w:rPr>
        <w:t>months ended March 31, 2022 and 2021, respectively.</w:t>
      </w:r>
    </w:p>
    <w:p w:rsidR="00000000" w:rsidRDefault="009730FF">
      <w:pPr>
        <w:pStyle w:val="a3"/>
        <w:spacing w:before="0" w:beforeAutospacing="0" w:after="0" w:afterAutospacing="0"/>
        <w:ind w:firstLine="360"/>
        <w:divId w:val="535000146"/>
        <w:rPr>
          <w:sz w:val="20"/>
          <w:szCs w:val="20"/>
        </w:rPr>
      </w:pPr>
      <w:r>
        <w:rPr>
          <w:sz w:val="20"/>
          <w:szCs w:val="20"/>
        </w:rPr>
        <w:t>The results of operations of the petroleum business are primarily affected by the relationship between refined product prices and the prices for crude oil and other feedstocks that are processed and blend</w:t>
      </w:r>
      <w:r>
        <w:rPr>
          <w:sz w:val="20"/>
          <w:szCs w:val="20"/>
        </w:rPr>
        <w:t xml:space="preserve">ed into petroleum products, such as gasoline, diesel fuel and jet fuel, that are produced by a refinery (“refined products”). The cost to acquire crude oil and other feedstocks and the price for which refined products are ultimately sold depend on factors </w:t>
      </w:r>
      <w:r>
        <w:rPr>
          <w:sz w:val="20"/>
          <w:szCs w:val="20"/>
        </w:rPr>
        <w:t xml:space="preserve">beyond our Energy segment’s control, including the supply of and demand for crude oil, as well as gasoline and other refined </w:t>
      </w:r>
    </w:p>
    <w:p w:rsidR="00000000" w:rsidRDefault="009730FF">
      <w:pPr>
        <w:pStyle w:val="a3"/>
        <w:spacing w:before="480" w:beforeAutospacing="0" w:after="0" w:afterAutospacing="0"/>
        <w:jc w:val="center"/>
        <w:divId w:val="673725966"/>
        <w:rPr>
          <w:sz w:val="20"/>
          <w:szCs w:val="20"/>
        </w:rPr>
      </w:pPr>
      <w:r>
        <w:rPr>
          <w:sz w:val="20"/>
          <w:szCs w:val="20"/>
        </w:rPr>
        <w:t>33</w:t>
      </w:r>
    </w:p>
    <w:p w:rsidR="00000000" w:rsidRDefault="009730FF">
      <w:pPr>
        <w:pStyle w:val="a3"/>
        <w:spacing w:before="0" w:beforeAutospacing="0" w:after="600" w:afterAutospacing="0"/>
        <w:divId w:val="891773378"/>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2058889591"/>
        <w:rPr>
          <w:sz w:val="20"/>
          <w:szCs w:val="20"/>
        </w:rPr>
      </w:pPr>
      <w:r>
        <w:rPr>
          <w:sz w:val="20"/>
          <w:szCs w:val="20"/>
        </w:rPr>
        <w:t>products. This supply and demand depend on, among other factors, changes in domestic and foreign economies, weather conditions, domestic and foreign political affairs, production levels, the availability of imports, the marketing of competitive fuels and t</w:t>
      </w:r>
      <w:r>
        <w:rPr>
          <w:sz w:val="20"/>
          <w:szCs w:val="20"/>
        </w:rPr>
        <w:t xml:space="preserve">he extent of government regulation. Because the petroleum business applies first-in, first-out accounting to value its inventory, crude oil price movements may impact gross margin in the short-term fluctuations in the market price of inventory. The effect </w:t>
      </w:r>
      <w:r>
        <w:rPr>
          <w:sz w:val="20"/>
          <w:szCs w:val="20"/>
        </w:rPr>
        <w:t>of changes in crude oil prices on the petroleum business’ results of operations is influenced by the rate at which the prices of refined products adjust to reflect these changes.</w:t>
      </w:r>
    </w:p>
    <w:p w:rsidR="00000000" w:rsidRDefault="009730FF">
      <w:pPr>
        <w:pStyle w:val="a3"/>
        <w:spacing w:before="0" w:beforeAutospacing="0" w:after="240" w:afterAutospacing="0"/>
        <w:ind w:firstLine="360"/>
        <w:divId w:val="2058889591"/>
        <w:rPr>
          <w:sz w:val="20"/>
          <w:szCs w:val="20"/>
        </w:rPr>
      </w:pPr>
      <w:r>
        <w:rPr>
          <w:sz w:val="20"/>
          <w:szCs w:val="20"/>
        </w:rPr>
        <w:t>In addition to recent market conditions, including the impact of the Russia/U</w:t>
      </w:r>
      <w:r>
        <w:rPr>
          <w:sz w:val="20"/>
          <w:szCs w:val="20"/>
        </w:rPr>
        <w:t>kraine conflict, there are long-term factors that may impact the demand for refined products. These factors include mandated renewable fuels standards, proposed climate change laws and regulations, and increased mileage standards for vehicles. The petroleu</w:t>
      </w:r>
      <w:r>
        <w:rPr>
          <w:sz w:val="20"/>
          <w:szCs w:val="20"/>
        </w:rPr>
        <w:t>m business is also subject to the Renewable Fuel Standard of the United States Environmental Protection Agency, which requires the operating companies in our Energy segment to either blend “renewable fuels” with their transportation fuels or purchase renew</w:t>
      </w:r>
      <w:r>
        <w:rPr>
          <w:sz w:val="20"/>
          <w:szCs w:val="20"/>
        </w:rPr>
        <w:t>able identification numbers (“RINs”), to the extent available, in lieu of blending, or to seek other exemptions. The price of RINs has been extremely volatile and the future cost of RINs for the petroleum business is difficult to estimate. Additionally, th</w:t>
      </w:r>
      <w:r>
        <w:rPr>
          <w:sz w:val="20"/>
          <w:szCs w:val="20"/>
        </w:rPr>
        <w:t>e cost of RINs is dependent upon a variety of factors, which include the availability of RINs for purchase, the price at which RINs can be purchased, transportation fuel production levels, the mix of the petroleum business’ petroleum products, as well as t</w:t>
      </w:r>
      <w:r>
        <w:rPr>
          <w:sz w:val="20"/>
          <w:szCs w:val="20"/>
        </w:rPr>
        <w:t>he fuel blending performed at its refineries and downstream terminals, all of which can vary significantly from period to period. Refer to Note 16, “Commitments and Contingencies,” to the condensed consolidated financial statements for further discussion o</w:t>
      </w:r>
      <w:r>
        <w:rPr>
          <w:sz w:val="20"/>
          <w:szCs w:val="20"/>
        </w:rPr>
        <w:t>f RINs.</w:t>
      </w:r>
    </w:p>
    <w:p w:rsidR="00000000" w:rsidRDefault="009730FF">
      <w:pPr>
        <w:pStyle w:val="a3"/>
        <w:spacing w:before="0" w:beforeAutospacing="0" w:after="240" w:afterAutospacing="0"/>
        <w:ind w:firstLine="360"/>
        <w:divId w:val="2058889591"/>
        <w:rPr>
          <w:sz w:val="20"/>
          <w:szCs w:val="20"/>
        </w:rPr>
      </w:pPr>
      <w:r>
        <w:rPr>
          <w:sz w:val="20"/>
          <w:szCs w:val="20"/>
        </w:rPr>
        <w:t>In December 2020, our Energy segment approved a renewable diesel project at one of its refineries, which would convert the refinery’s hydrocracker to a renewable diesel unit (“RDU”) capable of producing 100 million gallons of renewable diesel per y</w:t>
      </w:r>
      <w:r>
        <w:rPr>
          <w:sz w:val="20"/>
          <w:szCs w:val="20"/>
        </w:rPr>
        <w:t>ear and approximately 170 to 180 million RINs annually. As a result of conversion, the crude oil capacity of the refinery will be reduced. Further, the conversion enables our Energy segment to capture additional benefits associated with the existing blende</w:t>
      </w:r>
      <w:r>
        <w:rPr>
          <w:sz w:val="20"/>
          <w:szCs w:val="20"/>
        </w:rPr>
        <w:t>rs’ tax credit that expires at the end of 2022 and low carbon fuel standard programs in states such as California. Our Energy segment has additional plans to add pretreating capabilities for the RDU and construction of a similar facility at its other refin</w:t>
      </w:r>
      <w:r>
        <w:rPr>
          <w:sz w:val="20"/>
          <w:szCs w:val="20"/>
        </w:rPr>
        <w:t>ery. These collective renewable diesel efforts could reduce our Energy segment’s Renewable Fuels Standard (“RFS”) exposure. However, any actions taken by the Supreme Court, resulting administration efforts under the RFS, such as denial of existing or previ</w:t>
      </w:r>
      <w:r>
        <w:rPr>
          <w:sz w:val="20"/>
          <w:szCs w:val="20"/>
        </w:rPr>
        <w:t xml:space="preserve">ous waiver applications, and market conditions could significantly impact the amount by which our Energy segment’s renewable diesel business mitigates our costs to comply with the RFS, if at all. </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7"/>
        <w:gridCol w:w="1051"/>
        <w:gridCol w:w="267"/>
        <w:gridCol w:w="166"/>
        <w:gridCol w:w="1149"/>
      </w:tblGrid>
      <w:tr w:rsidR="00000000">
        <w:trPr>
          <w:divId w:val="2058889591"/>
          <w:trHeight w:val="20"/>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divId w:val="17430914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5978363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2578711"/>
              <w:rPr>
                <w:sz w:val="20"/>
                <w:szCs w:val="20"/>
              </w:rPr>
            </w:pPr>
            <w:r>
              <w:rPr>
                <w:sz w:val="2"/>
                <w:szCs w:val="2"/>
              </w:rPr>
              <w:t>​</w:t>
            </w:r>
          </w:p>
        </w:tc>
        <w:tc>
          <w:tcPr>
            <w:tcW w:w="54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6285977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8481508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957419112"/>
              <w:rPr>
                <w:sz w:val="20"/>
                <w:szCs w:val="20"/>
              </w:rPr>
            </w:pPr>
            <w:r>
              <w:rPr>
                <w:sz w:val="2"/>
                <w:szCs w:val="2"/>
              </w:rPr>
              <w:t>​</w:t>
            </w:r>
          </w:p>
        </w:tc>
        <w:tc>
          <w:tcPr>
            <w:tcW w:w="591"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22464242"/>
              <w:rPr>
                <w:sz w:val="20"/>
                <w:szCs w:val="20"/>
              </w:rPr>
            </w:pPr>
            <w:r>
              <w:rPr>
                <w:sz w:val="2"/>
                <w:szCs w:val="2"/>
              </w:rPr>
              <w:t>​</w:t>
            </w:r>
          </w:p>
        </w:tc>
      </w:tr>
      <w:tr w:rsidR="00000000">
        <w:trPr>
          <w:divId w:val="20588895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20588895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77"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2058889591"/>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20588895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545" w:type="pct"/>
            <w:gridSpan w:val="6"/>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2058889591"/>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sales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2,37</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1,46</w:t>
            </w:r>
            <w:r>
              <w:rPr>
                <w:sz w:val="20"/>
                <w:szCs w:val="20"/>
              </w:rPr>
              <w:t>3</w:t>
            </w:r>
          </w:p>
        </w:tc>
      </w:tr>
      <w:tr w:rsidR="00000000">
        <w:trPr>
          <w:divId w:val="20588895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Cost of goods sold</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2,12</w:t>
            </w:r>
            <w:r>
              <w:rPr>
                <w:sz w:val="20"/>
                <w:szCs w:val="20"/>
              </w:rPr>
              <w:t>3</w:t>
            </w:r>
          </w:p>
        </w:tc>
        <w:tc>
          <w:tcPr>
            <w:tcW w:w="13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1,57</w:t>
            </w:r>
            <w:r>
              <w:rPr>
                <w:sz w:val="20"/>
                <w:szCs w:val="20"/>
              </w:rPr>
              <w:t>9</w:t>
            </w:r>
          </w:p>
        </w:tc>
      </w:tr>
      <w:tr w:rsidR="00000000">
        <w:trPr>
          <w:divId w:val="2058889591"/>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Gross margin</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25</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jc w:val="right"/>
              <w:rPr>
                <w:sz w:val="20"/>
                <w:szCs w:val="20"/>
              </w:rPr>
            </w:pPr>
            <w:r>
              <w:rPr>
                <w:sz w:val="20"/>
                <w:szCs w:val="20"/>
              </w:rPr>
              <w:t>(116</w:t>
            </w:r>
            <w:r>
              <w:rPr>
                <w:sz w:val="20"/>
                <w:szCs w:val="20"/>
              </w:rPr>
              <w:t>)</w:t>
            </w:r>
          </w:p>
        </w:tc>
      </w:tr>
    </w:tbl>
    <w:p w:rsidR="00000000" w:rsidRDefault="009730FF">
      <w:pPr>
        <w:pStyle w:val="a3"/>
        <w:spacing w:before="0" w:beforeAutospacing="0" w:after="0" w:afterAutospacing="0"/>
        <w:divId w:val="2058889591"/>
        <w:rPr>
          <w:sz w:val="20"/>
          <w:szCs w:val="20"/>
        </w:rPr>
      </w:pPr>
      <w:r>
        <w:rPr>
          <w:sz w:val="20"/>
          <w:szCs w:val="20"/>
        </w:rPr>
        <w:t>​</w:t>
      </w:r>
    </w:p>
    <w:p w:rsidR="00000000" w:rsidRDefault="009730FF">
      <w:pPr>
        <w:pStyle w:val="a3"/>
        <w:spacing w:before="0" w:beforeAutospacing="0" w:after="240" w:afterAutospacing="0"/>
        <w:divId w:val="2058889591"/>
        <w:rPr>
          <w:i/>
          <w:iCs/>
          <w:sz w:val="20"/>
          <w:szCs w:val="20"/>
        </w:rPr>
      </w:pPr>
      <w:r>
        <w:rPr>
          <w:i/>
          <w:iCs/>
          <w:sz w:val="20"/>
          <w:szCs w:val="20"/>
        </w:rPr>
        <w:t>Three Months March 31, 2022 and 2021</w:t>
      </w:r>
    </w:p>
    <w:p w:rsidR="00000000" w:rsidRDefault="009730FF">
      <w:pPr>
        <w:pStyle w:val="a3"/>
        <w:spacing w:before="0" w:beforeAutospacing="0" w:after="240" w:afterAutospacing="0"/>
        <w:ind w:firstLine="360"/>
        <w:divId w:val="2058889591"/>
        <w:rPr>
          <w:sz w:val="20"/>
          <w:szCs w:val="20"/>
        </w:rPr>
      </w:pPr>
      <w:r>
        <w:rPr>
          <w:sz w:val="20"/>
          <w:szCs w:val="20"/>
        </w:rPr>
        <w:t xml:space="preserve">Net sales for our Energy segment increased by $910 million (62%) for the three months ended March 31, 2022 as compared to the comparable prior year period due to an increase in our petroleum business’ net sales, which increased $748 million, as well as an </w:t>
      </w:r>
      <w:r>
        <w:rPr>
          <w:sz w:val="20"/>
          <w:szCs w:val="20"/>
        </w:rPr>
        <w:t xml:space="preserve">increase in our nitrogen fertilizer business’ net sales, which increased $162 million over the comparable periods. The increase in the petroleum business’ net sales was primarily due to an increase in prices of gasoline and distillates mainly attributable </w:t>
      </w:r>
      <w:r>
        <w:rPr>
          <w:sz w:val="20"/>
          <w:szCs w:val="20"/>
        </w:rPr>
        <w:t>to the ongoing conflict in Ukraine resulting in a global increase in commodity prices. Volumes were lower in the comparable prior year period due to the reduced utilization of the refineries resulting from the impact of a weather event. Our nitrogen fertil</w:t>
      </w:r>
      <w:r>
        <w:rPr>
          <w:sz w:val="20"/>
          <w:szCs w:val="20"/>
        </w:rPr>
        <w:t>izer business’ net sales increased primarily due to an increase in urea ammonium nitrate (“UAN”) sales primarily due to favorable pricing conditions.</w:t>
      </w:r>
    </w:p>
    <w:p w:rsidR="00000000" w:rsidRDefault="009730FF">
      <w:pPr>
        <w:pStyle w:val="a3"/>
        <w:spacing w:before="0" w:beforeAutospacing="0" w:after="0" w:afterAutospacing="0"/>
        <w:ind w:firstLine="360"/>
        <w:divId w:val="2058889591"/>
        <w:rPr>
          <w:sz w:val="20"/>
          <w:szCs w:val="20"/>
        </w:rPr>
      </w:pPr>
      <w:r>
        <w:rPr>
          <w:sz w:val="20"/>
          <w:szCs w:val="20"/>
        </w:rPr>
        <w:t>Cost of goods sold for our Energy segment increased by $544 million (34%) for the three months ended March</w:t>
      </w:r>
      <w:r>
        <w:rPr>
          <w:sz w:val="20"/>
          <w:szCs w:val="20"/>
        </w:rPr>
        <w:t xml:space="preserve"> 31, 2022 as compared to the comparable prior year period. The increase was primarily due to our petroleum business as a result of higher cost of consumed crude oil. The higher cost of consumed crude oil was due to an increase in volumes, as discussed abov</w:t>
      </w:r>
      <w:r>
        <w:rPr>
          <w:sz w:val="20"/>
          <w:szCs w:val="20"/>
        </w:rPr>
        <w:t xml:space="preserve">e, offset in part by lower net cost of RINs of $71 million and higher derivative performance of $34 </w:t>
      </w:r>
    </w:p>
    <w:p w:rsidR="00000000" w:rsidRDefault="009730FF">
      <w:pPr>
        <w:pStyle w:val="a3"/>
        <w:spacing w:before="480" w:beforeAutospacing="0" w:after="0" w:afterAutospacing="0"/>
        <w:jc w:val="center"/>
        <w:divId w:val="1575579057"/>
        <w:rPr>
          <w:sz w:val="20"/>
          <w:szCs w:val="20"/>
        </w:rPr>
      </w:pPr>
      <w:r>
        <w:rPr>
          <w:sz w:val="20"/>
          <w:szCs w:val="20"/>
        </w:rPr>
        <w:t>34</w:t>
      </w:r>
    </w:p>
    <w:p w:rsidR="00000000" w:rsidRDefault="009730FF">
      <w:pPr>
        <w:pStyle w:val="a3"/>
        <w:spacing w:before="0" w:beforeAutospacing="0" w:after="600" w:afterAutospacing="0"/>
        <w:divId w:val="463620345"/>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955528491"/>
        <w:rPr>
          <w:sz w:val="20"/>
          <w:szCs w:val="20"/>
        </w:rPr>
      </w:pPr>
      <w:r>
        <w:rPr>
          <w:sz w:val="20"/>
          <w:szCs w:val="20"/>
        </w:rPr>
        <w:t>million. Gross margin for our Energy segment improved by $366 million for the three months ended March 31, 2</w:t>
      </w:r>
      <w:r>
        <w:rPr>
          <w:sz w:val="20"/>
          <w:szCs w:val="20"/>
        </w:rPr>
        <w:t>022 as compared to the comparable prior year period. Gross margin as a percentage of net sales was 11% and (8)% for the three months ended March 31, 2022 and 2021, respectively. The improvement in the gross margin as a percentage of net sales was primarily</w:t>
      </w:r>
      <w:r>
        <w:rPr>
          <w:sz w:val="20"/>
          <w:szCs w:val="20"/>
        </w:rPr>
        <w:t xml:space="preserve"> attributable to the petroleum business, which was primarily due to higher crack spreads and a decrease in the net cost of RINs, in addition to higher net sales and pricing in the nitrogen fertilizer business. These improvements were offset in part by incr</w:t>
      </w:r>
      <w:r>
        <w:rPr>
          <w:sz w:val="20"/>
          <w:szCs w:val="20"/>
        </w:rPr>
        <w:t xml:space="preserve">eased RFS compliance costs. </w:t>
      </w:r>
    </w:p>
    <w:p w:rsidR="00000000" w:rsidRDefault="009730FF">
      <w:pPr>
        <w:pStyle w:val="a3"/>
        <w:spacing w:before="0" w:beforeAutospacing="0" w:after="240" w:afterAutospacing="0"/>
        <w:divId w:val="955528491"/>
        <w:rPr>
          <w:b/>
          <w:bCs/>
          <w:i/>
          <w:iCs/>
          <w:sz w:val="20"/>
          <w:szCs w:val="20"/>
        </w:rPr>
      </w:pPr>
      <w:r>
        <w:rPr>
          <w:b/>
          <w:bCs/>
          <w:i/>
          <w:iCs/>
          <w:sz w:val="20"/>
          <w:szCs w:val="20"/>
        </w:rPr>
        <w:t>Automotive</w:t>
      </w:r>
    </w:p>
    <w:p w:rsidR="00000000" w:rsidRDefault="009730FF">
      <w:pPr>
        <w:pStyle w:val="a3"/>
        <w:spacing w:before="0" w:beforeAutospacing="0" w:after="240" w:afterAutospacing="0"/>
        <w:ind w:firstLine="360"/>
        <w:divId w:val="955528491"/>
        <w:rPr>
          <w:sz w:val="20"/>
          <w:szCs w:val="20"/>
        </w:rPr>
      </w:pPr>
      <w:r>
        <w:rPr>
          <w:sz w:val="20"/>
          <w:szCs w:val="20"/>
        </w:rPr>
        <w:t>Our Automotive segment’s results of operations are generally driven by the distribution and installation of automotive aftermarket parts and the demand for automotive service and maintenance, and is affected by the r</w:t>
      </w:r>
      <w:r>
        <w:rPr>
          <w:sz w:val="20"/>
          <w:szCs w:val="20"/>
        </w:rPr>
        <w:t xml:space="preserve">elative strength of automotive part replacement trends, among other factors. </w:t>
      </w:r>
    </w:p>
    <w:p w:rsidR="00000000" w:rsidRDefault="009730FF">
      <w:pPr>
        <w:pStyle w:val="a3"/>
        <w:spacing w:before="0" w:beforeAutospacing="0" w:after="240" w:afterAutospacing="0"/>
        <w:ind w:firstLine="360"/>
        <w:divId w:val="955528491"/>
        <w:rPr>
          <w:sz w:val="20"/>
          <w:szCs w:val="20"/>
        </w:rPr>
      </w:pPr>
      <w:r>
        <w:rPr>
          <w:sz w:val="20"/>
          <w:szCs w:val="20"/>
        </w:rPr>
        <w:t>Our Automotive segment has been in the process of implementing a multi-year transformation plan, which includes the restructuring of its businesses. The transformation plan inclu</w:t>
      </w:r>
      <w:r>
        <w:rPr>
          <w:sz w:val="20"/>
          <w:szCs w:val="20"/>
        </w:rPr>
        <w:t>des operating the automotive services and aftermarket parts businesses as separate businesses, streamlining Icahn Automotive’s corporate and field support teams, facility closures, consolidations and conversions, inventory optimization actions, and the re-</w:t>
      </w:r>
      <w:r>
        <w:rPr>
          <w:sz w:val="20"/>
          <w:szCs w:val="20"/>
        </w:rPr>
        <w:t>focusing of its automotive parts business on certain core markets. As part of this plan, in 2021 Icahn Automotive entered into an agreement to sell certain inventory assets relating to its aftermarket parts business at 109 locations and a distribution cent</w:t>
      </w:r>
      <w:r>
        <w:rPr>
          <w:sz w:val="20"/>
          <w:szCs w:val="20"/>
        </w:rPr>
        <w:t>er in California and certain other inventory and fixed assets in California. Costs to implement the transformation plan include restructuring charges, which are recorded when specific plans are approved, and which may be significant.</w:t>
      </w:r>
    </w:p>
    <w:p w:rsidR="00000000" w:rsidRDefault="009730FF">
      <w:pPr>
        <w:pStyle w:val="a3"/>
        <w:spacing w:before="0" w:beforeAutospacing="0" w:after="240" w:afterAutospacing="0"/>
        <w:ind w:firstLine="360"/>
        <w:divId w:val="955528491"/>
        <w:rPr>
          <w:sz w:val="20"/>
          <w:szCs w:val="20"/>
        </w:rPr>
      </w:pPr>
      <w:r>
        <w:rPr>
          <w:sz w:val="20"/>
          <w:szCs w:val="20"/>
        </w:rPr>
        <w:t>Our Automotive segment</w:t>
      </w:r>
      <w:r>
        <w:rPr>
          <w:sz w:val="20"/>
          <w:szCs w:val="20"/>
        </w:rPr>
        <w: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sz w:val="20"/>
                <w:szCs w:val="20"/>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Positioning the service business to take advantage of opportunities in the do-it-for-me market and vehicle fleets;</w:t>
            </w:r>
          </w:p>
        </w:tc>
      </w:tr>
    </w:tbl>
    <w:p w:rsidR="00000000" w:rsidRDefault="009730FF">
      <w:pPr>
        <w:divId w:val="955528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rFonts w:eastAsia="Times New Roman"/>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Optimizing the value of the commercial parts distribution business in certain high-volume core markets;</w:t>
            </w:r>
          </w:p>
        </w:tc>
      </w:tr>
    </w:tbl>
    <w:p w:rsidR="00000000" w:rsidRDefault="009730FF">
      <w:pPr>
        <w:divId w:val="955528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rFonts w:eastAsia="Times New Roman"/>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Exiting the automotive parts distribution business in certain low volume, non-core markets;</w:t>
            </w:r>
          </w:p>
        </w:tc>
      </w:tr>
    </w:tbl>
    <w:p w:rsidR="00000000" w:rsidRDefault="009730FF">
      <w:pPr>
        <w:divId w:val="955528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rFonts w:eastAsia="Times New Roman"/>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Improving inventory management across Icahn Automo</w:t>
            </w:r>
            <w:r>
              <w:rPr>
                <w:rFonts w:eastAsia="Times New Roman"/>
                <w:sz w:val="20"/>
                <w:szCs w:val="20"/>
              </w:rPr>
              <w:t>tive’s parts and tire distribution network;</w:t>
            </w:r>
          </w:p>
        </w:tc>
      </w:tr>
    </w:tbl>
    <w:p w:rsidR="00000000" w:rsidRDefault="009730FF">
      <w:pPr>
        <w:divId w:val="955528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rFonts w:eastAsia="Times New Roman"/>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Investment in customer experience initiatives and selective upgrades in facilities;</w:t>
            </w:r>
          </w:p>
        </w:tc>
      </w:tr>
    </w:tbl>
    <w:p w:rsidR="00000000" w:rsidRDefault="009730FF">
      <w:pPr>
        <w:divId w:val="955528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rFonts w:eastAsia="Times New Roman"/>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Investment in employees with focus on training and career development investments; and</w:t>
            </w:r>
          </w:p>
        </w:tc>
      </w:tr>
    </w:tbl>
    <w:p w:rsidR="00000000" w:rsidRDefault="009730FF">
      <w:pPr>
        <w:divId w:val="9555284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5528491"/>
        </w:trPr>
        <w:tc>
          <w:tcPr>
            <w:tcW w:w="360" w:type="dxa"/>
            <w:vAlign w:val="center"/>
            <w:hideMark/>
          </w:tcPr>
          <w:p w:rsidR="00000000" w:rsidRDefault="009730FF">
            <w:pPr>
              <w:rPr>
                <w:rFonts w:eastAsia="Times New Roman"/>
              </w:rPr>
            </w:pPr>
          </w:p>
        </w:tc>
        <w:tc>
          <w:tcPr>
            <w:tcW w:w="360" w:type="dxa"/>
            <w:noWrap/>
            <w:tcMar>
              <w:top w:w="0" w:type="dxa"/>
              <w:left w:w="0" w:type="dxa"/>
              <w:bottom w:w="0" w:type="dxa"/>
              <w:right w:w="0" w:type="dxa"/>
            </w:tcMar>
            <w:hideMark/>
          </w:tcPr>
          <w:p w:rsidR="00000000" w:rsidRDefault="009730F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730FF">
            <w:pPr>
              <w:rPr>
                <w:rFonts w:eastAsia="Times New Roman"/>
                <w:sz w:val="20"/>
                <w:szCs w:val="20"/>
              </w:rPr>
            </w:pPr>
            <w:r>
              <w:rPr>
                <w:rFonts w:eastAsia="Times New Roman"/>
                <w:sz w:val="20"/>
                <w:szCs w:val="20"/>
              </w:rPr>
              <w:t>Business process improvements, including investments in our supply chain and information technology capabilities.</w:t>
            </w:r>
          </w:p>
        </w:tc>
      </w:tr>
    </w:tbl>
    <w:p w:rsidR="00000000" w:rsidRDefault="009730FF">
      <w:pPr>
        <w:pStyle w:val="a3"/>
        <w:spacing w:before="0" w:beforeAutospacing="0" w:after="240" w:afterAutospacing="0"/>
        <w:ind w:firstLine="360"/>
        <w:divId w:val="955528491"/>
        <w:rPr>
          <w:sz w:val="20"/>
          <w:szCs w:val="20"/>
        </w:rPr>
      </w:pPr>
      <w:r>
        <w:rPr>
          <w:sz w:val="20"/>
          <w:szCs w:val="20"/>
        </w:rPr>
        <w:t>The following table presents our Automotive segme</w:t>
      </w:r>
      <w:r>
        <w:rPr>
          <w:sz w:val="20"/>
          <w:szCs w:val="20"/>
        </w:rPr>
        <w:t>nt’s operating revenue, cost of revenue and gross margin. Our Automotive segment’s results of operations also include automotive services labor. Automotive services labor revenues are included in other revenues from operations in our condensed consolidated</w:t>
      </w:r>
      <w:r>
        <w:rPr>
          <w:sz w:val="20"/>
          <w:szCs w:val="20"/>
        </w:rPr>
        <w:t xml:space="preserve"> statements of operations, however, the sale of any installed parts or materials related to automotive services are included in net sales. Therefore, we discuss the combined results of our automotive net sales and automotive services labor revenues below. </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75"/>
        <w:gridCol w:w="1088"/>
        <w:gridCol w:w="276"/>
        <w:gridCol w:w="172"/>
        <w:gridCol w:w="1089"/>
      </w:tblGrid>
      <w:tr w:rsidR="00000000">
        <w:trPr>
          <w:divId w:val="955528491"/>
          <w:trHeight w:val="20"/>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divId w:val="24418886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2644829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00417705"/>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7459448"/>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5219220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01753353"/>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18619473"/>
              <w:rPr>
                <w:sz w:val="20"/>
                <w:szCs w:val="20"/>
              </w:rPr>
            </w:pPr>
            <w:r>
              <w:rPr>
                <w:sz w:val="2"/>
                <w:szCs w:val="2"/>
              </w:rPr>
              <w:t>​</w:t>
            </w:r>
          </w:p>
        </w:tc>
      </w:tr>
      <w:tr w:rsidR="00000000">
        <w:trPr>
          <w:divId w:val="9555284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Three Months Ended March 31, </w:t>
            </w:r>
          </w:p>
        </w:tc>
      </w:tr>
      <w:tr w:rsidR="00000000">
        <w:trPr>
          <w:divId w:val="9555284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50"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4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4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955528491"/>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9555284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1442"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955528491"/>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Net sales and other revenues from operations</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55</w:t>
            </w:r>
            <w:r>
              <w:rPr>
                <w:sz w:val="20"/>
                <w:szCs w:val="20"/>
              </w:rPr>
              <w:t>4</w:t>
            </w:r>
          </w:p>
        </w:tc>
        <w:tc>
          <w:tcPr>
            <w:tcW w:w="1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59</w:t>
            </w:r>
            <w:r>
              <w:rPr>
                <w:sz w:val="20"/>
                <w:szCs w:val="20"/>
              </w:rPr>
              <w:t>8</w:t>
            </w:r>
          </w:p>
        </w:tc>
      </w:tr>
      <w:tr w:rsidR="00000000">
        <w:trPr>
          <w:divId w:val="955528491"/>
        </w:trPr>
        <w:tc>
          <w:tcPr>
            <w:tcW w:w="3454"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Cost of goods sold and other expenses from operations</w:t>
            </w:r>
          </w:p>
        </w:tc>
        <w:tc>
          <w:tcPr>
            <w:tcW w:w="103"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38</w:t>
            </w:r>
            <w:r>
              <w:rPr>
                <w:sz w:val="20"/>
                <w:szCs w:val="20"/>
              </w:rPr>
              <w:t>4</w:t>
            </w:r>
          </w:p>
        </w:tc>
        <w:tc>
          <w:tcPr>
            <w:tcW w:w="14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42</w:t>
            </w:r>
            <w:r>
              <w:rPr>
                <w:sz w:val="20"/>
                <w:szCs w:val="20"/>
              </w:rPr>
              <w:t>5</w:t>
            </w:r>
          </w:p>
        </w:tc>
      </w:tr>
      <w:tr w:rsidR="00000000">
        <w:trPr>
          <w:divId w:val="955528491"/>
        </w:trPr>
        <w:tc>
          <w:tcPr>
            <w:tcW w:w="3454"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Gross margin</w:t>
            </w:r>
          </w:p>
        </w:tc>
        <w:tc>
          <w:tcPr>
            <w:tcW w:w="103"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17</w:t>
            </w:r>
            <w:r>
              <w:rPr>
                <w:sz w:val="20"/>
                <w:szCs w:val="20"/>
              </w:rPr>
              <w:t>0</w:t>
            </w:r>
          </w:p>
        </w:tc>
        <w:tc>
          <w:tcPr>
            <w:tcW w:w="14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17</w:t>
            </w:r>
            <w:r>
              <w:rPr>
                <w:sz w:val="20"/>
                <w:szCs w:val="20"/>
              </w:rPr>
              <w:t>3</w:t>
            </w:r>
          </w:p>
        </w:tc>
      </w:tr>
    </w:tbl>
    <w:p w:rsidR="00000000" w:rsidRDefault="009730FF">
      <w:pPr>
        <w:pStyle w:val="a3"/>
        <w:spacing w:before="0" w:beforeAutospacing="0" w:after="0" w:afterAutospacing="0"/>
        <w:divId w:val="955528491"/>
        <w:rPr>
          <w:sz w:val="20"/>
          <w:szCs w:val="20"/>
        </w:rPr>
      </w:pPr>
      <w:r>
        <w:rPr>
          <w:sz w:val="20"/>
          <w:szCs w:val="20"/>
        </w:rPr>
        <w:t>​</w:t>
      </w:r>
    </w:p>
    <w:p w:rsidR="00000000" w:rsidRDefault="009730FF">
      <w:pPr>
        <w:pStyle w:val="a3"/>
        <w:spacing w:before="0" w:beforeAutospacing="0" w:after="240" w:afterAutospacing="0"/>
        <w:divId w:val="955528491"/>
        <w:rPr>
          <w:i/>
          <w:iCs/>
          <w:sz w:val="20"/>
          <w:szCs w:val="20"/>
        </w:rPr>
      </w:pPr>
      <w:r>
        <w:rPr>
          <w:i/>
          <w:iCs/>
          <w:sz w:val="20"/>
          <w:szCs w:val="20"/>
        </w:rPr>
        <w:t>Three Months Ended March 31, 2022 and 2021</w:t>
      </w:r>
    </w:p>
    <w:p w:rsidR="00000000" w:rsidRDefault="009730FF">
      <w:pPr>
        <w:pStyle w:val="a3"/>
        <w:spacing w:before="0" w:beforeAutospacing="0" w:after="0" w:afterAutospacing="0"/>
        <w:ind w:firstLine="360"/>
        <w:divId w:val="955528491"/>
        <w:rPr>
          <w:sz w:val="20"/>
          <w:szCs w:val="20"/>
        </w:rPr>
      </w:pPr>
      <w:r>
        <w:rPr>
          <w:sz w:val="20"/>
          <w:szCs w:val="20"/>
        </w:rPr>
        <w:t>Net sales and other revenues from operations for our Automotive segment for the three months ended March 31, 2022 decreased by $44 million (7%) as compared to the comparable prior year period. The decrease was attributable to a decrease in aftermarket part</w:t>
      </w:r>
      <w:r>
        <w:rPr>
          <w:sz w:val="20"/>
          <w:szCs w:val="20"/>
        </w:rPr>
        <w:t>s sales of $70 million (26%), offset in part by an increase in automotive services revenue of $26 million (8%). On an organic basis, aftermarket parts sales increased $7 million over the comparable periods including an increase in ecommerce of $3 million (</w:t>
      </w:r>
      <w:r>
        <w:rPr>
          <w:sz w:val="20"/>
          <w:szCs w:val="20"/>
        </w:rPr>
        <w:t xml:space="preserve">30%) and an increase in commercial sales of $2 million (3%). Store </w:t>
      </w:r>
    </w:p>
    <w:p w:rsidR="00000000" w:rsidRDefault="009730FF">
      <w:pPr>
        <w:pStyle w:val="a3"/>
        <w:spacing w:before="480" w:beforeAutospacing="0" w:after="0" w:afterAutospacing="0"/>
        <w:jc w:val="center"/>
        <w:divId w:val="1343893264"/>
        <w:rPr>
          <w:sz w:val="20"/>
          <w:szCs w:val="20"/>
        </w:rPr>
      </w:pPr>
      <w:r>
        <w:rPr>
          <w:sz w:val="20"/>
          <w:szCs w:val="20"/>
        </w:rPr>
        <w:t>35</w:t>
      </w:r>
    </w:p>
    <w:p w:rsidR="00000000" w:rsidRDefault="009730FF">
      <w:pPr>
        <w:pStyle w:val="a3"/>
        <w:spacing w:before="0" w:beforeAutospacing="0" w:after="600" w:afterAutospacing="0"/>
        <w:divId w:val="1545672364"/>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1352681230"/>
        <w:rPr>
          <w:sz w:val="20"/>
          <w:szCs w:val="20"/>
        </w:rPr>
      </w:pPr>
      <w:r>
        <w:rPr>
          <w:sz w:val="20"/>
          <w:szCs w:val="20"/>
        </w:rPr>
        <w:t>closures related to the transformation plan accounted for a $77 million decrease in aftermarket parts sales. The increase in automotive servi</w:t>
      </w:r>
      <w:r>
        <w:rPr>
          <w:sz w:val="20"/>
          <w:szCs w:val="20"/>
        </w:rPr>
        <w:t xml:space="preserve">ces revenues represents an increase on a primarily organic basis as prices have increased 2% over the comparable prior year. </w:t>
      </w:r>
    </w:p>
    <w:p w:rsidR="00000000" w:rsidRDefault="009730FF">
      <w:pPr>
        <w:pStyle w:val="a3"/>
        <w:spacing w:before="0" w:beforeAutospacing="0" w:after="240" w:afterAutospacing="0"/>
        <w:ind w:firstLine="360"/>
        <w:divId w:val="1352681230"/>
        <w:rPr>
          <w:sz w:val="20"/>
          <w:szCs w:val="20"/>
        </w:rPr>
      </w:pPr>
      <w:r>
        <w:rPr>
          <w:sz w:val="20"/>
          <w:szCs w:val="20"/>
        </w:rPr>
        <w:t xml:space="preserve">Cost of goods sold and other expenses from operations for the three months ended March 31, 2022 decreased by $41 million (10%) as </w:t>
      </w:r>
      <w:r>
        <w:rPr>
          <w:sz w:val="20"/>
          <w:szCs w:val="20"/>
        </w:rPr>
        <w:t>compared to the comparable prior year period. The decrease was primarily due to lower costs attributable to lower aftermarket parts sales which exceeded higher costs associated with higher services revenues. Gross margin on net sales and other revenue from</w:t>
      </w:r>
      <w:r>
        <w:rPr>
          <w:sz w:val="20"/>
          <w:szCs w:val="20"/>
        </w:rPr>
        <w:t xml:space="preserve"> operations for the three months ended March 31, 2022 decreased by $3 million (2%) as compared to the comparable prior year period. Gross margin as a percentage of net sales and other revenue from operations was 31% and 29% for the three months ended March</w:t>
      </w:r>
      <w:r>
        <w:rPr>
          <w:sz w:val="20"/>
          <w:szCs w:val="20"/>
        </w:rPr>
        <w:t xml:space="preserve"> 31, 2022 and 2021, respectively. </w:t>
      </w:r>
    </w:p>
    <w:p w:rsidR="00000000" w:rsidRDefault="009730FF">
      <w:pPr>
        <w:pStyle w:val="a3"/>
        <w:spacing w:before="0" w:beforeAutospacing="0" w:after="240" w:afterAutospacing="0"/>
        <w:divId w:val="1352681230"/>
        <w:rPr>
          <w:sz w:val="20"/>
          <w:szCs w:val="20"/>
        </w:rPr>
      </w:pPr>
      <w:r>
        <w:rPr>
          <w:b/>
          <w:bCs/>
          <w:i/>
          <w:iCs/>
          <w:sz w:val="20"/>
          <w:szCs w:val="20"/>
        </w:rPr>
        <w:t>Food Packaging</w:t>
      </w:r>
    </w:p>
    <w:p w:rsidR="00000000" w:rsidRDefault="009730FF">
      <w:pPr>
        <w:pStyle w:val="a3"/>
        <w:spacing w:before="0" w:beforeAutospacing="0" w:after="240" w:afterAutospacing="0"/>
        <w:ind w:firstLine="360"/>
        <w:divId w:val="1352681230"/>
        <w:rPr>
          <w:sz w:val="20"/>
          <w:szCs w:val="20"/>
        </w:rPr>
      </w:pPr>
      <w:r>
        <w:rPr>
          <w:sz w:val="20"/>
          <w:szCs w:val="20"/>
        </w:rPr>
        <w:t>Our Food packaging segment’s results of operations are primarily driven by the production and sale of cellulosic, fibrous and plastic casings for the processed meat and poultry industry and derives a majori</w:t>
      </w:r>
      <w:r>
        <w:rPr>
          <w:sz w:val="20"/>
          <w:szCs w:val="20"/>
        </w:rPr>
        <w:t>ty of its total net sales from customers located outside the United States.</w:t>
      </w:r>
    </w:p>
    <w:p w:rsidR="00000000" w:rsidRDefault="009730FF">
      <w:pPr>
        <w:pStyle w:val="a3"/>
        <w:spacing w:before="0" w:beforeAutospacing="0" w:after="240" w:afterAutospacing="0"/>
        <w:divId w:val="1352681230"/>
        <w:rPr>
          <w:i/>
          <w:iCs/>
          <w:sz w:val="20"/>
          <w:szCs w:val="20"/>
        </w:rPr>
      </w:pPr>
      <w:r>
        <w:rPr>
          <w:i/>
          <w:iCs/>
          <w:sz w:val="20"/>
          <w:szCs w:val="20"/>
        </w:rPr>
        <w:t>Three Months Ended March 31, 2022 and 2021</w:t>
      </w:r>
    </w:p>
    <w:p w:rsidR="00000000" w:rsidRDefault="009730FF">
      <w:pPr>
        <w:pStyle w:val="a3"/>
        <w:spacing w:before="0" w:beforeAutospacing="0" w:after="240" w:afterAutospacing="0"/>
        <w:ind w:firstLine="360"/>
        <w:divId w:val="1352681230"/>
        <w:rPr>
          <w:sz w:val="20"/>
          <w:szCs w:val="20"/>
        </w:rPr>
      </w:pPr>
      <w:r>
        <w:rPr>
          <w:sz w:val="20"/>
          <w:szCs w:val="20"/>
        </w:rPr>
        <w:t xml:space="preserve">Net sales for the three months ended March 31, 2022 were flat as compared to the comparable prior year period. Impacts to sales were due </w:t>
      </w:r>
      <w:r>
        <w:rPr>
          <w:sz w:val="20"/>
          <w:szCs w:val="20"/>
        </w:rPr>
        <w:t>to an increase of $10 million in price and product mix, offset by a decrease of $2 million due to unfavorable effects of foreign exchange and a decrease of $8 million due to lower volumes. Cost of goods sold for the three months ended March 31, 2022 increa</w:t>
      </w:r>
      <w:r>
        <w:rPr>
          <w:sz w:val="20"/>
          <w:szCs w:val="20"/>
        </w:rPr>
        <w:t>sed by $1 million (1%) as compared to the comparable prior year period due to the effects of raw material price inflation, manufacturing variances and distribution costs, offset in part by lower volumes. Gross margin as a percentage of net sales was 20% an</w:t>
      </w:r>
      <w:r>
        <w:rPr>
          <w:sz w:val="20"/>
          <w:szCs w:val="20"/>
        </w:rPr>
        <w:t>d 21% for the three months ended March 31, 2022 and 2021, respectively.</w:t>
      </w:r>
    </w:p>
    <w:p w:rsidR="00000000" w:rsidRDefault="009730FF">
      <w:pPr>
        <w:pStyle w:val="a3"/>
        <w:spacing w:before="0" w:beforeAutospacing="0" w:after="240" w:afterAutospacing="0"/>
        <w:divId w:val="1352681230"/>
        <w:rPr>
          <w:sz w:val="20"/>
          <w:szCs w:val="20"/>
        </w:rPr>
      </w:pPr>
      <w:r>
        <w:rPr>
          <w:b/>
          <w:bCs/>
          <w:i/>
          <w:iCs/>
          <w:sz w:val="20"/>
          <w:szCs w:val="20"/>
        </w:rPr>
        <w:t>Real Estate</w:t>
      </w:r>
    </w:p>
    <w:p w:rsidR="00000000" w:rsidRDefault="009730FF">
      <w:pPr>
        <w:pStyle w:val="a3"/>
        <w:spacing w:before="0" w:beforeAutospacing="0" w:after="240" w:afterAutospacing="0"/>
        <w:ind w:firstLine="360"/>
        <w:divId w:val="1352681230"/>
        <w:rPr>
          <w:sz w:val="20"/>
          <w:szCs w:val="20"/>
        </w:rPr>
      </w:pPr>
      <w:r>
        <w:rPr>
          <w:sz w:val="20"/>
          <w:szCs w:val="20"/>
        </w:rPr>
        <w:t>Our Real Estate segment consists primarily of investment properties, the development and sale of single-family homes, and the management of a country club. Sales of single-</w:t>
      </w:r>
      <w:r>
        <w:rPr>
          <w:sz w:val="20"/>
          <w:szCs w:val="20"/>
        </w:rPr>
        <w:t>family homes are included in net sales in our consolidated statements of operations. Results from investment properties and country club operations are included in other revenues from operations in our consolidated statements of operations. Revenue from ou</w:t>
      </w:r>
      <w:r>
        <w:rPr>
          <w:sz w:val="20"/>
          <w:szCs w:val="20"/>
        </w:rPr>
        <w:t xml:space="preserve">r real estate operations for each of the three months ended March 31, 2022 and 2021 were primarily derived from the sale of residential units and rental operations. </w:t>
      </w:r>
    </w:p>
    <w:p w:rsidR="00000000" w:rsidRDefault="009730FF">
      <w:pPr>
        <w:pStyle w:val="a3"/>
        <w:spacing w:before="0" w:beforeAutospacing="0" w:after="240" w:afterAutospacing="0"/>
        <w:divId w:val="1352681230"/>
        <w:rPr>
          <w:b/>
          <w:bCs/>
          <w:i/>
          <w:iCs/>
          <w:sz w:val="20"/>
          <w:szCs w:val="20"/>
        </w:rPr>
      </w:pPr>
      <w:r>
        <w:rPr>
          <w:b/>
          <w:bCs/>
          <w:i/>
          <w:iCs/>
          <w:sz w:val="20"/>
          <w:szCs w:val="20"/>
        </w:rPr>
        <w:t>Home Fashion</w:t>
      </w:r>
    </w:p>
    <w:p w:rsidR="00000000" w:rsidRDefault="009730FF">
      <w:pPr>
        <w:pStyle w:val="a3"/>
        <w:spacing w:before="0" w:beforeAutospacing="0" w:after="240" w:afterAutospacing="0"/>
        <w:ind w:firstLine="360"/>
        <w:divId w:val="1352681230"/>
        <w:rPr>
          <w:sz w:val="20"/>
          <w:szCs w:val="20"/>
        </w:rPr>
      </w:pPr>
      <w:r>
        <w:rPr>
          <w:sz w:val="20"/>
          <w:szCs w:val="20"/>
        </w:rPr>
        <w:t xml:space="preserve">Our Home Fashion segment is significantly influenced by the overall economic </w:t>
      </w:r>
      <w:r>
        <w:rPr>
          <w:sz w:val="20"/>
          <w:szCs w:val="20"/>
        </w:rPr>
        <w:t xml:space="preserve">environment, including consumer spending, at the retail level, for home textile products. </w:t>
      </w:r>
    </w:p>
    <w:p w:rsidR="00000000" w:rsidRDefault="009730FF">
      <w:pPr>
        <w:pStyle w:val="a3"/>
        <w:spacing w:before="0" w:beforeAutospacing="0" w:after="240" w:afterAutospacing="0"/>
        <w:divId w:val="1352681230"/>
        <w:rPr>
          <w:i/>
          <w:iCs/>
          <w:sz w:val="20"/>
          <w:szCs w:val="20"/>
        </w:rPr>
      </w:pPr>
      <w:r>
        <w:rPr>
          <w:i/>
          <w:iCs/>
          <w:sz w:val="20"/>
          <w:szCs w:val="20"/>
        </w:rPr>
        <w:t>Three Months Ended March 31, 2022 and 2021</w:t>
      </w:r>
    </w:p>
    <w:p w:rsidR="00000000" w:rsidRDefault="009730FF">
      <w:pPr>
        <w:pStyle w:val="a3"/>
        <w:spacing w:before="0" w:beforeAutospacing="0" w:after="240" w:afterAutospacing="0"/>
        <w:ind w:firstLine="360"/>
        <w:divId w:val="1352681230"/>
        <w:rPr>
          <w:sz w:val="20"/>
          <w:szCs w:val="20"/>
        </w:rPr>
      </w:pPr>
      <w:r>
        <w:rPr>
          <w:sz w:val="20"/>
          <w:szCs w:val="20"/>
        </w:rPr>
        <w:t>Net sales for the three months ended March 31, 2022 increased by $14 million (34%) compared to the comparable prior year p</w:t>
      </w:r>
      <w:r>
        <w:rPr>
          <w:sz w:val="20"/>
          <w:szCs w:val="20"/>
        </w:rPr>
        <w:t>eriod primarily due to an increase in demand as leisure and business travel have increased due to the reduced impact of the COVID-19 pandemic on our Home Fashion segment’s hospitality business. Cost of goods sold for the three months ended March 31, 2022 i</w:t>
      </w:r>
      <w:r>
        <w:rPr>
          <w:sz w:val="20"/>
          <w:szCs w:val="20"/>
        </w:rPr>
        <w:t>ncreased $11 million (32%) compared to the comparable prior year period due to higher material and freight costs. Gross margin as a percentage of net sales was 18% and 17% for the three months ended March 31, 2022 and 2021, respectively. The increase is pr</w:t>
      </w:r>
      <w:r>
        <w:rPr>
          <w:sz w:val="20"/>
          <w:szCs w:val="20"/>
        </w:rPr>
        <w:t>imarily due to customer price increases and improved production capacity.</w:t>
      </w:r>
    </w:p>
    <w:p w:rsidR="00000000" w:rsidRDefault="009730FF">
      <w:pPr>
        <w:pStyle w:val="a3"/>
        <w:spacing w:before="480" w:beforeAutospacing="0" w:after="0" w:afterAutospacing="0"/>
        <w:jc w:val="center"/>
        <w:divId w:val="2028554070"/>
        <w:rPr>
          <w:sz w:val="20"/>
          <w:szCs w:val="20"/>
        </w:rPr>
      </w:pPr>
      <w:r>
        <w:rPr>
          <w:sz w:val="20"/>
          <w:szCs w:val="20"/>
        </w:rPr>
        <w:t>36</w:t>
      </w:r>
    </w:p>
    <w:p w:rsidR="00000000" w:rsidRDefault="009730FF">
      <w:pPr>
        <w:pStyle w:val="a3"/>
        <w:spacing w:before="0" w:beforeAutospacing="0" w:after="600" w:afterAutospacing="0"/>
        <w:divId w:val="1624579347"/>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1641421338"/>
        <w:rPr>
          <w:b/>
          <w:bCs/>
          <w:i/>
          <w:iCs/>
          <w:sz w:val="20"/>
          <w:szCs w:val="20"/>
        </w:rPr>
      </w:pPr>
      <w:r>
        <w:rPr>
          <w:b/>
          <w:bCs/>
          <w:i/>
          <w:iCs/>
          <w:sz w:val="20"/>
          <w:szCs w:val="20"/>
        </w:rPr>
        <w:t>Pharma</w:t>
      </w:r>
    </w:p>
    <w:p w:rsidR="00000000" w:rsidRDefault="009730FF">
      <w:pPr>
        <w:pStyle w:val="a3"/>
        <w:spacing w:before="0" w:beforeAutospacing="0" w:after="240" w:afterAutospacing="0"/>
        <w:ind w:firstLine="360"/>
        <w:divId w:val="1641421338"/>
        <w:rPr>
          <w:sz w:val="20"/>
          <w:szCs w:val="20"/>
        </w:rPr>
      </w:pPr>
      <w:r>
        <w:rPr>
          <w:sz w:val="20"/>
          <w:szCs w:val="20"/>
        </w:rPr>
        <w:t>Our Pharma segment derives revenues primarily from the sale of its products directly to customers, wholesalers and pharmacies.</w:t>
      </w:r>
    </w:p>
    <w:p w:rsidR="00000000" w:rsidRDefault="009730FF">
      <w:pPr>
        <w:pStyle w:val="a3"/>
        <w:spacing w:before="0" w:beforeAutospacing="0" w:after="240" w:afterAutospacing="0"/>
        <w:divId w:val="1641421338"/>
        <w:rPr>
          <w:i/>
          <w:iCs/>
          <w:sz w:val="20"/>
          <w:szCs w:val="20"/>
        </w:rPr>
      </w:pPr>
      <w:r>
        <w:rPr>
          <w:i/>
          <w:iCs/>
          <w:sz w:val="20"/>
          <w:szCs w:val="20"/>
        </w:rPr>
        <w:t>T</w:t>
      </w:r>
      <w:r>
        <w:rPr>
          <w:i/>
          <w:iCs/>
          <w:sz w:val="20"/>
          <w:szCs w:val="20"/>
        </w:rPr>
        <w:t>hree Months Ended March 31, 2022 and 2021</w:t>
      </w:r>
    </w:p>
    <w:p w:rsidR="00000000" w:rsidRDefault="009730FF">
      <w:pPr>
        <w:pStyle w:val="a3"/>
        <w:spacing w:before="0" w:beforeAutospacing="0" w:after="240" w:afterAutospacing="0"/>
        <w:ind w:firstLine="360"/>
        <w:divId w:val="1641421338"/>
        <w:rPr>
          <w:sz w:val="20"/>
          <w:szCs w:val="20"/>
        </w:rPr>
      </w:pPr>
      <w:r>
        <w:rPr>
          <w:sz w:val="20"/>
          <w:szCs w:val="20"/>
        </w:rPr>
        <w:t>Net sales for the three months ended March 31, 2022 decreased by $14 million (48%) compared to the comparable prior year period primarily due to the absence of a $13 million one-time sale of product to a single cus</w:t>
      </w:r>
      <w:r>
        <w:rPr>
          <w:sz w:val="20"/>
          <w:szCs w:val="20"/>
        </w:rPr>
        <w:t>tomer in the first quarter of 2021. Cost of goods sold for the three months ended March 31, 2022 decreased $2 million (14%) compared to the prior year period due to lower volumes. Gross margin as a percentage of net sales was 20% and 52% for the three mont</w:t>
      </w:r>
      <w:r>
        <w:rPr>
          <w:sz w:val="20"/>
          <w:szCs w:val="20"/>
        </w:rPr>
        <w:t xml:space="preserve">hs ending March 31, 2022 and 2021, respectively. The decrease is due to the absence of the one-time sale in the first quarter of 2021 mentioned above. </w:t>
      </w:r>
    </w:p>
    <w:p w:rsidR="00000000" w:rsidRDefault="009730FF">
      <w:pPr>
        <w:pStyle w:val="a3"/>
        <w:spacing w:before="0" w:beforeAutospacing="0" w:after="240" w:afterAutospacing="0"/>
        <w:divId w:val="1641421338"/>
        <w:rPr>
          <w:b/>
          <w:bCs/>
          <w:i/>
          <w:iCs/>
          <w:sz w:val="20"/>
          <w:szCs w:val="20"/>
        </w:rPr>
      </w:pPr>
      <w:r>
        <w:rPr>
          <w:b/>
          <w:bCs/>
          <w:i/>
          <w:iCs/>
          <w:sz w:val="20"/>
          <w:szCs w:val="20"/>
        </w:rPr>
        <w:t>Holding Company</w:t>
      </w:r>
    </w:p>
    <w:p w:rsidR="00000000" w:rsidRDefault="009730FF">
      <w:pPr>
        <w:pStyle w:val="a3"/>
        <w:spacing w:before="0" w:beforeAutospacing="0" w:after="240" w:afterAutospacing="0"/>
        <w:ind w:firstLine="360"/>
        <w:divId w:val="1641421338"/>
        <w:rPr>
          <w:sz w:val="20"/>
          <w:szCs w:val="20"/>
        </w:rPr>
      </w:pPr>
      <w:r>
        <w:rPr>
          <w:sz w:val="20"/>
          <w:szCs w:val="20"/>
        </w:rPr>
        <w:t>Our Holding Company’s results of operations primarily reflect the interest expense on it</w:t>
      </w:r>
      <w:r>
        <w:rPr>
          <w:sz w:val="20"/>
          <w:szCs w:val="20"/>
        </w:rPr>
        <w:t>s senior unsecured notes and investment gains and losses from equity investments for each of the three months ended March 31, 2022 and 2021.</w:t>
      </w:r>
    </w:p>
    <w:p w:rsidR="00000000" w:rsidRDefault="009730FF">
      <w:pPr>
        <w:pStyle w:val="a3"/>
        <w:spacing w:before="0" w:beforeAutospacing="0" w:after="240" w:afterAutospacing="0"/>
        <w:divId w:val="1641421338"/>
        <w:rPr>
          <w:b/>
          <w:bCs/>
          <w:i/>
          <w:iCs/>
          <w:sz w:val="20"/>
          <w:szCs w:val="20"/>
        </w:rPr>
      </w:pPr>
      <w:r>
        <w:rPr>
          <w:b/>
          <w:bCs/>
          <w:i/>
          <w:iCs/>
          <w:sz w:val="20"/>
          <w:szCs w:val="20"/>
        </w:rPr>
        <w:t>Other Consolidated Results of Operations</w:t>
      </w:r>
    </w:p>
    <w:p w:rsidR="00000000" w:rsidRDefault="009730FF">
      <w:pPr>
        <w:pStyle w:val="a3"/>
        <w:spacing w:before="0" w:beforeAutospacing="0" w:after="240" w:afterAutospacing="0"/>
        <w:divId w:val="1641421338"/>
        <w:rPr>
          <w:b/>
          <w:bCs/>
          <w:sz w:val="20"/>
          <w:szCs w:val="20"/>
        </w:rPr>
      </w:pPr>
      <w:r>
        <w:rPr>
          <w:b/>
          <w:bCs/>
          <w:sz w:val="20"/>
          <w:szCs w:val="20"/>
        </w:rPr>
        <w:t>Selling, General and Administrative</w:t>
      </w:r>
    </w:p>
    <w:p w:rsidR="00000000" w:rsidRDefault="009730FF">
      <w:pPr>
        <w:pStyle w:val="a3"/>
        <w:spacing w:before="0" w:beforeAutospacing="0" w:after="240" w:afterAutospacing="0"/>
        <w:divId w:val="1641421338"/>
        <w:rPr>
          <w:i/>
          <w:iCs/>
          <w:sz w:val="20"/>
          <w:szCs w:val="20"/>
        </w:rPr>
      </w:pPr>
      <w:r>
        <w:rPr>
          <w:i/>
          <w:iCs/>
          <w:sz w:val="20"/>
          <w:szCs w:val="20"/>
        </w:rPr>
        <w:t>Three </w:t>
      </w:r>
      <w:r>
        <w:rPr>
          <w:i/>
          <w:iCs/>
          <w:sz w:val="20"/>
          <w:szCs w:val="20"/>
        </w:rPr>
        <w:t>Months Ended March 31, 2022 and 2021</w:t>
      </w:r>
    </w:p>
    <w:p w:rsidR="00000000" w:rsidRDefault="009730FF">
      <w:pPr>
        <w:pStyle w:val="a3"/>
        <w:spacing w:before="0" w:beforeAutospacing="0" w:after="240" w:afterAutospacing="0"/>
        <w:ind w:firstLine="360"/>
        <w:divId w:val="1641421338"/>
        <w:rPr>
          <w:sz w:val="20"/>
          <w:szCs w:val="20"/>
        </w:rPr>
      </w:pPr>
      <w:r>
        <w:rPr>
          <w:sz w:val="20"/>
          <w:szCs w:val="20"/>
        </w:rPr>
        <w:t>Our consolidated selling, general and administrative during the three months ended March 31, 2022 decreased by $15 million (5%) as compared to the comparable prior year period primarily due to lower expenses of our Auto</w:t>
      </w:r>
      <w:r>
        <w:rPr>
          <w:sz w:val="20"/>
          <w:szCs w:val="20"/>
        </w:rPr>
        <w:t>motive segment mainly related to its transformation plan.</w:t>
      </w:r>
    </w:p>
    <w:p w:rsidR="00000000" w:rsidRDefault="009730FF">
      <w:pPr>
        <w:pStyle w:val="a3"/>
        <w:spacing w:before="0" w:beforeAutospacing="0" w:after="240" w:afterAutospacing="0"/>
        <w:divId w:val="1641421338"/>
        <w:rPr>
          <w:b/>
          <w:bCs/>
          <w:sz w:val="20"/>
          <w:szCs w:val="20"/>
        </w:rPr>
      </w:pPr>
      <w:r>
        <w:rPr>
          <w:b/>
          <w:bCs/>
          <w:sz w:val="20"/>
          <w:szCs w:val="20"/>
        </w:rPr>
        <w:t>Interest Expense</w:t>
      </w:r>
    </w:p>
    <w:p w:rsidR="00000000" w:rsidRDefault="009730FF">
      <w:pPr>
        <w:pStyle w:val="a3"/>
        <w:spacing w:before="0" w:beforeAutospacing="0" w:after="240" w:afterAutospacing="0"/>
        <w:divId w:val="1641421338"/>
        <w:rPr>
          <w:i/>
          <w:iCs/>
          <w:sz w:val="20"/>
          <w:szCs w:val="20"/>
        </w:rPr>
      </w:pPr>
      <w:r>
        <w:rPr>
          <w:i/>
          <w:iCs/>
          <w:sz w:val="20"/>
          <w:szCs w:val="20"/>
        </w:rPr>
        <w:t>Three Months Ended March 31, 2022 and 2021</w:t>
      </w:r>
    </w:p>
    <w:p w:rsidR="00000000" w:rsidRDefault="009730FF">
      <w:pPr>
        <w:pStyle w:val="a3"/>
        <w:spacing w:before="0" w:beforeAutospacing="0" w:after="240" w:afterAutospacing="0"/>
        <w:ind w:firstLine="360"/>
        <w:divId w:val="1641421338"/>
        <w:rPr>
          <w:sz w:val="20"/>
          <w:szCs w:val="20"/>
        </w:rPr>
      </w:pPr>
      <w:r>
        <w:rPr>
          <w:sz w:val="20"/>
          <w:szCs w:val="20"/>
        </w:rPr>
        <w:t>Our consolidated interest expense during the three months ended March 31, 2022 decreased by $61 million (31%) as compared to the comparable prior year period. The decrease was primarily due to lower interest expense from our Investment segment due to lower</w:t>
      </w:r>
      <w:r>
        <w:rPr>
          <w:sz w:val="20"/>
          <w:szCs w:val="20"/>
        </w:rPr>
        <w:t xml:space="preserve"> balances on margin accounts.</w:t>
      </w:r>
    </w:p>
    <w:p w:rsidR="00000000" w:rsidRDefault="009730FF">
      <w:pPr>
        <w:pStyle w:val="a3"/>
        <w:spacing w:before="0" w:beforeAutospacing="0" w:after="240" w:afterAutospacing="0"/>
        <w:divId w:val="1641421338"/>
        <w:rPr>
          <w:b/>
          <w:bCs/>
          <w:sz w:val="20"/>
          <w:szCs w:val="20"/>
        </w:rPr>
      </w:pPr>
      <w:r>
        <w:rPr>
          <w:b/>
          <w:bCs/>
          <w:sz w:val="20"/>
          <w:szCs w:val="20"/>
        </w:rPr>
        <w:t>Income Tax Expense</w:t>
      </w:r>
    </w:p>
    <w:p w:rsidR="00000000" w:rsidRDefault="009730FF">
      <w:pPr>
        <w:pStyle w:val="a3"/>
        <w:spacing w:before="0" w:beforeAutospacing="0" w:after="240" w:afterAutospacing="0"/>
        <w:ind w:firstLine="360"/>
        <w:divId w:val="1641421338"/>
        <w:rPr>
          <w:sz w:val="20"/>
          <w:szCs w:val="20"/>
        </w:rPr>
      </w:pPr>
      <w:r>
        <w:rPr>
          <w:sz w:val="20"/>
          <w:szCs w:val="20"/>
        </w:rPr>
        <w:t>Certain of our subsidiaries are partnerships not subject to taxation in our condensed consolidated financial statements and certain other subsidiaries are corporations, or subsidiaries of corporations, subje</w:t>
      </w:r>
      <w:r>
        <w:rPr>
          <w:sz w:val="20"/>
          <w:szCs w:val="20"/>
        </w:rPr>
        <w:t>ct to taxation in our condensed consolidated financial statements. Therefore, our consolidated effective tax rate generally differs from the statutory federal tax rate. Refer to Note 13, “Income Taxes,” to the condensed consolidated financial statements fo</w:t>
      </w:r>
      <w:r>
        <w:rPr>
          <w:sz w:val="20"/>
          <w:szCs w:val="20"/>
        </w:rPr>
        <w:t>r a discussion of income taxes.</w:t>
      </w:r>
    </w:p>
    <w:p w:rsidR="00000000" w:rsidRDefault="009730FF">
      <w:pPr>
        <w:pStyle w:val="a3"/>
        <w:spacing w:before="0" w:beforeAutospacing="0" w:after="240" w:afterAutospacing="0"/>
        <w:divId w:val="1641421338"/>
        <w:rPr>
          <w:b/>
          <w:bCs/>
          <w:sz w:val="20"/>
          <w:szCs w:val="20"/>
        </w:rPr>
      </w:pPr>
      <w:r>
        <w:rPr>
          <w:b/>
          <w:bCs/>
          <w:sz w:val="20"/>
          <w:szCs w:val="20"/>
        </w:rPr>
        <w:t>Liquidity and Capital Resources</w:t>
      </w:r>
    </w:p>
    <w:p w:rsidR="00000000" w:rsidRDefault="009730FF">
      <w:pPr>
        <w:pStyle w:val="a3"/>
        <w:spacing w:before="0" w:beforeAutospacing="0" w:after="240" w:afterAutospacing="0"/>
        <w:divId w:val="1641421338"/>
        <w:rPr>
          <w:b/>
          <w:bCs/>
          <w:i/>
          <w:iCs/>
          <w:sz w:val="20"/>
          <w:szCs w:val="20"/>
        </w:rPr>
      </w:pPr>
      <w:r>
        <w:rPr>
          <w:b/>
          <w:bCs/>
          <w:i/>
          <w:iCs/>
          <w:sz w:val="20"/>
          <w:szCs w:val="20"/>
        </w:rPr>
        <w:t>Holding Company Liquidity</w:t>
      </w:r>
    </w:p>
    <w:p w:rsidR="00000000" w:rsidRDefault="009730FF">
      <w:pPr>
        <w:pStyle w:val="a3"/>
        <w:spacing w:before="0" w:beforeAutospacing="0" w:after="0" w:afterAutospacing="0"/>
        <w:ind w:firstLine="360"/>
        <w:divId w:val="1641421338"/>
        <w:rPr>
          <w:sz w:val="20"/>
          <w:szCs w:val="20"/>
        </w:rPr>
      </w:pPr>
      <w:r>
        <w:rPr>
          <w:sz w:val="20"/>
          <w:szCs w:val="20"/>
        </w:rPr>
        <w:t>We are a holding company. Our cash flow and our ability to meet our debt service obligations and make distributions with respect to depositary units depends on the ca</w:t>
      </w:r>
      <w:r>
        <w:rPr>
          <w:sz w:val="20"/>
          <w:szCs w:val="20"/>
        </w:rPr>
        <w:t>sh flow resulting from divestitures, equity offerings and debt financings, interest income, returns on our interests in the Investment Funds and the payment of funds to us by our subsidiaries in the form of loans, dividends and distributions. We may pursue</w:t>
      </w:r>
      <w:r>
        <w:rPr>
          <w:sz w:val="20"/>
          <w:szCs w:val="20"/>
        </w:rPr>
        <w:t xml:space="preserve"> various means to raise cash from our subsidiaries. To date, such means include receipt of dividends and distributions from subsidiaries, obtaining loans or </w:t>
      </w:r>
    </w:p>
    <w:p w:rsidR="00000000" w:rsidRDefault="009730FF">
      <w:pPr>
        <w:pStyle w:val="a3"/>
        <w:spacing w:before="480" w:beforeAutospacing="0" w:after="0" w:afterAutospacing="0"/>
        <w:jc w:val="center"/>
        <w:divId w:val="1791439000"/>
        <w:rPr>
          <w:sz w:val="20"/>
          <w:szCs w:val="20"/>
        </w:rPr>
      </w:pPr>
      <w:r>
        <w:rPr>
          <w:sz w:val="20"/>
          <w:szCs w:val="20"/>
        </w:rPr>
        <w:t>37</w:t>
      </w:r>
    </w:p>
    <w:p w:rsidR="00000000" w:rsidRDefault="009730FF">
      <w:pPr>
        <w:pStyle w:val="a3"/>
        <w:spacing w:before="0" w:beforeAutospacing="0" w:after="600" w:afterAutospacing="0"/>
        <w:divId w:val="824705039"/>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229730392"/>
        <w:rPr>
          <w:sz w:val="20"/>
          <w:szCs w:val="20"/>
        </w:rPr>
      </w:pPr>
      <w:r>
        <w:rPr>
          <w:sz w:val="20"/>
          <w:szCs w:val="20"/>
        </w:rPr>
        <w:t>other financings based on the asset values of subsi</w:t>
      </w:r>
      <w:r>
        <w:rPr>
          <w:sz w:val="20"/>
          <w:szCs w:val="20"/>
        </w:rPr>
        <w:t>diaries or selling debt or equity securities of subsidiaries through capital market transactions. To the degree any distributions and transfers are impaired or prohibited, our ability to make payments on our debt or distributions on our depositary units co</w:t>
      </w:r>
      <w:r>
        <w:rPr>
          <w:sz w:val="20"/>
          <w:szCs w:val="20"/>
        </w:rPr>
        <w:t>uld be limited. The operating results of our subsidiaries may not be sufficient for them to make distributions to us. In addition, our subsidiaries are not obligated to make funds available to us and distributions and intercompany transfers from our subsid</w:t>
      </w:r>
      <w:r>
        <w:rPr>
          <w:sz w:val="20"/>
          <w:szCs w:val="20"/>
        </w:rPr>
        <w:t>iaries to us may be restricted by applicable law or covenants contained in debt agreements and other agreements.</w:t>
      </w:r>
    </w:p>
    <w:p w:rsidR="00000000" w:rsidRDefault="009730FF">
      <w:pPr>
        <w:pStyle w:val="a3"/>
        <w:spacing w:before="0" w:beforeAutospacing="0" w:after="240" w:afterAutospacing="0"/>
        <w:ind w:firstLine="360"/>
        <w:divId w:val="229730392"/>
        <w:rPr>
          <w:sz w:val="20"/>
          <w:szCs w:val="20"/>
        </w:rPr>
      </w:pPr>
      <w:r>
        <w:rPr>
          <w:sz w:val="20"/>
          <w:szCs w:val="20"/>
        </w:rPr>
        <w:t>As of March 31, 2022, our Holding Company had cash and cash equivalents of approximately $1.4 billion and total debt of approximately $5.3 bill</w:t>
      </w:r>
      <w:r>
        <w:rPr>
          <w:sz w:val="20"/>
          <w:szCs w:val="20"/>
        </w:rPr>
        <w:t>ion. As of March 31, 2022, our Holding Company had investments in the Investment Funds with a total fair market value of approximately $4.7 billion. We may redeem our direct investment in the Investment Funds upon notice. See “Investment Segment Liquidity”</w:t>
      </w:r>
      <w:r>
        <w:rPr>
          <w:sz w:val="20"/>
          <w:szCs w:val="20"/>
        </w:rPr>
        <w:t xml:space="preserve"> below for additional information with respect to our Investment segment liquidity. See “Consolidated Cash Flows” below for additional information with respect to our Holding Company liquidity.</w:t>
      </w:r>
    </w:p>
    <w:p w:rsidR="00000000" w:rsidRDefault="009730FF">
      <w:pPr>
        <w:pStyle w:val="a3"/>
        <w:spacing w:before="0" w:beforeAutospacing="0" w:after="240" w:afterAutospacing="0"/>
        <w:divId w:val="229730392"/>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8"/>
        <w:gridCol w:w="820"/>
        <w:gridCol w:w="200"/>
        <w:gridCol w:w="160"/>
        <w:gridCol w:w="1057"/>
      </w:tblGrid>
      <w:tr w:rsidR="00000000">
        <w:trPr>
          <w:divId w:val="229730392"/>
          <w:trHeight w:val="20"/>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divId w:val="116944361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5813941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836270612"/>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5825999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705053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41004115"/>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551070647"/>
              <w:rPr>
                <w:sz w:val="20"/>
                <w:szCs w:val="20"/>
              </w:rPr>
            </w:pPr>
            <w:r>
              <w:rPr>
                <w:sz w:val="2"/>
                <w:szCs w:val="2"/>
              </w:rPr>
              <w:t>​</w:t>
            </w:r>
          </w:p>
        </w:tc>
      </w:tr>
      <w:tr w:rsidR="00000000">
        <w:trPr>
          <w:divId w:val="229730392"/>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w:t>
            </w:r>
          </w:p>
        </w:tc>
      </w:tr>
      <w:tr w:rsidR="00000000">
        <w:trPr>
          <w:divId w:val="229730392"/>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229730392"/>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229730392"/>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229730392"/>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6.750% senior unsecured notes due 2024</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49</w:t>
            </w:r>
            <w:r>
              <w:rPr>
                <w:sz w:val="20"/>
                <w:szCs w:val="20"/>
              </w:rPr>
              <w:t>9</w:t>
            </w:r>
          </w:p>
        </w:tc>
      </w:tr>
      <w:tr w:rsidR="00000000">
        <w:trPr>
          <w:divId w:val="229730392"/>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4.750% senior unsecured notes due 2024</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1,10</w:t>
            </w:r>
            <w:r>
              <w:rPr>
                <w:sz w:val="20"/>
                <w:szCs w:val="20"/>
              </w:rPr>
              <w:t>5</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1,10</w:t>
            </w:r>
            <w:r>
              <w:rPr>
                <w:sz w:val="20"/>
                <w:szCs w:val="20"/>
              </w:rPr>
              <w:t>5</w:t>
            </w:r>
          </w:p>
        </w:tc>
      </w:tr>
      <w:tr w:rsidR="00000000">
        <w:trPr>
          <w:divId w:val="229730392"/>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6.375% senior unsecured notes due 2025</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229730392"/>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6.250% senior unsecured notes due 2026</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1,25</w:t>
            </w:r>
            <w:r>
              <w:rPr>
                <w:sz w:val="20"/>
                <w:szCs w:val="20"/>
              </w:rPr>
              <w:t>0</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229730392"/>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5.250% senior unsecured notes due 2027</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1,46</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1,46</w:t>
            </w:r>
            <w:r>
              <w:rPr>
                <w:sz w:val="20"/>
                <w:szCs w:val="20"/>
              </w:rPr>
              <w:t>1</w:t>
            </w:r>
          </w:p>
        </w:tc>
      </w:tr>
      <w:tr w:rsidR="00000000">
        <w:trPr>
          <w:divId w:val="229730392"/>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4.375% senior unsecured notes due 2029</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w:t>
            </w:r>
            <w:r>
              <w:rPr>
                <w:sz w:val="20"/>
                <w:szCs w:val="20"/>
              </w:rPr>
              <w:t>7</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74</w:t>
            </w:r>
            <w:r>
              <w:rPr>
                <w:sz w:val="20"/>
                <w:szCs w:val="20"/>
              </w:rPr>
              <w:t>7</w:t>
            </w:r>
          </w:p>
        </w:tc>
      </w:tr>
      <w:tr w:rsidR="00000000">
        <w:trPr>
          <w:divId w:val="229730392"/>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5,31</w:t>
            </w: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5,81</w:t>
            </w:r>
            <w:r>
              <w:rPr>
                <w:sz w:val="20"/>
                <w:szCs w:val="20"/>
              </w:rPr>
              <w:t>0</w:t>
            </w:r>
          </w:p>
        </w:tc>
      </w:tr>
    </w:tbl>
    <w:p w:rsidR="00000000" w:rsidRDefault="009730FF">
      <w:pPr>
        <w:pStyle w:val="a3"/>
        <w:spacing w:before="0" w:beforeAutospacing="0" w:after="0" w:afterAutospacing="0"/>
        <w:divId w:val="229730392"/>
        <w:rPr>
          <w:sz w:val="20"/>
          <w:szCs w:val="20"/>
        </w:rPr>
      </w:pPr>
      <w:r>
        <w:rPr>
          <w:sz w:val="20"/>
          <w:szCs w:val="20"/>
        </w:rPr>
        <w:t>​</w:t>
      </w:r>
    </w:p>
    <w:p w:rsidR="00000000" w:rsidRDefault="009730FF">
      <w:pPr>
        <w:pStyle w:val="a3"/>
        <w:spacing w:before="0" w:beforeAutospacing="0" w:after="240" w:afterAutospacing="0"/>
        <w:ind w:firstLine="360"/>
        <w:divId w:val="229730392"/>
        <w:rPr>
          <w:sz w:val="20"/>
          <w:szCs w:val="20"/>
        </w:rPr>
      </w:pPr>
      <w:r>
        <w:rPr>
          <w:sz w:val="20"/>
          <w:szCs w:val="20"/>
        </w:rPr>
        <w:t>Holding Company debt consists of various issues of fixed-rate senior unsecured notes issued by Icahn Enterprises and Icahn Enterprises Finance Corp. (together the “Issuers”) and guaranteed by Icahn Enterprises Holdings (the “Guarantor”). Interest on each t</w:t>
      </w:r>
      <w:r>
        <w:rPr>
          <w:sz w:val="20"/>
          <w:szCs w:val="20"/>
        </w:rPr>
        <w:t>ranche of senior unsecured notes is payable semi-annually.</w:t>
      </w:r>
    </w:p>
    <w:p w:rsidR="00000000" w:rsidRDefault="009730FF">
      <w:pPr>
        <w:pStyle w:val="a3"/>
        <w:spacing w:before="0" w:beforeAutospacing="0" w:after="240" w:afterAutospacing="0"/>
        <w:ind w:firstLine="360"/>
        <w:divId w:val="229730392"/>
        <w:rPr>
          <w:sz w:val="20"/>
          <w:szCs w:val="20"/>
        </w:rPr>
      </w:pPr>
      <w:r>
        <w:rPr>
          <w:sz w:val="20"/>
          <w:szCs w:val="20"/>
        </w:rPr>
        <w:t>In February 2022, we redeemed all of our $500 million in aggregate principal amount of 6.750% senior unsecured notes due 2024 at par. This transaction is expected to result in annual savings of approximately $34 million in future interest expense.</w:t>
      </w:r>
    </w:p>
    <w:p w:rsidR="00000000" w:rsidRDefault="009730FF">
      <w:pPr>
        <w:pStyle w:val="a3"/>
        <w:spacing w:before="0" w:beforeAutospacing="0" w:after="240" w:afterAutospacing="0"/>
        <w:ind w:firstLine="360"/>
        <w:divId w:val="229730392"/>
        <w:rPr>
          <w:sz w:val="20"/>
          <w:szCs w:val="20"/>
        </w:rPr>
      </w:pPr>
      <w:r>
        <w:rPr>
          <w:sz w:val="20"/>
          <w:szCs w:val="20"/>
        </w:rPr>
        <w:t xml:space="preserve">Each of </w:t>
      </w:r>
      <w:r>
        <w:rPr>
          <w:sz w:val="20"/>
          <w:szCs w:val="20"/>
        </w:rPr>
        <w:t xml:space="preserve">our senior unsecured notes and the related guarantees are the senior unsecured obligations of the Issuers and rank equally with all of the Issuers’ and the Guarantor’s existing and future senior unsecured indebtedness and senior to all of the Issuers’ and </w:t>
      </w:r>
      <w:r>
        <w:rPr>
          <w:sz w:val="20"/>
          <w:szCs w:val="20"/>
        </w:rPr>
        <w:t>the Guarantor’s existing and future subordinated indebtedness. Each of our senior unsecured notes and the related guarantees are effectively subordinated to the Issuers’ and the Guarantor’s existing and future secured indebtedness to the extent of the coll</w:t>
      </w:r>
      <w:r>
        <w:rPr>
          <w:sz w:val="20"/>
          <w:szCs w:val="20"/>
        </w:rPr>
        <w:t>ateral securing such indebtedness. Each of our senior unsecured notes and the related guarantees are also effectively subordinated to all indebtedness and other liabilities of the Issuers’ subsidiaries other than the Guarantor.</w:t>
      </w:r>
    </w:p>
    <w:p w:rsidR="00000000" w:rsidRDefault="009730FF">
      <w:pPr>
        <w:pStyle w:val="a3"/>
        <w:spacing w:before="0" w:beforeAutospacing="0" w:after="240" w:afterAutospacing="0"/>
        <w:ind w:firstLine="360"/>
        <w:divId w:val="229730392"/>
        <w:rPr>
          <w:sz w:val="20"/>
          <w:szCs w:val="20"/>
        </w:rPr>
      </w:pPr>
      <w:r>
        <w:rPr>
          <w:sz w:val="20"/>
          <w:szCs w:val="20"/>
        </w:rPr>
        <w:t>The indentures governing our</w:t>
      </w:r>
      <w:r>
        <w:rPr>
          <w:sz w:val="20"/>
          <w:szCs w:val="20"/>
        </w:rPr>
        <w:t xml:space="preserve"> senior unsecured notes described above restrict the payment of cash distributions, the purchase of equity interests or the purchase, redemption, defeasance or acquisition of debt subordinated to the senior unsecured notes. The indentures also restrict the</w:t>
      </w:r>
      <w:r>
        <w:rPr>
          <w:sz w:val="20"/>
          <w:szCs w:val="20"/>
        </w:rPr>
        <w:t xml:space="preserve"> incurrence of debt or the issuance of disqualified stock, as defined in the indentures, with certain exceptions. In addition, the indentures require that on each quarterly determination date, Icahn Enterprises and the guarantor of the notes (currently onl</w:t>
      </w:r>
      <w:r>
        <w:rPr>
          <w:sz w:val="20"/>
          <w:szCs w:val="20"/>
        </w:rPr>
        <w:t>y Icahn Enterprises Holdings) maintain certain minimum financial ratios, as defined therein. The indentures also restrict the creation of liens, mergers, consolidations and sales of substantially all of our assets, and transactions with affiliates. Additio</w:t>
      </w:r>
      <w:r>
        <w:rPr>
          <w:sz w:val="20"/>
          <w:szCs w:val="20"/>
        </w:rPr>
        <w:t>nally, each of the senior unsecured notes outstanding as of March 31, 2022, except for the 4.750% senior unsecured notes due 2024, the 5.250% senior unsecured notes due 2027 and 4.375% senior unsecured notes due 2029, are subject to optional redemption pre</w:t>
      </w:r>
      <w:r>
        <w:rPr>
          <w:sz w:val="20"/>
          <w:szCs w:val="20"/>
        </w:rPr>
        <w:t>miums in the event we redeem any of the notes prior to certain dates as described in the indentures.</w:t>
      </w:r>
    </w:p>
    <w:p w:rsidR="00000000" w:rsidRDefault="009730FF">
      <w:pPr>
        <w:pStyle w:val="a3"/>
        <w:spacing w:before="480" w:beforeAutospacing="0" w:after="0" w:afterAutospacing="0"/>
        <w:jc w:val="center"/>
        <w:divId w:val="443426388"/>
        <w:rPr>
          <w:sz w:val="20"/>
          <w:szCs w:val="20"/>
        </w:rPr>
      </w:pPr>
      <w:r>
        <w:rPr>
          <w:sz w:val="20"/>
          <w:szCs w:val="20"/>
        </w:rPr>
        <w:t>38</w:t>
      </w:r>
    </w:p>
    <w:p w:rsidR="00000000" w:rsidRDefault="009730FF">
      <w:pPr>
        <w:pStyle w:val="a3"/>
        <w:spacing w:before="0" w:beforeAutospacing="0" w:after="600" w:afterAutospacing="0"/>
        <w:divId w:val="498496636"/>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ind w:firstLine="360"/>
        <w:divId w:val="1735659281"/>
        <w:rPr>
          <w:sz w:val="20"/>
          <w:szCs w:val="20"/>
        </w:rPr>
      </w:pPr>
      <w:r>
        <w:rPr>
          <w:sz w:val="20"/>
          <w:szCs w:val="20"/>
        </w:rPr>
        <w:t xml:space="preserve">As of March 31, 2022 and December 31, 2021, we were in compliance with all covenants, including maintaining </w:t>
      </w:r>
      <w:r>
        <w:rPr>
          <w:sz w:val="20"/>
          <w:szCs w:val="20"/>
        </w:rPr>
        <w:t xml:space="preserve">certain minimum financial ratios, as defined in the indentures. Additionally, as of March 31, 2022, based on covenants in the indentures governing our senior unsecured notes, we are not permitted to incur additional indebtedness; however, we are permitted </w:t>
      </w:r>
      <w:r>
        <w:rPr>
          <w:sz w:val="20"/>
          <w:szCs w:val="20"/>
        </w:rPr>
        <w:t xml:space="preserve">to issue new notes in connection with debt refinancings of existing notes. </w:t>
      </w:r>
    </w:p>
    <w:p w:rsidR="00000000" w:rsidRDefault="009730FF">
      <w:pPr>
        <w:pStyle w:val="a3"/>
        <w:spacing w:before="0" w:beforeAutospacing="0" w:after="240" w:afterAutospacing="0"/>
        <w:divId w:val="1735659281"/>
        <w:rPr>
          <w:i/>
          <w:iCs/>
          <w:sz w:val="20"/>
          <w:szCs w:val="20"/>
        </w:rPr>
      </w:pPr>
      <w:r>
        <w:rPr>
          <w:i/>
          <w:iCs/>
          <w:sz w:val="20"/>
          <w:szCs w:val="20"/>
        </w:rPr>
        <w:t>At-The-Market Offerings</w:t>
      </w:r>
    </w:p>
    <w:p w:rsidR="00000000" w:rsidRDefault="009730FF">
      <w:pPr>
        <w:pStyle w:val="a3"/>
        <w:spacing w:before="0" w:beforeAutospacing="0" w:after="240" w:afterAutospacing="0"/>
        <w:ind w:firstLine="360"/>
        <w:divId w:val="1735659281"/>
        <w:rPr>
          <w:sz w:val="20"/>
          <w:szCs w:val="20"/>
        </w:rPr>
      </w:pPr>
      <w:r>
        <w:rPr>
          <w:sz w:val="20"/>
          <w:szCs w:val="20"/>
        </w:rPr>
        <w:t>During the three months ended March 31, 2022, Icahn Enterprises sold 3,436,553 depositary units pursuant to its Open Market Sale Agreement entered into on D</w:t>
      </w:r>
      <w:r>
        <w:rPr>
          <w:sz w:val="20"/>
          <w:szCs w:val="20"/>
        </w:rPr>
        <w:t>ecember 3, 2021, resulting in gross proceeds of $182 million. As of March 31, 2022, we continue to have an active Open Market Sale Agreement and Icahn Enterprises may sell its depositary units for up to an additional $145 million in aggregate gross sale pr</w:t>
      </w:r>
      <w:r>
        <w:rPr>
          <w:sz w:val="20"/>
          <w:szCs w:val="20"/>
        </w:rPr>
        <w:t>oceeds pursuant to this agreement. No assurance can be made that any or all amounts will be sold during the term of the agreement, and we have no obligation to sell additional depositary units under the Open Market Sale Agreement. Depending on market condi</w:t>
      </w:r>
      <w:r>
        <w:rPr>
          <w:sz w:val="20"/>
          <w:szCs w:val="20"/>
        </w:rPr>
        <w:t>tions, we may continue to sell depositary units under the Open Market Sale Agreement, and, if appropriate, enter into a new Open Market Sale Agreement to continue our “at-the-market” sales program once we have sold the full amount of our existing Open Mark</w:t>
      </w:r>
      <w:r>
        <w:rPr>
          <w:sz w:val="20"/>
          <w:szCs w:val="20"/>
        </w:rPr>
        <w:t>et Sale Agreement. Our ability to access remaining capital under our “at-the-market” program may be limited by market conditions at the time of any future potential sale. While we were able to sell shares during the three months ended March 31, 2022, there</w:t>
      </w:r>
      <w:r>
        <w:rPr>
          <w:sz w:val="20"/>
          <w:szCs w:val="20"/>
        </w:rPr>
        <w:t xml:space="preserve"> can be no assurance that any future capital will be available on acceptable terms or at all under this program.</w:t>
      </w:r>
    </w:p>
    <w:p w:rsidR="00000000" w:rsidRDefault="009730FF">
      <w:pPr>
        <w:pStyle w:val="a3"/>
        <w:spacing w:before="0" w:beforeAutospacing="0" w:after="240" w:afterAutospacing="0"/>
        <w:divId w:val="1735659281"/>
        <w:rPr>
          <w:i/>
          <w:iCs/>
          <w:sz w:val="20"/>
          <w:szCs w:val="20"/>
        </w:rPr>
      </w:pPr>
      <w:r>
        <w:rPr>
          <w:i/>
          <w:iCs/>
          <w:sz w:val="20"/>
          <w:szCs w:val="20"/>
        </w:rPr>
        <w:t>LP Unit Distributions</w:t>
      </w:r>
    </w:p>
    <w:p w:rsidR="00000000" w:rsidRDefault="009730FF">
      <w:pPr>
        <w:pStyle w:val="a3"/>
        <w:spacing w:before="0" w:beforeAutospacing="0" w:after="240" w:afterAutospacing="0"/>
        <w:ind w:firstLine="360"/>
        <w:divId w:val="1735659281"/>
        <w:rPr>
          <w:sz w:val="20"/>
          <w:szCs w:val="20"/>
        </w:rPr>
      </w:pPr>
      <w:r>
        <w:rPr>
          <w:sz w:val="20"/>
          <w:szCs w:val="20"/>
        </w:rPr>
        <w:t>On February 23, 2022, Icahn Enterprises declared a quarterly distribution in the amount of $2.00 per depositary unit in w</w:t>
      </w:r>
      <w:r>
        <w:rPr>
          <w:sz w:val="20"/>
          <w:szCs w:val="20"/>
        </w:rPr>
        <w:t>hich each depositary unitholder had the option to make an election to receive either cash or additional depositary units. In connection with this distribution, aggregate cash distributions to all depositary unitholders that made a timely election to receiv</w:t>
      </w:r>
      <w:r>
        <w:rPr>
          <w:sz w:val="20"/>
          <w:szCs w:val="20"/>
        </w:rPr>
        <w:t xml:space="preserve">e cash was $48 million in April 2022. </w:t>
      </w:r>
    </w:p>
    <w:p w:rsidR="00000000" w:rsidRDefault="009730FF">
      <w:pPr>
        <w:pStyle w:val="a3"/>
        <w:spacing w:before="0" w:beforeAutospacing="0" w:after="240" w:afterAutospacing="0"/>
        <w:ind w:firstLine="360"/>
        <w:divId w:val="1735659281"/>
        <w:rPr>
          <w:sz w:val="20"/>
          <w:szCs w:val="20"/>
        </w:rPr>
      </w:pPr>
      <w:r>
        <w:rPr>
          <w:sz w:val="20"/>
          <w:szCs w:val="20"/>
        </w:rPr>
        <w:t>On May 4, 2022, the Board of Directors of the general partner of Icahn Enterprises declared a quarterly distribution in the amount of $2.00 per depositary unit, which will be paid on or about June 29, 2022 to deposita</w:t>
      </w:r>
      <w:r>
        <w:rPr>
          <w:sz w:val="20"/>
          <w:szCs w:val="20"/>
        </w:rPr>
        <w:t>ry unitholders of record at the close of business on May 20, 2022. Depositary unitholders will have until June 16, 2022 to make a timely election to receive either cash or additional depositary units. If a unitholder does not make a timely election, it wil</w:t>
      </w:r>
      <w:r>
        <w:rPr>
          <w:sz w:val="20"/>
          <w:szCs w:val="20"/>
        </w:rPr>
        <w:t>l automatically be deemed to have elected to receive the distribution in additional depositary units. Depositary unitholders who elect to receive (or who are deemed to have elected to receive) additional depositary units will receive units valued at the vo</w:t>
      </w:r>
      <w:r>
        <w:rPr>
          <w:sz w:val="20"/>
          <w:szCs w:val="20"/>
        </w:rPr>
        <w:t>lume weighted average trading price of the units during the five consecutive trading days ending June 24, 2022. Icahn Enterprises will make a cash payment in lieu of issuing fractional depositary units to any unitholders electing to receive (or who are dee</w:t>
      </w:r>
      <w:r>
        <w:rPr>
          <w:sz w:val="20"/>
          <w:szCs w:val="20"/>
        </w:rPr>
        <w:t>med to have elected to receive) depositary units.</w:t>
      </w:r>
    </w:p>
    <w:p w:rsidR="00000000" w:rsidRDefault="009730FF">
      <w:pPr>
        <w:pStyle w:val="a3"/>
        <w:spacing w:before="0" w:beforeAutospacing="0" w:after="240" w:afterAutospacing="0"/>
        <w:divId w:val="1735659281"/>
        <w:rPr>
          <w:i/>
          <w:iCs/>
          <w:sz w:val="20"/>
          <w:szCs w:val="20"/>
        </w:rPr>
      </w:pPr>
      <w:r>
        <w:rPr>
          <w:i/>
          <w:iCs/>
          <w:sz w:val="20"/>
          <w:szCs w:val="20"/>
        </w:rPr>
        <w:t>Sale of Investments</w:t>
      </w:r>
    </w:p>
    <w:p w:rsidR="00000000" w:rsidRDefault="009730FF">
      <w:pPr>
        <w:pStyle w:val="a3"/>
        <w:spacing w:before="0" w:beforeAutospacing="0" w:after="240" w:afterAutospacing="0"/>
        <w:ind w:firstLine="360"/>
        <w:divId w:val="1735659281"/>
        <w:rPr>
          <w:sz w:val="20"/>
          <w:szCs w:val="20"/>
        </w:rPr>
      </w:pPr>
      <w:r>
        <w:rPr>
          <w:sz w:val="20"/>
          <w:szCs w:val="20"/>
        </w:rPr>
        <w:t>During the three months ended March 31, 2022, we received proceeds of $107 million from the sale of equity investments held by the Holding Company.</w:t>
      </w:r>
    </w:p>
    <w:p w:rsidR="00000000" w:rsidRDefault="009730FF">
      <w:pPr>
        <w:pStyle w:val="a3"/>
        <w:spacing w:before="0" w:beforeAutospacing="0" w:after="240" w:afterAutospacing="0"/>
        <w:divId w:val="1735659281"/>
        <w:rPr>
          <w:b/>
          <w:bCs/>
          <w:i/>
          <w:iCs/>
          <w:sz w:val="20"/>
          <w:szCs w:val="20"/>
        </w:rPr>
      </w:pPr>
      <w:r>
        <w:rPr>
          <w:b/>
          <w:bCs/>
          <w:i/>
          <w:iCs/>
          <w:sz w:val="20"/>
          <w:szCs w:val="20"/>
        </w:rPr>
        <w:t>Investment Segment Liquidity</w:t>
      </w:r>
    </w:p>
    <w:p w:rsidR="00000000" w:rsidRDefault="009730FF">
      <w:pPr>
        <w:pStyle w:val="a3"/>
        <w:spacing w:before="0" w:beforeAutospacing="0" w:after="240" w:afterAutospacing="0"/>
        <w:ind w:firstLine="360"/>
        <w:divId w:val="1735659281"/>
        <w:rPr>
          <w:sz w:val="20"/>
          <w:szCs w:val="20"/>
        </w:rPr>
      </w:pPr>
      <w:r>
        <w:rPr>
          <w:sz w:val="20"/>
          <w:szCs w:val="20"/>
        </w:rPr>
        <w:t>In additi</w:t>
      </w:r>
      <w:r>
        <w:rPr>
          <w:sz w:val="20"/>
          <w:szCs w:val="20"/>
        </w:rPr>
        <w:t xml:space="preserve">on to investments by us and Mr. Icahn, the Investment Funds historically have access to significant amounts of cash available from prime brokerage lines of credit, subject to customary terms and market conditions. </w:t>
      </w:r>
    </w:p>
    <w:p w:rsidR="00000000" w:rsidRDefault="009730FF">
      <w:pPr>
        <w:pStyle w:val="a3"/>
        <w:spacing w:before="0" w:beforeAutospacing="0" w:after="240" w:afterAutospacing="0"/>
        <w:ind w:firstLine="360"/>
        <w:divId w:val="1735659281"/>
        <w:rPr>
          <w:sz w:val="20"/>
          <w:szCs w:val="20"/>
        </w:rPr>
      </w:pPr>
      <w:r>
        <w:rPr>
          <w:sz w:val="20"/>
          <w:szCs w:val="20"/>
        </w:rPr>
        <w:t>Additionally, our Investment segment liqu</w:t>
      </w:r>
      <w:r>
        <w:rPr>
          <w:sz w:val="20"/>
          <w:szCs w:val="20"/>
        </w:rPr>
        <w:t>idity is driven by the investment activities and performance of the Investment Funds. As of March 31, 2022, the Investment Funds’ had a net short notional exposure of 21%. The Investment Funds’ long exposure was 85% (84% long equity and 1% long credit) and</w:t>
      </w:r>
      <w:r>
        <w:rPr>
          <w:sz w:val="20"/>
          <w:szCs w:val="20"/>
        </w:rPr>
        <w:t xml:space="preserve"> its short exposure was 106% (89% short equity and 17% short credit). The notional exposure represents the ratio of the notional exposure of the Investment Funds’ invested capital to the net asset value of the Investment Funds at March 31, 2022.</w:t>
      </w:r>
    </w:p>
    <w:p w:rsidR="00000000" w:rsidRDefault="009730FF">
      <w:pPr>
        <w:pStyle w:val="a3"/>
        <w:spacing w:before="480" w:beforeAutospacing="0" w:after="0" w:afterAutospacing="0"/>
        <w:jc w:val="center"/>
        <w:divId w:val="2141654946"/>
        <w:rPr>
          <w:sz w:val="20"/>
          <w:szCs w:val="20"/>
        </w:rPr>
      </w:pPr>
      <w:r>
        <w:rPr>
          <w:sz w:val="20"/>
          <w:szCs w:val="20"/>
        </w:rPr>
        <w:t>39</w:t>
      </w:r>
    </w:p>
    <w:p w:rsidR="00000000" w:rsidRDefault="009730FF">
      <w:pPr>
        <w:pStyle w:val="a3"/>
        <w:spacing w:before="0" w:beforeAutospacing="0" w:after="600" w:afterAutospacing="0"/>
        <w:divId w:val="1172180801"/>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ind w:firstLine="360"/>
        <w:divId w:val="1501502803"/>
        <w:rPr>
          <w:sz w:val="20"/>
          <w:szCs w:val="20"/>
        </w:rPr>
      </w:pPr>
      <w:r>
        <w:rPr>
          <w:sz w:val="20"/>
          <w:szCs w:val="20"/>
        </w:rPr>
        <w:t>Of the Investment Funds’ 85% long exposure, 71% was comprised of the fair value of its long positions (with certain adjustments) and 14% was comprised of single name equity forward contracts and credit contracts. Of the</w:t>
      </w:r>
      <w:r>
        <w:rPr>
          <w:sz w:val="20"/>
          <w:szCs w:val="20"/>
        </w:rPr>
        <w:t xml:space="preserve"> Investment Funds’ 106% short exposure, 46% was comprised of the fair value of its short positions and 60% was comprised of short broad market index swap derivative contracts and short credit default swap contracts.</w:t>
      </w:r>
    </w:p>
    <w:p w:rsidR="00000000" w:rsidRDefault="009730FF">
      <w:pPr>
        <w:pStyle w:val="a3"/>
        <w:spacing w:before="0" w:beforeAutospacing="0" w:after="240" w:afterAutospacing="0"/>
        <w:ind w:firstLine="360"/>
        <w:divId w:val="1501502803"/>
        <w:rPr>
          <w:sz w:val="20"/>
          <w:szCs w:val="20"/>
        </w:rPr>
      </w:pPr>
      <w:r>
        <w:rPr>
          <w:sz w:val="20"/>
          <w:szCs w:val="20"/>
        </w:rPr>
        <w:t xml:space="preserve">With respect to both our long positions </w:t>
      </w:r>
      <w:r>
        <w:rPr>
          <w:sz w:val="20"/>
          <w:szCs w:val="20"/>
        </w:rPr>
        <w:t>that are not notionalized (71% long exposure) and our short positions that are not notionalized (46% short exposure), each 1% change in exposure as a result of purchases or sales (assuming no change in value) would have a 1% impact on our cash and cash equ</w:t>
      </w:r>
      <w:r>
        <w:rPr>
          <w:sz w:val="20"/>
          <w:szCs w:val="20"/>
        </w:rPr>
        <w:t>ivalents (as a percentage of net asset value). Changes in exposure as a result of purchases and sales as well as adverse changes in market value would also have an effect on funds available to us pursuant to prime brokerage lines of credit.</w:t>
      </w:r>
    </w:p>
    <w:p w:rsidR="00000000" w:rsidRDefault="009730FF">
      <w:pPr>
        <w:pStyle w:val="a3"/>
        <w:spacing w:before="0" w:beforeAutospacing="0" w:after="240" w:afterAutospacing="0"/>
        <w:ind w:firstLine="360"/>
        <w:divId w:val="1501502803"/>
        <w:rPr>
          <w:sz w:val="20"/>
          <w:szCs w:val="20"/>
        </w:rPr>
      </w:pPr>
      <w:r>
        <w:rPr>
          <w:sz w:val="20"/>
          <w:szCs w:val="20"/>
        </w:rPr>
        <w:t>With respect to</w:t>
      </w:r>
      <w:r>
        <w:rPr>
          <w:sz w:val="20"/>
          <w:szCs w:val="20"/>
        </w:rPr>
        <w:t xml:space="preserve"> the notional value of our other short positions (60% short exposure), our liquidity would decrease by the balance sheet unrealized loss if we were to close the positions at quarter end prices. This would be offset by a release of restricted cash balances </w:t>
      </w:r>
      <w:r>
        <w:rPr>
          <w:sz w:val="20"/>
          <w:szCs w:val="20"/>
        </w:rPr>
        <w:t>collateralizing these positions as well as an increase in funds available to us pursuant to certain prime brokerage lines of credit. If we were to increase our short exposure by adding to these short positions, we would be required to provide cash collater</w:t>
      </w:r>
      <w:r>
        <w:rPr>
          <w:sz w:val="20"/>
          <w:szCs w:val="20"/>
        </w:rPr>
        <w:t>al equal to a small percentage of the initial notional value at counterparties that require cash as collateral and then post additional collateral equal to 100% of the mark to market on adverse changes in fair value. For our counterparties who do not requi</w:t>
      </w:r>
      <w:r>
        <w:rPr>
          <w:sz w:val="20"/>
          <w:szCs w:val="20"/>
        </w:rPr>
        <w:t>re cash collateral, funds available from lines of credit would decrease.</w:t>
      </w:r>
    </w:p>
    <w:p w:rsidR="00000000" w:rsidRDefault="009730FF">
      <w:pPr>
        <w:pStyle w:val="a3"/>
        <w:spacing w:before="0" w:beforeAutospacing="0" w:after="240" w:afterAutospacing="0"/>
        <w:divId w:val="1501502803"/>
        <w:rPr>
          <w:b/>
          <w:bCs/>
          <w:i/>
          <w:iCs/>
          <w:sz w:val="20"/>
          <w:szCs w:val="20"/>
        </w:rPr>
      </w:pPr>
      <w:r>
        <w:rPr>
          <w:b/>
          <w:bCs/>
          <w:i/>
          <w:iCs/>
          <w:sz w:val="20"/>
          <w:szCs w:val="20"/>
        </w:rPr>
        <w:t>Other Segment Liquidity</w:t>
      </w:r>
    </w:p>
    <w:p w:rsidR="00000000" w:rsidRDefault="009730FF">
      <w:pPr>
        <w:pStyle w:val="a3"/>
        <w:spacing w:before="0" w:beforeAutospacing="0" w:after="240" w:afterAutospacing="0"/>
        <w:divId w:val="1501502803"/>
        <w:rPr>
          <w:i/>
          <w:iCs/>
          <w:sz w:val="20"/>
          <w:szCs w:val="20"/>
        </w:rPr>
      </w:pPr>
      <w:r>
        <w:rPr>
          <w:i/>
          <w:iCs/>
          <w:sz w:val="20"/>
          <w:szCs w:val="20"/>
        </w:rPr>
        <w:t>Segment Cash and Cash Equivalents</w:t>
      </w:r>
    </w:p>
    <w:p w:rsidR="00000000" w:rsidRDefault="009730FF">
      <w:pPr>
        <w:pStyle w:val="a3"/>
        <w:spacing w:before="0" w:beforeAutospacing="0" w:after="240" w:afterAutospacing="0"/>
        <w:ind w:firstLine="360"/>
        <w:divId w:val="1501502803"/>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8"/>
        <w:gridCol w:w="820"/>
        <w:gridCol w:w="200"/>
        <w:gridCol w:w="160"/>
        <w:gridCol w:w="1057"/>
      </w:tblGrid>
      <w:tr w:rsidR="00000000">
        <w:trPr>
          <w:divId w:val="1501502803"/>
          <w:trHeight w:val="20"/>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divId w:val="109525017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0354312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626669538"/>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440107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500723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124105373"/>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02658037"/>
              <w:rPr>
                <w:sz w:val="20"/>
                <w:szCs w:val="20"/>
              </w:rPr>
            </w:pPr>
            <w:r>
              <w:rPr>
                <w:sz w:val="2"/>
                <w:szCs w:val="2"/>
              </w:rPr>
              <w:t>​</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March </w:t>
            </w:r>
            <w:r>
              <w:rPr>
                <w:b/>
                <w:bCs/>
                <w:sz w:val="20"/>
                <w:szCs w:val="20"/>
              </w:rPr>
              <w:t>31, 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December 31, </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20"/>
                <w:szCs w:val="20"/>
              </w:rPr>
            </w:pPr>
            <w:r>
              <w:rPr>
                <w:b/>
                <w:bCs/>
                <w:sz w:val="20"/>
                <w:szCs w:val="20"/>
              </w:rPr>
              <w:t>2021</w:t>
            </w:r>
          </w:p>
        </w:tc>
      </w:tr>
      <w:tr w:rsidR="00000000">
        <w:trPr>
          <w:divId w:val="1501502803"/>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67</w:t>
            </w:r>
            <w:r>
              <w:rPr>
                <w:sz w:val="20"/>
                <w:szCs w:val="20"/>
              </w:rPr>
              <w:t>6</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51</w:t>
            </w:r>
            <w:r>
              <w:rPr>
                <w:sz w:val="20"/>
                <w:szCs w:val="20"/>
              </w:rPr>
              <w:t>0</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r>
              <w:rPr>
                <w:sz w:val="20"/>
                <w:szCs w:val="20"/>
              </w:rPr>
              <w:t>6</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w:t>
            </w:r>
            <w:r>
              <w:rPr>
                <w:sz w:val="20"/>
                <w:szCs w:val="20"/>
              </w:rPr>
              <w:t>8</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r>
              <w:rPr>
                <w:sz w:val="20"/>
                <w:szCs w:val="20"/>
              </w:rPr>
              <w:t>0</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Real Estate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w:t>
            </w:r>
            <w:r>
              <w:rPr>
                <w:sz w:val="20"/>
                <w:szCs w:val="20"/>
              </w:rPr>
              <w:t>8</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r>
              <w:rPr>
                <w:sz w:val="20"/>
                <w:szCs w:val="20"/>
              </w:rPr>
              <w:t>0</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Home Fashion</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Pharma</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r>
              <w:rPr>
                <w:sz w:val="20"/>
                <w:szCs w:val="20"/>
              </w:rPr>
              <w:t>8</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r>
              <w:rPr>
                <w:sz w:val="20"/>
                <w:szCs w:val="20"/>
              </w:rPr>
              <w:t>4</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77</w:t>
            </w: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59</w:t>
            </w:r>
            <w:r>
              <w:rPr>
                <w:sz w:val="20"/>
                <w:szCs w:val="20"/>
              </w:rPr>
              <w:t>5</w:t>
            </w:r>
          </w:p>
        </w:tc>
      </w:tr>
    </w:tbl>
    <w:p w:rsidR="00000000" w:rsidRDefault="009730FF">
      <w:pPr>
        <w:pStyle w:val="a3"/>
        <w:spacing w:before="0" w:beforeAutospacing="0" w:after="240" w:afterAutospacing="0"/>
        <w:divId w:val="1501502803"/>
        <w:rPr>
          <w:i/>
          <w:iCs/>
          <w:sz w:val="20"/>
          <w:szCs w:val="20"/>
        </w:rPr>
      </w:pPr>
      <w:r>
        <w:rPr>
          <w:i/>
          <w:iCs/>
          <w:sz w:val="20"/>
          <w:szCs w:val="20"/>
        </w:rPr>
        <w:t>Segment Borrowings and Availability</w:t>
      </w:r>
    </w:p>
    <w:p w:rsidR="00000000" w:rsidRDefault="009730FF">
      <w:pPr>
        <w:pStyle w:val="a3"/>
        <w:spacing w:before="0" w:beforeAutospacing="0" w:after="240" w:afterAutospacing="0"/>
        <w:ind w:firstLine="360"/>
        <w:divId w:val="1501502803"/>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8"/>
        <w:gridCol w:w="820"/>
        <w:gridCol w:w="200"/>
        <w:gridCol w:w="160"/>
        <w:gridCol w:w="1057"/>
      </w:tblGrid>
      <w:tr w:rsidR="00000000">
        <w:trPr>
          <w:divId w:val="1501502803"/>
          <w:trHeight w:val="20"/>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divId w:val="33904922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29455913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018461717"/>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0229140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5542211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437258629"/>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63942003"/>
              <w:rPr>
                <w:sz w:val="20"/>
                <w:szCs w:val="20"/>
              </w:rPr>
            </w:pPr>
            <w:r>
              <w:rPr>
                <w:sz w:val="2"/>
                <w:szCs w:val="2"/>
              </w:rPr>
              <w:t>​</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December 31, </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2021</w:t>
            </w:r>
          </w:p>
        </w:tc>
      </w:tr>
      <w:tr w:rsidR="00000000">
        <w:trPr>
          <w:divId w:val="1501502803"/>
        </w:trPr>
        <w:tc>
          <w:tcPr>
            <w:tcW w:w="0" w:type="auto"/>
            <w:gridSpan w:val="7"/>
            <w:tcMar>
              <w:top w:w="0" w:type="dxa"/>
              <w:left w:w="0" w:type="dxa"/>
              <w:bottom w:w="0" w:type="dxa"/>
              <w:right w:w="0" w:type="dxa"/>
            </w:tcMar>
            <w:vAlign w:val="center"/>
            <w:hideMark/>
          </w:tcPr>
          <w:p w:rsidR="00000000" w:rsidRDefault="009730FF">
            <w:pPr>
              <w:rPr>
                <w:sz w:val="20"/>
                <w:szCs w:val="20"/>
              </w:rPr>
            </w:pP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1,59</w:t>
            </w:r>
            <w:r>
              <w:rPr>
                <w:sz w:val="20"/>
                <w:szCs w:val="20"/>
              </w:rPr>
              <w:t>5</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1,66</w:t>
            </w:r>
            <w:r>
              <w:rPr>
                <w:sz w:val="20"/>
                <w:szCs w:val="20"/>
              </w:rPr>
              <w:t>0</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w:t>
            </w:r>
            <w:r>
              <w:rPr>
                <w:sz w:val="20"/>
                <w:szCs w:val="20"/>
              </w:rPr>
              <w:t>0</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2</w:t>
            </w:r>
            <w:r>
              <w:rPr>
                <w:sz w:val="20"/>
                <w:szCs w:val="20"/>
              </w:rPr>
              <w:t>6</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w:t>
            </w:r>
            <w:r>
              <w:rPr>
                <w:sz w:val="20"/>
                <w:szCs w:val="20"/>
              </w:rPr>
              <w:t>8</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15</w:t>
            </w:r>
            <w:r>
              <w:rPr>
                <w:sz w:val="20"/>
                <w:szCs w:val="20"/>
              </w:rPr>
              <w:t>5</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Real Estate</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p>
        </w:tc>
      </w:tr>
      <w:tr w:rsidR="00000000">
        <w:trPr>
          <w:divId w:val="1501502803"/>
        </w:trPr>
        <w:tc>
          <w:tcPr>
            <w:tcW w:w="3602"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Home Fashion</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w:t>
            </w: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w:t>
            </w:r>
            <w:r>
              <w:rPr>
                <w:sz w:val="20"/>
                <w:szCs w:val="20"/>
              </w:rPr>
              <w:t>0</w:t>
            </w:r>
          </w:p>
        </w:tc>
      </w:tr>
      <w:tr w:rsidR="00000000">
        <w:trPr>
          <w:divId w:val="1501502803"/>
        </w:trPr>
        <w:tc>
          <w:tcPr>
            <w:tcW w:w="3602"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1,81</w:t>
            </w:r>
            <w:r>
              <w:rPr>
                <w:sz w:val="20"/>
                <w:szCs w:val="20"/>
              </w:rPr>
              <w:t>5</w:t>
            </w:r>
          </w:p>
        </w:tc>
        <w:tc>
          <w:tcPr>
            <w:tcW w:w="10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1,88</w:t>
            </w:r>
            <w:r>
              <w:rPr>
                <w:sz w:val="20"/>
                <w:szCs w:val="20"/>
              </w:rPr>
              <w:t>2</w:t>
            </w:r>
          </w:p>
        </w:tc>
      </w:tr>
    </w:tbl>
    <w:p w:rsidR="00000000" w:rsidRDefault="009730FF">
      <w:pPr>
        <w:pStyle w:val="a3"/>
        <w:spacing w:before="0" w:beforeAutospacing="0" w:after="0" w:afterAutospacing="0"/>
        <w:divId w:val="1501502803"/>
        <w:rPr>
          <w:sz w:val="20"/>
          <w:szCs w:val="20"/>
        </w:rPr>
      </w:pPr>
      <w:r>
        <w:rPr>
          <w:sz w:val="20"/>
          <w:szCs w:val="20"/>
        </w:rPr>
        <w:t>​</w:t>
      </w:r>
    </w:p>
    <w:p w:rsidR="00000000" w:rsidRDefault="009730FF">
      <w:pPr>
        <w:pStyle w:val="a3"/>
        <w:spacing w:before="0" w:beforeAutospacing="0" w:after="240" w:afterAutospacing="0"/>
        <w:ind w:firstLine="360"/>
        <w:divId w:val="1501502803"/>
        <w:rPr>
          <w:sz w:val="20"/>
          <w:szCs w:val="20"/>
        </w:rPr>
      </w:pPr>
      <w:r>
        <w:rPr>
          <w:sz w:val="20"/>
          <w:szCs w:val="20"/>
        </w:rPr>
        <w:t>Refer to our Annual Report on Form 10-K for the year ended December </w:t>
      </w:r>
      <w:r>
        <w:rPr>
          <w:sz w:val="20"/>
          <w:szCs w:val="20"/>
        </w:rPr>
        <w:t>31, 2021 for information concerning terms, restrictions and covenants pertaining to our subsidiaries’ debt. As of March 31, 2022, all of our subsidiaries were in compliance with all debt covenants.</w:t>
      </w:r>
    </w:p>
    <w:p w:rsidR="00000000" w:rsidRDefault="009730FF">
      <w:pPr>
        <w:pStyle w:val="a3"/>
        <w:spacing w:before="480" w:beforeAutospacing="0" w:after="0" w:afterAutospacing="0"/>
        <w:jc w:val="center"/>
        <w:divId w:val="120074139"/>
        <w:rPr>
          <w:sz w:val="20"/>
          <w:szCs w:val="20"/>
        </w:rPr>
      </w:pPr>
      <w:r>
        <w:rPr>
          <w:sz w:val="20"/>
          <w:szCs w:val="20"/>
        </w:rPr>
        <w:t>40</w:t>
      </w:r>
    </w:p>
    <w:p w:rsidR="00000000" w:rsidRDefault="009730FF">
      <w:pPr>
        <w:pStyle w:val="a3"/>
        <w:spacing w:before="0" w:beforeAutospacing="0" w:after="600" w:afterAutospacing="0"/>
        <w:divId w:val="809325157"/>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ind w:firstLine="360"/>
        <w:divId w:val="1660621875"/>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70"/>
        <w:gridCol w:w="229"/>
        <w:gridCol w:w="145"/>
        <w:gridCol w:w="962"/>
      </w:tblGrid>
      <w:tr w:rsidR="00000000">
        <w:trPr>
          <w:divId w:val="1660621875"/>
          <w:trHeight w:val="20"/>
        </w:trPr>
        <w:tc>
          <w:tcPr>
            <w:tcW w:w="4195" w:type="pct"/>
            <w:tcMar>
              <w:top w:w="0" w:type="dxa"/>
              <w:left w:w="0" w:type="dxa"/>
              <w:bottom w:w="0" w:type="dxa"/>
              <w:right w:w="0" w:type="dxa"/>
            </w:tcMar>
            <w:vAlign w:val="bottom"/>
            <w:hideMark/>
          </w:tcPr>
          <w:p w:rsidR="00000000" w:rsidRDefault="009730FF">
            <w:pPr>
              <w:pStyle w:val="a3"/>
              <w:spacing w:before="0" w:beforeAutospacing="0" w:after="0" w:afterAutospacing="0"/>
              <w:divId w:val="335235903"/>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0533702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276839474"/>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06224594"/>
              <w:rPr>
                <w:sz w:val="20"/>
                <w:szCs w:val="20"/>
              </w:rPr>
            </w:pPr>
            <w:r>
              <w:rPr>
                <w:sz w:val="2"/>
                <w:szCs w:val="2"/>
              </w:rPr>
              <w:t>​</w:t>
            </w:r>
          </w:p>
        </w:tc>
      </w:tr>
      <w:tr w:rsidR="00000000">
        <w:trPr>
          <w:divId w:val="1660621875"/>
        </w:trPr>
        <w:tc>
          <w:tcPr>
            <w:tcW w:w="41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March 31, </w:t>
            </w:r>
          </w:p>
        </w:tc>
      </w:tr>
      <w:tr w:rsidR="00000000">
        <w:trPr>
          <w:divId w:val="1660621875"/>
        </w:trPr>
        <w:tc>
          <w:tcPr>
            <w:tcW w:w="41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20"/>
                <w:szCs w:val="20"/>
              </w:rPr>
            </w:pPr>
            <w:r>
              <w:rPr>
                <w:b/>
                <w:bCs/>
                <w:sz w:val="20"/>
                <w:szCs w:val="20"/>
              </w:rPr>
              <w:t>2022</w:t>
            </w:r>
          </w:p>
        </w:tc>
      </w:tr>
      <w:tr w:rsidR="00000000">
        <w:trPr>
          <w:divId w:val="1660621875"/>
        </w:trPr>
        <w:tc>
          <w:tcPr>
            <w:tcW w:w="41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6"/>
                <w:szCs w:val="16"/>
              </w:rPr>
            </w:pPr>
            <w:r>
              <w:rPr>
                <w:sz w:val="16"/>
                <w:szCs w:val="16"/>
              </w:rPr>
              <w:t>(in millions)</w:t>
            </w:r>
          </w:p>
        </w:tc>
      </w:tr>
      <w:tr w:rsidR="00000000">
        <w:trPr>
          <w:divId w:val="1660621875"/>
        </w:trPr>
        <w:tc>
          <w:tcPr>
            <w:tcW w:w="41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40</w:t>
            </w:r>
            <w:r>
              <w:rPr>
                <w:sz w:val="20"/>
                <w:szCs w:val="20"/>
              </w:rPr>
              <w:t>6</w:t>
            </w:r>
          </w:p>
        </w:tc>
      </w:tr>
      <w:tr w:rsidR="00000000">
        <w:trPr>
          <w:divId w:val="1660621875"/>
        </w:trPr>
        <w:tc>
          <w:tcPr>
            <w:tcW w:w="41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Food Packaging</w:t>
            </w:r>
          </w:p>
        </w:tc>
        <w:tc>
          <w:tcPr>
            <w:tcW w:w="1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r>
              <w:rPr>
                <w:sz w:val="20"/>
                <w:szCs w:val="20"/>
              </w:rPr>
              <w:t>9</w:t>
            </w:r>
          </w:p>
        </w:tc>
      </w:tr>
      <w:tr w:rsidR="00000000">
        <w:trPr>
          <w:divId w:val="1660621875"/>
        </w:trPr>
        <w:tc>
          <w:tcPr>
            <w:tcW w:w="4195" w:type="pct"/>
            <w:shd w:val="clear" w:color="auto" w:fill="CCEEFF"/>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1</w:t>
            </w:r>
            <w:r>
              <w:rPr>
                <w:sz w:val="20"/>
                <w:szCs w:val="20"/>
              </w:rPr>
              <w:t>8</w:t>
            </w:r>
          </w:p>
        </w:tc>
      </w:tr>
      <w:tr w:rsidR="00000000">
        <w:trPr>
          <w:divId w:val="1660621875"/>
        </w:trPr>
        <w:tc>
          <w:tcPr>
            <w:tcW w:w="4195"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20"/>
                <w:szCs w:val="20"/>
              </w:rPr>
            </w:pPr>
            <w:r>
              <w:rPr>
                <w:sz w:val="20"/>
                <w:szCs w:val="20"/>
              </w:rPr>
              <w:t>44</w:t>
            </w:r>
            <w:r>
              <w:rPr>
                <w:sz w:val="20"/>
                <w:szCs w:val="20"/>
              </w:rPr>
              <w:t>3</w:t>
            </w:r>
          </w:p>
        </w:tc>
      </w:tr>
    </w:tbl>
    <w:p w:rsidR="00000000" w:rsidRDefault="009730FF">
      <w:pPr>
        <w:pStyle w:val="a3"/>
        <w:spacing w:before="0" w:beforeAutospacing="0" w:after="0" w:afterAutospacing="0"/>
        <w:divId w:val="1660621875"/>
        <w:rPr>
          <w:sz w:val="20"/>
          <w:szCs w:val="20"/>
        </w:rPr>
      </w:pPr>
      <w:r>
        <w:rPr>
          <w:sz w:val="20"/>
          <w:szCs w:val="20"/>
        </w:rPr>
        <w:t>​</w:t>
      </w:r>
    </w:p>
    <w:p w:rsidR="00000000" w:rsidRDefault="009730FF">
      <w:pPr>
        <w:pStyle w:val="a3"/>
        <w:spacing w:before="0" w:beforeAutospacing="0" w:after="240" w:afterAutospacing="0"/>
        <w:ind w:firstLine="360"/>
        <w:divId w:val="1660621875"/>
        <w:rPr>
          <w:sz w:val="20"/>
          <w:szCs w:val="20"/>
        </w:rPr>
      </w:pPr>
      <w:r>
        <w:rPr>
          <w:sz w:val="20"/>
          <w:szCs w:val="20"/>
        </w:rPr>
        <w:t>The above outstanding debt and borrowing availability with respect to each of our continuing operating segments reflects third-party obligations.</w:t>
      </w:r>
    </w:p>
    <w:p w:rsidR="00000000" w:rsidRDefault="009730FF">
      <w:pPr>
        <w:pStyle w:val="a3"/>
        <w:spacing w:before="0" w:beforeAutospacing="0" w:after="240" w:afterAutospacing="0"/>
        <w:ind w:firstLine="360"/>
        <w:divId w:val="1660621875"/>
        <w:rPr>
          <w:sz w:val="20"/>
          <w:szCs w:val="20"/>
        </w:rPr>
      </w:pPr>
      <w:r>
        <w:rPr>
          <w:sz w:val="20"/>
          <w:szCs w:val="20"/>
        </w:rPr>
        <w:t>In February 2022, CVR Partners redeemed the remaining $65 million aggregate principal amount of its 9.25% seni</w:t>
      </w:r>
      <w:r>
        <w:rPr>
          <w:sz w:val="20"/>
          <w:szCs w:val="20"/>
        </w:rPr>
        <w:t>or secured notes due June 2023 at par. This transaction is expected to result in annual savings of approximately $6 million in future interest expense.</w:t>
      </w:r>
    </w:p>
    <w:p w:rsidR="00000000" w:rsidRDefault="009730FF">
      <w:pPr>
        <w:pStyle w:val="a3"/>
        <w:spacing w:before="0" w:beforeAutospacing="0" w:after="240" w:afterAutospacing="0"/>
        <w:divId w:val="1660621875"/>
        <w:rPr>
          <w:i/>
          <w:iCs/>
          <w:sz w:val="20"/>
          <w:szCs w:val="20"/>
        </w:rPr>
      </w:pPr>
      <w:r>
        <w:rPr>
          <w:i/>
          <w:iCs/>
          <w:sz w:val="20"/>
          <w:szCs w:val="20"/>
        </w:rPr>
        <w:t>Subsidiary Stock Repurchase Program</w:t>
      </w:r>
    </w:p>
    <w:p w:rsidR="00000000" w:rsidRDefault="009730FF">
      <w:pPr>
        <w:pStyle w:val="a3"/>
        <w:spacing w:before="0" w:beforeAutospacing="0" w:after="240" w:afterAutospacing="0"/>
        <w:ind w:firstLine="360"/>
        <w:divId w:val="1660621875"/>
        <w:rPr>
          <w:sz w:val="20"/>
          <w:szCs w:val="20"/>
        </w:rPr>
      </w:pPr>
      <w:r>
        <w:rPr>
          <w:sz w:val="20"/>
          <w:szCs w:val="20"/>
        </w:rPr>
        <w:t>On May 6, 2020, the Board of Directors of CVR Partners’ general part</w:t>
      </w:r>
      <w:r>
        <w:rPr>
          <w:sz w:val="20"/>
          <w:szCs w:val="20"/>
        </w:rPr>
        <w:t xml:space="preserve">ner approved a unit repurchase program which would enable it to repurchase up to $10 million of its common units from time to time through open market transactions, block trades, privately negotiated transactions or otherwise in accordance with applicable </w:t>
      </w:r>
      <w:r>
        <w:rPr>
          <w:sz w:val="20"/>
          <w:szCs w:val="20"/>
        </w:rPr>
        <w:t xml:space="preserve">securities laws. On February 22, 2021, the Board of Directors of CVR Partners authorized an additional $10 million under the unit repurchase program. During the three months ended March 31, 2022 and 2021, CVR Partners repurchased 111,695 and 24,378 common </w:t>
      </w:r>
      <w:r>
        <w:rPr>
          <w:sz w:val="20"/>
          <w:szCs w:val="20"/>
        </w:rPr>
        <w:t xml:space="preserve">units, respectively, on the open market at a cost of $12 million and $1 million, respectively. As of March 31, 2022, CVR Partners has a nominal amount remaining under its unit repurchase program. </w:t>
      </w:r>
    </w:p>
    <w:p w:rsidR="00000000" w:rsidRDefault="009730FF">
      <w:pPr>
        <w:pStyle w:val="a3"/>
        <w:spacing w:before="0" w:beforeAutospacing="0" w:after="240" w:afterAutospacing="0"/>
        <w:divId w:val="1660621875"/>
        <w:rPr>
          <w:i/>
          <w:iCs/>
          <w:sz w:val="20"/>
          <w:szCs w:val="20"/>
        </w:rPr>
      </w:pPr>
      <w:r>
        <w:rPr>
          <w:i/>
          <w:iCs/>
          <w:sz w:val="20"/>
          <w:szCs w:val="20"/>
        </w:rPr>
        <w:t>Subsidiary Dividend</w:t>
      </w:r>
    </w:p>
    <w:p w:rsidR="00000000" w:rsidRDefault="009730FF">
      <w:pPr>
        <w:pStyle w:val="a3"/>
        <w:spacing w:before="0" w:beforeAutospacing="0" w:after="240" w:afterAutospacing="0"/>
        <w:ind w:firstLine="360"/>
        <w:divId w:val="1660621875"/>
        <w:rPr>
          <w:sz w:val="20"/>
          <w:szCs w:val="20"/>
        </w:rPr>
      </w:pPr>
      <w:r>
        <w:rPr>
          <w:sz w:val="20"/>
          <w:szCs w:val="20"/>
        </w:rPr>
        <w:t>In the first quarter of 2022, our Energ</w:t>
      </w:r>
      <w:r>
        <w:rPr>
          <w:sz w:val="20"/>
          <w:szCs w:val="20"/>
        </w:rPr>
        <w:t>y segment, declared a cash dividend of $0.40 per share, which is payable May 23, 2022 to shareholders of record as of May 13, 2022. Our portion of the dividend will include approximately $28 million in cash.</w:t>
      </w:r>
    </w:p>
    <w:p w:rsidR="00000000" w:rsidRDefault="009730FF">
      <w:pPr>
        <w:pStyle w:val="a3"/>
        <w:spacing w:before="0" w:beforeAutospacing="0" w:after="240" w:afterAutospacing="0"/>
        <w:divId w:val="1660621875"/>
        <w:rPr>
          <w:b/>
          <w:bCs/>
          <w:i/>
          <w:iCs/>
          <w:sz w:val="20"/>
          <w:szCs w:val="20"/>
        </w:rPr>
      </w:pPr>
      <w:r>
        <w:rPr>
          <w:b/>
          <w:bCs/>
          <w:i/>
          <w:iCs/>
          <w:sz w:val="20"/>
          <w:szCs w:val="20"/>
        </w:rPr>
        <w:t>Consolidated Cash Flows</w:t>
      </w:r>
    </w:p>
    <w:p w:rsidR="00000000" w:rsidRDefault="009730FF">
      <w:pPr>
        <w:pStyle w:val="a3"/>
        <w:spacing w:before="0" w:beforeAutospacing="0" w:after="240" w:afterAutospacing="0"/>
        <w:ind w:firstLine="360"/>
        <w:divId w:val="1660621875"/>
        <w:rPr>
          <w:sz w:val="20"/>
          <w:szCs w:val="20"/>
        </w:rPr>
      </w:pPr>
      <w:r>
        <w:rPr>
          <w:sz w:val="20"/>
          <w:szCs w:val="20"/>
        </w:rPr>
        <w:t>Our Holding Company’s cash flows are generally driven by payments and proceeds associated with our senior unsecured debt obligations and payments and proceeds associated with issuances of equity by Icahn Enterprises. Additionally, our Holding Company’s cas</w:t>
      </w:r>
      <w:r>
        <w:rPr>
          <w:sz w:val="20"/>
          <w:szCs w:val="20"/>
        </w:rPr>
        <w:t>h flows include transactions with our Investment and other operating segments. Our Investment segment’s cash flows are primarily driven by investment transactions, which are included in net cash flows from operating activities due to the nature of its busi</w:t>
      </w:r>
      <w:r>
        <w:rPr>
          <w:sz w:val="20"/>
          <w:szCs w:val="20"/>
        </w:rPr>
        <w:t>ness, as well as contributions to and distributions from Mr. Icahn and his affiliates (including Icahn Enterprises and Icahn Enterprises Holdings) and Brett Icahn, which are included in net cash flows from financing activities. Our other operating segments</w:t>
      </w:r>
      <w:r>
        <w:rPr>
          <w:sz w:val="20"/>
          <w:szCs w:val="20"/>
        </w:rPr>
        <w:t>’ cash flows are driven by the activities and performance of each business as well as transactions with our Holding Company, as discussed below.</w:t>
      </w:r>
    </w:p>
    <w:p w:rsidR="00000000" w:rsidRDefault="009730FF">
      <w:pPr>
        <w:pStyle w:val="a3"/>
        <w:spacing w:before="480" w:beforeAutospacing="0" w:after="0" w:afterAutospacing="0"/>
        <w:jc w:val="center"/>
        <w:divId w:val="121732637"/>
        <w:rPr>
          <w:sz w:val="20"/>
          <w:szCs w:val="20"/>
        </w:rPr>
      </w:pPr>
      <w:r>
        <w:rPr>
          <w:sz w:val="20"/>
          <w:szCs w:val="20"/>
        </w:rPr>
        <w:t>41</w:t>
      </w:r>
    </w:p>
    <w:p w:rsidR="00000000" w:rsidRDefault="009730FF">
      <w:pPr>
        <w:pStyle w:val="a3"/>
        <w:spacing w:before="0" w:beforeAutospacing="0" w:after="600" w:afterAutospacing="0"/>
        <w:divId w:val="78211648"/>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ind w:firstLine="360"/>
        <w:divId w:val="620187311"/>
        <w:rPr>
          <w:sz w:val="20"/>
          <w:szCs w:val="20"/>
        </w:rPr>
      </w:pPr>
      <w:r>
        <w:rPr>
          <w:sz w:val="20"/>
          <w:szCs w:val="20"/>
        </w:rPr>
        <w:t>The following table summarizes cash flow information for Icahn E</w:t>
      </w:r>
      <w:r>
        <w:rPr>
          <w:sz w:val="20"/>
          <w:szCs w:val="20"/>
        </w:rPr>
        <w:t xml:space="preserv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775"/>
        <w:gridCol w:w="182"/>
        <w:gridCol w:w="103"/>
        <w:gridCol w:w="650"/>
        <w:gridCol w:w="163"/>
        <w:gridCol w:w="103"/>
        <w:gridCol w:w="650"/>
        <w:gridCol w:w="163"/>
        <w:gridCol w:w="103"/>
        <w:gridCol w:w="658"/>
        <w:gridCol w:w="163"/>
        <w:gridCol w:w="103"/>
        <w:gridCol w:w="650"/>
        <w:gridCol w:w="163"/>
        <w:gridCol w:w="103"/>
        <w:gridCol w:w="650"/>
        <w:gridCol w:w="163"/>
        <w:gridCol w:w="103"/>
        <w:gridCol w:w="658"/>
      </w:tblGrid>
      <w:tr w:rsidR="00000000">
        <w:trPr>
          <w:divId w:val="620187311"/>
          <w:trHeight w:val="20"/>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divId w:val="88213891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8949456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34124847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20529146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4034305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32579615"/>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02059293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70721696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61120747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56892596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43155476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607233149"/>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8764385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208918809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11786880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35141935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199499269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886914146"/>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divId w:val="559366476"/>
              <w:rPr>
                <w:sz w:val="20"/>
                <w:szCs w:val="20"/>
              </w:rPr>
            </w:pPr>
            <w:r>
              <w:rPr>
                <w:sz w:val="2"/>
                <w:szCs w:val="2"/>
              </w:rPr>
              <w:t>​</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Three Months Ended March 31, 2022</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Three Months Ended March 31, 2021</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Net Cash Provided By (Used In)</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Net Cash Provided By (Used In)</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Financing</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Financing</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b/>
                <w:bCs/>
                <w:sz w:val="16"/>
                <w:szCs w:val="16"/>
              </w:rPr>
              <w:t>Activities</w:t>
            </w:r>
          </w:p>
        </w:tc>
      </w:tr>
      <w:tr w:rsidR="00000000">
        <w:trPr>
          <w:divId w:val="620187311"/>
        </w:trPr>
        <w:tc>
          <w:tcPr>
            <w:tcW w:w="0" w:type="auto"/>
            <w:gridSpan w:val="19"/>
            <w:tcMar>
              <w:top w:w="0" w:type="dxa"/>
              <w:left w:w="0" w:type="dxa"/>
              <w:bottom w:w="0" w:type="dxa"/>
              <w:right w:w="0" w:type="dxa"/>
            </w:tcMar>
            <w:vAlign w:val="center"/>
            <w:hideMark/>
          </w:tcPr>
          <w:p w:rsidR="00000000" w:rsidRDefault="009730FF">
            <w:pPr>
              <w:rPr>
                <w:sz w:val="16"/>
                <w:szCs w:val="16"/>
              </w:rPr>
            </w:pP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16"/>
                <w:szCs w:val="16"/>
              </w:rPr>
              <w:t>​</w:t>
            </w:r>
          </w:p>
        </w:tc>
        <w:tc>
          <w:tcPr>
            <w:tcW w:w="3218" w:type="pct"/>
            <w:gridSpan w:val="17"/>
            <w:noWrap/>
            <w:tcMar>
              <w:top w:w="0" w:type="dxa"/>
              <w:left w:w="0" w:type="dxa"/>
              <w:bottom w:w="0" w:type="dxa"/>
              <w:right w:w="0" w:type="dxa"/>
            </w:tcMar>
            <w:vAlign w:val="bottom"/>
            <w:hideMark/>
          </w:tcPr>
          <w:p w:rsidR="00000000" w:rsidRDefault="009730FF">
            <w:pPr>
              <w:pStyle w:val="a3"/>
              <w:spacing w:before="0" w:beforeAutospacing="0" w:after="1" w:afterAutospacing="0"/>
              <w:jc w:val="center"/>
              <w:rPr>
                <w:sz w:val="16"/>
                <w:szCs w:val="16"/>
              </w:rPr>
            </w:pPr>
            <w:r>
              <w:rPr>
                <w:sz w:val="16"/>
                <w:szCs w:val="16"/>
              </w:rPr>
              <w:t>(in millions)</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Holding Company</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(72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(323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(81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17</w:t>
            </w:r>
            <w:r>
              <w:rPr>
                <w:sz w:val="20"/>
                <w:szCs w:val="20"/>
              </w:rPr>
              <w:t>9</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Investment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1,68</w:t>
            </w:r>
            <w:r>
              <w:rPr>
                <w:sz w:val="20"/>
                <w:szCs w:val="20"/>
              </w:rPr>
              <w:t>9</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(519</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w:t>
            </w:r>
            <w:r>
              <w:rPr>
                <w:sz w:val="20"/>
                <w:szCs w:val="20"/>
              </w:rPr>
              <w:t>0</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Other Operating Segments</w:t>
            </w:r>
            <w:r>
              <w:rPr>
                <w:sz w:val="20"/>
                <w:szCs w:val="20"/>
              </w:rPr>
              <w:t>:</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Energy</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32</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(115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w:t>
            </w:r>
            <w:r>
              <w:rPr>
                <w:sz w:val="20"/>
                <w:szCs w:val="20"/>
              </w:rPr>
              <w:t>)</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Automotive</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(31</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(19</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w:t>
            </w:r>
            <w:r>
              <w:rPr>
                <w:sz w:val="20"/>
                <w:szCs w:val="20"/>
              </w:rPr>
              <w:t>8</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(21</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r>
              <w:rPr>
                <w:sz w:val="20"/>
                <w:szCs w:val="20"/>
              </w:rPr>
              <w:t>3</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Food Packaging</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Metals</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(9</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Real Estate</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Home Fashion</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(10</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9</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(3</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Pharma</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ind w:left="120"/>
              <w:rPr>
                <w:sz w:val="20"/>
                <w:szCs w:val="20"/>
              </w:rPr>
            </w:pPr>
            <w:r>
              <w:rPr>
                <w:sz w:val="20"/>
                <w:szCs w:val="20"/>
              </w:rPr>
              <w:t>Other operating segments</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30</w:t>
            </w:r>
            <w:r>
              <w:rPr>
                <w:sz w:val="20"/>
                <w:szCs w:val="20"/>
              </w:rPr>
              <w:t>3</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(69</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(59</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4</w:t>
            </w:r>
            <w:r>
              <w:rPr>
                <w:sz w:val="20"/>
                <w:szCs w:val="20"/>
              </w:rPr>
              <w:t>9</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w:t>
            </w:r>
            <w:r>
              <w:rPr>
                <w:sz w:val="20"/>
                <w:szCs w:val="20"/>
              </w:rPr>
              <w:t>0</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Total before eliminations</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1,92</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(17</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(380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6</w:t>
            </w: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26</w:t>
            </w:r>
            <w:r>
              <w:rPr>
                <w:sz w:val="20"/>
                <w:szCs w:val="20"/>
              </w:rPr>
              <w:t>9</w:t>
            </w:r>
          </w:p>
        </w:tc>
      </w:tr>
      <w:tr w:rsidR="00000000">
        <w:trPr>
          <w:divId w:val="620187311"/>
        </w:trPr>
        <w:tc>
          <w:tcPr>
            <w:tcW w:w="1670" w:type="pct"/>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Eliminations</w:t>
            </w:r>
          </w:p>
        </w:tc>
        <w:tc>
          <w:tcPr>
            <w:tcW w:w="110"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w:t>
            </w:r>
            <w:r>
              <w:rPr>
                <w:sz w:val="20"/>
                <w:szCs w:val="20"/>
              </w:rPr>
              <w:t>5</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w:t>
            </w: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5</w:t>
            </w:r>
            <w:r>
              <w:rPr>
                <w:sz w:val="20"/>
                <w:szCs w:val="20"/>
              </w:rPr>
              <w:t>5</w:t>
            </w:r>
          </w:p>
        </w:tc>
        <w:tc>
          <w:tcPr>
            <w:tcW w:w="98" w:type="pct"/>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w:t>
            </w:r>
            <w:r>
              <w:rPr>
                <w:sz w:val="20"/>
                <w:szCs w:val="20"/>
              </w:rPr>
              <w:t>)</w:t>
            </w:r>
          </w:p>
        </w:tc>
      </w:tr>
      <w:tr w:rsidR="00000000">
        <w:trPr>
          <w:divId w:val="620187311"/>
        </w:trPr>
        <w:tc>
          <w:tcPr>
            <w:tcW w:w="1670" w:type="pct"/>
            <w:shd w:val="clear" w:color="auto" w:fill="CCEEFF"/>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Consolidated</w:t>
            </w:r>
          </w:p>
        </w:tc>
        <w:tc>
          <w:tcPr>
            <w:tcW w:w="110"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1,92</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3</w:t>
            </w: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(435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jc w:val="right"/>
              <w:rPr>
                <w:sz w:val="20"/>
                <w:szCs w:val="20"/>
              </w:rPr>
            </w:pPr>
            <w:r>
              <w:rPr>
                <w:sz w:val="20"/>
                <w:szCs w:val="20"/>
              </w:rPr>
              <w:t>(551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11</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730FF">
            <w:pPr>
              <w:pStyle w:val="a3"/>
              <w:spacing w:before="0" w:beforeAutospacing="0" w:after="1" w:afterAutospacing="0"/>
              <w:ind w:right="60"/>
              <w:jc w:val="right"/>
              <w:rPr>
                <w:sz w:val="20"/>
                <w:szCs w:val="20"/>
              </w:rPr>
            </w:pPr>
            <w:r>
              <w:rPr>
                <w:sz w:val="20"/>
                <w:szCs w:val="20"/>
              </w:rPr>
              <w:t>21</w:t>
            </w:r>
            <w:r>
              <w:rPr>
                <w:sz w:val="20"/>
                <w:szCs w:val="20"/>
              </w:rPr>
              <w:t>4</w:t>
            </w:r>
          </w:p>
        </w:tc>
      </w:tr>
    </w:tbl>
    <w:p w:rsidR="00000000" w:rsidRDefault="009730FF">
      <w:pPr>
        <w:pStyle w:val="a3"/>
        <w:spacing w:before="0" w:beforeAutospacing="0" w:after="0" w:afterAutospacing="0"/>
        <w:divId w:val="620187311"/>
        <w:rPr>
          <w:sz w:val="20"/>
          <w:szCs w:val="20"/>
        </w:rPr>
      </w:pPr>
      <w:r>
        <w:rPr>
          <w:sz w:val="20"/>
          <w:szCs w:val="20"/>
        </w:rPr>
        <w:t>​</w:t>
      </w:r>
    </w:p>
    <w:p w:rsidR="00000000" w:rsidRDefault="009730FF">
      <w:pPr>
        <w:pStyle w:val="a3"/>
        <w:spacing w:before="0" w:beforeAutospacing="0" w:after="240" w:afterAutospacing="0"/>
        <w:divId w:val="620187311"/>
        <w:rPr>
          <w:i/>
          <w:iCs/>
          <w:sz w:val="20"/>
          <w:szCs w:val="20"/>
        </w:rPr>
      </w:pPr>
      <w:r>
        <w:rPr>
          <w:i/>
          <w:iCs/>
          <w:sz w:val="20"/>
          <w:szCs w:val="20"/>
        </w:rPr>
        <w:t>Eliminations</w:t>
      </w:r>
    </w:p>
    <w:p w:rsidR="00000000" w:rsidRDefault="009730FF">
      <w:pPr>
        <w:pStyle w:val="a3"/>
        <w:spacing w:before="0" w:beforeAutospacing="0" w:after="240" w:afterAutospacing="0"/>
        <w:ind w:firstLine="360"/>
        <w:divId w:val="620187311"/>
        <w:rPr>
          <w:sz w:val="20"/>
          <w:szCs w:val="20"/>
        </w:rPr>
      </w:pPr>
      <w:r>
        <w:rPr>
          <w:sz w:val="20"/>
          <w:szCs w:val="20"/>
        </w:rPr>
        <w:t xml:space="preserve">Eliminations in the table above relate to certain of our Holding Company’s transactions with our Investment and other operating segments. Our Holding Company’s net (investments in) distributions from the Investments Funds, when applicable, are included in </w:t>
      </w:r>
      <w:r>
        <w:rPr>
          <w:sz w:val="20"/>
          <w:szCs w:val="20"/>
        </w:rPr>
        <w:t>cash flows from investing activities for our Holding Company and cash flows from financing activities for our Investment segment. Similarly, our Holding Company’s net distributions from (investments in) our other operating segments are included in cash flo</w:t>
      </w:r>
      <w:r>
        <w:rPr>
          <w:sz w:val="20"/>
          <w:szCs w:val="20"/>
        </w:rPr>
        <w:t xml:space="preserve">ws from investing activities for our Holding Company and cash flows from financing activities for our other operating segments. </w:t>
      </w:r>
    </w:p>
    <w:p w:rsidR="00000000" w:rsidRDefault="009730FF">
      <w:pPr>
        <w:pStyle w:val="a3"/>
        <w:spacing w:before="0" w:beforeAutospacing="0" w:after="240" w:afterAutospacing="0"/>
        <w:divId w:val="620187311"/>
        <w:rPr>
          <w:i/>
          <w:iCs/>
          <w:sz w:val="20"/>
          <w:szCs w:val="20"/>
        </w:rPr>
      </w:pPr>
      <w:r>
        <w:rPr>
          <w:i/>
          <w:iCs/>
          <w:sz w:val="20"/>
          <w:szCs w:val="20"/>
        </w:rPr>
        <w:t>Holding Company</w:t>
      </w:r>
    </w:p>
    <w:p w:rsidR="00000000" w:rsidRDefault="009730FF">
      <w:pPr>
        <w:pStyle w:val="a3"/>
        <w:spacing w:before="0" w:beforeAutospacing="0" w:after="240" w:afterAutospacing="0"/>
        <w:ind w:firstLine="360"/>
        <w:jc w:val="both"/>
        <w:divId w:val="620187311"/>
        <w:rPr>
          <w:sz w:val="20"/>
          <w:szCs w:val="20"/>
        </w:rPr>
      </w:pPr>
      <w:r>
        <w:rPr>
          <w:sz w:val="20"/>
          <w:szCs w:val="20"/>
        </w:rPr>
        <w:t>Our Holding Company’s cash flows from operating activities for each of three months ended March 31, 2022 and 20</w:t>
      </w:r>
      <w:r>
        <w:rPr>
          <w:sz w:val="20"/>
          <w:szCs w:val="20"/>
        </w:rPr>
        <w:t xml:space="preserve">21 were primarily attributable to our semi-annual interest payments on our senior unsecured notes. The decrease in interest payments over the comparable period is primarily due to the redemption of $500 million of senior unsecured notes in February 2022. </w:t>
      </w:r>
    </w:p>
    <w:p w:rsidR="00000000" w:rsidRDefault="009730FF">
      <w:pPr>
        <w:pStyle w:val="a3"/>
        <w:spacing w:before="0" w:beforeAutospacing="0" w:after="240" w:afterAutospacing="0"/>
        <w:ind w:firstLine="360"/>
        <w:jc w:val="both"/>
        <w:divId w:val="620187311"/>
        <w:rPr>
          <w:sz w:val="20"/>
          <w:szCs w:val="20"/>
        </w:rPr>
      </w:pPr>
      <w:r>
        <w:rPr>
          <w:sz w:val="20"/>
          <w:szCs w:val="20"/>
        </w:rPr>
        <w:t xml:space="preserve">Our Holding Company’s cash flows from investing activities for the three months ended March 31, 2022 were primarily attributable to proceeds from the sale of equity investments aggregating $107 million offset in part by investments in/contributions to our </w:t>
      </w:r>
      <w:r>
        <w:rPr>
          <w:sz w:val="20"/>
          <w:szCs w:val="20"/>
        </w:rPr>
        <w:t>operating subsidiaries aggregating $55 million, including an investment in our Automotive segment of $60 million. Our Holding Company’s cash flows from investing activities for the three months ended March 31, 2021 were primarily attributable to proceeds f</w:t>
      </w:r>
      <w:r>
        <w:rPr>
          <w:sz w:val="20"/>
          <w:szCs w:val="20"/>
        </w:rPr>
        <w:t xml:space="preserve">rom the sale of equity investments of $171 million offset in part by investments in/contributions to our operating subsidiaries aggregating $55 million, including an investment in our Automotive segment of $50 million. </w:t>
      </w:r>
    </w:p>
    <w:p w:rsidR="00000000" w:rsidRDefault="009730FF">
      <w:pPr>
        <w:pStyle w:val="a3"/>
        <w:spacing w:before="0" w:beforeAutospacing="0" w:after="240" w:afterAutospacing="0"/>
        <w:ind w:firstLine="360"/>
        <w:jc w:val="both"/>
        <w:divId w:val="620187311"/>
        <w:rPr>
          <w:sz w:val="20"/>
          <w:szCs w:val="20"/>
        </w:rPr>
      </w:pPr>
      <w:r>
        <w:rPr>
          <w:sz w:val="20"/>
          <w:szCs w:val="20"/>
        </w:rPr>
        <w:t>Our Holding Company’s cash flows fro</w:t>
      </w:r>
      <w:r>
        <w:rPr>
          <w:sz w:val="20"/>
          <w:szCs w:val="20"/>
        </w:rPr>
        <w:t>m financing activities for the three months ended March 31, 2022 were due to the redemption of $500 million of senior unsecured notes offset by proceeds from our “at-the-market” offering. Our Holding Company’s cash flows from financing activities for the t</w:t>
      </w:r>
      <w:r>
        <w:rPr>
          <w:sz w:val="20"/>
          <w:szCs w:val="20"/>
        </w:rPr>
        <w:t>hree months ended March 31, 2021 were due to proceeds from our “at-the-market” offering, offset in part by the net effect of a debt refinancing transaction.</w:t>
      </w:r>
    </w:p>
    <w:p w:rsidR="00000000" w:rsidRDefault="009730FF">
      <w:pPr>
        <w:pStyle w:val="a3"/>
        <w:spacing w:before="480" w:beforeAutospacing="0" w:after="0" w:afterAutospacing="0"/>
        <w:jc w:val="center"/>
        <w:divId w:val="1044717247"/>
        <w:rPr>
          <w:sz w:val="20"/>
          <w:szCs w:val="20"/>
        </w:rPr>
      </w:pPr>
      <w:r>
        <w:rPr>
          <w:sz w:val="20"/>
          <w:szCs w:val="20"/>
        </w:rPr>
        <w:t>42</w:t>
      </w:r>
    </w:p>
    <w:p w:rsidR="00000000" w:rsidRDefault="009730FF">
      <w:pPr>
        <w:pStyle w:val="a3"/>
        <w:spacing w:before="0" w:beforeAutospacing="0" w:after="600" w:afterAutospacing="0"/>
        <w:divId w:val="561336417"/>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963392728"/>
        <w:rPr>
          <w:i/>
          <w:iCs/>
          <w:sz w:val="20"/>
          <w:szCs w:val="20"/>
        </w:rPr>
      </w:pPr>
      <w:r>
        <w:rPr>
          <w:i/>
          <w:iCs/>
          <w:sz w:val="20"/>
          <w:szCs w:val="20"/>
        </w:rPr>
        <w:t>Investment Segment</w:t>
      </w:r>
    </w:p>
    <w:p w:rsidR="00000000" w:rsidRDefault="009730FF">
      <w:pPr>
        <w:pStyle w:val="a3"/>
        <w:spacing w:before="0" w:beforeAutospacing="0" w:after="240" w:afterAutospacing="0"/>
        <w:ind w:firstLine="360"/>
        <w:divId w:val="963392728"/>
        <w:rPr>
          <w:sz w:val="20"/>
          <w:szCs w:val="20"/>
        </w:rPr>
      </w:pPr>
      <w:r>
        <w:rPr>
          <w:sz w:val="20"/>
          <w:szCs w:val="20"/>
        </w:rPr>
        <w:t>Our Investment segment’s cash flo</w:t>
      </w:r>
      <w:r>
        <w:rPr>
          <w:sz w:val="20"/>
          <w:szCs w:val="20"/>
        </w:rPr>
        <w:t>ws from operating activities for the comparable periods were attributable to its net investment transactions.</w:t>
      </w:r>
    </w:p>
    <w:p w:rsidR="00000000" w:rsidRDefault="009730FF">
      <w:pPr>
        <w:pStyle w:val="a3"/>
        <w:spacing w:before="0" w:beforeAutospacing="0" w:after="240" w:afterAutospacing="0"/>
        <w:ind w:firstLine="360"/>
        <w:divId w:val="963392728"/>
        <w:rPr>
          <w:sz w:val="20"/>
          <w:szCs w:val="20"/>
        </w:rPr>
      </w:pPr>
      <w:r>
        <w:rPr>
          <w:sz w:val="20"/>
          <w:szCs w:val="20"/>
        </w:rPr>
        <w:t>Our Investment segment’s cash flows from financing activities for the three months ended March 31, 2022 and 2021 were attributable to Brett Icahn’</w:t>
      </w:r>
      <w:r>
        <w:rPr>
          <w:sz w:val="20"/>
          <w:szCs w:val="20"/>
        </w:rPr>
        <w:t xml:space="preserve">s contribution to the Funds of $2 million and $40 million, respectively. </w:t>
      </w:r>
    </w:p>
    <w:p w:rsidR="00000000" w:rsidRDefault="009730FF">
      <w:pPr>
        <w:pStyle w:val="a3"/>
        <w:spacing w:before="0" w:beforeAutospacing="0" w:after="240" w:afterAutospacing="0"/>
        <w:divId w:val="963392728"/>
        <w:rPr>
          <w:i/>
          <w:iCs/>
          <w:sz w:val="20"/>
          <w:szCs w:val="20"/>
        </w:rPr>
      </w:pPr>
      <w:r>
        <w:rPr>
          <w:i/>
          <w:iCs/>
          <w:sz w:val="20"/>
          <w:szCs w:val="20"/>
        </w:rPr>
        <w:t>Other Operating Segments</w:t>
      </w:r>
    </w:p>
    <w:p w:rsidR="00000000" w:rsidRDefault="009730FF">
      <w:pPr>
        <w:pStyle w:val="a3"/>
        <w:spacing w:before="0" w:beforeAutospacing="0" w:after="240" w:afterAutospacing="0"/>
        <w:ind w:firstLine="360"/>
        <w:divId w:val="963392728"/>
        <w:rPr>
          <w:sz w:val="20"/>
          <w:szCs w:val="20"/>
        </w:rPr>
      </w:pPr>
      <w:r>
        <w:rPr>
          <w:sz w:val="20"/>
          <w:szCs w:val="20"/>
        </w:rPr>
        <w:t>Our other operating segments’ cash flows from operating activities included net cash flows from operating activities before changes in operating assets and l</w:t>
      </w:r>
      <w:r>
        <w:rPr>
          <w:sz w:val="20"/>
          <w:szCs w:val="20"/>
        </w:rPr>
        <w:t>iabilities of $233 million and $(82) million for the three months ended March 31, 2022 and 2021, respectively, primarily due the results of our Energy segment during both periods. The change in cash flows from operating activities for the three months ende</w:t>
      </w:r>
      <w:r>
        <w:rPr>
          <w:sz w:val="20"/>
          <w:szCs w:val="20"/>
        </w:rPr>
        <w:t>d March 31, 2022 as compared to the comparable prior year was primarily due to an increase in the operating results of our Energy segment offset in part by a decrease in working capital within our Energy segment primarily associated with the increases in o</w:t>
      </w:r>
      <w:r>
        <w:rPr>
          <w:sz w:val="20"/>
          <w:szCs w:val="20"/>
        </w:rPr>
        <w:t>ur open RFS position and a gain in derivatives compared to a loss in 2021.</w:t>
      </w:r>
    </w:p>
    <w:p w:rsidR="00000000" w:rsidRDefault="009730FF">
      <w:pPr>
        <w:pStyle w:val="a3"/>
        <w:spacing w:before="0" w:beforeAutospacing="0" w:after="240" w:afterAutospacing="0"/>
        <w:ind w:firstLine="360"/>
        <w:divId w:val="963392728"/>
        <w:rPr>
          <w:sz w:val="20"/>
          <w:szCs w:val="20"/>
        </w:rPr>
      </w:pPr>
      <w:r>
        <w:rPr>
          <w:sz w:val="20"/>
          <w:szCs w:val="20"/>
        </w:rPr>
        <w:t xml:space="preserve">Our other operating segments’ </w:t>
      </w:r>
      <w:r>
        <w:rPr>
          <w:sz w:val="20"/>
          <w:szCs w:val="20"/>
        </w:rPr>
        <w:t xml:space="preserve">cash flows from investing activities were primarily due to capital expenditures and turnaround expenditures of $41 million in 2022 compared to $35 million in 2021 in our Energy segment and capital expenditures of $21 million in 2022 compared to $8 million </w:t>
      </w:r>
      <w:r>
        <w:rPr>
          <w:sz w:val="20"/>
          <w:szCs w:val="20"/>
        </w:rPr>
        <w:t xml:space="preserve">in 2021 within our Automotive segment. In addition, our Energy segment acquired a pipeline for cash consideration of $20 million in the first quarter of 2021. </w:t>
      </w:r>
    </w:p>
    <w:p w:rsidR="00000000" w:rsidRDefault="009730FF">
      <w:pPr>
        <w:pStyle w:val="a3"/>
        <w:spacing w:before="0" w:beforeAutospacing="0" w:after="240" w:afterAutospacing="0"/>
        <w:ind w:firstLine="360"/>
        <w:divId w:val="963392728"/>
        <w:rPr>
          <w:sz w:val="20"/>
          <w:szCs w:val="20"/>
        </w:rPr>
      </w:pPr>
      <w:r>
        <w:rPr>
          <w:sz w:val="20"/>
          <w:szCs w:val="20"/>
        </w:rPr>
        <w:t>Our other operating segments’ cash flows from financing activities were primarily due to our Ene</w:t>
      </w:r>
      <w:r>
        <w:rPr>
          <w:sz w:val="20"/>
          <w:szCs w:val="20"/>
        </w:rPr>
        <w:t>rgy segment. In 2022, our Energy segment redeemed senior notes of $65 million, paid a distribution to noncontrolling interests of $36 million, and had $12 million in unit repurchases. In addition, our other operating segments had net contributions from our</w:t>
      </w:r>
      <w:r>
        <w:rPr>
          <w:sz w:val="20"/>
          <w:szCs w:val="20"/>
        </w:rPr>
        <w:t xml:space="preserve"> Holding Company aggregating $55 million for the three months ended March 31, 2022 compared to net contributions aggregating $55 million for the three months ended March 31, 2021.</w:t>
      </w:r>
    </w:p>
    <w:p w:rsidR="00000000" w:rsidRDefault="009730FF">
      <w:pPr>
        <w:pStyle w:val="a3"/>
        <w:spacing w:before="0" w:beforeAutospacing="0" w:after="240" w:afterAutospacing="0"/>
        <w:divId w:val="963392728"/>
        <w:rPr>
          <w:b/>
          <w:bCs/>
          <w:i/>
          <w:iCs/>
          <w:sz w:val="20"/>
          <w:szCs w:val="20"/>
        </w:rPr>
      </w:pPr>
      <w:r>
        <w:rPr>
          <w:b/>
          <w:bCs/>
          <w:i/>
          <w:iCs/>
          <w:sz w:val="20"/>
          <w:szCs w:val="20"/>
        </w:rPr>
        <w:t>Consolidated Capital Expenditures</w:t>
      </w:r>
    </w:p>
    <w:p w:rsidR="00000000" w:rsidRDefault="009730FF">
      <w:pPr>
        <w:pStyle w:val="a3"/>
        <w:spacing w:before="0" w:beforeAutospacing="0" w:after="240" w:afterAutospacing="0"/>
        <w:ind w:firstLine="360"/>
        <w:divId w:val="963392728"/>
        <w:rPr>
          <w:sz w:val="20"/>
          <w:szCs w:val="20"/>
        </w:rPr>
      </w:pPr>
      <w:r>
        <w:rPr>
          <w:sz w:val="20"/>
          <w:szCs w:val="20"/>
        </w:rPr>
        <w:t>There have been no material changes to our</w:t>
      </w:r>
      <w:r>
        <w:rPr>
          <w:sz w:val="20"/>
          <w:szCs w:val="20"/>
        </w:rPr>
        <w:t xml:space="preserve"> planned capital expenditures as compared to the estimated capital expenditures for 2021 reported in our Annual Report on Form 10-K for the year ended December 31, 2021.</w:t>
      </w:r>
    </w:p>
    <w:p w:rsidR="00000000" w:rsidRDefault="009730FF">
      <w:pPr>
        <w:pStyle w:val="a3"/>
        <w:spacing w:before="0" w:beforeAutospacing="0" w:after="240" w:afterAutospacing="0"/>
        <w:divId w:val="963392728"/>
        <w:rPr>
          <w:b/>
          <w:bCs/>
          <w:sz w:val="20"/>
          <w:szCs w:val="20"/>
        </w:rPr>
      </w:pPr>
      <w:r>
        <w:rPr>
          <w:b/>
          <w:bCs/>
          <w:sz w:val="20"/>
          <w:szCs w:val="20"/>
        </w:rPr>
        <w:t>Critical Accounting Estimates</w:t>
      </w:r>
    </w:p>
    <w:p w:rsidR="00000000" w:rsidRDefault="009730FF">
      <w:pPr>
        <w:pStyle w:val="a3"/>
        <w:spacing w:before="0" w:beforeAutospacing="0" w:after="240" w:afterAutospacing="0"/>
        <w:ind w:firstLine="360"/>
        <w:divId w:val="963392728"/>
        <w:rPr>
          <w:sz w:val="20"/>
          <w:szCs w:val="20"/>
        </w:rPr>
      </w:pPr>
      <w:r>
        <w:rPr>
          <w:sz w:val="20"/>
          <w:szCs w:val="20"/>
        </w:rPr>
        <w:t>The critical accounting estimates used in the preparatio</w:t>
      </w:r>
      <w:r>
        <w:rPr>
          <w:sz w:val="20"/>
          <w:szCs w:val="20"/>
        </w:rPr>
        <w:t>n of our condensed consolidated financial statements that we believe affect our more significant judgments and estimates used in the preparation of our condensed consolidated financial statements presented in this Report are described in Management’s Discu</w:t>
      </w:r>
      <w:r>
        <w:rPr>
          <w:sz w:val="20"/>
          <w:szCs w:val="20"/>
        </w:rPr>
        <w:t>ssion and Analysis of Financial Condition and Results of Operations and in the Notes to the consolidated financial statements included in our Annual Report on Form 10-K for the year ended December 31, 2021.</w:t>
      </w:r>
    </w:p>
    <w:p w:rsidR="00000000" w:rsidRDefault="009730FF">
      <w:pPr>
        <w:pStyle w:val="a3"/>
        <w:spacing w:before="0" w:beforeAutospacing="0" w:after="240" w:afterAutospacing="0"/>
        <w:ind w:firstLine="360"/>
        <w:divId w:val="963392728"/>
        <w:rPr>
          <w:sz w:val="20"/>
          <w:szCs w:val="20"/>
        </w:rPr>
      </w:pPr>
      <w:r>
        <w:rPr>
          <w:sz w:val="20"/>
          <w:szCs w:val="20"/>
        </w:rPr>
        <w:t>There have been no material changes to our critic</w:t>
      </w:r>
      <w:r>
        <w:rPr>
          <w:sz w:val="20"/>
          <w:szCs w:val="20"/>
        </w:rPr>
        <w:t>al accounting policies and estimates during the three months ended March 31, 2022 as compared to those reported in our Annual Report on Form 10-K for the year ended December 31, 2021.</w:t>
      </w:r>
    </w:p>
    <w:p w:rsidR="00000000" w:rsidRDefault="009730FF">
      <w:pPr>
        <w:pStyle w:val="a3"/>
        <w:spacing w:before="0" w:beforeAutospacing="0" w:after="240" w:afterAutospacing="0"/>
        <w:divId w:val="963392728"/>
        <w:rPr>
          <w:b/>
          <w:bCs/>
          <w:sz w:val="20"/>
          <w:szCs w:val="20"/>
        </w:rPr>
      </w:pPr>
      <w:r>
        <w:rPr>
          <w:b/>
          <w:bCs/>
          <w:sz w:val="20"/>
          <w:szCs w:val="20"/>
        </w:rPr>
        <w:t>Recently Issued Accounting Standards</w:t>
      </w:r>
    </w:p>
    <w:p w:rsidR="00000000" w:rsidRDefault="009730FF">
      <w:pPr>
        <w:pStyle w:val="a3"/>
        <w:spacing w:before="0" w:beforeAutospacing="0" w:after="240" w:afterAutospacing="0"/>
        <w:ind w:firstLine="360"/>
        <w:divId w:val="963392728"/>
        <w:rPr>
          <w:sz w:val="20"/>
          <w:szCs w:val="20"/>
        </w:rPr>
      </w:pPr>
      <w:r>
        <w:rPr>
          <w:sz w:val="20"/>
          <w:szCs w:val="20"/>
        </w:rPr>
        <w:t>Refer to Note 2, “Basis of Presenta</w:t>
      </w:r>
      <w:r>
        <w:rPr>
          <w:sz w:val="20"/>
          <w:szCs w:val="20"/>
        </w:rPr>
        <w:t>tion and Summary of Significant Accounting Policies,” to the condensed consolidated financial statements for a discussion of recent accounting pronouncements applicable to us.</w:t>
      </w:r>
    </w:p>
    <w:p w:rsidR="00000000" w:rsidRDefault="009730FF">
      <w:pPr>
        <w:pStyle w:val="a3"/>
        <w:spacing w:before="0" w:beforeAutospacing="0" w:after="0" w:afterAutospacing="0"/>
        <w:divId w:val="963392728"/>
        <w:rPr>
          <w:sz w:val="20"/>
          <w:szCs w:val="20"/>
        </w:rPr>
      </w:pPr>
      <w:r>
        <w:rPr>
          <w:sz w:val="20"/>
          <w:szCs w:val="20"/>
        </w:rPr>
        <w:t>​</w:t>
      </w:r>
    </w:p>
    <w:p w:rsidR="00000000" w:rsidRDefault="009730FF">
      <w:pPr>
        <w:pStyle w:val="a3"/>
        <w:spacing w:before="480" w:beforeAutospacing="0" w:after="0" w:afterAutospacing="0"/>
        <w:jc w:val="center"/>
        <w:divId w:val="1405104203"/>
        <w:rPr>
          <w:sz w:val="20"/>
          <w:szCs w:val="20"/>
        </w:rPr>
      </w:pPr>
      <w:r>
        <w:rPr>
          <w:sz w:val="20"/>
          <w:szCs w:val="20"/>
        </w:rPr>
        <w:t>43</w:t>
      </w:r>
    </w:p>
    <w:p w:rsidR="00000000" w:rsidRDefault="009730FF">
      <w:pPr>
        <w:pStyle w:val="a3"/>
        <w:spacing w:before="0" w:beforeAutospacing="0" w:after="600" w:afterAutospacing="0"/>
        <w:divId w:val="2066491715"/>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89353269"/>
        <w:rPr>
          <w:b/>
          <w:bCs/>
          <w:sz w:val="20"/>
          <w:szCs w:val="20"/>
        </w:rPr>
      </w:pPr>
      <w:r>
        <w:rPr>
          <w:b/>
          <w:bCs/>
          <w:sz w:val="20"/>
          <w:szCs w:val="20"/>
        </w:rPr>
        <w:t>Item </w:t>
      </w:r>
      <w:r>
        <w:rPr>
          <w:b/>
          <w:bCs/>
          <w:sz w:val="20"/>
          <w:szCs w:val="20"/>
        </w:rPr>
        <w:t>3. Quantitative and Qualitative Disclosures About Market Risk</w:t>
      </w:r>
    </w:p>
    <w:p w:rsidR="00000000" w:rsidRDefault="009730FF">
      <w:pPr>
        <w:pStyle w:val="a3"/>
        <w:spacing w:before="0" w:beforeAutospacing="0" w:after="240" w:afterAutospacing="0"/>
        <w:ind w:firstLine="360"/>
        <w:divId w:val="89353269"/>
        <w:rPr>
          <w:sz w:val="20"/>
          <w:szCs w:val="20"/>
        </w:rPr>
      </w:pPr>
      <w:r>
        <w:rPr>
          <w:sz w:val="20"/>
          <w:szCs w:val="20"/>
        </w:rPr>
        <w:t>Except as discussed below, information about our quantitative and qualitative disclosures about market risk did not differ materially from those disclosed in our Annual Report on Form 10-K for t</w:t>
      </w:r>
      <w:r>
        <w:rPr>
          <w:sz w:val="20"/>
          <w:szCs w:val="20"/>
        </w:rPr>
        <w:t>he year ended December 31, 2021.</w:t>
      </w:r>
    </w:p>
    <w:p w:rsidR="00000000" w:rsidRDefault="009730FF">
      <w:pPr>
        <w:pStyle w:val="a3"/>
        <w:spacing w:before="0" w:beforeAutospacing="0" w:after="240" w:afterAutospacing="0"/>
        <w:divId w:val="89353269"/>
        <w:rPr>
          <w:b/>
          <w:bCs/>
          <w:i/>
          <w:iCs/>
          <w:sz w:val="20"/>
          <w:szCs w:val="20"/>
        </w:rPr>
      </w:pPr>
      <w:r>
        <w:rPr>
          <w:b/>
          <w:bCs/>
          <w:i/>
          <w:iCs/>
          <w:sz w:val="20"/>
          <w:szCs w:val="20"/>
        </w:rPr>
        <w:t>Market Risk</w:t>
      </w:r>
    </w:p>
    <w:p w:rsidR="00000000" w:rsidRDefault="009730FF">
      <w:pPr>
        <w:pStyle w:val="a3"/>
        <w:spacing w:before="0" w:beforeAutospacing="0" w:after="240" w:afterAutospacing="0"/>
        <w:ind w:firstLine="360"/>
        <w:divId w:val="89353269"/>
        <w:rPr>
          <w:sz w:val="20"/>
          <w:szCs w:val="20"/>
        </w:rPr>
      </w:pPr>
      <w:r>
        <w:rPr>
          <w:sz w:val="20"/>
          <w:szCs w:val="20"/>
        </w:rPr>
        <w:t>Our predominant exposure to market risk is related to our Investment segment and the sensitivities to movements in the fair value of the Investment Funds’ investments.</w:t>
      </w:r>
    </w:p>
    <w:p w:rsidR="00000000" w:rsidRDefault="009730FF">
      <w:pPr>
        <w:pStyle w:val="a3"/>
        <w:spacing w:before="0" w:beforeAutospacing="0" w:after="240" w:afterAutospacing="0"/>
        <w:divId w:val="89353269"/>
        <w:rPr>
          <w:i/>
          <w:iCs/>
          <w:sz w:val="20"/>
          <w:szCs w:val="20"/>
        </w:rPr>
      </w:pPr>
      <w:r>
        <w:rPr>
          <w:i/>
          <w:iCs/>
          <w:sz w:val="20"/>
          <w:szCs w:val="20"/>
        </w:rPr>
        <w:t>Investment</w:t>
      </w:r>
    </w:p>
    <w:p w:rsidR="00000000" w:rsidRDefault="009730FF">
      <w:pPr>
        <w:pStyle w:val="a3"/>
        <w:spacing w:before="0" w:beforeAutospacing="0" w:after="240" w:afterAutospacing="0"/>
        <w:ind w:firstLine="360"/>
        <w:divId w:val="89353269"/>
        <w:rPr>
          <w:sz w:val="20"/>
          <w:szCs w:val="20"/>
        </w:rPr>
      </w:pPr>
      <w:r>
        <w:rPr>
          <w:sz w:val="20"/>
          <w:szCs w:val="20"/>
        </w:rPr>
        <w:t xml:space="preserve">The fair value of the financial </w:t>
      </w:r>
      <w:r>
        <w:rPr>
          <w:sz w:val="20"/>
          <w:szCs w:val="20"/>
        </w:rPr>
        <w:t>assets and liabilities of the Investment Funds primarily fluctuates in response to changes in the value of securities. The net effect of these fair value changes impacts the net gains from investment activities in our condensed consolidated statements of o</w:t>
      </w:r>
      <w:r>
        <w:rPr>
          <w:sz w:val="20"/>
          <w:szCs w:val="20"/>
        </w:rPr>
        <w:t>perations. The Investment Funds’ risk is regularly evaluated and is managed on a position basis as well as on a portfolio basis. Senior members of our investment team meet on a regular basis to assess and review certain risks, including concentration risk,</w:t>
      </w:r>
      <w:r>
        <w:rPr>
          <w:sz w:val="20"/>
          <w:szCs w:val="20"/>
        </w:rPr>
        <w:t xml:space="preserve"> correlation risk and credit risk for significant positions. Certain risk metrics and other analytical tools are used in the normal course of business by the Investment segment.</w:t>
      </w:r>
    </w:p>
    <w:p w:rsidR="00000000" w:rsidRDefault="009730FF">
      <w:pPr>
        <w:pStyle w:val="a3"/>
        <w:spacing w:before="0" w:beforeAutospacing="0" w:after="240" w:afterAutospacing="0"/>
        <w:ind w:firstLine="360"/>
        <w:divId w:val="89353269"/>
        <w:rPr>
          <w:sz w:val="20"/>
          <w:szCs w:val="20"/>
        </w:rPr>
      </w:pPr>
      <w:r>
        <w:rPr>
          <w:sz w:val="20"/>
          <w:szCs w:val="20"/>
        </w:rPr>
        <w:t>The Investment Funds hold investments that are reported at fair value as of th</w:t>
      </w:r>
      <w:r>
        <w:rPr>
          <w:sz w:val="20"/>
          <w:szCs w:val="20"/>
        </w:rPr>
        <w:t>e reporting date, which include securities owned, securities sold, not yet purchased and derivatives as reported on our condensed consolidated balance sheets. Based on their respective balances as of March 31, 2022, we estimate that in the event of a 10% a</w:t>
      </w:r>
      <w:r>
        <w:rPr>
          <w:sz w:val="20"/>
          <w:szCs w:val="20"/>
        </w:rPr>
        <w:t>dverse change in the fair value of these investments, the fair values of securities owned, securities sold, not yet purchased and derivatives would be negatively impacted by approximately $728 million, $478 million and $1,007 million, respectively. However</w:t>
      </w:r>
      <w:r>
        <w:rPr>
          <w:sz w:val="20"/>
          <w:szCs w:val="20"/>
        </w:rPr>
        <w:t>, as of March 31, 2022, we estimate that the impact to our share of the net gain (loss) from investment activities reported in our condensed consolidated statement of operations would be less than the change in fair value since we have an interest of appro</w:t>
      </w:r>
      <w:r>
        <w:rPr>
          <w:sz w:val="20"/>
          <w:szCs w:val="20"/>
        </w:rPr>
        <w:t>ximately 45% in the Investment Funds.</w:t>
      </w:r>
    </w:p>
    <w:p w:rsidR="00000000" w:rsidRDefault="009730FF">
      <w:pPr>
        <w:pStyle w:val="a3"/>
        <w:spacing w:before="0" w:beforeAutospacing="0" w:after="240" w:afterAutospacing="0"/>
        <w:divId w:val="89353269"/>
        <w:rPr>
          <w:b/>
          <w:bCs/>
          <w:sz w:val="20"/>
          <w:szCs w:val="20"/>
        </w:rPr>
      </w:pPr>
      <w:r>
        <w:rPr>
          <w:b/>
          <w:bCs/>
          <w:sz w:val="20"/>
          <w:szCs w:val="20"/>
        </w:rPr>
        <w:t>Item 4. Controls and Procedures</w:t>
      </w:r>
    </w:p>
    <w:p w:rsidR="00000000" w:rsidRDefault="009730FF">
      <w:pPr>
        <w:pStyle w:val="a3"/>
        <w:spacing w:before="0" w:beforeAutospacing="0" w:after="240" w:afterAutospacing="0"/>
        <w:ind w:firstLine="360"/>
        <w:divId w:val="89353269"/>
        <w:rPr>
          <w:sz w:val="20"/>
          <w:szCs w:val="20"/>
        </w:rPr>
      </w:pPr>
      <w:r>
        <w:rPr>
          <w:sz w:val="20"/>
          <w:szCs w:val="20"/>
        </w:rPr>
        <w:t>As of March 31, 2022, our management, including our Chief Executive Officer and Chief Financial Officer, evaluated the effectiveness of the design and operation of Icahn Enterprises’ and</w:t>
      </w:r>
      <w:r>
        <w:rPr>
          <w:sz w:val="20"/>
          <w:szCs w:val="20"/>
        </w:rPr>
        <w:t xml:space="preserve"> Icahn Enterprises Holdings’ and subsidiaries’ disclosure controls and procedures pursuant to the Rule 13a-15(e) and 15d-15(e) promulgated under the Exchange Act. Based upon that evaluation, our Chief Executive Officer and Chief Financial Officer concluded</w:t>
      </w:r>
      <w:r>
        <w:rPr>
          <w:sz w:val="20"/>
          <w:szCs w:val="20"/>
        </w:rPr>
        <w:t xml:space="preserve"> that our disclosure controls and procedures are effective to ensure that information required to be disclosed by us in reports that we file or submit under the Exchange Act is recorded, processed, summarized and reported within the time periods specified </w:t>
      </w:r>
      <w:r>
        <w:rPr>
          <w:sz w:val="20"/>
          <w:szCs w:val="20"/>
        </w:rPr>
        <w:t>in Securities and Exchange Commission rules and forms, and include controls and procedures designed to ensure that information required to be disclosed by us in such reports is accumulated and communicated to our management, including our Chief Executive O</w:t>
      </w:r>
      <w:r>
        <w:rPr>
          <w:sz w:val="20"/>
          <w:szCs w:val="20"/>
        </w:rPr>
        <w:t>fficer and Chief Financial Officer, as appropriate to allow timely decisions regarding required disclosure.</w:t>
      </w:r>
    </w:p>
    <w:p w:rsidR="00000000" w:rsidRDefault="009730FF">
      <w:pPr>
        <w:pStyle w:val="a3"/>
        <w:spacing w:before="0" w:beforeAutospacing="0" w:after="240" w:afterAutospacing="0"/>
        <w:divId w:val="89353269"/>
        <w:rPr>
          <w:sz w:val="20"/>
          <w:szCs w:val="20"/>
        </w:rPr>
      </w:pPr>
      <w:r>
        <w:rPr>
          <w:b/>
          <w:bCs/>
          <w:sz w:val="20"/>
          <w:szCs w:val="20"/>
        </w:rPr>
        <w:t>Changes in Internal Control Over Financial Reporting</w:t>
      </w:r>
    </w:p>
    <w:p w:rsidR="00000000" w:rsidRDefault="009730FF">
      <w:pPr>
        <w:pStyle w:val="a3"/>
        <w:spacing w:before="0" w:beforeAutospacing="0" w:after="0" w:afterAutospacing="0"/>
        <w:ind w:firstLine="360"/>
        <w:divId w:val="89353269"/>
        <w:rPr>
          <w:sz w:val="20"/>
          <w:szCs w:val="20"/>
        </w:rPr>
      </w:pPr>
      <w:r>
        <w:rPr>
          <w:sz w:val="20"/>
          <w:szCs w:val="20"/>
        </w:rPr>
        <w:t xml:space="preserve">There have been no changes in our internal control over financial reporting during the quarter </w:t>
      </w:r>
      <w:r>
        <w:rPr>
          <w:sz w:val="20"/>
          <w:szCs w:val="20"/>
        </w:rPr>
        <w:t>ended March 31, 2022 that have materially affected, or are reasonably likely to materially affect, our internal control over financial reporting.</w:t>
      </w:r>
    </w:p>
    <w:p w:rsidR="00000000" w:rsidRDefault="009730FF">
      <w:pPr>
        <w:pStyle w:val="a3"/>
        <w:spacing w:before="0" w:beforeAutospacing="0" w:after="0" w:afterAutospacing="0"/>
        <w:divId w:val="89353269"/>
        <w:rPr>
          <w:sz w:val="20"/>
          <w:szCs w:val="20"/>
        </w:rPr>
      </w:pPr>
      <w:r>
        <w:rPr>
          <w:sz w:val="20"/>
          <w:szCs w:val="20"/>
        </w:rPr>
        <w:t>​</w:t>
      </w:r>
    </w:p>
    <w:p w:rsidR="00000000" w:rsidRDefault="009730FF">
      <w:pPr>
        <w:pStyle w:val="a3"/>
        <w:spacing w:before="480" w:beforeAutospacing="0" w:after="0" w:afterAutospacing="0"/>
        <w:jc w:val="center"/>
        <w:divId w:val="1218667239"/>
        <w:rPr>
          <w:sz w:val="20"/>
          <w:szCs w:val="20"/>
        </w:rPr>
      </w:pPr>
      <w:r>
        <w:rPr>
          <w:sz w:val="20"/>
          <w:szCs w:val="20"/>
        </w:rPr>
        <w:t>44</w:t>
      </w:r>
    </w:p>
    <w:p w:rsidR="00000000" w:rsidRDefault="009730FF">
      <w:pPr>
        <w:pStyle w:val="a3"/>
        <w:spacing w:before="0" w:beforeAutospacing="0" w:after="600" w:afterAutospacing="0"/>
        <w:divId w:val="2127581995"/>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842207236"/>
        <w:rPr>
          <w:b/>
          <w:bCs/>
          <w:sz w:val="20"/>
          <w:szCs w:val="20"/>
        </w:rPr>
      </w:pPr>
      <w:r>
        <w:rPr>
          <w:b/>
          <w:bCs/>
          <w:sz w:val="20"/>
          <w:szCs w:val="20"/>
        </w:rPr>
        <w:t>PART II. OTHER INFORMATION</w:t>
      </w:r>
    </w:p>
    <w:p w:rsidR="00000000" w:rsidRDefault="009730FF">
      <w:pPr>
        <w:pStyle w:val="a3"/>
        <w:spacing w:before="0" w:beforeAutospacing="0" w:after="240" w:afterAutospacing="0"/>
        <w:divId w:val="842207236"/>
        <w:rPr>
          <w:b/>
          <w:bCs/>
          <w:sz w:val="20"/>
          <w:szCs w:val="20"/>
        </w:rPr>
      </w:pPr>
      <w:r>
        <w:rPr>
          <w:b/>
          <w:bCs/>
          <w:sz w:val="20"/>
          <w:szCs w:val="20"/>
        </w:rPr>
        <w:t>Item </w:t>
      </w:r>
      <w:r>
        <w:rPr>
          <w:b/>
          <w:bCs/>
          <w:sz w:val="20"/>
          <w:szCs w:val="20"/>
        </w:rPr>
        <w:t>1. Legal Proceedings</w:t>
      </w:r>
    </w:p>
    <w:p w:rsidR="00000000" w:rsidRDefault="009730FF">
      <w:pPr>
        <w:pStyle w:val="a3"/>
        <w:spacing w:before="0" w:beforeAutospacing="0" w:after="240" w:afterAutospacing="0"/>
        <w:ind w:firstLine="360"/>
        <w:divId w:val="842207236"/>
        <w:rPr>
          <w:sz w:val="20"/>
          <w:szCs w:val="20"/>
        </w:rPr>
      </w:pPr>
      <w:r>
        <w:rPr>
          <w:sz w:val="20"/>
          <w:szCs w:val="20"/>
        </w:rPr>
        <w:t>We are, and will continue to be, subject to litigation from time to time in the ordinary course of business. Refer to Note 16, “Commitments and Contingencies” to the condensed consolidated financial statements, which is incorporated by</w:t>
      </w:r>
      <w:r>
        <w:rPr>
          <w:sz w:val="20"/>
          <w:szCs w:val="20"/>
        </w:rPr>
        <w:t xml:space="preserve"> reference into this Part II, Item 1 of this Report, for information regarding our lawsuits and proceedings. Except for the lawsuits and proceedings disclosed in Note 16, there were no material changes to our lawsuits and proceedings as compared to those r</w:t>
      </w:r>
      <w:r>
        <w:rPr>
          <w:sz w:val="20"/>
          <w:szCs w:val="20"/>
        </w:rPr>
        <w:t>eported in our Annual Report on Form 10-K for the year ended December 31, 2021.</w:t>
      </w:r>
    </w:p>
    <w:p w:rsidR="00000000" w:rsidRDefault="009730FF">
      <w:pPr>
        <w:pStyle w:val="a3"/>
        <w:spacing w:before="0" w:beforeAutospacing="0" w:after="240" w:afterAutospacing="0"/>
        <w:divId w:val="842207236"/>
        <w:rPr>
          <w:b/>
          <w:bCs/>
          <w:sz w:val="20"/>
          <w:szCs w:val="20"/>
        </w:rPr>
      </w:pPr>
      <w:r>
        <w:rPr>
          <w:b/>
          <w:bCs/>
          <w:sz w:val="20"/>
          <w:szCs w:val="20"/>
        </w:rPr>
        <w:t xml:space="preserve">Item 1A. Risk Factors </w:t>
      </w:r>
    </w:p>
    <w:p w:rsidR="00000000" w:rsidRDefault="009730FF">
      <w:pPr>
        <w:pStyle w:val="a3"/>
        <w:spacing w:before="0" w:beforeAutospacing="0" w:after="240" w:afterAutospacing="0"/>
        <w:ind w:firstLine="360"/>
        <w:divId w:val="842207236"/>
        <w:rPr>
          <w:sz w:val="20"/>
          <w:szCs w:val="20"/>
        </w:rPr>
      </w:pPr>
      <w:r>
        <w:rPr>
          <w:sz w:val="20"/>
          <w:szCs w:val="20"/>
        </w:rPr>
        <w:t xml:space="preserve">Except for the risk factors updated below there were no material changes to our risk factors during the three months ended March 31, 2022 as compared to </w:t>
      </w:r>
      <w:r>
        <w:rPr>
          <w:sz w:val="20"/>
          <w:szCs w:val="20"/>
        </w:rPr>
        <w:t xml:space="preserve">those reported in our Annual Report on Form 10-K for the year ended December 31, 2021. </w:t>
      </w:r>
    </w:p>
    <w:p w:rsidR="00000000" w:rsidRDefault="009730FF">
      <w:pPr>
        <w:pStyle w:val="a3"/>
        <w:spacing w:before="0" w:beforeAutospacing="0" w:after="240" w:afterAutospacing="0"/>
        <w:divId w:val="842207236"/>
        <w:rPr>
          <w:i/>
          <w:iCs/>
          <w:sz w:val="20"/>
          <w:szCs w:val="20"/>
        </w:rPr>
      </w:pPr>
      <w:r>
        <w:rPr>
          <w:b/>
          <w:bCs/>
          <w:i/>
          <w:iCs/>
          <w:sz w:val="20"/>
          <w:szCs w:val="20"/>
        </w:rPr>
        <w:t>Global economic conditions may have adverse impacts on our businesses and financial condition.</w:t>
      </w:r>
    </w:p>
    <w:p w:rsidR="00000000" w:rsidRDefault="009730FF">
      <w:pPr>
        <w:pStyle w:val="a3"/>
        <w:spacing w:before="0" w:beforeAutospacing="0" w:after="240" w:afterAutospacing="0"/>
        <w:ind w:firstLine="360"/>
        <w:divId w:val="842207236"/>
        <w:rPr>
          <w:sz w:val="20"/>
          <w:szCs w:val="20"/>
        </w:rPr>
      </w:pPr>
      <w:r>
        <w:rPr>
          <w:sz w:val="20"/>
          <w:szCs w:val="20"/>
        </w:rPr>
        <w:t>Changes in economic conditions could adversely affect our financial condi</w:t>
      </w:r>
      <w:r>
        <w:rPr>
          <w:sz w:val="20"/>
          <w:szCs w:val="20"/>
        </w:rPr>
        <w:t>tion and results of operations. A number of economic factors, including, but not limited to, consumer interest rates, consumer confidence and debt levels, retail trends, housing starts, sales of existing homes, the level and availability of mortgage refina</w:t>
      </w:r>
      <w:r>
        <w:rPr>
          <w:sz w:val="20"/>
          <w:szCs w:val="20"/>
        </w:rPr>
        <w:t>ncing, and commodity prices, may generally adversely affect our businesses, financial condition and results of operations. Recessionary economic cycles, higher and protracted unemployment rates, increased fuel and other energy and commodity costs, rising c</w:t>
      </w:r>
      <w:r>
        <w:rPr>
          <w:sz w:val="20"/>
          <w:szCs w:val="20"/>
        </w:rPr>
        <w:t>osts of transportation and increased tax rates and general inflationary pressures can have a material adverse impact on our businesses, and may adversely affect demand for sales of our businesses’ products, or the costs of materials and services utilized i</w:t>
      </w:r>
      <w:r>
        <w:rPr>
          <w:sz w:val="20"/>
          <w:szCs w:val="20"/>
        </w:rPr>
        <w:t>n their operations, and the performance of our Investment Funds. The ongoing conflict in Ukraine has exacerbated many of these issues, including leading to increased prices of gasoline and distillates as a result of the global increase in commodity prices,</w:t>
      </w:r>
      <w:r>
        <w:rPr>
          <w:sz w:val="20"/>
          <w:szCs w:val="20"/>
        </w:rPr>
        <w:t xml:space="preserve"> which for example, has impacted, and may continue to impact, the input costs for our Energy segment. These factors could have a material adverse effect on our revenues, income from operations and our cash flows.</w:t>
      </w:r>
    </w:p>
    <w:p w:rsidR="00000000" w:rsidRDefault="009730FF">
      <w:pPr>
        <w:pStyle w:val="a3"/>
        <w:spacing w:before="0" w:beforeAutospacing="0" w:after="240" w:afterAutospacing="0"/>
        <w:divId w:val="842207236"/>
        <w:rPr>
          <w:i/>
          <w:iCs/>
          <w:sz w:val="20"/>
          <w:szCs w:val="20"/>
        </w:rPr>
      </w:pPr>
      <w:r>
        <w:rPr>
          <w:b/>
          <w:bCs/>
          <w:i/>
          <w:iCs/>
          <w:sz w:val="20"/>
          <w:szCs w:val="20"/>
        </w:rPr>
        <w:t>We and our subsidiaries are subject to cybe</w:t>
      </w:r>
      <w:r>
        <w:rPr>
          <w:b/>
          <w:bCs/>
          <w:i/>
          <w:iCs/>
          <w:sz w:val="20"/>
          <w:szCs w:val="20"/>
        </w:rPr>
        <w:t>rsecurity and other technological risks that could disrupt our information technology systems and adversely affect our financial performance.</w:t>
      </w:r>
    </w:p>
    <w:p w:rsidR="00000000" w:rsidRDefault="009730FF">
      <w:pPr>
        <w:pStyle w:val="a3"/>
        <w:spacing w:before="0" w:beforeAutospacing="0" w:after="240" w:afterAutospacing="0"/>
        <w:ind w:firstLine="360"/>
        <w:divId w:val="842207236"/>
        <w:rPr>
          <w:sz w:val="20"/>
          <w:szCs w:val="20"/>
        </w:rPr>
      </w:pPr>
      <w:r>
        <w:rPr>
          <w:sz w:val="20"/>
          <w:szCs w:val="20"/>
        </w:rPr>
        <w:t>Threats to information technology systems associated with cybersecurity and other technological risks and cyber in</w:t>
      </w:r>
      <w:r>
        <w:rPr>
          <w:sz w:val="20"/>
          <w:szCs w:val="20"/>
        </w:rPr>
        <w:t xml:space="preserve">cidents or attacks continue to grow. We and our subsidiaries depend on the accuracy, capacity and security of our information technology systems and those used by our third-party service providers. In addition, we and our subsidiaries collect, process and </w:t>
      </w:r>
      <w:r>
        <w:rPr>
          <w:sz w:val="20"/>
          <w:szCs w:val="20"/>
        </w:rPr>
        <w:t>retain sensitive and confidential information in the normal course of business, including information about our employees, customers and other third parties. Despite the security measures we have in place and any additional measures we may implement in the</w:t>
      </w:r>
      <w:r>
        <w:rPr>
          <w:sz w:val="20"/>
          <w:szCs w:val="20"/>
        </w:rPr>
        <w:t xml:space="preserve"> future, our facilities, systems, and networks, and those of our third-party service providers, could be vulnerable to security breaches, computer viruses, lost or misplaced data, programming errors, human errors, employee misconduct, malicious attacks, ac</w:t>
      </w:r>
      <w:r>
        <w:rPr>
          <w:sz w:val="20"/>
          <w:szCs w:val="20"/>
        </w:rPr>
        <w:t>ts of vandalism or other events. In addition, hardware, software or applications we develop or obtain from third parties may contain defects in design or manufacture or other problems that could result in security breaches or disruptions. Further, the Unit</w:t>
      </w:r>
      <w:r>
        <w:rPr>
          <w:sz w:val="20"/>
          <w:szCs w:val="20"/>
        </w:rPr>
        <w:t>ed States government has warned of the potential risk of Russian cyberattacks stemming from the ongoing Russian/Ukraine conflict. These events or any other disruption or compromise of our or our third-party service providers’ information technology systems</w:t>
      </w:r>
      <w:r>
        <w:rPr>
          <w:sz w:val="20"/>
          <w:szCs w:val="20"/>
        </w:rPr>
        <w:t xml:space="preserve"> could negatively impact our business operations or result in the misappropriation, loss or other unauthorized disclosure of sensitive and confidential information. Such events could damage our reputation, expose us to the risks of litigation and liability</w:t>
      </w:r>
      <w:r>
        <w:rPr>
          <w:sz w:val="20"/>
          <w:szCs w:val="20"/>
        </w:rPr>
        <w:t>, disrupt our business or otherwise affect our results of operations, any of which could adversely affect our financial performance.</w:t>
      </w:r>
    </w:p>
    <w:p w:rsidR="00000000" w:rsidRDefault="009730FF">
      <w:pPr>
        <w:pStyle w:val="a3"/>
        <w:spacing w:before="480" w:beforeAutospacing="0" w:after="0" w:afterAutospacing="0"/>
        <w:jc w:val="center"/>
        <w:divId w:val="1794249859"/>
        <w:rPr>
          <w:sz w:val="20"/>
          <w:szCs w:val="20"/>
        </w:rPr>
      </w:pPr>
      <w:r>
        <w:rPr>
          <w:sz w:val="20"/>
          <w:szCs w:val="20"/>
        </w:rPr>
        <w:t>45</w:t>
      </w:r>
    </w:p>
    <w:p w:rsidR="00000000" w:rsidRDefault="009730FF">
      <w:pPr>
        <w:pStyle w:val="a3"/>
        <w:spacing w:before="0" w:beforeAutospacing="0" w:after="600" w:afterAutospacing="0"/>
        <w:divId w:val="878973013"/>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1878198025"/>
        <w:rPr>
          <w:b/>
          <w:bCs/>
          <w:sz w:val="20"/>
          <w:szCs w:val="20"/>
        </w:rPr>
      </w:pPr>
      <w:r>
        <w:rPr>
          <w:b/>
          <w:bCs/>
          <w:sz w:val="20"/>
          <w:szCs w:val="20"/>
        </w:rPr>
        <w:t>Item 2. Unregistered Sales of Equity Securities and Use or Proceeds</w:t>
      </w:r>
    </w:p>
    <w:p w:rsidR="00000000" w:rsidRDefault="009730FF">
      <w:pPr>
        <w:pStyle w:val="a3"/>
        <w:spacing w:before="0" w:beforeAutospacing="0" w:after="240" w:afterAutospacing="0"/>
        <w:divId w:val="1878198025"/>
        <w:rPr>
          <w:sz w:val="20"/>
          <w:szCs w:val="20"/>
        </w:rPr>
      </w:pPr>
      <w:r>
        <w:rPr>
          <w:b/>
          <w:bCs/>
          <w:sz w:val="20"/>
          <w:szCs w:val="20"/>
        </w:rPr>
        <w:t>Purchase</w:t>
      </w:r>
      <w:r>
        <w:rPr>
          <w:b/>
          <w:bCs/>
          <w:sz w:val="20"/>
          <w:szCs w:val="20"/>
        </w:rPr>
        <w:t>s of Equity Securities by the Issuer and Affiliated Purchasers</w:t>
      </w:r>
    </w:p>
    <w:p w:rsidR="00000000" w:rsidRDefault="009730FF">
      <w:pPr>
        <w:pStyle w:val="a3"/>
        <w:spacing w:before="0" w:beforeAutospacing="0" w:after="240" w:afterAutospacing="0"/>
        <w:ind w:firstLine="360"/>
        <w:divId w:val="1878198025"/>
        <w:rPr>
          <w:sz w:val="20"/>
          <w:szCs w:val="20"/>
        </w:rPr>
      </w:pPr>
      <w:r>
        <w:rPr>
          <w:sz w:val="20"/>
          <w:szCs w:val="20"/>
        </w:rPr>
        <w:t>We do not have a publicly announced repurchase plan or program in effect. The table below summarizes other repurchases of our depositary units during the quarter ended March 31, 2022, all of wh</w:t>
      </w:r>
      <w:r>
        <w:rPr>
          <w:sz w:val="20"/>
          <w:szCs w:val="20"/>
        </w:rPr>
        <w:t>ich represent units withheld to pay taxes on the vesting of restricted depositary units.</w:t>
      </w:r>
    </w:p>
    <w:tbl>
      <w:tblPr>
        <w:tblW w:w="5000" w:type="pct"/>
        <w:tblCellMar>
          <w:top w:w="15" w:type="dxa"/>
          <w:left w:w="0" w:type="dxa"/>
          <w:bottom w:w="15" w:type="dxa"/>
          <w:right w:w="0" w:type="dxa"/>
        </w:tblCellMar>
        <w:tblLook w:val="04A0" w:firstRow="1" w:lastRow="0" w:firstColumn="1" w:lastColumn="0" w:noHBand="0" w:noVBand="1"/>
      </w:tblPr>
      <w:tblGrid>
        <w:gridCol w:w="2310"/>
        <w:gridCol w:w="137"/>
        <w:gridCol w:w="1153"/>
        <w:gridCol w:w="180"/>
        <w:gridCol w:w="115"/>
        <w:gridCol w:w="970"/>
        <w:gridCol w:w="180"/>
        <w:gridCol w:w="121"/>
        <w:gridCol w:w="1624"/>
        <w:gridCol w:w="180"/>
        <w:gridCol w:w="133"/>
        <w:gridCol w:w="1777"/>
      </w:tblGrid>
      <w:tr w:rsidR="00000000">
        <w:trPr>
          <w:divId w:val="1878198025"/>
          <w:trHeight w:val="20"/>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6752743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28751035"/>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316834343"/>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2329602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533495595"/>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797260611"/>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78302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996758916"/>
              <w:rPr>
                <w:sz w:val="20"/>
                <w:szCs w:val="20"/>
              </w:rPr>
            </w:pPr>
            <w:r>
              <w:rPr>
                <w:sz w:val="2"/>
                <w:szCs w:val="2"/>
              </w:rPr>
              <w:t>​</w:t>
            </w:r>
          </w:p>
        </w:tc>
        <w:tc>
          <w:tcPr>
            <w:tcW w:w="966"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57406323"/>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1435477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328363210"/>
              <w:rPr>
                <w:sz w:val="20"/>
                <w:szCs w:val="20"/>
              </w:rPr>
            </w:pPr>
            <w:r>
              <w:rPr>
                <w:sz w:val="2"/>
                <w:szCs w:val="2"/>
              </w:rPr>
              <w:t>​</w:t>
            </w:r>
          </w:p>
        </w:tc>
        <w:tc>
          <w:tcPr>
            <w:tcW w:w="965" w:type="pct"/>
            <w:noWrap/>
            <w:tcMar>
              <w:top w:w="0" w:type="dxa"/>
              <w:left w:w="0" w:type="dxa"/>
              <w:bottom w:w="0" w:type="dxa"/>
              <w:right w:w="0" w:type="dxa"/>
            </w:tcMar>
            <w:vAlign w:val="bottom"/>
            <w:hideMark/>
          </w:tcPr>
          <w:p w:rsidR="00000000" w:rsidRDefault="009730FF">
            <w:pPr>
              <w:pStyle w:val="a3"/>
              <w:spacing w:before="0" w:beforeAutospacing="0" w:after="0" w:afterAutospacing="0"/>
              <w:divId w:val="641816393"/>
              <w:rPr>
                <w:sz w:val="20"/>
                <w:szCs w:val="20"/>
              </w:rPr>
            </w:pPr>
            <w:r>
              <w:rPr>
                <w:sz w:val="2"/>
                <w:szCs w:val="2"/>
              </w:rPr>
              <w:t>​</w:t>
            </w:r>
          </w:p>
        </w:tc>
      </w:tr>
      <w:tr w:rsidR="00000000">
        <w:trPr>
          <w:divId w:val="1878198025"/>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6"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03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Maximum Number</w:t>
            </w:r>
          </w:p>
        </w:tc>
      </w:tr>
      <w:tr w:rsidR="00000000">
        <w:trPr>
          <w:divId w:val="1878198025"/>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03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Total Number of Units</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03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(or Approximate Dollar</w:t>
            </w:r>
          </w:p>
        </w:tc>
      </w:tr>
      <w:tr w:rsidR="00000000">
        <w:trPr>
          <w:divId w:val="1878198025"/>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03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Purchased as Part of</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103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 xml:space="preserve">Value) of Units that May </w:t>
            </w:r>
          </w:p>
        </w:tc>
      </w:tr>
      <w:tr w:rsidR="00000000">
        <w:trPr>
          <w:divId w:val="1878198025"/>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682"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Number of Units</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8"/>
                <w:szCs w:val="18"/>
              </w:rPr>
              <w:t>​</w:t>
            </w:r>
          </w:p>
        </w:tc>
        <w:tc>
          <w:tcPr>
            <w:tcW w:w="682"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Average Price</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8"/>
                <w:szCs w:val="18"/>
              </w:rPr>
              <w:t>​</w:t>
            </w:r>
          </w:p>
        </w:tc>
        <w:tc>
          <w:tcPr>
            <w:tcW w:w="1039"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Publicly Announced</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b/>
                <w:bCs/>
                <w:sz w:val="18"/>
                <w:szCs w:val="18"/>
              </w:rPr>
              <w:t>​</w:t>
            </w:r>
          </w:p>
        </w:tc>
        <w:tc>
          <w:tcPr>
            <w:tcW w:w="1038" w:type="pct"/>
            <w:gridSpan w:val="2"/>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be Purchased Under the</w:t>
            </w:r>
          </w:p>
        </w:tc>
      </w:tr>
      <w:tr w:rsidR="00000000">
        <w:trPr>
          <w:divId w:val="1878198025"/>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rFonts w:ascii="Calibri" w:hAnsi="Calibri" w:cs="Calibri"/>
                <w:sz w:val="18"/>
                <w:szCs w:val="18"/>
              </w:rPr>
              <w:t>​</w:t>
            </w:r>
          </w:p>
        </w:tc>
        <w:tc>
          <w:tcPr>
            <w:tcW w:w="68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Repurchased</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b/>
                <w:bCs/>
                <w:sz w:val="18"/>
                <w:szCs w:val="18"/>
              </w:rPr>
              <w:t>    </w:t>
            </w:r>
          </w:p>
        </w:tc>
        <w:tc>
          <w:tcPr>
            <w:tcW w:w="682"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Per Unit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b/>
                <w:bCs/>
                <w:sz w:val="18"/>
                <w:szCs w:val="18"/>
              </w:rPr>
              <w:t>    </w:t>
            </w:r>
          </w:p>
        </w:tc>
        <w:tc>
          <w:tcPr>
            <w:tcW w:w="1039"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Plans or Programs</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b/>
                <w:bCs/>
                <w:sz w:val="18"/>
                <w:szCs w:val="18"/>
              </w:rPr>
              <w:t>    </w:t>
            </w:r>
          </w:p>
        </w:tc>
        <w:tc>
          <w:tcPr>
            <w:tcW w:w="1038" w:type="pct"/>
            <w:gridSpan w:val="2"/>
            <w:tcBorders>
              <w:bottom w:val="single" w:sz="6" w:space="0" w:color="000000"/>
            </w:tcBorders>
            <w:noWrap/>
            <w:tcMar>
              <w:top w:w="0" w:type="dxa"/>
              <w:left w:w="0" w:type="dxa"/>
              <w:bottom w:w="0" w:type="dxa"/>
              <w:right w:w="0" w:type="dxa"/>
            </w:tcMar>
            <w:vAlign w:val="bottom"/>
            <w:hideMark/>
          </w:tcPr>
          <w:p w:rsidR="00000000" w:rsidRDefault="009730FF">
            <w:pPr>
              <w:pStyle w:val="a3"/>
              <w:spacing w:before="0" w:beforeAutospacing="0" w:after="0" w:afterAutospacing="0"/>
              <w:jc w:val="center"/>
              <w:rPr>
                <w:sz w:val="18"/>
                <w:szCs w:val="18"/>
              </w:rPr>
            </w:pPr>
            <w:r>
              <w:rPr>
                <w:b/>
                <w:bCs/>
                <w:sz w:val="18"/>
                <w:szCs w:val="18"/>
              </w:rPr>
              <w:t>Plans or Programs</w:t>
            </w:r>
          </w:p>
        </w:tc>
      </w:tr>
      <w:tr w:rsidR="00000000">
        <w:trPr>
          <w:divId w:val="1878198025"/>
        </w:trPr>
        <w:tc>
          <w:tcPr>
            <w:tcW w:w="12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sz w:val="18"/>
                <w:szCs w:val="18"/>
              </w:rPr>
              <w:t>January 3 through January 31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10,42</w:t>
            </w:r>
            <w:r>
              <w:rPr>
                <w:sz w:val="18"/>
                <w:szCs w:val="18"/>
              </w:rPr>
              <w:t>3</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52.1</w:t>
            </w:r>
            <w:r>
              <w:rPr>
                <w:sz w:val="18"/>
                <w:szCs w:val="18"/>
              </w:rPr>
              <w:t>4</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r>
      <w:tr w:rsidR="00000000">
        <w:trPr>
          <w:divId w:val="1878198025"/>
        </w:trPr>
        <w:tc>
          <w:tcPr>
            <w:tcW w:w="12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sz w:val="18"/>
                <w:szCs w:val="18"/>
              </w:rPr>
              <w:t>February 1 through February 28</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sz w:val="18"/>
                <w:szCs w:val="18"/>
              </w:rPr>
              <w:t>$</w:t>
            </w:r>
          </w:p>
        </w:tc>
        <w:tc>
          <w:tcPr>
            <w:tcW w:w="609"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6"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5" w:type="pct"/>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r>
      <w:tr w:rsidR="00000000">
        <w:trPr>
          <w:divId w:val="1878198025"/>
        </w:trPr>
        <w:tc>
          <w:tcPr>
            <w:tcW w:w="12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sz w:val="18"/>
                <w:szCs w:val="18"/>
              </w:rPr>
              <w:t>March 1 through March 31</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18"/>
                <w:szCs w:val="18"/>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6"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18"/>
                <w:szCs w:val="18"/>
              </w:rPr>
              <w:t>​</w:t>
            </w:r>
          </w:p>
        </w:tc>
        <w:tc>
          <w:tcPr>
            <w:tcW w:w="965" w:type="pct"/>
            <w:shd w:val="clear" w:color="auto" w:fill="CCEEFF"/>
            <w:noWrap/>
            <w:tcMar>
              <w:top w:w="0" w:type="dxa"/>
              <w:left w:w="0" w:type="dxa"/>
              <w:bottom w:w="0" w:type="dxa"/>
              <w:right w:w="0" w:type="dxa"/>
            </w:tcMar>
            <w:vAlign w:val="bottom"/>
            <w:hideMark/>
          </w:tcPr>
          <w:p w:rsidR="00000000" w:rsidRDefault="009730FF">
            <w:pPr>
              <w:pStyle w:val="a3"/>
              <w:spacing w:before="0" w:beforeAutospacing="0" w:after="0" w:afterAutospacing="0"/>
              <w:ind w:right="60"/>
              <w:jc w:val="right"/>
              <w:rPr>
                <w:sz w:val="18"/>
                <w:szCs w:val="18"/>
              </w:rPr>
            </w:pPr>
            <w:r>
              <w:rPr>
                <w:sz w:val="18"/>
                <w:szCs w:val="18"/>
              </w:rPr>
              <w:t>—</w:t>
            </w:r>
          </w:p>
        </w:tc>
      </w:tr>
    </w:tbl>
    <w:p w:rsidR="00000000" w:rsidRDefault="009730FF">
      <w:pPr>
        <w:pStyle w:val="a3"/>
        <w:spacing w:before="0" w:beforeAutospacing="0" w:after="0" w:afterAutospacing="0"/>
        <w:divId w:val="1878198025"/>
        <w:rPr>
          <w:sz w:val="20"/>
          <w:szCs w:val="20"/>
        </w:rPr>
      </w:pPr>
      <w:r>
        <w:rPr>
          <w:sz w:val="20"/>
          <w:szCs w:val="20"/>
        </w:rPr>
        <w:t>​</w:t>
      </w:r>
    </w:p>
    <w:p w:rsidR="00000000" w:rsidRDefault="009730FF">
      <w:pPr>
        <w:pStyle w:val="a3"/>
        <w:spacing w:before="0" w:beforeAutospacing="0" w:after="0" w:afterAutospacing="0"/>
        <w:divId w:val="1878198025"/>
        <w:rPr>
          <w:sz w:val="20"/>
          <w:szCs w:val="20"/>
        </w:rPr>
      </w:pPr>
      <w:r>
        <w:rPr>
          <w:sz w:val="20"/>
          <w:szCs w:val="20"/>
        </w:rPr>
        <w:t>​</w:t>
      </w:r>
    </w:p>
    <w:p w:rsidR="00000000" w:rsidRDefault="009730FF">
      <w:pPr>
        <w:pStyle w:val="a3"/>
        <w:spacing w:before="0" w:beforeAutospacing="0" w:after="240" w:afterAutospacing="0"/>
        <w:divId w:val="1878198025"/>
        <w:rPr>
          <w:b/>
          <w:bCs/>
          <w:sz w:val="20"/>
          <w:szCs w:val="20"/>
        </w:rPr>
      </w:pPr>
      <w:r>
        <w:rPr>
          <w:b/>
          <w:bCs/>
          <w:sz w:val="20"/>
          <w:szCs w:val="20"/>
        </w:rPr>
        <w:t>Item 5. Other Information</w:t>
      </w:r>
    </w:p>
    <w:p w:rsidR="00000000" w:rsidRDefault="009730FF">
      <w:pPr>
        <w:pStyle w:val="a3"/>
        <w:spacing w:before="0" w:beforeAutospacing="0" w:after="240" w:afterAutospacing="0"/>
        <w:ind w:firstLine="720"/>
        <w:divId w:val="1878198025"/>
        <w:rPr>
          <w:sz w:val="20"/>
          <w:szCs w:val="20"/>
        </w:rPr>
      </w:pPr>
      <w:r>
        <w:rPr>
          <w:sz w:val="20"/>
          <w:szCs w:val="20"/>
        </w:rPr>
        <w:t xml:space="preserve">On May 5, 2022, Icahn Enterprises entered into Amendment No. 1 (the </w:t>
      </w:r>
      <w:r>
        <w:rPr>
          <w:sz w:val="20"/>
          <w:szCs w:val="20"/>
        </w:rPr>
        <w:t>“</w:t>
      </w:r>
      <w:r>
        <w:rPr>
          <w:sz w:val="20"/>
          <w:szCs w:val="20"/>
        </w:rPr>
        <w:t>Amendmen</w:t>
      </w:r>
      <w:r>
        <w:rPr>
          <w:sz w:val="20"/>
          <w:szCs w:val="20"/>
        </w:rPr>
        <w:t>t</w:t>
      </w:r>
      <w:r>
        <w:rPr>
          <w:sz w:val="20"/>
          <w:szCs w:val="20"/>
        </w:rPr>
        <w:t xml:space="preserve">”) to the Management Agreement, dated as of October 1, 2020 (the </w:t>
      </w:r>
      <w:r>
        <w:rPr>
          <w:sz w:val="20"/>
          <w:szCs w:val="20"/>
        </w:rPr>
        <w:t>“</w:t>
      </w:r>
      <w:r>
        <w:rPr>
          <w:sz w:val="20"/>
          <w:szCs w:val="20"/>
        </w:rPr>
        <w:t>Manager Agreemen</w:t>
      </w:r>
      <w:r>
        <w:rPr>
          <w:sz w:val="20"/>
          <w:szCs w:val="20"/>
        </w:rPr>
        <w:t>t</w:t>
      </w:r>
      <w:r>
        <w:rPr>
          <w:sz w:val="20"/>
          <w:szCs w:val="20"/>
        </w:rPr>
        <w:t xml:space="preserve">”), by and among Icahn Enterprises, Icahn Capital LP, a Delaware limited partnership (the </w:t>
      </w:r>
      <w:r>
        <w:rPr>
          <w:sz w:val="20"/>
          <w:szCs w:val="20"/>
        </w:rPr>
        <w:t>“</w:t>
      </w:r>
      <w:r>
        <w:rPr>
          <w:sz w:val="20"/>
          <w:szCs w:val="20"/>
        </w:rPr>
        <w:t>Gene</w:t>
      </w:r>
      <w:r>
        <w:rPr>
          <w:sz w:val="20"/>
          <w:szCs w:val="20"/>
        </w:rPr>
        <w:t>ral Partne</w:t>
      </w:r>
      <w:r>
        <w:rPr>
          <w:sz w:val="20"/>
          <w:szCs w:val="20"/>
        </w:rPr>
        <w:t>r</w:t>
      </w:r>
      <w:r>
        <w:rPr>
          <w:sz w:val="20"/>
          <w:szCs w:val="20"/>
        </w:rPr>
        <w:t xml:space="preserve">” and together with the Icahn Enterprises, the </w:t>
      </w:r>
      <w:r>
        <w:rPr>
          <w:sz w:val="20"/>
          <w:szCs w:val="20"/>
        </w:rPr>
        <w:t>“</w:t>
      </w:r>
      <w:r>
        <w:rPr>
          <w:sz w:val="20"/>
          <w:szCs w:val="20"/>
        </w:rPr>
        <w:t>Employe</w:t>
      </w:r>
      <w:r>
        <w:rPr>
          <w:sz w:val="20"/>
          <w:szCs w:val="20"/>
        </w:rPr>
        <w:t>r</w:t>
      </w:r>
      <w:r>
        <w:rPr>
          <w:sz w:val="20"/>
          <w:szCs w:val="20"/>
        </w:rPr>
        <w:t>”), Brett Icahn, Isthmus LLC, a Delaware limited liability company wholly-owned by Brett Icahn (</w:t>
      </w:r>
      <w:r>
        <w:rPr>
          <w:sz w:val="20"/>
          <w:szCs w:val="20"/>
        </w:rPr>
        <w:t>“</w:t>
      </w:r>
      <w:r>
        <w:rPr>
          <w:sz w:val="20"/>
          <w:szCs w:val="20"/>
        </w:rPr>
        <w:t>Isthmu</w:t>
      </w:r>
      <w:r>
        <w:rPr>
          <w:sz w:val="20"/>
          <w:szCs w:val="20"/>
        </w:rPr>
        <w:t>s</w:t>
      </w:r>
      <w:r>
        <w:rPr>
          <w:sz w:val="20"/>
          <w:szCs w:val="20"/>
        </w:rPr>
        <w:t>”), Icahn Partners LP, a Delaware limited partnership (</w:t>
      </w:r>
      <w:r>
        <w:rPr>
          <w:sz w:val="20"/>
          <w:szCs w:val="20"/>
        </w:rPr>
        <w:t>“</w:t>
      </w:r>
      <w:r>
        <w:rPr>
          <w:sz w:val="20"/>
          <w:szCs w:val="20"/>
        </w:rPr>
        <w:t>Icahn Partner</w:t>
      </w:r>
      <w:r>
        <w:rPr>
          <w:sz w:val="20"/>
          <w:szCs w:val="20"/>
        </w:rPr>
        <w:t>s</w:t>
      </w:r>
      <w:r>
        <w:rPr>
          <w:sz w:val="20"/>
          <w:szCs w:val="20"/>
        </w:rPr>
        <w:t>”), and Icahn P</w:t>
      </w:r>
      <w:r>
        <w:rPr>
          <w:sz w:val="20"/>
          <w:szCs w:val="20"/>
        </w:rPr>
        <w:t>artners Master Fund LP, a Delaware limited partnership (</w:t>
      </w:r>
      <w:r>
        <w:rPr>
          <w:sz w:val="20"/>
          <w:szCs w:val="20"/>
        </w:rPr>
        <w:t>“</w:t>
      </w:r>
      <w:r>
        <w:rPr>
          <w:sz w:val="20"/>
          <w:szCs w:val="20"/>
        </w:rPr>
        <w:t>Icahn Master Fun</w:t>
      </w:r>
      <w:r>
        <w:rPr>
          <w:sz w:val="20"/>
          <w:szCs w:val="20"/>
        </w:rPr>
        <w:t>d</w:t>
      </w:r>
      <w:r>
        <w:rPr>
          <w:sz w:val="20"/>
          <w:szCs w:val="20"/>
        </w:rPr>
        <w:t xml:space="preserve">” and together with Icahn Partners, the </w:t>
      </w:r>
      <w:r>
        <w:rPr>
          <w:sz w:val="20"/>
          <w:szCs w:val="20"/>
        </w:rPr>
        <w:t>“</w:t>
      </w:r>
      <w:r>
        <w:rPr>
          <w:sz w:val="20"/>
          <w:szCs w:val="20"/>
        </w:rPr>
        <w:t>Fund</w:t>
      </w:r>
      <w:r>
        <w:rPr>
          <w:sz w:val="20"/>
          <w:szCs w:val="20"/>
        </w:rPr>
        <w:t>s</w:t>
      </w:r>
      <w:r>
        <w:rPr>
          <w:sz w:val="20"/>
          <w:szCs w:val="20"/>
        </w:rPr>
        <w:t>”).</w:t>
      </w:r>
    </w:p>
    <w:p w:rsidR="00000000" w:rsidRDefault="009730FF">
      <w:pPr>
        <w:pStyle w:val="a3"/>
        <w:spacing w:before="0" w:beforeAutospacing="0" w:after="240" w:afterAutospacing="0"/>
        <w:ind w:firstLine="720"/>
        <w:divId w:val="1878198025"/>
        <w:rPr>
          <w:sz w:val="20"/>
          <w:szCs w:val="20"/>
        </w:rPr>
      </w:pPr>
      <w:r>
        <w:rPr>
          <w:sz w:val="20"/>
          <w:szCs w:val="20"/>
        </w:rPr>
        <w:t>Under the Manager Agreement, Brett Icahn serves as the portfolio manager of the Mesa Portfolio, a designated portfolio of assets wit</w:t>
      </w:r>
      <w:r>
        <w:rPr>
          <w:sz w:val="20"/>
          <w:szCs w:val="20"/>
        </w:rPr>
        <w:t xml:space="preserve">hin the Funds (the </w:t>
      </w:r>
      <w:r>
        <w:rPr>
          <w:sz w:val="20"/>
          <w:szCs w:val="20"/>
        </w:rPr>
        <w:t>“</w:t>
      </w:r>
      <w:r>
        <w:rPr>
          <w:sz w:val="20"/>
          <w:szCs w:val="20"/>
        </w:rPr>
        <w:t>Mesa Portfoli</w:t>
      </w:r>
      <w:r>
        <w:rPr>
          <w:sz w:val="20"/>
          <w:szCs w:val="20"/>
        </w:rPr>
        <w:t>o</w:t>
      </w:r>
      <w:r>
        <w:rPr>
          <w:sz w:val="20"/>
          <w:szCs w:val="20"/>
        </w:rPr>
        <w:t>”). Additionally, Brett Icahn provides the River Services (as defined in the Manager Agreement) upon the request of Icahn Enterprises and Icahn Capital, which can entail providing research, analysis and advice with respect</w:t>
      </w:r>
      <w:r>
        <w:rPr>
          <w:sz w:val="20"/>
          <w:szCs w:val="20"/>
        </w:rPr>
        <w:t xml:space="preserve"> to certain securities in the River Portfolio, a designated portfolio of assets within the Funds (together with the Mesa Portfolio, the </w:t>
      </w:r>
      <w:r>
        <w:rPr>
          <w:sz w:val="20"/>
          <w:szCs w:val="20"/>
        </w:rPr>
        <w:t>“</w:t>
      </w:r>
      <w:r>
        <w:rPr>
          <w:sz w:val="20"/>
          <w:szCs w:val="20"/>
        </w:rPr>
        <w:t>Existing Portfolio</w:t>
      </w:r>
      <w:r>
        <w:rPr>
          <w:sz w:val="20"/>
          <w:szCs w:val="20"/>
        </w:rPr>
        <w:t>s</w:t>
      </w:r>
      <w:r>
        <w:rPr>
          <w:sz w:val="20"/>
          <w:szCs w:val="20"/>
        </w:rPr>
        <w:t xml:space="preserve">”). </w:t>
      </w:r>
    </w:p>
    <w:p w:rsidR="00000000" w:rsidRDefault="009730FF">
      <w:pPr>
        <w:pStyle w:val="a3"/>
        <w:spacing w:before="0" w:beforeAutospacing="0" w:after="240" w:afterAutospacing="0"/>
        <w:ind w:firstLine="720"/>
        <w:divId w:val="1878198025"/>
        <w:rPr>
          <w:sz w:val="20"/>
          <w:szCs w:val="20"/>
        </w:rPr>
      </w:pPr>
      <w:r>
        <w:rPr>
          <w:sz w:val="20"/>
          <w:szCs w:val="20"/>
        </w:rPr>
        <w:t>Pursuant to the terms of the Amendment, the Manager Agreement was amended to, among other thing</w:t>
      </w:r>
      <w:r>
        <w:rPr>
          <w:sz w:val="20"/>
          <w:szCs w:val="20"/>
        </w:rPr>
        <w:t xml:space="preserve">s, allow the Funds to add, from time to time, two additional separately tracked investment portfolios designated as the Mesa 2.0 Portfolio and the River 2.0 Portfolio (each an </w:t>
      </w:r>
      <w:r>
        <w:rPr>
          <w:sz w:val="20"/>
          <w:szCs w:val="20"/>
        </w:rPr>
        <w:t>“</w:t>
      </w:r>
      <w:r>
        <w:rPr>
          <w:sz w:val="20"/>
          <w:szCs w:val="20"/>
        </w:rPr>
        <w:t>Additional Portfoli</w:t>
      </w:r>
      <w:r>
        <w:rPr>
          <w:sz w:val="20"/>
          <w:szCs w:val="20"/>
        </w:rPr>
        <w:t>o</w:t>
      </w:r>
      <w:r>
        <w:rPr>
          <w:sz w:val="20"/>
          <w:szCs w:val="20"/>
        </w:rPr>
        <w:t xml:space="preserve">”), in addition to the Existing Portfolios. The activities </w:t>
      </w:r>
      <w:r>
        <w:rPr>
          <w:sz w:val="20"/>
          <w:szCs w:val="20"/>
        </w:rPr>
        <w:t>of each Additional Portfolio will not be subject to the Manager Agreement, while the activities of the Existing Portfolios will continue to be conducted pursuant to the Manager Agreement. Brett Icahn will have no obligations under the Manager Agreement wit</w:t>
      </w:r>
      <w:r>
        <w:rPr>
          <w:sz w:val="20"/>
          <w:szCs w:val="20"/>
        </w:rPr>
        <w:t>h respect to each Additional Portfolio</w:t>
      </w:r>
      <w:r>
        <w:rPr>
          <w:sz w:val="20"/>
          <w:szCs w:val="20"/>
        </w:rPr>
        <w:t>.</w:t>
      </w:r>
    </w:p>
    <w:p w:rsidR="00000000" w:rsidRDefault="009730FF">
      <w:pPr>
        <w:pStyle w:val="a3"/>
        <w:spacing w:before="0" w:beforeAutospacing="0" w:after="240" w:afterAutospacing="0"/>
        <w:ind w:firstLine="720"/>
        <w:divId w:val="1878198025"/>
        <w:rPr>
          <w:sz w:val="20"/>
          <w:szCs w:val="20"/>
        </w:rPr>
      </w:pPr>
      <w:r>
        <w:rPr>
          <w:sz w:val="20"/>
          <w:szCs w:val="20"/>
        </w:rPr>
        <w:t>In addition, under the Amendment, the Employer and Brett Icahn may, from time to time, agree that any (i) securities of an issuer which are held from time to time in the Mesa Portfolio or (ii) any property received b</w:t>
      </w:r>
      <w:r>
        <w:rPr>
          <w:sz w:val="20"/>
          <w:szCs w:val="20"/>
        </w:rPr>
        <w:t xml:space="preserve">y the Funds in exchange therefor pursuant to any merger, exchange offer, like kind exchange offer or other transaction (a </w:t>
      </w:r>
      <w:r>
        <w:rPr>
          <w:sz w:val="20"/>
          <w:szCs w:val="20"/>
        </w:rPr>
        <w:t>“</w:t>
      </w:r>
      <w:r>
        <w:rPr>
          <w:sz w:val="20"/>
          <w:szCs w:val="20"/>
        </w:rPr>
        <w:t>Mesa Positio</w:t>
      </w:r>
      <w:r>
        <w:rPr>
          <w:sz w:val="20"/>
          <w:szCs w:val="20"/>
        </w:rPr>
        <w:t>n</w:t>
      </w:r>
      <w:r>
        <w:rPr>
          <w:sz w:val="20"/>
          <w:szCs w:val="20"/>
        </w:rPr>
        <w:t xml:space="preserve">”), will be deemed to have been (x) sold for cash, in such amounts and at such times and prices as may be agreed by the </w:t>
      </w:r>
      <w:r>
        <w:rPr>
          <w:sz w:val="20"/>
          <w:szCs w:val="20"/>
        </w:rPr>
        <w:t>Employer (with the approval of the board of directors of the General Partner or the audit committee thereof) and Brett Icahn, each in their sole and absolute discretion (it being understood and agreed that such deemed sale prices will be based generally on</w:t>
      </w:r>
      <w:r>
        <w:rPr>
          <w:sz w:val="20"/>
          <w:szCs w:val="20"/>
        </w:rPr>
        <w:t xml:space="preserve"> the trading prices of the applicable securities at the time of such deemed sales, as reasonably adjusted to take into account liquidity and other relevant factors), and (y) purchased by the Mesa 2.0 Portfolio in the same amounts and at the same times and </w:t>
      </w:r>
      <w:r>
        <w:rPr>
          <w:sz w:val="20"/>
          <w:szCs w:val="20"/>
        </w:rPr>
        <w:t>prices as applicable to such deemed sale. Such deemed sale would be considered a permitted sale under the Manager Agreement and the Individual Hurdle Amount, Individual Mesa Expenses, Individual Mesa Net Profit Amount and Individual Mesa P&amp;L Amount (all as</w:t>
      </w:r>
      <w:r>
        <w:rPr>
          <w:sz w:val="20"/>
          <w:szCs w:val="20"/>
        </w:rPr>
        <w:t xml:space="preserve"> defined in the Manager Agreement) will be calculated as of the time of such deemed sale.</w:t>
      </w:r>
    </w:p>
    <w:p w:rsidR="00000000" w:rsidRDefault="009730FF">
      <w:pPr>
        <w:pStyle w:val="a3"/>
        <w:spacing w:before="480" w:beforeAutospacing="0" w:after="0" w:afterAutospacing="0"/>
        <w:jc w:val="center"/>
        <w:divId w:val="2136635428"/>
        <w:rPr>
          <w:sz w:val="20"/>
          <w:szCs w:val="20"/>
        </w:rPr>
      </w:pPr>
      <w:r>
        <w:rPr>
          <w:sz w:val="20"/>
          <w:szCs w:val="20"/>
        </w:rPr>
        <w:t>46</w:t>
      </w:r>
    </w:p>
    <w:p w:rsidR="00000000" w:rsidRDefault="009730FF">
      <w:pPr>
        <w:pStyle w:val="a3"/>
        <w:spacing w:before="0" w:beforeAutospacing="0" w:after="600" w:afterAutospacing="0"/>
        <w:divId w:val="1130780538"/>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ind w:firstLine="720"/>
        <w:divId w:val="366031016"/>
        <w:rPr>
          <w:sz w:val="20"/>
          <w:szCs w:val="20"/>
        </w:rPr>
      </w:pPr>
      <w:r>
        <w:rPr>
          <w:sz w:val="20"/>
          <w:szCs w:val="20"/>
        </w:rPr>
        <w:t>Further, neither Isthmus, Brett Icahn nor their affiliates will, or will be eligible to, make or hold investments in each Additional Portfolio (or in any securities held by each Additional Portfolio).</w:t>
      </w:r>
      <w:r>
        <w:rPr>
          <w:sz w:val="20"/>
          <w:szCs w:val="20"/>
        </w:rPr>
        <w:t xml:space="preserve"> </w:t>
      </w:r>
    </w:p>
    <w:p w:rsidR="00000000" w:rsidRDefault="009730FF">
      <w:pPr>
        <w:pStyle w:val="a3"/>
        <w:spacing w:before="0" w:beforeAutospacing="0" w:after="240" w:afterAutospacing="0"/>
        <w:ind w:firstLine="720"/>
        <w:divId w:val="366031016"/>
        <w:rPr>
          <w:sz w:val="20"/>
          <w:szCs w:val="20"/>
        </w:rPr>
      </w:pPr>
      <w:r>
        <w:rPr>
          <w:sz w:val="20"/>
          <w:szCs w:val="20"/>
        </w:rPr>
        <w:t xml:space="preserve">Except as specifically provided for in the Amendment, </w:t>
      </w:r>
      <w:r>
        <w:rPr>
          <w:sz w:val="20"/>
          <w:szCs w:val="20"/>
        </w:rPr>
        <w:t>the Manager Agreement remains in full force and effect and none of the provisions described in the Amendment are intended to alter Brett Icahn’s employment status with the Employer for any purpose.</w:t>
      </w:r>
    </w:p>
    <w:p w:rsidR="00000000" w:rsidRDefault="009730FF">
      <w:pPr>
        <w:pStyle w:val="a3"/>
        <w:spacing w:before="0" w:beforeAutospacing="0" w:after="240" w:afterAutospacing="0"/>
        <w:ind w:firstLine="720"/>
        <w:divId w:val="366031016"/>
        <w:rPr>
          <w:sz w:val="20"/>
          <w:szCs w:val="20"/>
        </w:rPr>
      </w:pPr>
      <w:r>
        <w:rPr>
          <w:sz w:val="20"/>
          <w:szCs w:val="20"/>
        </w:rPr>
        <w:t>The foregoing description of the Amendment does not purpor</w:t>
      </w:r>
      <w:r>
        <w:rPr>
          <w:sz w:val="20"/>
          <w:szCs w:val="20"/>
        </w:rPr>
        <w:t>t to be complete and is qualified in its entirety by reference to the Amendment, which is filed hereto as Exhibit 10.1 and is incorporated by reference herein.</w:t>
      </w:r>
    </w:p>
    <w:p w:rsidR="00000000" w:rsidRDefault="009730FF">
      <w:pPr>
        <w:pStyle w:val="a3"/>
        <w:spacing w:before="0" w:beforeAutospacing="0" w:after="0" w:afterAutospacing="0"/>
        <w:divId w:val="366031016"/>
        <w:rPr>
          <w:sz w:val="20"/>
          <w:szCs w:val="20"/>
        </w:rPr>
      </w:pPr>
      <w:r>
        <w:rPr>
          <w:sz w:val="20"/>
          <w:szCs w:val="20"/>
        </w:rPr>
        <w:t>​</w:t>
      </w:r>
    </w:p>
    <w:p w:rsidR="00000000" w:rsidRDefault="009730FF">
      <w:pPr>
        <w:pStyle w:val="a3"/>
        <w:spacing w:before="0" w:beforeAutospacing="0" w:after="0" w:afterAutospacing="0"/>
        <w:divId w:val="366031016"/>
        <w:rPr>
          <w:sz w:val="20"/>
          <w:szCs w:val="20"/>
        </w:rPr>
      </w:pPr>
      <w:r>
        <w:rPr>
          <w:sz w:val="20"/>
          <w:szCs w:val="20"/>
        </w:rPr>
        <w:t>​</w:t>
      </w:r>
    </w:p>
    <w:p w:rsidR="00000000" w:rsidRDefault="009730FF">
      <w:pPr>
        <w:pStyle w:val="a3"/>
        <w:spacing w:before="0" w:beforeAutospacing="0" w:after="0" w:afterAutospacing="0"/>
        <w:divId w:val="366031016"/>
        <w:rPr>
          <w:sz w:val="20"/>
          <w:szCs w:val="20"/>
        </w:rPr>
      </w:pPr>
      <w:r>
        <w:rPr>
          <w:sz w:val="20"/>
          <w:szCs w:val="20"/>
        </w:rPr>
        <w:t>​</w:t>
      </w:r>
    </w:p>
    <w:p w:rsidR="00000000" w:rsidRDefault="009730FF">
      <w:pPr>
        <w:pStyle w:val="a3"/>
        <w:spacing w:before="0" w:beforeAutospacing="0" w:after="0" w:afterAutospacing="0"/>
        <w:divId w:val="366031016"/>
        <w:rPr>
          <w:sz w:val="20"/>
          <w:szCs w:val="20"/>
        </w:rPr>
      </w:pPr>
      <w:r>
        <w:rPr>
          <w:sz w:val="20"/>
          <w:szCs w:val="20"/>
        </w:rPr>
        <w:t>​</w:t>
      </w:r>
    </w:p>
    <w:p w:rsidR="00000000" w:rsidRDefault="009730FF">
      <w:pPr>
        <w:pStyle w:val="a3"/>
        <w:spacing w:before="480" w:beforeAutospacing="0" w:after="0" w:afterAutospacing="0"/>
        <w:jc w:val="center"/>
        <w:divId w:val="621501335"/>
        <w:rPr>
          <w:sz w:val="20"/>
          <w:szCs w:val="20"/>
        </w:rPr>
      </w:pPr>
      <w:r>
        <w:rPr>
          <w:sz w:val="20"/>
          <w:szCs w:val="20"/>
        </w:rPr>
        <w:t>47</w:t>
      </w:r>
    </w:p>
    <w:p w:rsidR="00000000" w:rsidRDefault="009730FF">
      <w:pPr>
        <w:pStyle w:val="a3"/>
        <w:spacing w:before="0" w:beforeAutospacing="0" w:after="600" w:afterAutospacing="0"/>
        <w:divId w:val="309286887"/>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divId w:val="542788290"/>
        <w:rPr>
          <w:b/>
          <w:bCs/>
          <w:sz w:val="20"/>
          <w:szCs w:val="20"/>
        </w:rPr>
      </w:pPr>
      <w:r>
        <w:rPr>
          <w:b/>
          <w:bCs/>
          <w:sz w:val="20"/>
          <w:szCs w:val="20"/>
        </w:rPr>
        <w:t xml:space="preserve">Item 6. Exhibits </w:t>
      </w:r>
    </w:p>
    <w:tbl>
      <w:tblPr>
        <w:tblW w:w="5000" w:type="pct"/>
        <w:tblCellMar>
          <w:top w:w="15" w:type="dxa"/>
          <w:left w:w="0" w:type="dxa"/>
          <w:bottom w:w="15" w:type="dxa"/>
          <w:right w:w="0" w:type="dxa"/>
        </w:tblCellMar>
        <w:tblLook w:val="04A0" w:firstRow="1" w:lastRow="0" w:firstColumn="1" w:lastColumn="0" w:noHBand="0" w:noVBand="1"/>
      </w:tblPr>
      <w:tblGrid>
        <w:gridCol w:w="1085"/>
        <w:gridCol w:w="240"/>
        <w:gridCol w:w="6981"/>
      </w:tblGrid>
      <w:tr w:rsidR="00000000">
        <w:trPr>
          <w:divId w:val="542788290"/>
          <w:trHeight w:val="20"/>
        </w:trPr>
        <w:tc>
          <w:tcPr>
            <w:tcW w:w="563" w:type="pct"/>
            <w:tcMar>
              <w:top w:w="0" w:type="dxa"/>
              <w:left w:w="53" w:type="dxa"/>
              <w:bottom w:w="0" w:type="dxa"/>
              <w:right w:w="53" w:type="dxa"/>
            </w:tcMar>
            <w:vAlign w:val="bottom"/>
            <w:hideMark/>
          </w:tcPr>
          <w:p w:rsidR="00000000" w:rsidRDefault="009730FF">
            <w:pPr>
              <w:pStyle w:val="a3"/>
              <w:spacing w:before="0" w:beforeAutospacing="0" w:after="0" w:afterAutospacing="0"/>
              <w:divId w:val="1652560993"/>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641157948"/>
              <w:rPr>
                <w:sz w:val="20"/>
                <w:szCs w:val="20"/>
              </w:rPr>
            </w:pPr>
            <w:r>
              <w:rPr>
                <w:sz w:val="2"/>
                <w:szCs w:val="2"/>
              </w:rPr>
              <w:t>​</w:t>
            </w:r>
          </w:p>
        </w:tc>
        <w:tc>
          <w:tcPr>
            <w:tcW w:w="4304" w:type="pct"/>
            <w:tcMar>
              <w:top w:w="0" w:type="dxa"/>
              <w:left w:w="53" w:type="dxa"/>
              <w:bottom w:w="0" w:type="dxa"/>
              <w:right w:w="53" w:type="dxa"/>
            </w:tcMar>
            <w:hideMark/>
          </w:tcPr>
          <w:p w:rsidR="00000000" w:rsidRDefault="009730FF">
            <w:pPr>
              <w:pStyle w:val="a3"/>
              <w:spacing w:before="0" w:beforeAutospacing="0" w:after="0" w:afterAutospacing="0"/>
              <w:divId w:val="1908685705"/>
              <w:rPr>
                <w:sz w:val="20"/>
                <w:szCs w:val="20"/>
              </w:rPr>
            </w:pPr>
            <w:r>
              <w:rPr>
                <w:sz w:val="2"/>
                <w:szCs w:val="2"/>
              </w:rPr>
              <w:t>​</w:t>
            </w:r>
          </w:p>
        </w:tc>
      </w:tr>
      <w:tr w:rsidR="00000000">
        <w:trPr>
          <w:divId w:val="542788290"/>
        </w:trPr>
        <w:tc>
          <w:tcPr>
            <w:tcW w:w="563" w:type="pct"/>
            <w:tcBorders>
              <w:bottom w:val="single" w:sz="6" w:space="0" w:color="000000"/>
            </w:tcBorders>
            <w:tcMar>
              <w:top w:w="0" w:type="dxa"/>
              <w:left w:w="53" w:type="dxa"/>
              <w:bottom w:w="0" w:type="dxa"/>
              <w:right w:w="53" w:type="dxa"/>
            </w:tcMar>
            <w:vAlign w:val="bottom"/>
            <w:hideMark/>
          </w:tcPr>
          <w:p w:rsidR="00000000" w:rsidRDefault="009730FF">
            <w:pPr>
              <w:pStyle w:val="a3"/>
              <w:spacing w:before="0" w:beforeAutospacing="0" w:after="30" w:afterAutospacing="0"/>
              <w:jc w:val="center"/>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t>    </w:t>
            </w:r>
          </w:p>
        </w:tc>
        <w:tc>
          <w:tcPr>
            <w:tcW w:w="4304" w:type="pct"/>
            <w:tcBorders>
              <w:bottom w:val="single" w:sz="6" w:space="0" w:color="000000"/>
            </w:tcBorders>
            <w:tcMar>
              <w:top w:w="0" w:type="dxa"/>
              <w:left w:w="53" w:type="dxa"/>
              <w:bottom w:w="0" w:type="dxa"/>
              <w:right w:w="53" w:type="dxa"/>
            </w:tcMar>
            <w:hideMark/>
          </w:tcPr>
          <w:p w:rsidR="00000000" w:rsidRDefault="009730FF">
            <w:pPr>
              <w:pStyle w:val="a3"/>
              <w:spacing w:before="0" w:beforeAutospacing="0" w:after="30" w:afterAutospacing="0"/>
              <w:jc w:val="center"/>
              <w:rPr>
                <w:sz w:val="20"/>
                <w:szCs w:val="20"/>
              </w:rPr>
            </w:pPr>
            <w:r>
              <w:rPr>
                <w:b/>
                <w:bCs/>
                <w:sz w:val="20"/>
                <w:szCs w:val="20"/>
              </w:rPr>
              <w:t>Description</w:t>
            </w:r>
          </w:p>
        </w:tc>
      </w:tr>
      <w:tr w:rsidR="00000000">
        <w:trPr>
          <w:divId w:val="542788290"/>
          <w:trHeight w:val="750"/>
        </w:trPr>
        <w:tc>
          <w:tcPr>
            <w:tcW w:w="563" w:type="pct"/>
            <w:tcMar>
              <w:top w:w="0" w:type="dxa"/>
              <w:left w:w="53" w:type="dxa"/>
              <w:bottom w:w="0" w:type="dxa"/>
              <w:right w:w="53" w:type="dxa"/>
            </w:tcMar>
            <w:hideMark/>
          </w:tcPr>
          <w:p w:rsidR="00000000" w:rsidRDefault="009730FF">
            <w:pPr>
              <w:pStyle w:val="a3"/>
              <w:spacing w:before="0" w:beforeAutospacing="0" w:after="30" w:afterAutospacing="0"/>
              <w:jc w:val="center"/>
              <w:divId w:val="1656106747"/>
              <w:rPr>
                <w:sz w:val="20"/>
                <w:szCs w:val="20"/>
              </w:rPr>
            </w:pPr>
            <w:r>
              <w:rPr>
                <w:sz w:val="20"/>
                <w:szCs w:val="20"/>
              </w:rPr>
              <w:t>10.1</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1039432724"/>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463157739"/>
              <w:rPr>
                <w:sz w:val="20"/>
                <w:szCs w:val="20"/>
              </w:rPr>
            </w:pPr>
            <w:hyperlink r:id="rId4" w:history="1">
              <w:r>
                <w:rPr>
                  <w:rStyle w:val="a4"/>
                  <w:sz w:val="20"/>
                  <w:szCs w:val="20"/>
                </w:rPr>
                <w:t>Amendment No. 1 dated May 5, 2022 to the Management Agreement, dated as of October 1, 2020, by and among Icahn Enterprises, Icahn Capital LP, Brett Icahn, Isthmus LLC, Icahn Partners LP, and Icahn Partners Master Fund LP.</w:t>
              </w:r>
            </w:hyperlink>
          </w:p>
        </w:tc>
      </w:tr>
      <w:tr w:rsidR="00000000">
        <w:trPr>
          <w:divId w:val="542788290"/>
          <w:trHeight w:val="495"/>
        </w:trPr>
        <w:tc>
          <w:tcPr>
            <w:tcW w:w="563" w:type="pct"/>
            <w:tcMar>
              <w:top w:w="0" w:type="dxa"/>
              <w:left w:w="53" w:type="dxa"/>
              <w:bottom w:w="0" w:type="dxa"/>
              <w:right w:w="53" w:type="dxa"/>
            </w:tcMar>
            <w:hideMark/>
          </w:tcPr>
          <w:p w:rsidR="00000000" w:rsidRDefault="009730FF">
            <w:pPr>
              <w:pStyle w:val="a3"/>
              <w:spacing w:before="0" w:beforeAutospacing="0" w:after="30" w:afterAutospacing="0"/>
              <w:jc w:val="center"/>
              <w:divId w:val="172645446"/>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1559441620"/>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159852740"/>
              <w:rPr>
                <w:sz w:val="20"/>
                <w:szCs w:val="20"/>
              </w:rPr>
            </w:pPr>
            <w:hyperlink r:id="rId5"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542788290"/>
          <w:trHeight w:val="495"/>
        </w:trPr>
        <w:tc>
          <w:tcPr>
            <w:tcW w:w="563" w:type="pct"/>
            <w:tcMar>
              <w:top w:w="0" w:type="dxa"/>
              <w:left w:w="53" w:type="dxa"/>
              <w:bottom w:w="0" w:type="dxa"/>
              <w:right w:w="53" w:type="dxa"/>
            </w:tcMar>
            <w:hideMark/>
          </w:tcPr>
          <w:p w:rsidR="00000000" w:rsidRDefault="009730FF">
            <w:pPr>
              <w:pStyle w:val="a3"/>
              <w:spacing w:before="0" w:beforeAutospacing="0" w:after="30" w:afterAutospacing="0"/>
              <w:jc w:val="center"/>
              <w:divId w:val="2047412756"/>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940721593"/>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1383093871"/>
              <w:rPr>
                <w:sz w:val="20"/>
                <w:szCs w:val="20"/>
              </w:rPr>
            </w:pPr>
            <w:hyperlink r:id="rId6" w:history="1">
              <w:r>
                <w:rPr>
                  <w:rStyle w:val="a4"/>
                  <w:sz w:val="20"/>
                  <w:szCs w:val="20"/>
                </w:rPr>
                <w:t xml:space="preserve">Certification of Chief Financial </w:t>
              </w:r>
              <w:r>
                <w:rPr>
                  <w:rStyle w:val="a4"/>
                  <w:sz w:val="20"/>
                  <w:szCs w:val="20"/>
                </w:rPr>
                <w:t>Officer pursuant to Section 302(a) of the Sarbanes-Oxley Act of 2002 and Rule 13a-14(a) of the Securities Exchange Act of 1934.</w:t>
              </w:r>
            </w:hyperlink>
          </w:p>
        </w:tc>
      </w:tr>
      <w:tr w:rsidR="00000000">
        <w:trPr>
          <w:divId w:val="542788290"/>
          <w:trHeight w:val="731"/>
        </w:trPr>
        <w:tc>
          <w:tcPr>
            <w:tcW w:w="563" w:type="pct"/>
            <w:tcMar>
              <w:top w:w="0" w:type="dxa"/>
              <w:left w:w="53" w:type="dxa"/>
              <w:bottom w:w="0" w:type="dxa"/>
              <w:right w:w="53" w:type="dxa"/>
            </w:tcMar>
            <w:hideMark/>
          </w:tcPr>
          <w:p w:rsidR="00000000" w:rsidRDefault="009730FF">
            <w:pPr>
              <w:pStyle w:val="a3"/>
              <w:spacing w:before="0" w:beforeAutospacing="0" w:after="30" w:afterAutospacing="0"/>
              <w:jc w:val="center"/>
              <w:divId w:val="1669944129"/>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519589016"/>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1147093995"/>
              <w:rPr>
                <w:sz w:val="20"/>
                <w:szCs w:val="20"/>
              </w:rPr>
            </w:pPr>
            <w:hyperlink r:id="rId7" w:history="1">
              <w:r>
                <w:rPr>
                  <w:rStyle w:val="a4"/>
                  <w:sz w:val="20"/>
                  <w:szCs w:val="20"/>
                </w:rPr>
                <w:t>Certification of Chief Executive Officer and Chief Financial Officer pursuant to</w:t>
              </w:r>
              <w:r>
                <w:rPr>
                  <w:rStyle w:val="a4"/>
                  <w:sz w:val="20"/>
                  <w:szCs w:val="20"/>
                </w:rPr>
                <w:t xml:space="preserve"> Section 906 of the Sarbanes-Oxley Act of 2002 (18 U.S.C. 1350) and Rule 13a-14(b) of the Securities Exchange Act of 1934.</w:t>
              </w:r>
            </w:hyperlink>
          </w:p>
        </w:tc>
      </w:tr>
      <w:tr w:rsidR="00000000">
        <w:trPr>
          <w:divId w:val="542788290"/>
          <w:trHeight w:val="300"/>
        </w:trPr>
        <w:tc>
          <w:tcPr>
            <w:tcW w:w="563" w:type="pct"/>
            <w:tcMar>
              <w:top w:w="0" w:type="dxa"/>
              <w:left w:w="53" w:type="dxa"/>
              <w:bottom w:w="0" w:type="dxa"/>
              <w:right w:w="15" w:type="dxa"/>
            </w:tcMar>
            <w:hideMark/>
          </w:tcPr>
          <w:p w:rsidR="00000000" w:rsidRDefault="009730FF">
            <w:pPr>
              <w:pStyle w:val="a3"/>
              <w:spacing w:before="0" w:beforeAutospacing="0" w:after="30" w:afterAutospacing="0"/>
              <w:jc w:val="center"/>
              <w:divId w:val="1561743933"/>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1801410370"/>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1774209051"/>
              <w:rPr>
                <w:sz w:val="20"/>
                <w:szCs w:val="20"/>
              </w:rPr>
            </w:pPr>
            <w:r>
              <w:rPr>
                <w:sz w:val="20"/>
                <w:szCs w:val="20"/>
              </w:rPr>
              <w:t>Inline XBRL Taxonomy Extension Schema Document.</w:t>
            </w:r>
          </w:p>
        </w:tc>
      </w:tr>
      <w:tr w:rsidR="00000000">
        <w:trPr>
          <w:divId w:val="542788290"/>
          <w:trHeight w:val="300"/>
        </w:trPr>
        <w:tc>
          <w:tcPr>
            <w:tcW w:w="563" w:type="pct"/>
            <w:tcMar>
              <w:top w:w="0" w:type="dxa"/>
              <w:left w:w="53" w:type="dxa"/>
              <w:bottom w:w="0" w:type="dxa"/>
              <w:right w:w="15" w:type="dxa"/>
            </w:tcMar>
            <w:hideMark/>
          </w:tcPr>
          <w:p w:rsidR="00000000" w:rsidRDefault="009730FF">
            <w:pPr>
              <w:pStyle w:val="a3"/>
              <w:spacing w:before="0" w:beforeAutospacing="0" w:after="30" w:afterAutospacing="0"/>
              <w:jc w:val="center"/>
              <w:divId w:val="1934782460"/>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1868790658"/>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58331921"/>
              <w:rPr>
                <w:sz w:val="20"/>
                <w:szCs w:val="20"/>
              </w:rPr>
            </w:pPr>
            <w:r>
              <w:rPr>
                <w:sz w:val="20"/>
                <w:szCs w:val="20"/>
              </w:rPr>
              <w:t>Inline XBRL Taxonomy Extension Calculation Linkbase Document.</w:t>
            </w:r>
          </w:p>
        </w:tc>
      </w:tr>
      <w:tr w:rsidR="00000000">
        <w:trPr>
          <w:divId w:val="542788290"/>
          <w:trHeight w:val="300"/>
        </w:trPr>
        <w:tc>
          <w:tcPr>
            <w:tcW w:w="563" w:type="pct"/>
            <w:tcMar>
              <w:top w:w="0" w:type="dxa"/>
              <w:left w:w="53" w:type="dxa"/>
              <w:bottom w:w="0" w:type="dxa"/>
              <w:right w:w="15" w:type="dxa"/>
            </w:tcMar>
            <w:hideMark/>
          </w:tcPr>
          <w:p w:rsidR="00000000" w:rsidRDefault="009730FF">
            <w:pPr>
              <w:pStyle w:val="a3"/>
              <w:spacing w:before="0" w:beforeAutospacing="0" w:after="30" w:afterAutospacing="0"/>
              <w:jc w:val="center"/>
              <w:divId w:val="634796271"/>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301732911"/>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522985021"/>
              <w:rPr>
                <w:sz w:val="20"/>
                <w:szCs w:val="20"/>
              </w:rPr>
            </w:pPr>
            <w:r>
              <w:rPr>
                <w:sz w:val="20"/>
                <w:szCs w:val="20"/>
              </w:rPr>
              <w:t>Inline XBRL Taxonomy Extension Label Linkbase Document.</w:t>
            </w:r>
          </w:p>
        </w:tc>
      </w:tr>
      <w:tr w:rsidR="00000000">
        <w:trPr>
          <w:divId w:val="542788290"/>
          <w:trHeight w:val="300"/>
        </w:trPr>
        <w:tc>
          <w:tcPr>
            <w:tcW w:w="563" w:type="pct"/>
            <w:tcMar>
              <w:top w:w="0" w:type="dxa"/>
              <w:left w:w="53" w:type="dxa"/>
              <w:bottom w:w="0" w:type="dxa"/>
              <w:right w:w="15" w:type="dxa"/>
            </w:tcMar>
            <w:hideMark/>
          </w:tcPr>
          <w:p w:rsidR="00000000" w:rsidRDefault="009730FF">
            <w:pPr>
              <w:pStyle w:val="a3"/>
              <w:spacing w:before="0" w:beforeAutospacing="0" w:after="30" w:afterAutospacing="0"/>
              <w:jc w:val="center"/>
              <w:divId w:val="719592950"/>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1680231159"/>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726417942"/>
              <w:rPr>
                <w:sz w:val="20"/>
                <w:szCs w:val="20"/>
              </w:rPr>
            </w:pPr>
            <w:r>
              <w:rPr>
                <w:sz w:val="20"/>
                <w:szCs w:val="20"/>
              </w:rPr>
              <w:t>Inline XBRL Taxonomy Extension Presentation Linkbase Document.</w:t>
            </w:r>
          </w:p>
        </w:tc>
      </w:tr>
      <w:tr w:rsidR="00000000">
        <w:trPr>
          <w:divId w:val="542788290"/>
          <w:trHeight w:val="300"/>
        </w:trPr>
        <w:tc>
          <w:tcPr>
            <w:tcW w:w="563" w:type="pct"/>
            <w:tcMar>
              <w:top w:w="0" w:type="dxa"/>
              <w:left w:w="53" w:type="dxa"/>
              <w:bottom w:w="0" w:type="dxa"/>
              <w:right w:w="15" w:type="dxa"/>
            </w:tcMar>
            <w:hideMark/>
          </w:tcPr>
          <w:p w:rsidR="00000000" w:rsidRDefault="009730FF">
            <w:pPr>
              <w:pStyle w:val="a3"/>
              <w:spacing w:before="0" w:beforeAutospacing="0" w:after="30" w:afterAutospacing="0"/>
              <w:jc w:val="center"/>
              <w:divId w:val="901521480"/>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1498770896"/>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1626036245"/>
              <w:rPr>
                <w:sz w:val="20"/>
                <w:szCs w:val="20"/>
              </w:rPr>
            </w:pPr>
            <w:r>
              <w:rPr>
                <w:sz w:val="20"/>
                <w:szCs w:val="20"/>
              </w:rPr>
              <w:t xml:space="preserve">Inline XBRL Taxonomy Extension Definition </w:t>
            </w:r>
            <w:r>
              <w:rPr>
                <w:sz w:val="20"/>
                <w:szCs w:val="20"/>
              </w:rPr>
              <w:t>Linkbase Document.</w:t>
            </w:r>
          </w:p>
        </w:tc>
      </w:tr>
      <w:tr w:rsidR="00000000">
        <w:trPr>
          <w:divId w:val="542788290"/>
          <w:trHeight w:val="300"/>
        </w:trPr>
        <w:tc>
          <w:tcPr>
            <w:tcW w:w="563" w:type="pct"/>
            <w:tcMar>
              <w:top w:w="0" w:type="dxa"/>
              <w:left w:w="53" w:type="dxa"/>
              <w:bottom w:w="0" w:type="dxa"/>
              <w:right w:w="53" w:type="dxa"/>
            </w:tcMar>
            <w:hideMark/>
          </w:tcPr>
          <w:p w:rsidR="00000000" w:rsidRDefault="009730FF">
            <w:pPr>
              <w:pStyle w:val="a3"/>
              <w:spacing w:before="0" w:beforeAutospacing="0" w:after="30" w:afterAutospacing="0"/>
              <w:jc w:val="center"/>
              <w:divId w:val="1926570352"/>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9730FF">
            <w:pPr>
              <w:pStyle w:val="a3"/>
              <w:spacing w:before="0" w:beforeAutospacing="0" w:after="0" w:afterAutospacing="0"/>
              <w:divId w:val="910696184"/>
              <w:rPr>
                <w:sz w:val="20"/>
                <w:szCs w:val="20"/>
              </w:rPr>
            </w:pPr>
            <w:r>
              <w:t>​</w:t>
            </w:r>
          </w:p>
        </w:tc>
        <w:tc>
          <w:tcPr>
            <w:tcW w:w="4304" w:type="pct"/>
            <w:tcMar>
              <w:top w:w="0" w:type="dxa"/>
              <w:left w:w="53" w:type="dxa"/>
              <w:bottom w:w="0" w:type="dxa"/>
              <w:right w:w="53" w:type="dxa"/>
            </w:tcMar>
            <w:hideMark/>
          </w:tcPr>
          <w:p w:rsidR="00000000" w:rsidRDefault="009730FF">
            <w:pPr>
              <w:pStyle w:val="a3"/>
              <w:spacing w:before="0" w:beforeAutospacing="0" w:after="30" w:afterAutospacing="0"/>
              <w:divId w:val="683165670"/>
              <w:rPr>
                <w:sz w:val="20"/>
                <w:szCs w:val="20"/>
              </w:rPr>
            </w:pPr>
            <w:r>
              <w:rPr>
                <w:sz w:val="20"/>
                <w:szCs w:val="20"/>
              </w:rPr>
              <w:t>Cover Page Interactive Data File (formatted in Inline XBRL in Exhibit 101).</w:t>
            </w:r>
          </w:p>
        </w:tc>
      </w:tr>
    </w:tbl>
    <w:p w:rsidR="00000000" w:rsidRDefault="009730FF">
      <w:pPr>
        <w:pStyle w:val="a3"/>
        <w:spacing w:before="0" w:beforeAutospacing="0" w:after="0" w:afterAutospacing="0"/>
        <w:divId w:val="542788290"/>
        <w:rPr>
          <w:sz w:val="20"/>
          <w:szCs w:val="20"/>
        </w:rPr>
      </w:pPr>
      <w:r>
        <w:rPr>
          <w:sz w:val="2"/>
          <w:szCs w:val="2"/>
        </w:rPr>
        <w:t>​</w:t>
      </w:r>
    </w:p>
    <w:p w:rsidR="00000000" w:rsidRDefault="009730FF">
      <w:pPr>
        <w:pStyle w:val="a3"/>
        <w:spacing w:before="0" w:beforeAutospacing="0" w:after="0" w:afterAutospacing="0"/>
        <w:divId w:val="542788290"/>
        <w:rPr>
          <w:sz w:val="20"/>
          <w:szCs w:val="20"/>
        </w:rPr>
      </w:pPr>
      <w:r>
        <w:rPr>
          <w:sz w:val="20"/>
          <w:szCs w:val="20"/>
        </w:rPr>
        <w:t>​</w:t>
      </w:r>
    </w:p>
    <w:p w:rsidR="00000000" w:rsidRDefault="009730FF">
      <w:pPr>
        <w:pStyle w:val="a3"/>
        <w:spacing w:before="0" w:beforeAutospacing="0" w:after="0" w:afterAutospacing="0"/>
        <w:divId w:val="542788290"/>
        <w:rPr>
          <w:sz w:val="20"/>
          <w:szCs w:val="20"/>
        </w:rPr>
      </w:pPr>
      <w:r>
        <w:rPr>
          <w:sz w:val="20"/>
          <w:szCs w:val="20"/>
        </w:rPr>
        <w:t>​</w:t>
      </w:r>
    </w:p>
    <w:p w:rsidR="00000000" w:rsidRDefault="009730FF">
      <w:pPr>
        <w:pStyle w:val="a3"/>
        <w:spacing w:before="480" w:beforeAutospacing="0" w:after="0" w:afterAutospacing="0"/>
        <w:jc w:val="center"/>
        <w:divId w:val="559243058"/>
        <w:rPr>
          <w:sz w:val="20"/>
          <w:szCs w:val="20"/>
        </w:rPr>
      </w:pPr>
      <w:r>
        <w:rPr>
          <w:sz w:val="20"/>
          <w:szCs w:val="20"/>
        </w:rPr>
        <w:t>48</w:t>
      </w:r>
    </w:p>
    <w:p w:rsidR="00000000" w:rsidRDefault="009730FF">
      <w:pPr>
        <w:pStyle w:val="a3"/>
        <w:spacing w:before="0" w:beforeAutospacing="0" w:after="600" w:afterAutospacing="0"/>
        <w:divId w:val="1422019751"/>
        <w:rPr>
          <w:sz w:val="20"/>
          <w:szCs w:val="20"/>
        </w:rPr>
      </w:pPr>
      <w:hyperlink w:anchor="TOC" w:history="1">
        <w:r>
          <w:rPr>
            <w:rStyle w:val="a4"/>
            <w:sz w:val="20"/>
            <w:szCs w:val="20"/>
          </w:rPr>
          <w:t>Table of Contents</w:t>
        </w:r>
      </w:hyperlink>
    </w:p>
    <w:p w:rsidR="00000000" w:rsidRDefault="009730FF">
      <w:pPr>
        <w:pStyle w:val="a3"/>
        <w:spacing w:before="0" w:beforeAutospacing="0" w:after="240" w:afterAutospacing="0"/>
        <w:jc w:val="center"/>
        <w:divId w:val="1712877690"/>
        <w:rPr>
          <w:b/>
          <w:bCs/>
          <w:sz w:val="20"/>
          <w:szCs w:val="20"/>
        </w:rPr>
      </w:pPr>
      <w:r>
        <w:rPr>
          <w:b/>
          <w:bCs/>
          <w:sz w:val="20"/>
          <w:szCs w:val="20"/>
        </w:rPr>
        <w:t>SIGNATURES</w:t>
      </w:r>
    </w:p>
    <w:p w:rsidR="00000000" w:rsidRDefault="009730FF">
      <w:pPr>
        <w:pStyle w:val="a3"/>
        <w:spacing w:before="0" w:beforeAutospacing="0" w:after="240" w:afterAutospacing="0"/>
        <w:ind w:firstLine="360"/>
        <w:divId w:val="1712877690"/>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b/>
                <w:bCs/>
                <w:sz w:val="20"/>
                <w:szCs w:val="20"/>
              </w:rPr>
              <w:t>Icahn Enterprises L.P.</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b/>
                <w:bCs/>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b/>
                <w:bCs/>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Icahn Enterprises G.P. Inc., its</w:t>
            </w:r>
          </w:p>
          <w:p w:rsidR="00000000" w:rsidRDefault="009730FF">
            <w:pPr>
              <w:pStyle w:val="a3"/>
              <w:spacing w:before="0" w:beforeAutospacing="0" w:after="0" w:afterAutospacing="0"/>
              <w:rPr>
                <w:sz w:val="20"/>
                <w:szCs w:val="20"/>
              </w:rPr>
            </w:pPr>
            <w:r>
              <w:rPr>
                <w:sz w:val="20"/>
                <w:szCs w:val="20"/>
              </w:rPr>
              <w:t xml:space="preserve">general partner </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/s/David Willetts</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David Willetts,</w:t>
            </w:r>
          </w:p>
          <w:p w:rsidR="00000000" w:rsidRDefault="009730FF">
            <w:pPr>
              <w:pStyle w:val="a3"/>
              <w:spacing w:before="0" w:beforeAutospacing="0" w:after="0" w:afterAutospacing="0"/>
              <w:rPr>
                <w:sz w:val="20"/>
                <w:szCs w:val="20"/>
              </w:rPr>
            </w:pPr>
            <w:r>
              <w:rPr>
                <w:sz w:val="20"/>
                <w:szCs w:val="20"/>
              </w:rPr>
              <w:t>President, Chief Executive Officer and Director</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Icahn Enterprises G.P. Inc., its</w:t>
            </w:r>
          </w:p>
          <w:p w:rsidR="00000000" w:rsidRDefault="009730FF">
            <w:pPr>
              <w:pStyle w:val="a3"/>
              <w:spacing w:before="0" w:beforeAutospacing="0" w:after="0" w:afterAutospacing="0"/>
              <w:rPr>
                <w:sz w:val="20"/>
                <w:szCs w:val="20"/>
              </w:rPr>
            </w:pPr>
            <w:r>
              <w:rPr>
                <w:sz w:val="20"/>
                <w:szCs w:val="20"/>
              </w:rPr>
              <w:t>general partner</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/s/Ted Papapostolou</w:t>
            </w:r>
          </w:p>
        </w:tc>
      </w:tr>
      <w:tr w:rsidR="00000000">
        <w:trPr>
          <w:divId w:val="1712877690"/>
          <w:trHeight w:val="20"/>
        </w:trPr>
        <w:tc>
          <w:tcPr>
            <w:tcW w:w="2661" w:type="pct"/>
            <w:tcMar>
              <w:top w:w="0" w:type="dxa"/>
              <w:left w:w="0" w:type="dxa"/>
              <w:bottom w:w="0" w:type="dxa"/>
              <w:right w:w="0" w:type="dxa"/>
            </w:tcMar>
            <w:vAlign w:val="bottom"/>
            <w:hideMark/>
          </w:tcPr>
          <w:p w:rsidR="00000000" w:rsidRDefault="009730FF">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730FF">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9730FF">
            <w:pPr>
              <w:pStyle w:val="a3"/>
              <w:spacing w:before="0" w:beforeAutospacing="0" w:after="0" w:afterAutospacing="0"/>
              <w:rPr>
                <w:sz w:val="20"/>
                <w:szCs w:val="20"/>
              </w:rPr>
            </w:pPr>
            <w:r>
              <w:rPr>
                <w:sz w:val="20"/>
                <w:szCs w:val="20"/>
              </w:rPr>
              <w:t>Ted Papapostolou,</w:t>
            </w:r>
          </w:p>
          <w:p w:rsidR="00000000" w:rsidRDefault="009730FF">
            <w:pPr>
              <w:pStyle w:val="a3"/>
              <w:spacing w:before="0" w:beforeAutospacing="0" w:after="0" w:afterAutospacing="0"/>
              <w:rPr>
                <w:sz w:val="20"/>
                <w:szCs w:val="20"/>
              </w:rPr>
            </w:pPr>
            <w:r>
              <w:rPr>
                <w:sz w:val="20"/>
                <w:szCs w:val="20"/>
              </w:rPr>
              <w:t>Chief Financial Officer, Chief Accounting Officer and Director</w:t>
            </w:r>
          </w:p>
        </w:tc>
      </w:tr>
    </w:tbl>
    <w:p w:rsidR="00000000" w:rsidRDefault="009730FF">
      <w:pPr>
        <w:pStyle w:val="a3"/>
        <w:spacing w:before="0" w:beforeAutospacing="0" w:after="0" w:afterAutospacing="0"/>
        <w:divId w:val="1712877690"/>
        <w:rPr>
          <w:sz w:val="20"/>
          <w:szCs w:val="20"/>
        </w:rPr>
      </w:pPr>
      <w:r>
        <w:rPr>
          <w:sz w:val="20"/>
          <w:szCs w:val="20"/>
        </w:rPr>
        <w:t>​</w:t>
      </w:r>
    </w:p>
    <w:p w:rsidR="00000000" w:rsidRDefault="009730FF">
      <w:pPr>
        <w:pStyle w:val="a3"/>
        <w:spacing w:before="0" w:beforeAutospacing="0" w:after="240" w:afterAutospacing="0"/>
        <w:divId w:val="1712877690"/>
        <w:rPr>
          <w:sz w:val="20"/>
          <w:szCs w:val="20"/>
        </w:rPr>
      </w:pPr>
      <w:r>
        <w:rPr>
          <w:sz w:val="20"/>
          <w:szCs w:val="20"/>
        </w:rPr>
        <w:t>Date: May 6, 2022</w:t>
      </w:r>
    </w:p>
    <w:p w:rsidR="00000000" w:rsidRDefault="009730FF">
      <w:pPr>
        <w:pStyle w:val="a3"/>
        <w:spacing w:before="0" w:beforeAutospacing="0" w:after="0" w:afterAutospacing="0"/>
        <w:divId w:val="1712877690"/>
        <w:rPr>
          <w:sz w:val="20"/>
          <w:szCs w:val="20"/>
        </w:rPr>
      </w:pPr>
      <w:r>
        <w:rPr>
          <w:sz w:val="20"/>
          <w:szCs w:val="20"/>
        </w:rPr>
        <w:t>​</w:t>
      </w:r>
    </w:p>
    <w:p w:rsidR="00000000" w:rsidRDefault="009730FF">
      <w:pPr>
        <w:pStyle w:val="a3"/>
        <w:spacing w:before="0" w:beforeAutospacing="0" w:after="0" w:afterAutospacing="0"/>
        <w:divId w:val="1712877690"/>
        <w:rPr>
          <w:sz w:val="20"/>
          <w:szCs w:val="20"/>
        </w:rPr>
      </w:pPr>
      <w:r>
        <w:rPr>
          <w:sz w:val="20"/>
          <w:szCs w:val="20"/>
        </w:rPr>
        <w:t>​</w:t>
      </w:r>
    </w:p>
    <w:p w:rsidR="00000000" w:rsidRDefault="009730FF">
      <w:pPr>
        <w:pStyle w:val="a3"/>
        <w:spacing w:before="0" w:beforeAutospacing="0" w:after="0" w:afterAutospacing="0"/>
        <w:divId w:val="1712877690"/>
        <w:rPr>
          <w:sz w:val="20"/>
          <w:szCs w:val="20"/>
        </w:rPr>
      </w:pPr>
      <w:r>
        <w:rPr>
          <w:sz w:val="20"/>
          <w:szCs w:val="20"/>
        </w:rPr>
        <w:t>​</w:t>
      </w:r>
    </w:p>
    <w:p w:rsidR="009730FF" w:rsidRDefault="009730FF">
      <w:pPr>
        <w:pStyle w:val="a3"/>
        <w:spacing w:before="480" w:beforeAutospacing="0" w:after="0" w:afterAutospacing="0"/>
        <w:jc w:val="center"/>
        <w:divId w:val="611010077"/>
        <w:rPr>
          <w:sz w:val="20"/>
          <w:szCs w:val="20"/>
        </w:rPr>
      </w:pPr>
      <w:r>
        <w:rPr>
          <w:sz w:val="20"/>
          <w:szCs w:val="20"/>
        </w:rPr>
        <w:t>49</w:t>
      </w:r>
    </w:p>
    <w:sectPr w:rsidR="009730F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30FF"/>
    <w:rsid w:val="009730FF"/>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ielp.com/20220331"/>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587">
      <w:marLeft w:val="0"/>
      <w:marRight w:val="0"/>
      <w:marTop w:val="0"/>
      <w:marBottom w:val="0"/>
      <w:divBdr>
        <w:top w:val="none" w:sz="0" w:space="0" w:color="auto"/>
        <w:left w:val="none" w:sz="0" w:space="0" w:color="auto"/>
        <w:bottom w:val="none" w:sz="0" w:space="0" w:color="auto"/>
        <w:right w:val="none" w:sz="0" w:space="0" w:color="auto"/>
      </w:divBdr>
      <w:divsChild>
        <w:div w:id="891618312">
          <w:marLeft w:val="0"/>
          <w:marRight w:val="0"/>
          <w:marTop w:val="432"/>
          <w:marBottom w:val="0"/>
          <w:divBdr>
            <w:top w:val="none" w:sz="0" w:space="0" w:color="auto"/>
            <w:left w:val="none" w:sz="0" w:space="0" w:color="auto"/>
            <w:bottom w:val="none" w:sz="0" w:space="0" w:color="auto"/>
            <w:right w:val="none" w:sz="0" w:space="0" w:color="auto"/>
          </w:divBdr>
        </w:div>
        <w:div w:id="610819962">
          <w:marLeft w:val="0"/>
          <w:marRight w:val="0"/>
          <w:marTop w:val="0"/>
          <w:marBottom w:val="0"/>
          <w:divBdr>
            <w:top w:val="none" w:sz="0" w:space="0" w:color="auto"/>
            <w:left w:val="none" w:sz="0" w:space="0" w:color="auto"/>
            <w:bottom w:val="none" w:sz="0" w:space="0" w:color="auto"/>
            <w:right w:val="none" w:sz="0" w:space="0" w:color="auto"/>
          </w:divBdr>
          <w:divsChild>
            <w:div w:id="931620165">
              <w:marLeft w:val="0"/>
              <w:marRight w:val="0"/>
              <w:marTop w:val="0"/>
              <w:marBottom w:val="0"/>
              <w:divBdr>
                <w:top w:val="none" w:sz="0" w:space="0" w:color="auto"/>
                <w:left w:val="none" w:sz="0" w:space="0" w:color="auto"/>
                <w:bottom w:val="none" w:sz="0" w:space="0" w:color="auto"/>
                <w:right w:val="none" w:sz="0" w:space="0" w:color="auto"/>
              </w:divBdr>
              <w:divsChild>
                <w:div w:id="493103719">
                  <w:marLeft w:val="0"/>
                  <w:marRight w:val="0"/>
                  <w:marTop w:val="0"/>
                  <w:marBottom w:val="0"/>
                  <w:divBdr>
                    <w:top w:val="none" w:sz="0" w:space="0" w:color="auto"/>
                    <w:left w:val="none" w:sz="0" w:space="0" w:color="auto"/>
                    <w:bottom w:val="none" w:sz="0" w:space="0" w:color="auto"/>
                    <w:right w:val="none" w:sz="0" w:space="0" w:color="auto"/>
                  </w:divBdr>
                </w:div>
              </w:divsChild>
            </w:div>
            <w:div w:id="1797721838">
              <w:marLeft w:val="0"/>
              <w:marRight w:val="0"/>
              <w:marTop w:val="0"/>
              <w:marBottom w:val="0"/>
              <w:divBdr>
                <w:top w:val="none" w:sz="0" w:space="0" w:color="auto"/>
                <w:left w:val="none" w:sz="0" w:space="0" w:color="auto"/>
                <w:bottom w:val="none" w:sz="0" w:space="0" w:color="auto"/>
                <w:right w:val="none" w:sz="0" w:space="0" w:color="auto"/>
              </w:divBdr>
              <w:divsChild>
                <w:div w:id="1082068816">
                  <w:marLeft w:val="0"/>
                  <w:marRight w:val="0"/>
                  <w:marTop w:val="0"/>
                  <w:marBottom w:val="0"/>
                  <w:divBdr>
                    <w:top w:val="none" w:sz="0" w:space="0" w:color="auto"/>
                    <w:left w:val="none" w:sz="0" w:space="0" w:color="auto"/>
                    <w:bottom w:val="none" w:sz="0" w:space="0" w:color="auto"/>
                    <w:right w:val="none" w:sz="0" w:space="0" w:color="auto"/>
                  </w:divBdr>
                </w:div>
              </w:divsChild>
            </w:div>
            <w:div w:id="871574088">
              <w:marLeft w:val="0"/>
              <w:marRight w:val="0"/>
              <w:marTop w:val="0"/>
              <w:marBottom w:val="0"/>
              <w:divBdr>
                <w:top w:val="none" w:sz="0" w:space="0" w:color="auto"/>
                <w:left w:val="none" w:sz="0" w:space="0" w:color="auto"/>
                <w:bottom w:val="none" w:sz="0" w:space="0" w:color="auto"/>
                <w:right w:val="none" w:sz="0" w:space="0" w:color="auto"/>
              </w:divBdr>
              <w:divsChild>
                <w:div w:id="1197504492">
                  <w:marLeft w:val="0"/>
                  <w:marRight w:val="0"/>
                  <w:marTop w:val="0"/>
                  <w:marBottom w:val="0"/>
                  <w:divBdr>
                    <w:top w:val="none" w:sz="0" w:space="0" w:color="auto"/>
                    <w:left w:val="none" w:sz="0" w:space="0" w:color="auto"/>
                    <w:bottom w:val="none" w:sz="0" w:space="0" w:color="auto"/>
                    <w:right w:val="none" w:sz="0" w:space="0" w:color="auto"/>
                  </w:divBdr>
                </w:div>
              </w:divsChild>
            </w:div>
            <w:div w:id="769813044">
              <w:marLeft w:val="0"/>
              <w:marRight w:val="0"/>
              <w:marTop w:val="0"/>
              <w:marBottom w:val="0"/>
              <w:divBdr>
                <w:top w:val="none" w:sz="0" w:space="0" w:color="auto"/>
                <w:left w:val="none" w:sz="0" w:space="0" w:color="auto"/>
                <w:bottom w:val="none" w:sz="0" w:space="0" w:color="auto"/>
                <w:right w:val="none" w:sz="0" w:space="0" w:color="auto"/>
              </w:divBdr>
              <w:divsChild>
                <w:div w:id="351302428">
                  <w:marLeft w:val="0"/>
                  <w:marRight w:val="0"/>
                  <w:marTop w:val="0"/>
                  <w:marBottom w:val="0"/>
                  <w:divBdr>
                    <w:top w:val="none" w:sz="0" w:space="0" w:color="auto"/>
                    <w:left w:val="none" w:sz="0" w:space="0" w:color="auto"/>
                    <w:bottom w:val="none" w:sz="0" w:space="0" w:color="auto"/>
                    <w:right w:val="none" w:sz="0" w:space="0" w:color="auto"/>
                  </w:divBdr>
                </w:div>
              </w:divsChild>
            </w:div>
            <w:div w:id="651525454">
              <w:marLeft w:val="0"/>
              <w:marRight w:val="0"/>
              <w:marTop w:val="0"/>
              <w:marBottom w:val="0"/>
              <w:divBdr>
                <w:top w:val="none" w:sz="0" w:space="0" w:color="auto"/>
                <w:left w:val="none" w:sz="0" w:space="0" w:color="auto"/>
                <w:bottom w:val="none" w:sz="0" w:space="0" w:color="auto"/>
                <w:right w:val="none" w:sz="0" w:space="0" w:color="auto"/>
              </w:divBdr>
              <w:divsChild>
                <w:div w:id="1803764214">
                  <w:marLeft w:val="0"/>
                  <w:marRight w:val="0"/>
                  <w:marTop w:val="0"/>
                  <w:marBottom w:val="0"/>
                  <w:divBdr>
                    <w:top w:val="none" w:sz="0" w:space="0" w:color="auto"/>
                    <w:left w:val="none" w:sz="0" w:space="0" w:color="auto"/>
                    <w:bottom w:val="none" w:sz="0" w:space="0" w:color="auto"/>
                    <w:right w:val="none" w:sz="0" w:space="0" w:color="auto"/>
                  </w:divBdr>
                </w:div>
              </w:divsChild>
            </w:div>
            <w:div w:id="1213468920">
              <w:marLeft w:val="0"/>
              <w:marRight w:val="0"/>
              <w:marTop w:val="0"/>
              <w:marBottom w:val="0"/>
              <w:divBdr>
                <w:top w:val="none" w:sz="0" w:space="0" w:color="auto"/>
                <w:left w:val="none" w:sz="0" w:space="0" w:color="auto"/>
                <w:bottom w:val="none" w:sz="0" w:space="0" w:color="auto"/>
                <w:right w:val="none" w:sz="0" w:space="0" w:color="auto"/>
              </w:divBdr>
              <w:divsChild>
                <w:div w:id="902525531">
                  <w:marLeft w:val="0"/>
                  <w:marRight w:val="0"/>
                  <w:marTop w:val="0"/>
                  <w:marBottom w:val="0"/>
                  <w:divBdr>
                    <w:top w:val="none" w:sz="0" w:space="0" w:color="auto"/>
                    <w:left w:val="none" w:sz="0" w:space="0" w:color="auto"/>
                    <w:bottom w:val="none" w:sz="0" w:space="0" w:color="auto"/>
                    <w:right w:val="none" w:sz="0" w:space="0" w:color="auto"/>
                  </w:divBdr>
                </w:div>
              </w:divsChild>
            </w:div>
            <w:div w:id="1156452282">
              <w:marLeft w:val="0"/>
              <w:marRight w:val="0"/>
              <w:marTop w:val="0"/>
              <w:marBottom w:val="0"/>
              <w:divBdr>
                <w:top w:val="none" w:sz="0" w:space="0" w:color="auto"/>
                <w:left w:val="none" w:sz="0" w:space="0" w:color="auto"/>
                <w:bottom w:val="none" w:sz="0" w:space="0" w:color="auto"/>
                <w:right w:val="none" w:sz="0" w:space="0" w:color="auto"/>
              </w:divBdr>
              <w:divsChild>
                <w:div w:id="185143576">
                  <w:marLeft w:val="0"/>
                  <w:marRight w:val="0"/>
                  <w:marTop w:val="0"/>
                  <w:marBottom w:val="0"/>
                  <w:divBdr>
                    <w:top w:val="none" w:sz="0" w:space="0" w:color="auto"/>
                    <w:left w:val="none" w:sz="0" w:space="0" w:color="auto"/>
                    <w:bottom w:val="none" w:sz="0" w:space="0" w:color="auto"/>
                    <w:right w:val="none" w:sz="0" w:space="0" w:color="auto"/>
                  </w:divBdr>
                </w:div>
              </w:divsChild>
            </w:div>
            <w:div w:id="1003555817">
              <w:marLeft w:val="0"/>
              <w:marRight w:val="0"/>
              <w:marTop w:val="0"/>
              <w:marBottom w:val="0"/>
              <w:divBdr>
                <w:top w:val="none" w:sz="0" w:space="0" w:color="auto"/>
                <w:left w:val="none" w:sz="0" w:space="0" w:color="auto"/>
                <w:bottom w:val="none" w:sz="0" w:space="0" w:color="auto"/>
                <w:right w:val="none" w:sz="0" w:space="0" w:color="auto"/>
              </w:divBdr>
              <w:divsChild>
                <w:div w:id="1618371145">
                  <w:marLeft w:val="0"/>
                  <w:marRight w:val="0"/>
                  <w:marTop w:val="0"/>
                  <w:marBottom w:val="0"/>
                  <w:divBdr>
                    <w:top w:val="none" w:sz="0" w:space="0" w:color="auto"/>
                    <w:left w:val="none" w:sz="0" w:space="0" w:color="auto"/>
                    <w:bottom w:val="none" w:sz="0" w:space="0" w:color="auto"/>
                    <w:right w:val="none" w:sz="0" w:space="0" w:color="auto"/>
                  </w:divBdr>
                </w:div>
              </w:divsChild>
            </w:div>
            <w:div w:id="435831481">
              <w:marLeft w:val="0"/>
              <w:marRight w:val="0"/>
              <w:marTop w:val="0"/>
              <w:marBottom w:val="0"/>
              <w:divBdr>
                <w:top w:val="none" w:sz="0" w:space="0" w:color="auto"/>
                <w:left w:val="none" w:sz="0" w:space="0" w:color="auto"/>
                <w:bottom w:val="none" w:sz="0" w:space="0" w:color="auto"/>
                <w:right w:val="none" w:sz="0" w:space="0" w:color="auto"/>
              </w:divBdr>
              <w:divsChild>
                <w:div w:id="1767966901">
                  <w:marLeft w:val="0"/>
                  <w:marRight w:val="0"/>
                  <w:marTop w:val="0"/>
                  <w:marBottom w:val="0"/>
                  <w:divBdr>
                    <w:top w:val="none" w:sz="0" w:space="0" w:color="auto"/>
                    <w:left w:val="none" w:sz="0" w:space="0" w:color="auto"/>
                    <w:bottom w:val="none" w:sz="0" w:space="0" w:color="auto"/>
                    <w:right w:val="none" w:sz="0" w:space="0" w:color="auto"/>
                  </w:divBdr>
                </w:div>
              </w:divsChild>
            </w:div>
            <w:div w:id="215896706">
              <w:marLeft w:val="0"/>
              <w:marRight w:val="0"/>
              <w:marTop w:val="0"/>
              <w:marBottom w:val="0"/>
              <w:divBdr>
                <w:top w:val="none" w:sz="0" w:space="0" w:color="auto"/>
                <w:left w:val="none" w:sz="0" w:space="0" w:color="auto"/>
                <w:bottom w:val="none" w:sz="0" w:space="0" w:color="auto"/>
                <w:right w:val="none" w:sz="0" w:space="0" w:color="auto"/>
              </w:divBdr>
              <w:divsChild>
                <w:div w:id="1302734330">
                  <w:marLeft w:val="0"/>
                  <w:marRight w:val="0"/>
                  <w:marTop w:val="0"/>
                  <w:marBottom w:val="0"/>
                  <w:divBdr>
                    <w:top w:val="none" w:sz="0" w:space="0" w:color="auto"/>
                    <w:left w:val="none" w:sz="0" w:space="0" w:color="auto"/>
                    <w:bottom w:val="none" w:sz="0" w:space="0" w:color="auto"/>
                    <w:right w:val="none" w:sz="0" w:space="0" w:color="auto"/>
                  </w:divBdr>
                </w:div>
              </w:divsChild>
            </w:div>
            <w:div w:id="1340228774">
              <w:marLeft w:val="0"/>
              <w:marRight w:val="0"/>
              <w:marTop w:val="0"/>
              <w:marBottom w:val="0"/>
              <w:divBdr>
                <w:top w:val="none" w:sz="0" w:space="0" w:color="auto"/>
                <w:left w:val="none" w:sz="0" w:space="0" w:color="auto"/>
                <w:bottom w:val="none" w:sz="0" w:space="0" w:color="auto"/>
                <w:right w:val="none" w:sz="0" w:space="0" w:color="auto"/>
              </w:divBdr>
              <w:divsChild>
                <w:div w:id="1705062662">
                  <w:marLeft w:val="0"/>
                  <w:marRight w:val="0"/>
                  <w:marTop w:val="0"/>
                  <w:marBottom w:val="0"/>
                  <w:divBdr>
                    <w:top w:val="none" w:sz="0" w:space="0" w:color="auto"/>
                    <w:left w:val="none" w:sz="0" w:space="0" w:color="auto"/>
                    <w:bottom w:val="none" w:sz="0" w:space="0" w:color="auto"/>
                    <w:right w:val="none" w:sz="0" w:space="0" w:color="auto"/>
                  </w:divBdr>
                </w:div>
              </w:divsChild>
            </w:div>
            <w:div w:id="2017492474">
              <w:marLeft w:val="0"/>
              <w:marRight w:val="0"/>
              <w:marTop w:val="0"/>
              <w:marBottom w:val="0"/>
              <w:divBdr>
                <w:top w:val="none" w:sz="0" w:space="0" w:color="auto"/>
                <w:left w:val="none" w:sz="0" w:space="0" w:color="auto"/>
                <w:bottom w:val="none" w:sz="0" w:space="0" w:color="auto"/>
                <w:right w:val="none" w:sz="0" w:space="0" w:color="auto"/>
              </w:divBdr>
              <w:divsChild>
                <w:div w:id="980891608">
                  <w:marLeft w:val="0"/>
                  <w:marRight w:val="0"/>
                  <w:marTop w:val="0"/>
                  <w:marBottom w:val="0"/>
                  <w:divBdr>
                    <w:top w:val="none" w:sz="0" w:space="0" w:color="auto"/>
                    <w:left w:val="none" w:sz="0" w:space="0" w:color="auto"/>
                    <w:bottom w:val="none" w:sz="0" w:space="0" w:color="auto"/>
                    <w:right w:val="none" w:sz="0" w:space="0" w:color="auto"/>
                  </w:divBdr>
                </w:div>
              </w:divsChild>
            </w:div>
            <w:div w:id="1084380451">
              <w:marLeft w:val="0"/>
              <w:marRight w:val="0"/>
              <w:marTop w:val="0"/>
              <w:marBottom w:val="0"/>
              <w:divBdr>
                <w:top w:val="none" w:sz="0" w:space="0" w:color="auto"/>
                <w:left w:val="none" w:sz="0" w:space="0" w:color="auto"/>
                <w:bottom w:val="none" w:sz="0" w:space="0" w:color="auto"/>
                <w:right w:val="none" w:sz="0" w:space="0" w:color="auto"/>
              </w:divBdr>
              <w:divsChild>
                <w:div w:id="131096221">
                  <w:marLeft w:val="0"/>
                  <w:marRight w:val="0"/>
                  <w:marTop w:val="0"/>
                  <w:marBottom w:val="0"/>
                  <w:divBdr>
                    <w:top w:val="none" w:sz="0" w:space="0" w:color="auto"/>
                    <w:left w:val="none" w:sz="0" w:space="0" w:color="auto"/>
                    <w:bottom w:val="none" w:sz="0" w:space="0" w:color="auto"/>
                    <w:right w:val="none" w:sz="0" w:space="0" w:color="auto"/>
                  </w:divBdr>
                </w:div>
              </w:divsChild>
            </w:div>
            <w:div w:id="1769159705">
              <w:marLeft w:val="0"/>
              <w:marRight w:val="0"/>
              <w:marTop w:val="0"/>
              <w:marBottom w:val="0"/>
              <w:divBdr>
                <w:top w:val="none" w:sz="0" w:space="0" w:color="auto"/>
                <w:left w:val="none" w:sz="0" w:space="0" w:color="auto"/>
                <w:bottom w:val="none" w:sz="0" w:space="0" w:color="auto"/>
                <w:right w:val="none" w:sz="0" w:space="0" w:color="auto"/>
              </w:divBdr>
              <w:divsChild>
                <w:div w:id="1392466369">
                  <w:marLeft w:val="0"/>
                  <w:marRight w:val="0"/>
                  <w:marTop w:val="0"/>
                  <w:marBottom w:val="0"/>
                  <w:divBdr>
                    <w:top w:val="none" w:sz="0" w:space="0" w:color="auto"/>
                    <w:left w:val="none" w:sz="0" w:space="0" w:color="auto"/>
                    <w:bottom w:val="none" w:sz="0" w:space="0" w:color="auto"/>
                    <w:right w:val="none" w:sz="0" w:space="0" w:color="auto"/>
                  </w:divBdr>
                </w:div>
              </w:divsChild>
            </w:div>
            <w:div w:id="1188910861">
              <w:marLeft w:val="0"/>
              <w:marRight w:val="0"/>
              <w:marTop w:val="0"/>
              <w:marBottom w:val="0"/>
              <w:divBdr>
                <w:top w:val="none" w:sz="0" w:space="0" w:color="auto"/>
                <w:left w:val="none" w:sz="0" w:space="0" w:color="auto"/>
                <w:bottom w:val="none" w:sz="0" w:space="0" w:color="auto"/>
                <w:right w:val="none" w:sz="0" w:space="0" w:color="auto"/>
              </w:divBdr>
              <w:divsChild>
                <w:div w:id="791753250">
                  <w:marLeft w:val="0"/>
                  <w:marRight w:val="0"/>
                  <w:marTop w:val="0"/>
                  <w:marBottom w:val="0"/>
                  <w:divBdr>
                    <w:top w:val="none" w:sz="0" w:space="0" w:color="auto"/>
                    <w:left w:val="none" w:sz="0" w:space="0" w:color="auto"/>
                    <w:bottom w:val="none" w:sz="0" w:space="0" w:color="auto"/>
                    <w:right w:val="none" w:sz="0" w:space="0" w:color="auto"/>
                  </w:divBdr>
                </w:div>
              </w:divsChild>
            </w:div>
            <w:div w:id="226694367">
              <w:marLeft w:val="0"/>
              <w:marRight w:val="0"/>
              <w:marTop w:val="0"/>
              <w:marBottom w:val="0"/>
              <w:divBdr>
                <w:top w:val="none" w:sz="0" w:space="0" w:color="auto"/>
                <w:left w:val="none" w:sz="0" w:space="0" w:color="auto"/>
                <w:bottom w:val="none" w:sz="0" w:space="0" w:color="auto"/>
                <w:right w:val="none" w:sz="0" w:space="0" w:color="auto"/>
              </w:divBdr>
              <w:divsChild>
                <w:div w:id="1059937263">
                  <w:marLeft w:val="0"/>
                  <w:marRight w:val="0"/>
                  <w:marTop w:val="0"/>
                  <w:marBottom w:val="0"/>
                  <w:divBdr>
                    <w:top w:val="none" w:sz="0" w:space="0" w:color="auto"/>
                    <w:left w:val="none" w:sz="0" w:space="0" w:color="auto"/>
                    <w:bottom w:val="none" w:sz="0" w:space="0" w:color="auto"/>
                    <w:right w:val="none" w:sz="0" w:space="0" w:color="auto"/>
                  </w:divBdr>
                </w:div>
              </w:divsChild>
            </w:div>
            <w:div w:id="1164932215">
              <w:marLeft w:val="0"/>
              <w:marRight w:val="0"/>
              <w:marTop w:val="0"/>
              <w:marBottom w:val="0"/>
              <w:divBdr>
                <w:top w:val="none" w:sz="0" w:space="0" w:color="auto"/>
                <w:left w:val="none" w:sz="0" w:space="0" w:color="auto"/>
                <w:bottom w:val="none" w:sz="0" w:space="0" w:color="auto"/>
                <w:right w:val="none" w:sz="0" w:space="0" w:color="auto"/>
              </w:divBdr>
              <w:divsChild>
                <w:div w:id="1917007247">
                  <w:marLeft w:val="0"/>
                  <w:marRight w:val="0"/>
                  <w:marTop w:val="0"/>
                  <w:marBottom w:val="0"/>
                  <w:divBdr>
                    <w:top w:val="none" w:sz="0" w:space="0" w:color="auto"/>
                    <w:left w:val="none" w:sz="0" w:space="0" w:color="auto"/>
                    <w:bottom w:val="none" w:sz="0" w:space="0" w:color="auto"/>
                    <w:right w:val="none" w:sz="0" w:space="0" w:color="auto"/>
                  </w:divBdr>
                </w:div>
              </w:divsChild>
            </w:div>
            <w:div w:id="162398209">
              <w:marLeft w:val="0"/>
              <w:marRight w:val="0"/>
              <w:marTop w:val="0"/>
              <w:marBottom w:val="0"/>
              <w:divBdr>
                <w:top w:val="none" w:sz="0" w:space="0" w:color="auto"/>
                <w:left w:val="none" w:sz="0" w:space="0" w:color="auto"/>
                <w:bottom w:val="none" w:sz="0" w:space="0" w:color="auto"/>
                <w:right w:val="none" w:sz="0" w:space="0" w:color="auto"/>
              </w:divBdr>
              <w:divsChild>
                <w:div w:id="718437725">
                  <w:marLeft w:val="0"/>
                  <w:marRight w:val="0"/>
                  <w:marTop w:val="0"/>
                  <w:marBottom w:val="0"/>
                  <w:divBdr>
                    <w:top w:val="none" w:sz="0" w:space="0" w:color="auto"/>
                    <w:left w:val="none" w:sz="0" w:space="0" w:color="auto"/>
                    <w:bottom w:val="none" w:sz="0" w:space="0" w:color="auto"/>
                    <w:right w:val="none" w:sz="0" w:space="0" w:color="auto"/>
                  </w:divBdr>
                </w:div>
              </w:divsChild>
            </w:div>
            <w:div w:id="641271918">
              <w:marLeft w:val="0"/>
              <w:marRight w:val="0"/>
              <w:marTop w:val="0"/>
              <w:marBottom w:val="0"/>
              <w:divBdr>
                <w:top w:val="none" w:sz="0" w:space="0" w:color="auto"/>
                <w:left w:val="none" w:sz="0" w:space="0" w:color="auto"/>
                <w:bottom w:val="none" w:sz="0" w:space="0" w:color="auto"/>
                <w:right w:val="none" w:sz="0" w:space="0" w:color="auto"/>
              </w:divBdr>
              <w:divsChild>
                <w:div w:id="549656025">
                  <w:marLeft w:val="0"/>
                  <w:marRight w:val="0"/>
                  <w:marTop w:val="0"/>
                  <w:marBottom w:val="0"/>
                  <w:divBdr>
                    <w:top w:val="none" w:sz="0" w:space="0" w:color="auto"/>
                    <w:left w:val="none" w:sz="0" w:space="0" w:color="auto"/>
                    <w:bottom w:val="none" w:sz="0" w:space="0" w:color="auto"/>
                    <w:right w:val="none" w:sz="0" w:space="0" w:color="auto"/>
                  </w:divBdr>
                </w:div>
              </w:divsChild>
            </w:div>
            <w:div w:id="1113326189">
              <w:marLeft w:val="0"/>
              <w:marRight w:val="0"/>
              <w:marTop w:val="0"/>
              <w:marBottom w:val="0"/>
              <w:divBdr>
                <w:top w:val="none" w:sz="0" w:space="0" w:color="auto"/>
                <w:left w:val="none" w:sz="0" w:space="0" w:color="auto"/>
                <w:bottom w:val="none" w:sz="0" w:space="0" w:color="auto"/>
                <w:right w:val="none" w:sz="0" w:space="0" w:color="auto"/>
              </w:divBdr>
              <w:divsChild>
                <w:div w:id="2115318843">
                  <w:marLeft w:val="0"/>
                  <w:marRight w:val="0"/>
                  <w:marTop w:val="0"/>
                  <w:marBottom w:val="0"/>
                  <w:divBdr>
                    <w:top w:val="none" w:sz="0" w:space="0" w:color="auto"/>
                    <w:left w:val="none" w:sz="0" w:space="0" w:color="auto"/>
                    <w:bottom w:val="none" w:sz="0" w:space="0" w:color="auto"/>
                    <w:right w:val="none" w:sz="0" w:space="0" w:color="auto"/>
                  </w:divBdr>
                </w:div>
              </w:divsChild>
            </w:div>
            <w:div w:id="317342255">
              <w:marLeft w:val="0"/>
              <w:marRight w:val="0"/>
              <w:marTop w:val="0"/>
              <w:marBottom w:val="0"/>
              <w:divBdr>
                <w:top w:val="none" w:sz="0" w:space="0" w:color="auto"/>
                <w:left w:val="none" w:sz="0" w:space="0" w:color="auto"/>
                <w:bottom w:val="none" w:sz="0" w:space="0" w:color="auto"/>
                <w:right w:val="none" w:sz="0" w:space="0" w:color="auto"/>
              </w:divBdr>
              <w:divsChild>
                <w:div w:id="119109971">
                  <w:marLeft w:val="0"/>
                  <w:marRight w:val="0"/>
                  <w:marTop w:val="0"/>
                  <w:marBottom w:val="0"/>
                  <w:divBdr>
                    <w:top w:val="none" w:sz="0" w:space="0" w:color="auto"/>
                    <w:left w:val="none" w:sz="0" w:space="0" w:color="auto"/>
                    <w:bottom w:val="none" w:sz="0" w:space="0" w:color="auto"/>
                    <w:right w:val="none" w:sz="0" w:space="0" w:color="auto"/>
                  </w:divBdr>
                </w:div>
              </w:divsChild>
            </w:div>
            <w:div w:id="194006004">
              <w:marLeft w:val="0"/>
              <w:marRight w:val="0"/>
              <w:marTop w:val="0"/>
              <w:marBottom w:val="0"/>
              <w:divBdr>
                <w:top w:val="none" w:sz="0" w:space="0" w:color="auto"/>
                <w:left w:val="none" w:sz="0" w:space="0" w:color="auto"/>
                <w:bottom w:val="none" w:sz="0" w:space="0" w:color="auto"/>
                <w:right w:val="none" w:sz="0" w:space="0" w:color="auto"/>
              </w:divBdr>
              <w:divsChild>
                <w:div w:id="581305775">
                  <w:marLeft w:val="0"/>
                  <w:marRight w:val="0"/>
                  <w:marTop w:val="0"/>
                  <w:marBottom w:val="0"/>
                  <w:divBdr>
                    <w:top w:val="none" w:sz="0" w:space="0" w:color="auto"/>
                    <w:left w:val="none" w:sz="0" w:space="0" w:color="auto"/>
                    <w:bottom w:val="none" w:sz="0" w:space="0" w:color="auto"/>
                    <w:right w:val="none" w:sz="0" w:space="0" w:color="auto"/>
                  </w:divBdr>
                </w:div>
              </w:divsChild>
            </w:div>
            <w:div w:id="682829919">
              <w:marLeft w:val="0"/>
              <w:marRight w:val="0"/>
              <w:marTop w:val="0"/>
              <w:marBottom w:val="0"/>
              <w:divBdr>
                <w:top w:val="none" w:sz="0" w:space="0" w:color="auto"/>
                <w:left w:val="none" w:sz="0" w:space="0" w:color="auto"/>
                <w:bottom w:val="none" w:sz="0" w:space="0" w:color="auto"/>
                <w:right w:val="none" w:sz="0" w:space="0" w:color="auto"/>
              </w:divBdr>
              <w:divsChild>
                <w:div w:id="1627350731">
                  <w:marLeft w:val="0"/>
                  <w:marRight w:val="0"/>
                  <w:marTop w:val="0"/>
                  <w:marBottom w:val="0"/>
                  <w:divBdr>
                    <w:top w:val="none" w:sz="0" w:space="0" w:color="auto"/>
                    <w:left w:val="none" w:sz="0" w:space="0" w:color="auto"/>
                    <w:bottom w:val="none" w:sz="0" w:space="0" w:color="auto"/>
                    <w:right w:val="none" w:sz="0" w:space="0" w:color="auto"/>
                  </w:divBdr>
                </w:div>
              </w:divsChild>
            </w:div>
            <w:div w:id="613170570">
              <w:marLeft w:val="0"/>
              <w:marRight w:val="0"/>
              <w:marTop w:val="0"/>
              <w:marBottom w:val="0"/>
              <w:divBdr>
                <w:top w:val="none" w:sz="0" w:space="0" w:color="auto"/>
                <w:left w:val="none" w:sz="0" w:space="0" w:color="auto"/>
                <w:bottom w:val="none" w:sz="0" w:space="0" w:color="auto"/>
                <w:right w:val="none" w:sz="0" w:space="0" w:color="auto"/>
              </w:divBdr>
              <w:divsChild>
                <w:div w:id="1300115157">
                  <w:marLeft w:val="0"/>
                  <w:marRight w:val="0"/>
                  <w:marTop w:val="0"/>
                  <w:marBottom w:val="0"/>
                  <w:divBdr>
                    <w:top w:val="none" w:sz="0" w:space="0" w:color="auto"/>
                    <w:left w:val="none" w:sz="0" w:space="0" w:color="auto"/>
                    <w:bottom w:val="none" w:sz="0" w:space="0" w:color="auto"/>
                    <w:right w:val="none" w:sz="0" w:space="0" w:color="auto"/>
                  </w:divBdr>
                </w:div>
              </w:divsChild>
            </w:div>
            <w:div w:id="1478376308">
              <w:marLeft w:val="0"/>
              <w:marRight w:val="0"/>
              <w:marTop w:val="0"/>
              <w:marBottom w:val="0"/>
              <w:divBdr>
                <w:top w:val="none" w:sz="0" w:space="0" w:color="auto"/>
                <w:left w:val="none" w:sz="0" w:space="0" w:color="auto"/>
                <w:bottom w:val="none" w:sz="0" w:space="0" w:color="auto"/>
                <w:right w:val="none" w:sz="0" w:space="0" w:color="auto"/>
              </w:divBdr>
              <w:divsChild>
                <w:div w:id="1973629627">
                  <w:marLeft w:val="0"/>
                  <w:marRight w:val="0"/>
                  <w:marTop w:val="0"/>
                  <w:marBottom w:val="0"/>
                  <w:divBdr>
                    <w:top w:val="none" w:sz="0" w:space="0" w:color="auto"/>
                    <w:left w:val="none" w:sz="0" w:space="0" w:color="auto"/>
                    <w:bottom w:val="none" w:sz="0" w:space="0" w:color="auto"/>
                    <w:right w:val="none" w:sz="0" w:space="0" w:color="auto"/>
                  </w:divBdr>
                </w:div>
              </w:divsChild>
            </w:div>
            <w:div w:id="1021475515">
              <w:marLeft w:val="0"/>
              <w:marRight w:val="0"/>
              <w:marTop w:val="0"/>
              <w:marBottom w:val="0"/>
              <w:divBdr>
                <w:top w:val="none" w:sz="0" w:space="0" w:color="auto"/>
                <w:left w:val="none" w:sz="0" w:space="0" w:color="auto"/>
                <w:bottom w:val="none" w:sz="0" w:space="0" w:color="auto"/>
                <w:right w:val="none" w:sz="0" w:space="0" w:color="auto"/>
              </w:divBdr>
              <w:divsChild>
                <w:div w:id="1782457835">
                  <w:marLeft w:val="0"/>
                  <w:marRight w:val="0"/>
                  <w:marTop w:val="0"/>
                  <w:marBottom w:val="0"/>
                  <w:divBdr>
                    <w:top w:val="none" w:sz="0" w:space="0" w:color="auto"/>
                    <w:left w:val="none" w:sz="0" w:space="0" w:color="auto"/>
                    <w:bottom w:val="none" w:sz="0" w:space="0" w:color="auto"/>
                    <w:right w:val="none" w:sz="0" w:space="0" w:color="auto"/>
                  </w:divBdr>
                </w:div>
              </w:divsChild>
            </w:div>
            <w:div w:id="651132184">
              <w:marLeft w:val="0"/>
              <w:marRight w:val="0"/>
              <w:marTop w:val="0"/>
              <w:marBottom w:val="0"/>
              <w:divBdr>
                <w:top w:val="none" w:sz="0" w:space="0" w:color="auto"/>
                <w:left w:val="none" w:sz="0" w:space="0" w:color="auto"/>
                <w:bottom w:val="none" w:sz="0" w:space="0" w:color="auto"/>
                <w:right w:val="none" w:sz="0" w:space="0" w:color="auto"/>
              </w:divBdr>
              <w:divsChild>
                <w:div w:id="1940983029">
                  <w:marLeft w:val="0"/>
                  <w:marRight w:val="0"/>
                  <w:marTop w:val="0"/>
                  <w:marBottom w:val="0"/>
                  <w:divBdr>
                    <w:top w:val="none" w:sz="0" w:space="0" w:color="auto"/>
                    <w:left w:val="none" w:sz="0" w:space="0" w:color="auto"/>
                    <w:bottom w:val="none" w:sz="0" w:space="0" w:color="auto"/>
                    <w:right w:val="none" w:sz="0" w:space="0" w:color="auto"/>
                  </w:divBdr>
                </w:div>
              </w:divsChild>
            </w:div>
            <w:div w:id="12347456">
              <w:marLeft w:val="0"/>
              <w:marRight w:val="0"/>
              <w:marTop w:val="0"/>
              <w:marBottom w:val="0"/>
              <w:divBdr>
                <w:top w:val="none" w:sz="0" w:space="0" w:color="auto"/>
                <w:left w:val="none" w:sz="0" w:space="0" w:color="auto"/>
                <w:bottom w:val="none" w:sz="0" w:space="0" w:color="auto"/>
                <w:right w:val="none" w:sz="0" w:space="0" w:color="auto"/>
              </w:divBdr>
              <w:divsChild>
                <w:div w:id="1072314929">
                  <w:marLeft w:val="0"/>
                  <w:marRight w:val="0"/>
                  <w:marTop w:val="0"/>
                  <w:marBottom w:val="0"/>
                  <w:divBdr>
                    <w:top w:val="none" w:sz="0" w:space="0" w:color="auto"/>
                    <w:left w:val="none" w:sz="0" w:space="0" w:color="auto"/>
                    <w:bottom w:val="none" w:sz="0" w:space="0" w:color="auto"/>
                    <w:right w:val="none" w:sz="0" w:space="0" w:color="auto"/>
                  </w:divBdr>
                </w:div>
              </w:divsChild>
            </w:div>
            <w:div w:id="1886135267">
              <w:marLeft w:val="0"/>
              <w:marRight w:val="0"/>
              <w:marTop w:val="0"/>
              <w:marBottom w:val="0"/>
              <w:divBdr>
                <w:top w:val="none" w:sz="0" w:space="0" w:color="auto"/>
                <w:left w:val="none" w:sz="0" w:space="0" w:color="auto"/>
                <w:bottom w:val="none" w:sz="0" w:space="0" w:color="auto"/>
                <w:right w:val="none" w:sz="0" w:space="0" w:color="auto"/>
              </w:divBdr>
              <w:divsChild>
                <w:div w:id="198208666">
                  <w:marLeft w:val="0"/>
                  <w:marRight w:val="0"/>
                  <w:marTop w:val="0"/>
                  <w:marBottom w:val="0"/>
                  <w:divBdr>
                    <w:top w:val="none" w:sz="0" w:space="0" w:color="auto"/>
                    <w:left w:val="none" w:sz="0" w:space="0" w:color="auto"/>
                    <w:bottom w:val="none" w:sz="0" w:space="0" w:color="auto"/>
                    <w:right w:val="none" w:sz="0" w:space="0" w:color="auto"/>
                  </w:divBdr>
                </w:div>
              </w:divsChild>
            </w:div>
            <w:div w:id="995648679">
              <w:marLeft w:val="0"/>
              <w:marRight w:val="0"/>
              <w:marTop w:val="0"/>
              <w:marBottom w:val="0"/>
              <w:divBdr>
                <w:top w:val="none" w:sz="0" w:space="0" w:color="auto"/>
                <w:left w:val="none" w:sz="0" w:space="0" w:color="auto"/>
                <w:bottom w:val="none" w:sz="0" w:space="0" w:color="auto"/>
                <w:right w:val="none" w:sz="0" w:space="0" w:color="auto"/>
              </w:divBdr>
              <w:divsChild>
                <w:div w:id="1022828791">
                  <w:marLeft w:val="0"/>
                  <w:marRight w:val="0"/>
                  <w:marTop w:val="0"/>
                  <w:marBottom w:val="0"/>
                  <w:divBdr>
                    <w:top w:val="none" w:sz="0" w:space="0" w:color="auto"/>
                    <w:left w:val="none" w:sz="0" w:space="0" w:color="auto"/>
                    <w:bottom w:val="none" w:sz="0" w:space="0" w:color="auto"/>
                    <w:right w:val="none" w:sz="0" w:space="0" w:color="auto"/>
                  </w:divBdr>
                </w:div>
              </w:divsChild>
            </w:div>
            <w:div w:id="1130510515">
              <w:marLeft w:val="0"/>
              <w:marRight w:val="0"/>
              <w:marTop w:val="0"/>
              <w:marBottom w:val="0"/>
              <w:divBdr>
                <w:top w:val="none" w:sz="0" w:space="0" w:color="auto"/>
                <w:left w:val="none" w:sz="0" w:space="0" w:color="auto"/>
                <w:bottom w:val="none" w:sz="0" w:space="0" w:color="auto"/>
                <w:right w:val="none" w:sz="0" w:space="0" w:color="auto"/>
              </w:divBdr>
              <w:divsChild>
                <w:div w:id="33821148">
                  <w:marLeft w:val="0"/>
                  <w:marRight w:val="0"/>
                  <w:marTop w:val="0"/>
                  <w:marBottom w:val="0"/>
                  <w:divBdr>
                    <w:top w:val="none" w:sz="0" w:space="0" w:color="auto"/>
                    <w:left w:val="none" w:sz="0" w:space="0" w:color="auto"/>
                    <w:bottom w:val="none" w:sz="0" w:space="0" w:color="auto"/>
                    <w:right w:val="none" w:sz="0" w:space="0" w:color="auto"/>
                  </w:divBdr>
                </w:div>
              </w:divsChild>
            </w:div>
            <w:div w:id="723600782">
              <w:marLeft w:val="0"/>
              <w:marRight w:val="0"/>
              <w:marTop w:val="0"/>
              <w:marBottom w:val="0"/>
              <w:divBdr>
                <w:top w:val="none" w:sz="0" w:space="0" w:color="auto"/>
                <w:left w:val="none" w:sz="0" w:space="0" w:color="auto"/>
                <w:bottom w:val="none" w:sz="0" w:space="0" w:color="auto"/>
                <w:right w:val="none" w:sz="0" w:space="0" w:color="auto"/>
              </w:divBdr>
              <w:divsChild>
                <w:div w:id="12541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359">
          <w:marLeft w:val="0"/>
          <w:marRight w:val="0"/>
          <w:marTop w:val="0"/>
          <w:marBottom w:val="600"/>
          <w:divBdr>
            <w:top w:val="none" w:sz="0" w:space="0" w:color="auto"/>
            <w:left w:val="none" w:sz="0" w:space="0" w:color="auto"/>
            <w:bottom w:val="none" w:sz="0" w:space="0" w:color="auto"/>
            <w:right w:val="none" w:sz="0" w:space="0" w:color="auto"/>
          </w:divBdr>
        </w:div>
      </w:divsChild>
    </w:div>
    <w:div w:id="30499536">
      <w:marLeft w:val="0"/>
      <w:marRight w:val="0"/>
      <w:marTop w:val="0"/>
      <w:marBottom w:val="0"/>
      <w:divBdr>
        <w:top w:val="none" w:sz="0" w:space="0" w:color="auto"/>
        <w:left w:val="none" w:sz="0" w:space="0" w:color="auto"/>
        <w:bottom w:val="none" w:sz="0" w:space="0" w:color="auto"/>
        <w:right w:val="none" w:sz="0" w:space="0" w:color="auto"/>
      </w:divBdr>
      <w:divsChild>
        <w:div w:id="1062799535">
          <w:marLeft w:val="0"/>
          <w:marRight w:val="0"/>
          <w:marTop w:val="432"/>
          <w:marBottom w:val="0"/>
          <w:divBdr>
            <w:top w:val="none" w:sz="0" w:space="0" w:color="auto"/>
            <w:left w:val="none" w:sz="0" w:space="0" w:color="auto"/>
            <w:bottom w:val="none" w:sz="0" w:space="0" w:color="auto"/>
            <w:right w:val="none" w:sz="0" w:space="0" w:color="auto"/>
          </w:divBdr>
        </w:div>
        <w:div w:id="476454580">
          <w:marLeft w:val="0"/>
          <w:marRight w:val="0"/>
          <w:marTop w:val="0"/>
          <w:marBottom w:val="0"/>
          <w:divBdr>
            <w:top w:val="none" w:sz="0" w:space="0" w:color="auto"/>
            <w:left w:val="none" w:sz="0" w:space="0" w:color="auto"/>
            <w:bottom w:val="none" w:sz="0" w:space="0" w:color="auto"/>
            <w:right w:val="none" w:sz="0" w:space="0" w:color="auto"/>
          </w:divBdr>
          <w:divsChild>
            <w:div w:id="1364286356">
              <w:marLeft w:val="0"/>
              <w:marRight w:val="0"/>
              <w:marTop w:val="0"/>
              <w:marBottom w:val="0"/>
              <w:divBdr>
                <w:top w:val="none" w:sz="0" w:space="0" w:color="auto"/>
                <w:left w:val="none" w:sz="0" w:space="0" w:color="auto"/>
                <w:bottom w:val="none" w:sz="0" w:space="0" w:color="auto"/>
                <w:right w:val="none" w:sz="0" w:space="0" w:color="auto"/>
              </w:divBdr>
              <w:divsChild>
                <w:div w:id="455098364">
                  <w:marLeft w:val="0"/>
                  <w:marRight w:val="0"/>
                  <w:marTop w:val="0"/>
                  <w:marBottom w:val="0"/>
                  <w:divBdr>
                    <w:top w:val="none" w:sz="0" w:space="0" w:color="auto"/>
                    <w:left w:val="none" w:sz="0" w:space="0" w:color="auto"/>
                    <w:bottom w:val="none" w:sz="0" w:space="0" w:color="auto"/>
                    <w:right w:val="none" w:sz="0" w:space="0" w:color="auto"/>
                  </w:divBdr>
                </w:div>
              </w:divsChild>
            </w:div>
            <w:div w:id="544754586">
              <w:marLeft w:val="0"/>
              <w:marRight w:val="0"/>
              <w:marTop w:val="0"/>
              <w:marBottom w:val="0"/>
              <w:divBdr>
                <w:top w:val="none" w:sz="0" w:space="0" w:color="auto"/>
                <w:left w:val="none" w:sz="0" w:space="0" w:color="auto"/>
                <w:bottom w:val="none" w:sz="0" w:space="0" w:color="auto"/>
                <w:right w:val="none" w:sz="0" w:space="0" w:color="auto"/>
              </w:divBdr>
              <w:divsChild>
                <w:div w:id="1420903897">
                  <w:marLeft w:val="0"/>
                  <w:marRight w:val="0"/>
                  <w:marTop w:val="0"/>
                  <w:marBottom w:val="0"/>
                  <w:divBdr>
                    <w:top w:val="none" w:sz="0" w:space="0" w:color="auto"/>
                    <w:left w:val="none" w:sz="0" w:space="0" w:color="auto"/>
                    <w:bottom w:val="none" w:sz="0" w:space="0" w:color="auto"/>
                    <w:right w:val="none" w:sz="0" w:space="0" w:color="auto"/>
                  </w:divBdr>
                </w:div>
              </w:divsChild>
            </w:div>
            <w:div w:id="2116435973">
              <w:marLeft w:val="0"/>
              <w:marRight w:val="0"/>
              <w:marTop w:val="0"/>
              <w:marBottom w:val="0"/>
              <w:divBdr>
                <w:top w:val="none" w:sz="0" w:space="0" w:color="auto"/>
                <w:left w:val="none" w:sz="0" w:space="0" w:color="auto"/>
                <w:bottom w:val="none" w:sz="0" w:space="0" w:color="auto"/>
                <w:right w:val="none" w:sz="0" w:space="0" w:color="auto"/>
              </w:divBdr>
              <w:divsChild>
                <w:div w:id="1637687421">
                  <w:marLeft w:val="0"/>
                  <w:marRight w:val="0"/>
                  <w:marTop w:val="0"/>
                  <w:marBottom w:val="0"/>
                  <w:divBdr>
                    <w:top w:val="none" w:sz="0" w:space="0" w:color="auto"/>
                    <w:left w:val="none" w:sz="0" w:space="0" w:color="auto"/>
                    <w:bottom w:val="none" w:sz="0" w:space="0" w:color="auto"/>
                    <w:right w:val="none" w:sz="0" w:space="0" w:color="auto"/>
                  </w:divBdr>
                </w:div>
              </w:divsChild>
            </w:div>
            <w:div w:id="97413950">
              <w:marLeft w:val="0"/>
              <w:marRight w:val="0"/>
              <w:marTop w:val="0"/>
              <w:marBottom w:val="0"/>
              <w:divBdr>
                <w:top w:val="none" w:sz="0" w:space="0" w:color="auto"/>
                <w:left w:val="none" w:sz="0" w:space="0" w:color="auto"/>
                <w:bottom w:val="none" w:sz="0" w:space="0" w:color="auto"/>
                <w:right w:val="none" w:sz="0" w:space="0" w:color="auto"/>
              </w:divBdr>
              <w:divsChild>
                <w:div w:id="255863841">
                  <w:marLeft w:val="0"/>
                  <w:marRight w:val="0"/>
                  <w:marTop w:val="0"/>
                  <w:marBottom w:val="0"/>
                  <w:divBdr>
                    <w:top w:val="none" w:sz="0" w:space="0" w:color="auto"/>
                    <w:left w:val="none" w:sz="0" w:space="0" w:color="auto"/>
                    <w:bottom w:val="none" w:sz="0" w:space="0" w:color="auto"/>
                    <w:right w:val="none" w:sz="0" w:space="0" w:color="auto"/>
                  </w:divBdr>
                </w:div>
              </w:divsChild>
            </w:div>
            <w:div w:id="1100876174">
              <w:marLeft w:val="0"/>
              <w:marRight w:val="0"/>
              <w:marTop w:val="0"/>
              <w:marBottom w:val="0"/>
              <w:divBdr>
                <w:top w:val="none" w:sz="0" w:space="0" w:color="auto"/>
                <w:left w:val="none" w:sz="0" w:space="0" w:color="auto"/>
                <w:bottom w:val="none" w:sz="0" w:space="0" w:color="auto"/>
                <w:right w:val="none" w:sz="0" w:space="0" w:color="auto"/>
              </w:divBdr>
              <w:divsChild>
                <w:div w:id="1492330884">
                  <w:marLeft w:val="0"/>
                  <w:marRight w:val="0"/>
                  <w:marTop w:val="0"/>
                  <w:marBottom w:val="0"/>
                  <w:divBdr>
                    <w:top w:val="none" w:sz="0" w:space="0" w:color="auto"/>
                    <w:left w:val="none" w:sz="0" w:space="0" w:color="auto"/>
                    <w:bottom w:val="none" w:sz="0" w:space="0" w:color="auto"/>
                    <w:right w:val="none" w:sz="0" w:space="0" w:color="auto"/>
                  </w:divBdr>
                </w:div>
              </w:divsChild>
            </w:div>
            <w:div w:id="219631060">
              <w:marLeft w:val="0"/>
              <w:marRight w:val="0"/>
              <w:marTop w:val="0"/>
              <w:marBottom w:val="0"/>
              <w:divBdr>
                <w:top w:val="none" w:sz="0" w:space="0" w:color="auto"/>
                <w:left w:val="none" w:sz="0" w:space="0" w:color="auto"/>
                <w:bottom w:val="none" w:sz="0" w:space="0" w:color="auto"/>
                <w:right w:val="none" w:sz="0" w:space="0" w:color="auto"/>
              </w:divBdr>
              <w:divsChild>
                <w:div w:id="95954380">
                  <w:marLeft w:val="0"/>
                  <w:marRight w:val="0"/>
                  <w:marTop w:val="0"/>
                  <w:marBottom w:val="0"/>
                  <w:divBdr>
                    <w:top w:val="none" w:sz="0" w:space="0" w:color="auto"/>
                    <w:left w:val="none" w:sz="0" w:space="0" w:color="auto"/>
                    <w:bottom w:val="none" w:sz="0" w:space="0" w:color="auto"/>
                    <w:right w:val="none" w:sz="0" w:space="0" w:color="auto"/>
                  </w:divBdr>
                </w:div>
              </w:divsChild>
            </w:div>
            <w:div w:id="2141141166">
              <w:marLeft w:val="0"/>
              <w:marRight w:val="0"/>
              <w:marTop w:val="0"/>
              <w:marBottom w:val="0"/>
              <w:divBdr>
                <w:top w:val="none" w:sz="0" w:space="0" w:color="auto"/>
                <w:left w:val="none" w:sz="0" w:space="0" w:color="auto"/>
                <w:bottom w:val="none" w:sz="0" w:space="0" w:color="auto"/>
                <w:right w:val="none" w:sz="0" w:space="0" w:color="auto"/>
              </w:divBdr>
              <w:divsChild>
                <w:div w:id="1818256444">
                  <w:marLeft w:val="0"/>
                  <w:marRight w:val="0"/>
                  <w:marTop w:val="0"/>
                  <w:marBottom w:val="0"/>
                  <w:divBdr>
                    <w:top w:val="none" w:sz="0" w:space="0" w:color="auto"/>
                    <w:left w:val="none" w:sz="0" w:space="0" w:color="auto"/>
                    <w:bottom w:val="none" w:sz="0" w:space="0" w:color="auto"/>
                    <w:right w:val="none" w:sz="0" w:space="0" w:color="auto"/>
                  </w:divBdr>
                </w:div>
              </w:divsChild>
            </w:div>
            <w:div w:id="1428311426">
              <w:marLeft w:val="0"/>
              <w:marRight w:val="0"/>
              <w:marTop w:val="0"/>
              <w:marBottom w:val="0"/>
              <w:divBdr>
                <w:top w:val="none" w:sz="0" w:space="0" w:color="auto"/>
                <w:left w:val="none" w:sz="0" w:space="0" w:color="auto"/>
                <w:bottom w:val="none" w:sz="0" w:space="0" w:color="auto"/>
                <w:right w:val="none" w:sz="0" w:space="0" w:color="auto"/>
              </w:divBdr>
              <w:divsChild>
                <w:div w:id="2079202505">
                  <w:marLeft w:val="0"/>
                  <w:marRight w:val="0"/>
                  <w:marTop w:val="0"/>
                  <w:marBottom w:val="0"/>
                  <w:divBdr>
                    <w:top w:val="none" w:sz="0" w:space="0" w:color="auto"/>
                    <w:left w:val="none" w:sz="0" w:space="0" w:color="auto"/>
                    <w:bottom w:val="none" w:sz="0" w:space="0" w:color="auto"/>
                    <w:right w:val="none" w:sz="0" w:space="0" w:color="auto"/>
                  </w:divBdr>
                </w:div>
              </w:divsChild>
            </w:div>
            <w:div w:id="910309802">
              <w:marLeft w:val="0"/>
              <w:marRight w:val="0"/>
              <w:marTop w:val="0"/>
              <w:marBottom w:val="0"/>
              <w:divBdr>
                <w:top w:val="none" w:sz="0" w:space="0" w:color="auto"/>
                <w:left w:val="none" w:sz="0" w:space="0" w:color="auto"/>
                <w:bottom w:val="none" w:sz="0" w:space="0" w:color="auto"/>
                <w:right w:val="none" w:sz="0" w:space="0" w:color="auto"/>
              </w:divBdr>
              <w:divsChild>
                <w:div w:id="230123065">
                  <w:marLeft w:val="0"/>
                  <w:marRight w:val="0"/>
                  <w:marTop w:val="0"/>
                  <w:marBottom w:val="0"/>
                  <w:divBdr>
                    <w:top w:val="none" w:sz="0" w:space="0" w:color="auto"/>
                    <w:left w:val="none" w:sz="0" w:space="0" w:color="auto"/>
                    <w:bottom w:val="none" w:sz="0" w:space="0" w:color="auto"/>
                    <w:right w:val="none" w:sz="0" w:space="0" w:color="auto"/>
                  </w:divBdr>
                </w:div>
              </w:divsChild>
            </w:div>
            <w:div w:id="1795173024">
              <w:marLeft w:val="0"/>
              <w:marRight w:val="0"/>
              <w:marTop w:val="0"/>
              <w:marBottom w:val="0"/>
              <w:divBdr>
                <w:top w:val="none" w:sz="0" w:space="0" w:color="auto"/>
                <w:left w:val="none" w:sz="0" w:space="0" w:color="auto"/>
                <w:bottom w:val="none" w:sz="0" w:space="0" w:color="auto"/>
                <w:right w:val="none" w:sz="0" w:space="0" w:color="auto"/>
              </w:divBdr>
              <w:divsChild>
                <w:div w:id="1358892422">
                  <w:marLeft w:val="0"/>
                  <w:marRight w:val="0"/>
                  <w:marTop w:val="0"/>
                  <w:marBottom w:val="0"/>
                  <w:divBdr>
                    <w:top w:val="none" w:sz="0" w:space="0" w:color="auto"/>
                    <w:left w:val="none" w:sz="0" w:space="0" w:color="auto"/>
                    <w:bottom w:val="none" w:sz="0" w:space="0" w:color="auto"/>
                    <w:right w:val="none" w:sz="0" w:space="0" w:color="auto"/>
                  </w:divBdr>
                </w:div>
              </w:divsChild>
            </w:div>
            <w:div w:id="1874489945">
              <w:marLeft w:val="0"/>
              <w:marRight w:val="0"/>
              <w:marTop w:val="0"/>
              <w:marBottom w:val="0"/>
              <w:divBdr>
                <w:top w:val="none" w:sz="0" w:space="0" w:color="auto"/>
                <w:left w:val="none" w:sz="0" w:space="0" w:color="auto"/>
                <w:bottom w:val="none" w:sz="0" w:space="0" w:color="auto"/>
                <w:right w:val="none" w:sz="0" w:space="0" w:color="auto"/>
              </w:divBdr>
              <w:divsChild>
                <w:div w:id="1220673812">
                  <w:marLeft w:val="0"/>
                  <w:marRight w:val="0"/>
                  <w:marTop w:val="0"/>
                  <w:marBottom w:val="0"/>
                  <w:divBdr>
                    <w:top w:val="none" w:sz="0" w:space="0" w:color="auto"/>
                    <w:left w:val="none" w:sz="0" w:space="0" w:color="auto"/>
                    <w:bottom w:val="none" w:sz="0" w:space="0" w:color="auto"/>
                    <w:right w:val="none" w:sz="0" w:space="0" w:color="auto"/>
                  </w:divBdr>
                </w:div>
              </w:divsChild>
            </w:div>
            <w:div w:id="1864634414">
              <w:marLeft w:val="0"/>
              <w:marRight w:val="0"/>
              <w:marTop w:val="0"/>
              <w:marBottom w:val="0"/>
              <w:divBdr>
                <w:top w:val="none" w:sz="0" w:space="0" w:color="auto"/>
                <w:left w:val="none" w:sz="0" w:space="0" w:color="auto"/>
                <w:bottom w:val="none" w:sz="0" w:space="0" w:color="auto"/>
                <w:right w:val="none" w:sz="0" w:space="0" w:color="auto"/>
              </w:divBdr>
              <w:divsChild>
                <w:div w:id="2060395659">
                  <w:marLeft w:val="0"/>
                  <w:marRight w:val="0"/>
                  <w:marTop w:val="0"/>
                  <w:marBottom w:val="0"/>
                  <w:divBdr>
                    <w:top w:val="none" w:sz="0" w:space="0" w:color="auto"/>
                    <w:left w:val="none" w:sz="0" w:space="0" w:color="auto"/>
                    <w:bottom w:val="none" w:sz="0" w:space="0" w:color="auto"/>
                    <w:right w:val="none" w:sz="0" w:space="0" w:color="auto"/>
                  </w:divBdr>
                </w:div>
              </w:divsChild>
            </w:div>
            <w:div w:id="1686050276">
              <w:marLeft w:val="0"/>
              <w:marRight w:val="0"/>
              <w:marTop w:val="0"/>
              <w:marBottom w:val="0"/>
              <w:divBdr>
                <w:top w:val="none" w:sz="0" w:space="0" w:color="auto"/>
                <w:left w:val="none" w:sz="0" w:space="0" w:color="auto"/>
                <w:bottom w:val="none" w:sz="0" w:space="0" w:color="auto"/>
                <w:right w:val="none" w:sz="0" w:space="0" w:color="auto"/>
              </w:divBdr>
              <w:divsChild>
                <w:div w:id="2137066312">
                  <w:marLeft w:val="0"/>
                  <w:marRight w:val="0"/>
                  <w:marTop w:val="0"/>
                  <w:marBottom w:val="0"/>
                  <w:divBdr>
                    <w:top w:val="none" w:sz="0" w:space="0" w:color="auto"/>
                    <w:left w:val="none" w:sz="0" w:space="0" w:color="auto"/>
                    <w:bottom w:val="none" w:sz="0" w:space="0" w:color="auto"/>
                    <w:right w:val="none" w:sz="0" w:space="0" w:color="auto"/>
                  </w:divBdr>
                </w:div>
              </w:divsChild>
            </w:div>
            <w:div w:id="671378306">
              <w:marLeft w:val="0"/>
              <w:marRight w:val="0"/>
              <w:marTop w:val="0"/>
              <w:marBottom w:val="0"/>
              <w:divBdr>
                <w:top w:val="none" w:sz="0" w:space="0" w:color="auto"/>
                <w:left w:val="none" w:sz="0" w:space="0" w:color="auto"/>
                <w:bottom w:val="none" w:sz="0" w:space="0" w:color="auto"/>
                <w:right w:val="none" w:sz="0" w:space="0" w:color="auto"/>
              </w:divBdr>
              <w:divsChild>
                <w:div w:id="1409301596">
                  <w:marLeft w:val="0"/>
                  <w:marRight w:val="0"/>
                  <w:marTop w:val="0"/>
                  <w:marBottom w:val="0"/>
                  <w:divBdr>
                    <w:top w:val="none" w:sz="0" w:space="0" w:color="auto"/>
                    <w:left w:val="none" w:sz="0" w:space="0" w:color="auto"/>
                    <w:bottom w:val="none" w:sz="0" w:space="0" w:color="auto"/>
                    <w:right w:val="none" w:sz="0" w:space="0" w:color="auto"/>
                  </w:divBdr>
                </w:div>
              </w:divsChild>
            </w:div>
            <w:div w:id="194851989">
              <w:marLeft w:val="0"/>
              <w:marRight w:val="0"/>
              <w:marTop w:val="0"/>
              <w:marBottom w:val="0"/>
              <w:divBdr>
                <w:top w:val="none" w:sz="0" w:space="0" w:color="auto"/>
                <w:left w:val="none" w:sz="0" w:space="0" w:color="auto"/>
                <w:bottom w:val="none" w:sz="0" w:space="0" w:color="auto"/>
                <w:right w:val="none" w:sz="0" w:space="0" w:color="auto"/>
              </w:divBdr>
              <w:divsChild>
                <w:div w:id="320738275">
                  <w:marLeft w:val="0"/>
                  <w:marRight w:val="0"/>
                  <w:marTop w:val="0"/>
                  <w:marBottom w:val="0"/>
                  <w:divBdr>
                    <w:top w:val="none" w:sz="0" w:space="0" w:color="auto"/>
                    <w:left w:val="none" w:sz="0" w:space="0" w:color="auto"/>
                    <w:bottom w:val="none" w:sz="0" w:space="0" w:color="auto"/>
                    <w:right w:val="none" w:sz="0" w:space="0" w:color="auto"/>
                  </w:divBdr>
                </w:div>
              </w:divsChild>
            </w:div>
            <w:div w:id="48186408">
              <w:marLeft w:val="0"/>
              <w:marRight w:val="0"/>
              <w:marTop w:val="0"/>
              <w:marBottom w:val="0"/>
              <w:divBdr>
                <w:top w:val="none" w:sz="0" w:space="0" w:color="auto"/>
                <w:left w:val="none" w:sz="0" w:space="0" w:color="auto"/>
                <w:bottom w:val="none" w:sz="0" w:space="0" w:color="auto"/>
                <w:right w:val="none" w:sz="0" w:space="0" w:color="auto"/>
              </w:divBdr>
              <w:divsChild>
                <w:div w:id="1193959361">
                  <w:marLeft w:val="0"/>
                  <w:marRight w:val="0"/>
                  <w:marTop w:val="0"/>
                  <w:marBottom w:val="0"/>
                  <w:divBdr>
                    <w:top w:val="none" w:sz="0" w:space="0" w:color="auto"/>
                    <w:left w:val="none" w:sz="0" w:space="0" w:color="auto"/>
                    <w:bottom w:val="none" w:sz="0" w:space="0" w:color="auto"/>
                    <w:right w:val="none" w:sz="0" w:space="0" w:color="auto"/>
                  </w:divBdr>
                </w:div>
              </w:divsChild>
            </w:div>
            <w:div w:id="604384836">
              <w:marLeft w:val="0"/>
              <w:marRight w:val="0"/>
              <w:marTop w:val="0"/>
              <w:marBottom w:val="0"/>
              <w:divBdr>
                <w:top w:val="none" w:sz="0" w:space="0" w:color="auto"/>
                <w:left w:val="none" w:sz="0" w:space="0" w:color="auto"/>
                <w:bottom w:val="none" w:sz="0" w:space="0" w:color="auto"/>
                <w:right w:val="none" w:sz="0" w:space="0" w:color="auto"/>
              </w:divBdr>
              <w:divsChild>
                <w:div w:id="1132289128">
                  <w:marLeft w:val="0"/>
                  <w:marRight w:val="0"/>
                  <w:marTop w:val="0"/>
                  <w:marBottom w:val="0"/>
                  <w:divBdr>
                    <w:top w:val="none" w:sz="0" w:space="0" w:color="auto"/>
                    <w:left w:val="none" w:sz="0" w:space="0" w:color="auto"/>
                    <w:bottom w:val="none" w:sz="0" w:space="0" w:color="auto"/>
                    <w:right w:val="none" w:sz="0" w:space="0" w:color="auto"/>
                  </w:divBdr>
                </w:div>
              </w:divsChild>
            </w:div>
            <w:div w:id="354577783">
              <w:marLeft w:val="0"/>
              <w:marRight w:val="0"/>
              <w:marTop w:val="0"/>
              <w:marBottom w:val="0"/>
              <w:divBdr>
                <w:top w:val="none" w:sz="0" w:space="0" w:color="auto"/>
                <w:left w:val="none" w:sz="0" w:space="0" w:color="auto"/>
                <w:bottom w:val="none" w:sz="0" w:space="0" w:color="auto"/>
                <w:right w:val="none" w:sz="0" w:space="0" w:color="auto"/>
              </w:divBdr>
              <w:divsChild>
                <w:div w:id="1809476359">
                  <w:marLeft w:val="0"/>
                  <w:marRight w:val="0"/>
                  <w:marTop w:val="0"/>
                  <w:marBottom w:val="0"/>
                  <w:divBdr>
                    <w:top w:val="none" w:sz="0" w:space="0" w:color="auto"/>
                    <w:left w:val="none" w:sz="0" w:space="0" w:color="auto"/>
                    <w:bottom w:val="none" w:sz="0" w:space="0" w:color="auto"/>
                    <w:right w:val="none" w:sz="0" w:space="0" w:color="auto"/>
                  </w:divBdr>
                </w:div>
              </w:divsChild>
            </w:div>
            <w:div w:id="2143883465">
              <w:marLeft w:val="0"/>
              <w:marRight w:val="0"/>
              <w:marTop w:val="0"/>
              <w:marBottom w:val="0"/>
              <w:divBdr>
                <w:top w:val="none" w:sz="0" w:space="0" w:color="auto"/>
                <w:left w:val="none" w:sz="0" w:space="0" w:color="auto"/>
                <w:bottom w:val="none" w:sz="0" w:space="0" w:color="auto"/>
                <w:right w:val="none" w:sz="0" w:space="0" w:color="auto"/>
              </w:divBdr>
              <w:divsChild>
                <w:div w:id="3687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1155">
          <w:marLeft w:val="0"/>
          <w:marRight w:val="0"/>
          <w:marTop w:val="0"/>
          <w:marBottom w:val="600"/>
          <w:divBdr>
            <w:top w:val="none" w:sz="0" w:space="0" w:color="auto"/>
            <w:left w:val="none" w:sz="0" w:space="0" w:color="auto"/>
            <w:bottom w:val="none" w:sz="0" w:space="0" w:color="auto"/>
            <w:right w:val="none" w:sz="0" w:space="0" w:color="auto"/>
          </w:divBdr>
        </w:div>
      </w:divsChild>
    </w:div>
    <w:div w:id="54163085">
      <w:marLeft w:val="0"/>
      <w:marRight w:val="0"/>
      <w:marTop w:val="0"/>
      <w:marBottom w:val="0"/>
      <w:divBdr>
        <w:top w:val="none" w:sz="0" w:space="0" w:color="auto"/>
        <w:left w:val="none" w:sz="0" w:space="0" w:color="auto"/>
        <w:bottom w:val="none" w:sz="0" w:space="0" w:color="auto"/>
        <w:right w:val="none" w:sz="0" w:space="0" w:color="auto"/>
      </w:divBdr>
      <w:divsChild>
        <w:div w:id="252059283">
          <w:marLeft w:val="0"/>
          <w:marRight w:val="0"/>
          <w:marTop w:val="432"/>
          <w:marBottom w:val="0"/>
          <w:divBdr>
            <w:top w:val="none" w:sz="0" w:space="0" w:color="auto"/>
            <w:left w:val="none" w:sz="0" w:space="0" w:color="auto"/>
            <w:bottom w:val="none" w:sz="0" w:space="0" w:color="auto"/>
            <w:right w:val="none" w:sz="0" w:space="0" w:color="auto"/>
          </w:divBdr>
        </w:div>
        <w:div w:id="1679305881">
          <w:marLeft w:val="0"/>
          <w:marRight w:val="0"/>
          <w:marTop w:val="0"/>
          <w:marBottom w:val="0"/>
          <w:divBdr>
            <w:top w:val="none" w:sz="0" w:space="0" w:color="auto"/>
            <w:left w:val="none" w:sz="0" w:space="0" w:color="auto"/>
            <w:bottom w:val="none" w:sz="0" w:space="0" w:color="auto"/>
            <w:right w:val="none" w:sz="0" w:space="0" w:color="auto"/>
          </w:divBdr>
          <w:divsChild>
            <w:div w:id="742071578">
              <w:marLeft w:val="0"/>
              <w:marRight w:val="0"/>
              <w:marTop w:val="0"/>
              <w:marBottom w:val="0"/>
              <w:divBdr>
                <w:top w:val="none" w:sz="0" w:space="0" w:color="auto"/>
                <w:left w:val="none" w:sz="0" w:space="0" w:color="auto"/>
                <w:bottom w:val="none" w:sz="0" w:space="0" w:color="auto"/>
                <w:right w:val="none" w:sz="0" w:space="0" w:color="auto"/>
              </w:divBdr>
              <w:divsChild>
                <w:div w:id="1988582054">
                  <w:marLeft w:val="0"/>
                  <w:marRight w:val="0"/>
                  <w:marTop w:val="0"/>
                  <w:marBottom w:val="0"/>
                  <w:divBdr>
                    <w:top w:val="none" w:sz="0" w:space="0" w:color="auto"/>
                    <w:left w:val="none" w:sz="0" w:space="0" w:color="auto"/>
                    <w:bottom w:val="none" w:sz="0" w:space="0" w:color="auto"/>
                    <w:right w:val="none" w:sz="0" w:space="0" w:color="auto"/>
                  </w:divBdr>
                </w:div>
              </w:divsChild>
            </w:div>
            <w:div w:id="909466615">
              <w:marLeft w:val="0"/>
              <w:marRight w:val="0"/>
              <w:marTop w:val="0"/>
              <w:marBottom w:val="0"/>
              <w:divBdr>
                <w:top w:val="none" w:sz="0" w:space="0" w:color="auto"/>
                <w:left w:val="none" w:sz="0" w:space="0" w:color="auto"/>
                <w:bottom w:val="none" w:sz="0" w:space="0" w:color="auto"/>
                <w:right w:val="none" w:sz="0" w:space="0" w:color="auto"/>
              </w:divBdr>
              <w:divsChild>
                <w:div w:id="2050690364">
                  <w:marLeft w:val="0"/>
                  <w:marRight w:val="0"/>
                  <w:marTop w:val="0"/>
                  <w:marBottom w:val="0"/>
                  <w:divBdr>
                    <w:top w:val="none" w:sz="0" w:space="0" w:color="auto"/>
                    <w:left w:val="none" w:sz="0" w:space="0" w:color="auto"/>
                    <w:bottom w:val="none" w:sz="0" w:space="0" w:color="auto"/>
                    <w:right w:val="none" w:sz="0" w:space="0" w:color="auto"/>
                  </w:divBdr>
                </w:div>
              </w:divsChild>
            </w:div>
            <w:div w:id="1873573921">
              <w:marLeft w:val="0"/>
              <w:marRight w:val="0"/>
              <w:marTop w:val="0"/>
              <w:marBottom w:val="0"/>
              <w:divBdr>
                <w:top w:val="none" w:sz="0" w:space="0" w:color="auto"/>
                <w:left w:val="none" w:sz="0" w:space="0" w:color="auto"/>
                <w:bottom w:val="none" w:sz="0" w:space="0" w:color="auto"/>
                <w:right w:val="none" w:sz="0" w:space="0" w:color="auto"/>
              </w:divBdr>
              <w:divsChild>
                <w:div w:id="781848590">
                  <w:marLeft w:val="0"/>
                  <w:marRight w:val="0"/>
                  <w:marTop w:val="0"/>
                  <w:marBottom w:val="0"/>
                  <w:divBdr>
                    <w:top w:val="none" w:sz="0" w:space="0" w:color="auto"/>
                    <w:left w:val="none" w:sz="0" w:space="0" w:color="auto"/>
                    <w:bottom w:val="none" w:sz="0" w:space="0" w:color="auto"/>
                    <w:right w:val="none" w:sz="0" w:space="0" w:color="auto"/>
                  </w:divBdr>
                </w:div>
              </w:divsChild>
            </w:div>
            <w:div w:id="838885446">
              <w:marLeft w:val="0"/>
              <w:marRight w:val="0"/>
              <w:marTop w:val="0"/>
              <w:marBottom w:val="0"/>
              <w:divBdr>
                <w:top w:val="none" w:sz="0" w:space="0" w:color="auto"/>
                <w:left w:val="none" w:sz="0" w:space="0" w:color="auto"/>
                <w:bottom w:val="none" w:sz="0" w:space="0" w:color="auto"/>
                <w:right w:val="none" w:sz="0" w:space="0" w:color="auto"/>
              </w:divBdr>
              <w:divsChild>
                <w:div w:id="660811667">
                  <w:marLeft w:val="0"/>
                  <w:marRight w:val="0"/>
                  <w:marTop w:val="0"/>
                  <w:marBottom w:val="0"/>
                  <w:divBdr>
                    <w:top w:val="none" w:sz="0" w:space="0" w:color="auto"/>
                    <w:left w:val="none" w:sz="0" w:space="0" w:color="auto"/>
                    <w:bottom w:val="none" w:sz="0" w:space="0" w:color="auto"/>
                    <w:right w:val="none" w:sz="0" w:space="0" w:color="auto"/>
                  </w:divBdr>
                </w:div>
              </w:divsChild>
            </w:div>
            <w:div w:id="1996568189">
              <w:marLeft w:val="0"/>
              <w:marRight w:val="0"/>
              <w:marTop w:val="0"/>
              <w:marBottom w:val="0"/>
              <w:divBdr>
                <w:top w:val="none" w:sz="0" w:space="0" w:color="auto"/>
                <w:left w:val="none" w:sz="0" w:space="0" w:color="auto"/>
                <w:bottom w:val="none" w:sz="0" w:space="0" w:color="auto"/>
                <w:right w:val="none" w:sz="0" w:space="0" w:color="auto"/>
              </w:divBdr>
              <w:divsChild>
                <w:div w:id="1888027421">
                  <w:marLeft w:val="0"/>
                  <w:marRight w:val="0"/>
                  <w:marTop w:val="0"/>
                  <w:marBottom w:val="0"/>
                  <w:divBdr>
                    <w:top w:val="none" w:sz="0" w:space="0" w:color="auto"/>
                    <w:left w:val="none" w:sz="0" w:space="0" w:color="auto"/>
                    <w:bottom w:val="none" w:sz="0" w:space="0" w:color="auto"/>
                    <w:right w:val="none" w:sz="0" w:space="0" w:color="auto"/>
                  </w:divBdr>
                </w:div>
              </w:divsChild>
            </w:div>
            <w:div w:id="1925257101">
              <w:marLeft w:val="0"/>
              <w:marRight w:val="0"/>
              <w:marTop w:val="0"/>
              <w:marBottom w:val="0"/>
              <w:divBdr>
                <w:top w:val="none" w:sz="0" w:space="0" w:color="auto"/>
                <w:left w:val="none" w:sz="0" w:space="0" w:color="auto"/>
                <w:bottom w:val="none" w:sz="0" w:space="0" w:color="auto"/>
                <w:right w:val="none" w:sz="0" w:space="0" w:color="auto"/>
              </w:divBdr>
              <w:divsChild>
                <w:div w:id="73205773">
                  <w:marLeft w:val="0"/>
                  <w:marRight w:val="0"/>
                  <w:marTop w:val="0"/>
                  <w:marBottom w:val="0"/>
                  <w:divBdr>
                    <w:top w:val="none" w:sz="0" w:space="0" w:color="auto"/>
                    <w:left w:val="none" w:sz="0" w:space="0" w:color="auto"/>
                    <w:bottom w:val="none" w:sz="0" w:space="0" w:color="auto"/>
                    <w:right w:val="none" w:sz="0" w:space="0" w:color="auto"/>
                  </w:divBdr>
                </w:div>
              </w:divsChild>
            </w:div>
            <w:div w:id="1412463067">
              <w:marLeft w:val="0"/>
              <w:marRight w:val="0"/>
              <w:marTop w:val="0"/>
              <w:marBottom w:val="0"/>
              <w:divBdr>
                <w:top w:val="none" w:sz="0" w:space="0" w:color="auto"/>
                <w:left w:val="none" w:sz="0" w:space="0" w:color="auto"/>
                <w:bottom w:val="none" w:sz="0" w:space="0" w:color="auto"/>
                <w:right w:val="none" w:sz="0" w:space="0" w:color="auto"/>
              </w:divBdr>
              <w:divsChild>
                <w:div w:id="442073069">
                  <w:marLeft w:val="0"/>
                  <w:marRight w:val="0"/>
                  <w:marTop w:val="0"/>
                  <w:marBottom w:val="0"/>
                  <w:divBdr>
                    <w:top w:val="none" w:sz="0" w:space="0" w:color="auto"/>
                    <w:left w:val="none" w:sz="0" w:space="0" w:color="auto"/>
                    <w:bottom w:val="none" w:sz="0" w:space="0" w:color="auto"/>
                    <w:right w:val="none" w:sz="0" w:space="0" w:color="auto"/>
                  </w:divBdr>
                </w:div>
              </w:divsChild>
            </w:div>
            <w:div w:id="1311014460">
              <w:marLeft w:val="0"/>
              <w:marRight w:val="0"/>
              <w:marTop w:val="0"/>
              <w:marBottom w:val="0"/>
              <w:divBdr>
                <w:top w:val="none" w:sz="0" w:space="0" w:color="auto"/>
                <w:left w:val="none" w:sz="0" w:space="0" w:color="auto"/>
                <w:bottom w:val="none" w:sz="0" w:space="0" w:color="auto"/>
                <w:right w:val="none" w:sz="0" w:space="0" w:color="auto"/>
              </w:divBdr>
              <w:divsChild>
                <w:div w:id="467403655">
                  <w:marLeft w:val="0"/>
                  <w:marRight w:val="0"/>
                  <w:marTop w:val="0"/>
                  <w:marBottom w:val="0"/>
                  <w:divBdr>
                    <w:top w:val="none" w:sz="0" w:space="0" w:color="auto"/>
                    <w:left w:val="none" w:sz="0" w:space="0" w:color="auto"/>
                    <w:bottom w:val="none" w:sz="0" w:space="0" w:color="auto"/>
                    <w:right w:val="none" w:sz="0" w:space="0" w:color="auto"/>
                  </w:divBdr>
                </w:div>
              </w:divsChild>
            </w:div>
            <w:div w:id="1897280031">
              <w:marLeft w:val="0"/>
              <w:marRight w:val="0"/>
              <w:marTop w:val="0"/>
              <w:marBottom w:val="0"/>
              <w:divBdr>
                <w:top w:val="none" w:sz="0" w:space="0" w:color="auto"/>
                <w:left w:val="none" w:sz="0" w:space="0" w:color="auto"/>
                <w:bottom w:val="none" w:sz="0" w:space="0" w:color="auto"/>
                <w:right w:val="none" w:sz="0" w:space="0" w:color="auto"/>
              </w:divBdr>
              <w:divsChild>
                <w:div w:id="1652631504">
                  <w:marLeft w:val="0"/>
                  <w:marRight w:val="0"/>
                  <w:marTop w:val="0"/>
                  <w:marBottom w:val="0"/>
                  <w:divBdr>
                    <w:top w:val="none" w:sz="0" w:space="0" w:color="auto"/>
                    <w:left w:val="none" w:sz="0" w:space="0" w:color="auto"/>
                    <w:bottom w:val="none" w:sz="0" w:space="0" w:color="auto"/>
                    <w:right w:val="none" w:sz="0" w:space="0" w:color="auto"/>
                  </w:divBdr>
                </w:div>
              </w:divsChild>
            </w:div>
            <w:div w:id="971129685">
              <w:marLeft w:val="0"/>
              <w:marRight w:val="0"/>
              <w:marTop w:val="0"/>
              <w:marBottom w:val="0"/>
              <w:divBdr>
                <w:top w:val="none" w:sz="0" w:space="0" w:color="auto"/>
                <w:left w:val="none" w:sz="0" w:space="0" w:color="auto"/>
                <w:bottom w:val="none" w:sz="0" w:space="0" w:color="auto"/>
                <w:right w:val="none" w:sz="0" w:space="0" w:color="auto"/>
              </w:divBdr>
              <w:divsChild>
                <w:div w:id="1915043886">
                  <w:marLeft w:val="0"/>
                  <w:marRight w:val="0"/>
                  <w:marTop w:val="0"/>
                  <w:marBottom w:val="0"/>
                  <w:divBdr>
                    <w:top w:val="none" w:sz="0" w:space="0" w:color="auto"/>
                    <w:left w:val="none" w:sz="0" w:space="0" w:color="auto"/>
                    <w:bottom w:val="none" w:sz="0" w:space="0" w:color="auto"/>
                    <w:right w:val="none" w:sz="0" w:space="0" w:color="auto"/>
                  </w:divBdr>
                </w:div>
              </w:divsChild>
            </w:div>
            <w:div w:id="2111391795">
              <w:marLeft w:val="0"/>
              <w:marRight w:val="0"/>
              <w:marTop w:val="0"/>
              <w:marBottom w:val="0"/>
              <w:divBdr>
                <w:top w:val="none" w:sz="0" w:space="0" w:color="auto"/>
                <w:left w:val="none" w:sz="0" w:space="0" w:color="auto"/>
                <w:bottom w:val="none" w:sz="0" w:space="0" w:color="auto"/>
                <w:right w:val="none" w:sz="0" w:space="0" w:color="auto"/>
              </w:divBdr>
              <w:divsChild>
                <w:div w:id="647633505">
                  <w:marLeft w:val="0"/>
                  <w:marRight w:val="0"/>
                  <w:marTop w:val="0"/>
                  <w:marBottom w:val="0"/>
                  <w:divBdr>
                    <w:top w:val="none" w:sz="0" w:space="0" w:color="auto"/>
                    <w:left w:val="none" w:sz="0" w:space="0" w:color="auto"/>
                    <w:bottom w:val="none" w:sz="0" w:space="0" w:color="auto"/>
                    <w:right w:val="none" w:sz="0" w:space="0" w:color="auto"/>
                  </w:divBdr>
                </w:div>
              </w:divsChild>
            </w:div>
            <w:div w:id="1268391944">
              <w:marLeft w:val="0"/>
              <w:marRight w:val="0"/>
              <w:marTop w:val="0"/>
              <w:marBottom w:val="0"/>
              <w:divBdr>
                <w:top w:val="none" w:sz="0" w:space="0" w:color="auto"/>
                <w:left w:val="none" w:sz="0" w:space="0" w:color="auto"/>
                <w:bottom w:val="none" w:sz="0" w:space="0" w:color="auto"/>
                <w:right w:val="none" w:sz="0" w:space="0" w:color="auto"/>
              </w:divBdr>
              <w:divsChild>
                <w:div w:id="1941639074">
                  <w:marLeft w:val="0"/>
                  <w:marRight w:val="0"/>
                  <w:marTop w:val="0"/>
                  <w:marBottom w:val="0"/>
                  <w:divBdr>
                    <w:top w:val="none" w:sz="0" w:space="0" w:color="auto"/>
                    <w:left w:val="none" w:sz="0" w:space="0" w:color="auto"/>
                    <w:bottom w:val="none" w:sz="0" w:space="0" w:color="auto"/>
                    <w:right w:val="none" w:sz="0" w:space="0" w:color="auto"/>
                  </w:divBdr>
                </w:div>
              </w:divsChild>
            </w:div>
            <w:div w:id="1251084616">
              <w:marLeft w:val="0"/>
              <w:marRight w:val="0"/>
              <w:marTop w:val="0"/>
              <w:marBottom w:val="0"/>
              <w:divBdr>
                <w:top w:val="none" w:sz="0" w:space="0" w:color="auto"/>
                <w:left w:val="none" w:sz="0" w:space="0" w:color="auto"/>
                <w:bottom w:val="none" w:sz="0" w:space="0" w:color="auto"/>
                <w:right w:val="none" w:sz="0" w:space="0" w:color="auto"/>
              </w:divBdr>
              <w:divsChild>
                <w:div w:id="1816794569">
                  <w:marLeft w:val="0"/>
                  <w:marRight w:val="0"/>
                  <w:marTop w:val="0"/>
                  <w:marBottom w:val="0"/>
                  <w:divBdr>
                    <w:top w:val="none" w:sz="0" w:space="0" w:color="auto"/>
                    <w:left w:val="none" w:sz="0" w:space="0" w:color="auto"/>
                    <w:bottom w:val="none" w:sz="0" w:space="0" w:color="auto"/>
                    <w:right w:val="none" w:sz="0" w:space="0" w:color="auto"/>
                  </w:divBdr>
                </w:div>
              </w:divsChild>
            </w:div>
            <w:div w:id="1546982424">
              <w:marLeft w:val="0"/>
              <w:marRight w:val="0"/>
              <w:marTop w:val="0"/>
              <w:marBottom w:val="0"/>
              <w:divBdr>
                <w:top w:val="none" w:sz="0" w:space="0" w:color="auto"/>
                <w:left w:val="none" w:sz="0" w:space="0" w:color="auto"/>
                <w:bottom w:val="none" w:sz="0" w:space="0" w:color="auto"/>
                <w:right w:val="none" w:sz="0" w:space="0" w:color="auto"/>
              </w:divBdr>
              <w:divsChild>
                <w:div w:id="5625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6135">
          <w:marLeft w:val="0"/>
          <w:marRight w:val="0"/>
          <w:marTop w:val="0"/>
          <w:marBottom w:val="600"/>
          <w:divBdr>
            <w:top w:val="none" w:sz="0" w:space="0" w:color="auto"/>
            <w:left w:val="none" w:sz="0" w:space="0" w:color="auto"/>
            <w:bottom w:val="none" w:sz="0" w:space="0" w:color="auto"/>
            <w:right w:val="none" w:sz="0" w:space="0" w:color="auto"/>
          </w:divBdr>
        </w:div>
      </w:divsChild>
    </w:div>
    <w:div w:id="82069420">
      <w:marLeft w:val="0"/>
      <w:marRight w:val="0"/>
      <w:marTop w:val="0"/>
      <w:marBottom w:val="0"/>
      <w:divBdr>
        <w:top w:val="none" w:sz="0" w:space="0" w:color="auto"/>
        <w:left w:val="none" w:sz="0" w:space="0" w:color="auto"/>
        <w:bottom w:val="none" w:sz="0" w:space="0" w:color="auto"/>
        <w:right w:val="none" w:sz="0" w:space="0" w:color="auto"/>
      </w:divBdr>
      <w:divsChild>
        <w:div w:id="78211648">
          <w:marLeft w:val="0"/>
          <w:marRight w:val="0"/>
          <w:marTop w:val="432"/>
          <w:marBottom w:val="0"/>
          <w:divBdr>
            <w:top w:val="none" w:sz="0" w:space="0" w:color="auto"/>
            <w:left w:val="none" w:sz="0" w:space="0" w:color="auto"/>
            <w:bottom w:val="none" w:sz="0" w:space="0" w:color="auto"/>
            <w:right w:val="none" w:sz="0" w:space="0" w:color="auto"/>
          </w:divBdr>
        </w:div>
        <w:div w:id="620187311">
          <w:marLeft w:val="0"/>
          <w:marRight w:val="0"/>
          <w:marTop w:val="0"/>
          <w:marBottom w:val="0"/>
          <w:divBdr>
            <w:top w:val="none" w:sz="0" w:space="0" w:color="auto"/>
            <w:left w:val="none" w:sz="0" w:space="0" w:color="auto"/>
            <w:bottom w:val="none" w:sz="0" w:space="0" w:color="auto"/>
            <w:right w:val="none" w:sz="0" w:space="0" w:color="auto"/>
          </w:divBdr>
          <w:divsChild>
            <w:div w:id="705757464">
              <w:marLeft w:val="0"/>
              <w:marRight w:val="0"/>
              <w:marTop w:val="0"/>
              <w:marBottom w:val="0"/>
              <w:divBdr>
                <w:top w:val="none" w:sz="0" w:space="0" w:color="auto"/>
                <w:left w:val="none" w:sz="0" w:space="0" w:color="auto"/>
                <w:bottom w:val="none" w:sz="0" w:space="0" w:color="auto"/>
                <w:right w:val="none" w:sz="0" w:space="0" w:color="auto"/>
              </w:divBdr>
              <w:divsChild>
                <w:div w:id="882138913">
                  <w:marLeft w:val="0"/>
                  <w:marRight w:val="0"/>
                  <w:marTop w:val="0"/>
                  <w:marBottom w:val="0"/>
                  <w:divBdr>
                    <w:top w:val="none" w:sz="0" w:space="0" w:color="auto"/>
                    <w:left w:val="none" w:sz="0" w:space="0" w:color="auto"/>
                    <w:bottom w:val="none" w:sz="0" w:space="0" w:color="auto"/>
                    <w:right w:val="none" w:sz="0" w:space="0" w:color="auto"/>
                  </w:divBdr>
                </w:div>
              </w:divsChild>
            </w:div>
            <w:div w:id="1195076075">
              <w:marLeft w:val="0"/>
              <w:marRight w:val="0"/>
              <w:marTop w:val="0"/>
              <w:marBottom w:val="0"/>
              <w:divBdr>
                <w:top w:val="none" w:sz="0" w:space="0" w:color="auto"/>
                <w:left w:val="none" w:sz="0" w:space="0" w:color="auto"/>
                <w:bottom w:val="none" w:sz="0" w:space="0" w:color="auto"/>
                <w:right w:val="none" w:sz="0" w:space="0" w:color="auto"/>
              </w:divBdr>
              <w:divsChild>
                <w:div w:id="189494562">
                  <w:marLeft w:val="0"/>
                  <w:marRight w:val="0"/>
                  <w:marTop w:val="0"/>
                  <w:marBottom w:val="0"/>
                  <w:divBdr>
                    <w:top w:val="none" w:sz="0" w:space="0" w:color="auto"/>
                    <w:left w:val="none" w:sz="0" w:space="0" w:color="auto"/>
                    <w:bottom w:val="none" w:sz="0" w:space="0" w:color="auto"/>
                    <w:right w:val="none" w:sz="0" w:space="0" w:color="auto"/>
                  </w:divBdr>
                </w:div>
              </w:divsChild>
            </w:div>
            <w:div w:id="374087140">
              <w:marLeft w:val="0"/>
              <w:marRight w:val="0"/>
              <w:marTop w:val="0"/>
              <w:marBottom w:val="0"/>
              <w:divBdr>
                <w:top w:val="none" w:sz="0" w:space="0" w:color="auto"/>
                <w:left w:val="none" w:sz="0" w:space="0" w:color="auto"/>
                <w:bottom w:val="none" w:sz="0" w:space="0" w:color="auto"/>
                <w:right w:val="none" w:sz="0" w:space="0" w:color="auto"/>
              </w:divBdr>
              <w:divsChild>
                <w:div w:id="341248471">
                  <w:marLeft w:val="0"/>
                  <w:marRight w:val="0"/>
                  <w:marTop w:val="0"/>
                  <w:marBottom w:val="0"/>
                  <w:divBdr>
                    <w:top w:val="none" w:sz="0" w:space="0" w:color="auto"/>
                    <w:left w:val="none" w:sz="0" w:space="0" w:color="auto"/>
                    <w:bottom w:val="none" w:sz="0" w:space="0" w:color="auto"/>
                    <w:right w:val="none" w:sz="0" w:space="0" w:color="auto"/>
                  </w:divBdr>
                </w:div>
              </w:divsChild>
            </w:div>
            <w:div w:id="909123346">
              <w:marLeft w:val="0"/>
              <w:marRight w:val="0"/>
              <w:marTop w:val="0"/>
              <w:marBottom w:val="0"/>
              <w:divBdr>
                <w:top w:val="none" w:sz="0" w:space="0" w:color="auto"/>
                <w:left w:val="none" w:sz="0" w:space="0" w:color="auto"/>
                <w:bottom w:val="none" w:sz="0" w:space="0" w:color="auto"/>
                <w:right w:val="none" w:sz="0" w:space="0" w:color="auto"/>
              </w:divBdr>
              <w:divsChild>
                <w:div w:id="1205291465">
                  <w:marLeft w:val="0"/>
                  <w:marRight w:val="0"/>
                  <w:marTop w:val="0"/>
                  <w:marBottom w:val="0"/>
                  <w:divBdr>
                    <w:top w:val="none" w:sz="0" w:space="0" w:color="auto"/>
                    <w:left w:val="none" w:sz="0" w:space="0" w:color="auto"/>
                    <w:bottom w:val="none" w:sz="0" w:space="0" w:color="auto"/>
                    <w:right w:val="none" w:sz="0" w:space="0" w:color="auto"/>
                  </w:divBdr>
                </w:div>
              </w:divsChild>
            </w:div>
            <w:div w:id="195971629">
              <w:marLeft w:val="0"/>
              <w:marRight w:val="0"/>
              <w:marTop w:val="0"/>
              <w:marBottom w:val="0"/>
              <w:divBdr>
                <w:top w:val="none" w:sz="0" w:space="0" w:color="auto"/>
                <w:left w:val="none" w:sz="0" w:space="0" w:color="auto"/>
                <w:bottom w:val="none" w:sz="0" w:space="0" w:color="auto"/>
                <w:right w:val="none" w:sz="0" w:space="0" w:color="auto"/>
              </w:divBdr>
              <w:divsChild>
                <w:div w:id="140343054">
                  <w:marLeft w:val="0"/>
                  <w:marRight w:val="0"/>
                  <w:marTop w:val="0"/>
                  <w:marBottom w:val="0"/>
                  <w:divBdr>
                    <w:top w:val="none" w:sz="0" w:space="0" w:color="auto"/>
                    <w:left w:val="none" w:sz="0" w:space="0" w:color="auto"/>
                    <w:bottom w:val="none" w:sz="0" w:space="0" w:color="auto"/>
                    <w:right w:val="none" w:sz="0" w:space="0" w:color="auto"/>
                  </w:divBdr>
                </w:div>
              </w:divsChild>
            </w:div>
            <w:div w:id="2130082739">
              <w:marLeft w:val="0"/>
              <w:marRight w:val="0"/>
              <w:marTop w:val="0"/>
              <w:marBottom w:val="0"/>
              <w:divBdr>
                <w:top w:val="none" w:sz="0" w:space="0" w:color="auto"/>
                <w:left w:val="none" w:sz="0" w:space="0" w:color="auto"/>
                <w:bottom w:val="none" w:sz="0" w:space="0" w:color="auto"/>
                <w:right w:val="none" w:sz="0" w:space="0" w:color="auto"/>
              </w:divBdr>
              <w:divsChild>
                <w:div w:id="732579615">
                  <w:marLeft w:val="0"/>
                  <w:marRight w:val="0"/>
                  <w:marTop w:val="0"/>
                  <w:marBottom w:val="0"/>
                  <w:divBdr>
                    <w:top w:val="none" w:sz="0" w:space="0" w:color="auto"/>
                    <w:left w:val="none" w:sz="0" w:space="0" w:color="auto"/>
                    <w:bottom w:val="none" w:sz="0" w:space="0" w:color="auto"/>
                    <w:right w:val="none" w:sz="0" w:space="0" w:color="auto"/>
                  </w:divBdr>
                </w:div>
              </w:divsChild>
            </w:div>
            <w:div w:id="906494330">
              <w:marLeft w:val="0"/>
              <w:marRight w:val="0"/>
              <w:marTop w:val="0"/>
              <w:marBottom w:val="0"/>
              <w:divBdr>
                <w:top w:val="none" w:sz="0" w:space="0" w:color="auto"/>
                <w:left w:val="none" w:sz="0" w:space="0" w:color="auto"/>
                <w:bottom w:val="none" w:sz="0" w:space="0" w:color="auto"/>
                <w:right w:val="none" w:sz="0" w:space="0" w:color="auto"/>
              </w:divBdr>
              <w:divsChild>
                <w:div w:id="1020592933">
                  <w:marLeft w:val="0"/>
                  <w:marRight w:val="0"/>
                  <w:marTop w:val="0"/>
                  <w:marBottom w:val="0"/>
                  <w:divBdr>
                    <w:top w:val="none" w:sz="0" w:space="0" w:color="auto"/>
                    <w:left w:val="none" w:sz="0" w:space="0" w:color="auto"/>
                    <w:bottom w:val="none" w:sz="0" w:space="0" w:color="auto"/>
                    <w:right w:val="none" w:sz="0" w:space="0" w:color="auto"/>
                  </w:divBdr>
                </w:div>
              </w:divsChild>
            </w:div>
            <w:div w:id="1705326785">
              <w:marLeft w:val="0"/>
              <w:marRight w:val="0"/>
              <w:marTop w:val="0"/>
              <w:marBottom w:val="0"/>
              <w:divBdr>
                <w:top w:val="none" w:sz="0" w:space="0" w:color="auto"/>
                <w:left w:val="none" w:sz="0" w:space="0" w:color="auto"/>
                <w:bottom w:val="none" w:sz="0" w:space="0" w:color="auto"/>
                <w:right w:val="none" w:sz="0" w:space="0" w:color="auto"/>
              </w:divBdr>
              <w:divsChild>
                <w:div w:id="707216962">
                  <w:marLeft w:val="0"/>
                  <w:marRight w:val="0"/>
                  <w:marTop w:val="0"/>
                  <w:marBottom w:val="0"/>
                  <w:divBdr>
                    <w:top w:val="none" w:sz="0" w:space="0" w:color="auto"/>
                    <w:left w:val="none" w:sz="0" w:space="0" w:color="auto"/>
                    <w:bottom w:val="none" w:sz="0" w:space="0" w:color="auto"/>
                    <w:right w:val="none" w:sz="0" w:space="0" w:color="auto"/>
                  </w:divBdr>
                </w:div>
              </w:divsChild>
            </w:div>
            <w:div w:id="35813335">
              <w:marLeft w:val="0"/>
              <w:marRight w:val="0"/>
              <w:marTop w:val="0"/>
              <w:marBottom w:val="0"/>
              <w:divBdr>
                <w:top w:val="none" w:sz="0" w:space="0" w:color="auto"/>
                <w:left w:val="none" w:sz="0" w:space="0" w:color="auto"/>
                <w:bottom w:val="none" w:sz="0" w:space="0" w:color="auto"/>
                <w:right w:val="none" w:sz="0" w:space="0" w:color="auto"/>
              </w:divBdr>
              <w:divsChild>
                <w:div w:id="1611207478">
                  <w:marLeft w:val="0"/>
                  <w:marRight w:val="0"/>
                  <w:marTop w:val="0"/>
                  <w:marBottom w:val="0"/>
                  <w:divBdr>
                    <w:top w:val="none" w:sz="0" w:space="0" w:color="auto"/>
                    <w:left w:val="none" w:sz="0" w:space="0" w:color="auto"/>
                    <w:bottom w:val="none" w:sz="0" w:space="0" w:color="auto"/>
                    <w:right w:val="none" w:sz="0" w:space="0" w:color="auto"/>
                  </w:divBdr>
                </w:div>
              </w:divsChild>
            </w:div>
            <w:div w:id="1825858231">
              <w:marLeft w:val="0"/>
              <w:marRight w:val="0"/>
              <w:marTop w:val="0"/>
              <w:marBottom w:val="0"/>
              <w:divBdr>
                <w:top w:val="none" w:sz="0" w:space="0" w:color="auto"/>
                <w:left w:val="none" w:sz="0" w:space="0" w:color="auto"/>
                <w:bottom w:val="none" w:sz="0" w:space="0" w:color="auto"/>
                <w:right w:val="none" w:sz="0" w:space="0" w:color="auto"/>
              </w:divBdr>
              <w:divsChild>
                <w:div w:id="568925969">
                  <w:marLeft w:val="0"/>
                  <w:marRight w:val="0"/>
                  <w:marTop w:val="0"/>
                  <w:marBottom w:val="0"/>
                  <w:divBdr>
                    <w:top w:val="none" w:sz="0" w:space="0" w:color="auto"/>
                    <w:left w:val="none" w:sz="0" w:space="0" w:color="auto"/>
                    <w:bottom w:val="none" w:sz="0" w:space="0" w:color="auto"/>
                    <w:right w:val="none" w:sz="0" w:space="0" w:color="auto"/>
                  </w:divBdr>
                </w:div>
              </w:divsChild>
            </w:div>
            <w:div w:id="2039961108">
              <w:marLeft w:val="0"/>
              <w:marRight w:val="0"/>
              <w:marTop w:val="0"/>
              <w:marBottom w:val="0"/>
              <w:divBdr>
                <w:top w:val="none" w:sz="0" w:space="0" w:color="auto"/>
                <w:left w:val="none" w:sz="0" w:space="0" w:color="auto"/>
                <w:bottom w:val="none" w:sz="0" w:space="0" w:color="auto"/>
                <w:right w:val="none" w:sz="0" w:space="0" w:color="auto"/>
              </w:divBdr>
              <w:divsChild>
                <w:div w:id="431554760">
                  <w:marLeft w:val="0"/>
                  <w:marRight w:val="0"/>
                  <w:marTop w:val="0"/>
                  <w:marBottom w:val="0"/>
                  <w:divBdr>
                    <w:top w:val="none" w:sz="0" w:space="0" w:color="auto"/>
                    <w:left w:val="none" w:sz="0" w:space="0" w:color="auto"/>
                    <w:bottom w:val="none" w:sz="0" w:space="0" w:color="auto"/>
                    <w:right w:val="none" w:sz="0" w:space="0" w:color="auto"/>
                  </w:divBdr>
                </w:div>
              </w:divsChild>
            </w:div>
            <w:div w:id="1461419125">
              <w:marLeft w:val="0"/>
              <w:marRight w:val="0"/>
              <w:marTop w:val="0"/>
              <w:marBottom w:val="0"/>
              <w:divBdr>
                <w:top w:val="none" w:sz="0" w:space="0" w:color="auto"/>
                <w:left w:val="none" w:sz="0" w:space="0" w:color="auto"/>
                <w:bottom w:val="none" w:sz="0" w:space="0" w:color="auto"/>
                <w:right w:val="none" w:sz="0" w:space="0" w:color="auto"/>
              </w:divBdr>
              <w:divsChild>
                <w:div w:id="1607233149">
                  <w:marLeft w:val="0"/>
                  <w:marRight w:val="0"/>
                  <w:marTop w:val="0"/>
                  <w:marBottom w:val="0"/>
                  <w:divBdr>
                    <w:top w:val="none" w:sz="0" w:space="0" w:color="auto"/>
                    <w:left w:val="none" w:sz="0" w:space="0" w:color="auto"/>
                    <w:bottom w:val="none" w:sz="0" w:space="0" w:color="auto"/>
                    <w:right w:val="none" w:sz="0" w:space="0" w:color="auto"/>
                  </w:divBdr>
                </w:div>
              </w:divsChild>
            </w:div>
            <w:div w:id="1428691182">
              <w:marLeft w:val="0"/>
              <w:marRight w:val="0"/>
              <w:marTop w:val="0"/>
              <w:marBottom w:val="0"/>
              <w:divBdr>
                <w:top w:val="none" w:sz="0" w:space="0" w:color="auto"/>
                <w:left w:val="none" w:sz="0" w:space="0" w:color="auto"/>
                <w:bottom w:val="none" w:sz="0" w:space="0" w:color="auto"/>
                <w:right w:val="none" w:sz="0" w:space="0" w:color="auto"/>
              </w:divBdr>
              <w:divsChild>
                <w:div w:id="887643855">
                  <w:marLeft w:val="0"/>
                  <w:marRight w:val="0"/>
                  <w:marTop w:val="0"/>
                  <w:marBottom w:val="0"/>
                  <w:divBdr>
                    <w:top w:val="none" w:sz="0" w:space="0" w:color="auto"/>
                    <w:left w:val="none" w:sz="0" w:space="0" w:color="auto"/>
                    <w:bottom w:val="none" w:sz="0" w:space="0" w:color="auto"/>
                    <w:right w:val="none" w:sz="0" w:space="0" w:color="auto"/>
                  </w:divBdr>
                </w:div>
              </w:divsChild>
            </w:div>
            <w:div w:id="586617435">
              <w:marLeft w:val="0"/>
              <w:marRight w:val="0"/>
              <w:marTop w:val="0"/>
              <w:marBottom w:val="0"/>
              <w:divBdr>
                <w:top w:val="none" w:sz="0" w:space="0" w:color="auto"/>
                <w:left w:val="none" w:sz="0" w:space="0" w:color="auto"/>
                <w:bottom w:val="none" w:sz="0" w:space="0" w:color="auto"/>
                <w:right w:val="none" w:sz="0" w:space="0" w:color="auto"/>
              </w:divBdr>
              <w:divsChild>
                <w:div w:id="2089188098">
                  <w:marLeft w:val="0"/>
                  <w:marRight w:val="0"/>
                  <w:marTop w:val="0"/>
                  <w:marBottom w:val="0"/>
                  <w:divBdr>
                    <w:top w:val="none" w:sz="0" w:space="0" w:color="auto"/>
                    <w:left w:val="none" w:sz="0" w:space="0" w:color="auto"/>
                    <w:bottom w:val="none" w:sz="0" w:space="0" w:color="auto"/>
                    <w:right w:val="none" w:sz="0" w:space="0" w:color="auto"/>
                  </w:divBdr>
                </w:div>
              </w:divsChild>
            </w:div>
            <w:div w:id="1419444853">
              <w:marLeft w:val="0"/>
              <w:marRight w:val="0"/>
              <w:marTop w:val="0"/>
              <w:marBottom w:val="0"/>
              <w:divBdr>
                <w:top w:val="none" w:sz="0" w:space="0" w:color="auto"/>
                <w:left w:val="none" w:sz="0" w:space="0" w:color="auto"/>
                <w:bottom w:val="none" w:sz="0" w:space="0" w:color="auto"/>
                <w:right w:val="none" w:sz="0" w:space="0" w:color="auto"/>
              </w:divBdr>
              <w:divsChild>
                <w:div w:id="1117868800">
                  <w:marLeft w:val="0"/>
                  <w:marRight w:val="0"/>
                  <w:marTop w:val="0"/>
                  <w:marBottom w:val="0"/>
                  <w:divBdr>
                    <w:top w:val="none" w:sz="0" w:space="0" w:color="auto"/>
                    <w:left w:val="none" w:sz="0" w:space="0" w:color="auto"/>
                    <w:bottom w:val="none" w:sz="0" w:space="0" w:color="auto"/>
                    <w:right w:val="none" w:sz="0" w:space="0" w:color="auto"/>
                  </w:divBdr>
                </w:div>
              </w:divsChild>
            </w:div>
            <w:div w:id="1024329368">
              <w:marLeft w:val="0"/>
              <w:marRight w:val="0"/>
              <w:marTop w:val="0"/>
              <w:marBottom w:val="0"/>
              <w:divBdr>
                <w:top w:val="none" w:sz="0" w:space="0" w:color="auto"/>
                <w:left w:val="none" w:sz="0" w:space="0" w:color="auto"/>
                <w:bottom w:val="none" w:sz="0" w:space="0" w:color="auto"/>
                <w:right w:val="none" w:sz="0" w:space="0" w:color="auto"/>
              </w:divBdr>
              <w:divsChild>
                <w:div w:id="1351419355">
                  <w:marLeft w:val="0"/>
                  <w:marRight w:val="0"/>
                  <w:marTop w:val="0"/>
                  <w:marBottom w:val="0"/>
                  <w:divBdr>
                    <w:top w:val="none" w:sz="0" w:space="0" w:color="auto"/>
                    <w:left w:val="none" w:sz="0" w:space="0" w:color="auto"/>
                    <w:bottom w:val="none" w:sz="0" w:space="0" w:color="auto"/>
                    <w:right w:val="none" w:sz="0" w:space="0" w:color="auto"/>
                  </w:divBdr>
                </w:div>
              </w:divsChild>
            </w:div>
            <w:div w:id="629745621">
              <w:marLeft w:val="0"/>
              <w:marRight w:val="0"/>
              <w:marTop w:val="0"/>
              <w:marBottom w:val="0"/>
              <w:divBdr>
                <w:top w:val="none" w:sz="0" w:space="0" w:color="auto"/>
                <w:left w:val="none" w:sz="0" w:space="0" w:color="auto"/>
                <w:bottom w:val="none" w:sz="0" w:space="0" w:color="auto"/>
                <w:right w:val="none" w:sz="0" w:space="0" w:color="auto"/>
              </w:divBdr>
              <w:divsChild>
                <w:div w:id="1994992694">
                  <w:marLeft w:val="0"/>
                  <w:marRight w:val="0"/>
                  <w:marTop w:val="0"/>
                  <w:marBottom w:val="0"/>
                  <w:divBdr>
                    <w:top w:val="none" w:sz="0" w:space="0" w:color="auto"/>
                    <w:left w:val="none" w:sz="0" w:space="0" w:color="auto"/>
                    <w:bottom w:val="none" w:sz="0" w:space="0" w:color="auto"/>
                    <w:right w:val="none" w:sz="0" w:space="0" w:color="auto"/>
                  </w:divBdr>
                </w:div>
              </w:divsChild>
            </w:div>
            <w:div w:id="261694878">
              <w:marLeft w:val="0"/>
              <w:marRight w:val="0"/>
              <w:marTop w:val="0"/>
              <w:marBottom w:val="0"/>
              <w:divBdr>
                <w:top w:val="none" w:sz="0" w:space="0" w:color="auto"/>
                <w:left w:val="none" w:sz="0" w:space="0" w:color="auto"/>
                <w:bottom w:val="none" w:sz="0" w:space="0" w:color="auto"/>
                <w:right w:val="none" w:sz="0" w:space="0" w:color="auto"/>
              </w:divBdr>
              <w:divsChild>
                <w:div w:id="886914146">
                  <w:marLeft w:val="0"/>
                  <w:marRight w:val="0"/>
                  <w:marTop w:val="0"/>
                  <w:marBottom w:val="0"/>
                  <w:divBdr>
                    <w:top w:val="none" w:sz="0" w:space="0" w:color="auto"/>
                    <w:left w:val="none" w:sz="0" w:space="0" w:color="auto"/>
                    <w:bottom w:val="none" w:sz="0" w:space="0" w:color="auto"/>
                    <w:right w:val="none" w:sz="0" w:space="0" w:color="auto"/>
                  </w:divBdr>
                </w:div>
              </w:divsChild>
            </w:div>
            <w:div w:id="645815204">
              <w:marLeft w:val="0"/>
              <w:marRight w:val="0"/>
              <w:marTop w:val="0"/>
              <w:marBottom w:val="0"/>
              <w:divBdr>
                <w:top w:val="none" w:sz="0" w:space="0" w:color="auto"/>
                <w:left w:val="none" w:sz="0" w:space="0" w:color="auto"/>
                <w:bottom w:val="none" w:sz="0" w:space="0" w:color="auto"/>
                <w:right w:val="none" w:sz="0" w:space="0" w:color="auto"/>
              </w:divBdr>
              <w:divsChild>
                <w:div w:id="559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7247">
          <w:marLeft w:val="0"/>
          <w:marRight w:val="0"/>
          <w:marTop w:val="0"/>
          <w:marBottom w:val="600"/>
          <w:divBdr>
            <w:top w:val="none" w:sz="0" w:space="0" w:color="auto"/>
            <w:left w:val="none" w:sz="0" w:space="0" w:color="auto"/>
            <w:bottom w:val="none" w:sz="0" w:space="0" w:color="auto"/>
            <w:right w:val="none" w:sz="0" w:space="0" w:color="auto"/>
          </w:divBdr>
        </w:div>
      </w:divsChild>
    </w:div>
    <w:div w:id="86197261">
      <w:marLeft w:val="0"/>
      <w:marRight w:val="0"/>
      <w:marTop w:val="0"/>
      <w:marBottom w:val="0"/>
      <w:divBdr>
        <w:top w:val="none" w:sz="0" w:space="0" w:color="auto"/>
        <w:left w:val="none" w:sz="0" w:space="0" w:color="auto"/>
        <w:bottom w:val="none" w:sz="0" w:space="0" w:color="auto"/>
        <w:right w:val="none" w:sz="0" w:space="0" w:color="auto"/>
      </w:divBdr>
    </w:div>
    <w:div w:id="113258619">
      <w:marLeft w:val="0"/>
      <w:marRight w:val="0"/>
      <w:marTop w:val="0"/>
      <w:marBottom w:val="0"/>
      <w:divBdr>
        <w:top w:val="none" w:sz="0" w:space="0" w:color="auto"/>
        <w:left w:val="none" w:sz="0" w:space="0" w:color="auto"/>
        <w:bottom w:val="none" w:sz="0" w:space="0" w:color="auto"/>
        <w:right w:val="none" w:sz="0" w:space="0" w:color="auto"/>
      </w:divBdr>
      <w:divsChild>
        <w:div w:id="440612926">
          <w:marLeft w:val="0"/>
          <w:marRight w:val="0"/>
          <w:marTop w:val="432"/>
          <w:marBottom w:val="0"/>
          <w:divBdr>
            <w:top w:val="none" w:sz="0" w:space="0" w:color="auto"/>
            <w:left w:val="none" w:sz="0" w:space="0" w:color="auto"/>
            <w:bottom w:val="none" w:sz="0" w:space="0" w:color="auto"/>
            <w:right w:val="none" w:sz="0" w:space="0" w:color="auto"/>
          </w:divBdr>
        </w:div>
        <w:div w:id="1205631447">
          <w:marLeft w:val="0"/>
          <w:marRight w:val="0"/>
          <w:marTop w:val="0"/>
          <w:marBottom w:val="0"/>
          <w:divBdr>
            <w:top w:val="none" w:sz="0" w:space="0" w:color="auto"/>
            <w:left w:val="none" w:sz="0" w:space="0" w:color="auto"/>
            <w:bottom w:val="none" w:sz="0" w:space="0" w:color="auto"/>
            <w:right w:val="none" w:sz="0" w:space="0" w:color="auto"/>
          </w:divBdr>
          <w:divsChild>
            <w:div w:id="1199664920">
              <w:marLeft w:val="0"/>
              <w:marRight w:val="0"/>
              <w:marTop w:val="0"/>
              <w:marBottom w:val="0"/>
              <w:divBdr>
                <w:top w:val="none" w:sz="0" w:space="0" w:color="auto"/>
                <w:left w:val="none" w:sz="0" w:space="0" w:color="auto"/>
                <w:bottom w:val="none" w:sz="0" w:space="0" w:color="auto"/>
                <w:right w:val="none" w:sz="0" w:space="0" w:color="auto"/>
              </w:divBdr>
              <w:divsChild>
                <w:div w:id="747925564">
                  <w:marLeft w:val="0"/>
                  <w:marRight w:val="0"/>
                  <w:marTop w:val="0"/>
                  <w:marBottom w:val="0"/>
                  <w:divBdr>
                    <w:top w:val="none" w:sz="0" w:space="0" w:color="auto"/>
                    <w:left w:val="none" w:sz="0" w:space="0" w:color="auto"/>
                    <w:bottom w:val="none" w:sz="0" w:space="0" w:color="auto"/>
                    <w:right w:val="none" w:sz="0" w:space="0" w:color="auto"/>
                  </w:divBdr>
                </w:div>
              </w:divsChild>
            </w:div>
            <w:div w:id="1459488767">
              <w:marLeft w:val="0"/>
              <w:marRight w:val="0"/>
              <w:marTop w:val="0"/>
              <w:marBottom w:val="0"/>
              <w:divBdr>
                <w:top w:val="none" w:sz="0" w:space="0" w:color="auto"/>
                <w:left w:val="none" w:sz="0" w:space="0" w:color="auto"/>
                <w:bottom w:val="none" w:sz="0" w:space="0" w:color="auto"/>
                <w:right w:val="none" w:sz="0" w:space="0" w:color="auto"/>
              </w:divBdr>
              <w:divsChild>
                <w:div w:id="279537557">
                  <w:marLeft w:val="0"/>
                  <w:marRight w:val="0"/>
                  <w:marTop w:val="0"/>
                  <w:marBottom w:val="0"/>
                  <w:divBdr>
                    <w:top w:val="none" w:sz="0" w:space="0" w:color="auto"/>
                    <w:left w:val="none" w:sz="0" w:space="0" w:color="auto"/>
                    <w:bottom w:val="none" w:sz="0" w:space="0" w:color="auto"/>
                    <w:right w:val="none" w:sz="0" w:space="0" w:color="auto"/>
                  </w:divBdr>
                </w:div>
              </w:divsChild>
            </w:div>
            <w:div w:id="584920853">
              <w:marLeft w:val="0"/>
              <w:marRight w:val="0"/>
              <w:marTop w:val="0"/>
              <w:marBottom w:val="0"/>
              <w:divBdr>
                <w:top w:val="none" w:sz="0" w:space="0" w:color="auto"/>
                <w:left w:val="none" w:sz="0" w:space="0" w:color="auto"/>
                <w:bottom w:val="none" w:sz="0" w:space="0" w:color="auto"/>
                <w:right w:val="none" w:sz="0" w:space="0" w:color="auto"/>
              </w:divBdr>
              <w:divsChild>
                <w:div w:id="1407066946">
                  <w:marLeft w:val="0"/>
                  <w:marRight w:val="0"/>
                  <w:marTop w:val="0"/>
                  <w:marBottom w:val="0"/>
                  <w:divBdr>
                    <w:top w:val="none" w:sz="0" w:space="0" w:color="auto"/>
                    <w:left w:val="none" w:sz="0" w:space="0" w:color="auto"/>
                    <w:bottom w:val="none" w:sz="0" w:space="0" w:color="auto"/>
                    <w:right w:val="none" w:sz="0" w:space="0" w:color="auto"/>
                  </w:divBdr>
                </w:div>
              </w:divsChild>
            </w:div>
            <w:div w:id="732701906">
              <w:marLeft w:val="0"/>
              <w:marRight w:val="0"/>
              <w:marTop w:val="0"/>
              <w:marBottom w:val="0"/>
              <w:divBdr>
                <w:top w:val="none" w:sz="0" w:space="0" w:color="auto"/>
                <w:left w:val="none" w:sz="0" w:space="0" w:color="auto"/>
                <w:bottom w:val="none" w:sz="0" w:space="0" w:color="auto"/>
                <w:right w:val="none" w:sz="0" w:space="0" w:color="auto"/>
              </w:divBdr>
              <w:divsChild>
                <w:div w:id="1225335655">
                  <w:marLeft w:val="0"/>
                  <w:marRight w:val="0"/>
                  <w:marTop w:val="0"/>
                  <w:marBottom w:val="0"/>
                  <w:divBdr>
                    <w:top w:val="none" w:sz="0" w:space="0" w:color="auto"/>
                    <w:left w:val="none" w:sz="0" w:space="0" w:color="auto"/>
                    <w:bottom w:val="none" w:sz="0" w:space="0" w:color="auto"/>
                    <w:right w:val="none" w:sz="0" w:space="0" w:color="auto"/>
                  </w:divBdr>
                </w:div>
              </w:divsChild>
            </w:div>
            <w:div w:id="1968655356">
              <w:marLeft w:val="0"/>
              <w:marRight w:val="0"/>
              <w:marTop w:val="0"/>
              <w:marBottom w:val="0"/>
              <w:divBdr>
                <w:top w:val="none" w:sz="0" w:space="0" w:color="auto"/>
                <w:left w:val="none" w:sz="0" w:space="0" w:color="auto"/>
                <w:bottom w:val="none" w:sz="0" w:space="0" w:color="auto"/>
                <w:right w:val="none" w:sz="0" w:space="0" w:color="auto"/>
              </w:divBdr>
              <w:divsChild>
                <w:div w:id="762456277">
                  <w:marLeft w:val="0"/>
                  <w:marRight w:val="0"/>
                  <w:marTop w:val="0"/>
                  <w:marBottom w:val="0"/>
                  <w:divBdr>
                    <w:top w:val="none" w:sz="0" w:space="0" w:color="auto"/>
                    <w:left w:val="none" w:sz="0" w:space="0" w:color="auto"/>
                    <w:bottom w:val="none" w:sz="0" w:space="0" w:color="auto"/>
                    <w:right w:val="none" w:sz="0" w:space="0" w:color="auto"/>
                  </w:divBdr>
                </w:div>
              </w:divsChild>
            </w:div>
            <w:div w:id="712272386">
              <w:marLeft w:val="0"/>
              <w:marRight w:val="0"/>
              <w:marTop w:val="0"/>
              <w:marBottom w:val="0"/>
              <w:divBdr>
                <w:top w:val="none" w:sz="0" w:space="0" w:color="auto"/>
                <w:left w:val="none" w:sz="0" w:space="0" w:color="auto"/>
                <w:bottom w:val="none" w:sz="0" w:space="0" w:color="auto"/>
                <w:right w:val="none" w:sz="0" w:space="0" w:color="auto"/>
              </w:divBdr>
              <w:divsChild>
                <w:div w:id="870651273">
                  <w:marLeft w:val="0"/>
                  <w:marRight w:val="0"/>
                  <w:marTop w:val="0"/>
                  <w:marBottom w:val="0"/>
                  <w:divBdr>
                    <w:top w:val="none" w:sz="0" w:space="0" w:color="auto"/>
                    <w:left w:val="none" w:sz="0" w:space="0" w:color="auto"/>
                    <w:bottom w:val="none" w:sz="0" w:space="0" w:color="auto"/>
                    <w:right w:val="none" w:sz="0" w:space="0" w:color="auto"/>
                  </w:divBdr>
                </w:div>
              </w:divsChild>
            </w:div>
            <w:div w:id="521406426">
              <w:marLeft w:val="0"/>
              <w:marRight w:val="0"/>
              <w:marTop w:val="0"/>
              <w:marBottom w:val="0"/>
              <w:divBdr>
                <w:top w:val="none" w:sz="0" w:space="0" w:color="auto"/>
                <w:left w:val="none" w:sz="0" w:space="0" w:color="auto"/>
                <w:bottom w:val="none" w:sz="0" w:space="0" w:color="auto"/>
                <w:right w:val="none" w:sz="0" w:space="0" w:color="auto"/>
              </w:divBdr>
              <w:divsChild>
                <w:div w:id="1967732277">
                  <w:marLeft w:val="0"/>
                  <w:marRight w:val="0"/>
                  <w:marTop w:val="0"/>
                  <w:marBottom w:val="0"/>
                  <w:divBdr>
                    <w:top w:val="none" w:sz="0" w:space="0" w:color="auto"/>
                    <w:left w:val="none" w:sz="0" w:space="0" w:color="auto"/>
                    <w:bottom w:val="none" w:sz="0" w:space="0" w:color="auto"/>
                    <w:right w:val="none" w:sz="0" w:space="0" w:color="auto"/>
                  </w:divBdr>
                </w:div>
              </w:divsChild>
            </w:div>
            <w:div w:id="94374257">
              <w:marLeft w:val="0"/>
              <w:marRight w:val="0"/>
              <w:marTop w:val="0"/>
              <w:marBottom w:val="0"/>
              <w:divBdr>
                <w:top w:val="none" w:sz="0" w:space="0" w:color="auto"/>
                <w:left w:val="none" w:sz="0" w:space="0" w:color="auto"/>
                <w:bottom w:val="none" w:sz="0" w:space="0" w:color="auto"/>
                <w:right w:val="none" w:sz="0" w:space="0" w:color="auto"/>
              </w:divBdr>
              <w:divsChild>
                <w:div w:id="1176263890">
                  <w:marLeft w:val="0"/>
                  <w:marRight w:val="0"/>
                  <w:marTop w:val="0"/>
                  <w:marBottom w:val="0"/>
                  <w:divBdr>
                    <w:top w:val="none" w:sz="0" w:space="0" w:color="auto"/>
                    <w:left w:val="none" w:sz="0" w:space="0" w:color="auto"/>
                    <w:bottom w:val="none" w:sz="0" w:space="0" w:color="auto"/>
                    <w:right w:val="none" w:sz="0" w:space="0" w:color="auto"/>
                  </w:divBdr>
                </w:div>
              </w:divsChild>
            </w:div>
            <w:div w:id="1206144157">
              <w:marLeft w:val="0"/>
              <w:marRight w:val="0"/>
              <w:marTop w:val="0"/>
              <w:marBottom w:val="0"/>
              <w:divBdr>
                <w:top w:val="none" w:sz="0" w:space="0" w:color="auto"/>
                <w:left w:val="none" w:sz="0" w:space="0" w:color="auto"/>
                <w:bottom w:val="none" w:sz="0" w:space="0" w:color="auto"/>
                <w:right w:val="none" w:sz="0" w:space="0" w:color="auto"/>
              </w:divBdr>
              <w:divsChild>
                <w:div w:id="1262568148">
                  <w:marLeft w:val="0"/>
                  <w:marRight w:val="0"/>
                  <w:marTop w:val="0"/>
                  <w:marBottom w:val="0"/>
                  <w:divBdr>
                    <w:top w:val="none" w:sz="0" w:space="0" w:color="auto"/>
                    <w:left w:val="none" w:sz="0" w:space="0" w:color="auto"/>
                    <w:bottom w:val="none" w:sz="0" w:space="0" w:color="auto"/>
                    <w:right w:val="none" w:sz="0" w:space="0" w:color="auto"/>
                  </w:divBdr>
                </w:div>
              </w:divsChild>
            </w:div>
            <w:div w:id="880435196">
              <w:marLeft w:val="0"/>
              <w:marRight w:val="0"/>
              <w:marTop w:val="0"/>
              <w:marBottom w:val="0"/>
              <w:divBdr>
                <w:top w:val="none" w:sz="0" w:space="0" w:color="auto"/>
                <w:left w:val="none" w:sz="0" w:space="0" w:color="auto"/>
                <w:bottom w:val="none" w:sz="0" w:space="0" w:color="auto"/>
                <w:right w:val="none" w:sz="0" w:space="0" w:color="auto"/>
              </w:divBdr>
              <w:divsChild>
                <w:div w:id="1351489659">
                  <w:marLeft w:val="0"/>
                  <w:marRight w:val="0"/>
                  <w:marTop w:val="0"/>
                  <w:marBottom w:val="0"/>
                  <w:divBdr>
                    <w:top w:val="none" w:sz="0" w:space="0" w:color="auto"/>
                    <w:left w:val="none" w:sz="0" w:space="0" w:color="auto"/>
                    <w:bottom w:val="none" w:sz="0" w:space="0" w:color="auto"/>
                    <w:right w:val="none" w:sz="0" w:space="0" w:color="auto"/>
                  </w:divBdr>
                </w:div>
              </w:divsChild>
            </w:div>
            <w:div w:id="2083596837">
              <w:marLeft w:val="0"/>
              <w:marRight w:val="0"/>
              <w:marTop w:val="0"/>
              <w:marBottom w:val="0"/>
              <w:divBdr>
                <w:top w:val="none" w:sz="0" w:space="0" w:color="auto"/>
                <w:left w:val="none" w:sz="0" w:space="0" w:color="auto"/>
                <w:bottom w:val="none" w:sz="0" w:space="0" w:color="auto"/>
                <w:right w:val="none" w:sz="0" w:space="0" w:color="auto"/>
              </w:divBdr>
              <w:divsChild>
                <w:div w:id="1980726871">
                  <w:marLeft w:val="0"/>
                  <w:marRight w:val="0"/>
                  <w:marTop w:val="0"/>
                  <w:marBottom w:val="0"/>
                  <w:divBdr>
                    <w:top w:val="none" w:sz="0" w:space="0" w:color="auto"/>
                    <w:left w:val="none" w:sz="0" w:space="0" w:color="auto"/>
                    <w:bottom w:val="none" w:sz="0" w:space="0" w:color="auto"/>
                    <w:right w:val="none" w:sz="0" w:space="0" w:color="auto"/>
                  </w:divBdr>
                </w:div>
              </w:divsChild>
            </w:div>
            <w:div w:id="1068960931">
              <w:marLeft w:val="0"/>
              <w:marRight w:val="0"/>
              <w:marTop w:val="0"/>
              <w:marBottom w:val="0"/>
              <w:divBdr>
                <w:top w:val="none" w:sz="0" w:space="0" w:color="auto"/>
                <w:left w:val="none" w:sz="0" w:space="0" w:color="auto"/>
                <w:bottom w:val="none" w:sz="0" w:space="0" w:color="auto"/>
                <w:right w:val="none" w:sz="0" w:space="0" w:color="auto"/>
              </w:divBdr>
              <w:divsChild>
                <w:div w:id="1864007183">
                  <w:marLeft w:val="0"/>
                  <w:marRight w:val="0"/>
                  <w:marTop w:val="0"/>
                  <w:marBottom w:val="0"/>
                  <w:divBdr>
                    <w:top w:val="none" w:sz="0" w:space="0" w:color="auto"/>
                    <w:left w:val="none" w:sz="0" w:space="0" w:color="auto"/>
                    <w:bottom w:val="none" w:sz="0" w:space="0" w:color="auto"/>
                    <w:right w:val="none" w:sz="0" w:space="0" w:color="auto"/>
                  </w:divBdr>
                </w:div>
              </w:divsChild>
            </w:div>
            <w:div w:id="10109198">
              <w:marLeft w:val="0"/>
              <w:marRight w:val="0"/>
              <w:marTop w:val="0"/>
              <w:marBottom w:val="0"/>
              <w:divBdr>
                <w:top w:val="none" w:sz="0" w:space="0" w:color="auto"/>
                <w:left w:val="none" w:sz="0" w:space="0" w:color="auto"/>
                <w:bottom w:val="none" w:sz="0" w:space="0" w:color="auto"/>
                <w:right w:val="none" w:sz="0" w:space="0" w:color="auto"/>
              </w:divBdr>
              <w:divsChild>
                <w:div w:id="1457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2125">
          <w:marLeft w:val="0"/>
          <w:marRight w:val="0"/>
          <w:marTop w:val="0"/>
          <w:marBottom w:val="600"/>
          <w:divBdr>
            <w:top w:val="none" w:sz="0" w:space="0" w:color="auto"/>
            <w:left w:val="none" w:sz="0" w:space="0" w:color="auto"/>
            <w:bottom w:val="none" w:sz="0" w:space="0" w:color="auto"/>
            <w:right w:val="none" w:sz="0" w:space="0" w:color="auto"/>
          </w:divBdr>
        </w:div>
      </w:divsChild>
    </w:div>
    <w:div w:id="156576805">
      <w:marLeft w:val="0"/>
      <w:marRight w:val="0"/>
      <w:marTop w:val="0"/>
      <w:marBottom w:val="0"/>
      <w:divBdr>
        <w:top w:val="none" w:sz="0" w:space="0" w:color="auto"/>
        <w:left w:val="none" w:sz="0" w:space="0" w:color="auto"/>
        <w:bottom w:val="none" w:sz="0" w:space="0" w:color="auto"/>
        <w:right w:val="none" w:sz="0" w:space="0" w:color="auto"/>
      </w:divBdr>
      <w:divsChild>
        <w:div w:id="1282960053">
          <w:marLeft w:val="0"/>
          <w:marRight w:val="0"/>
          <w:marTop w:val="432"/>
          <w:marBottom w:val="0"/>
          <w:divBdr>
            <w:top w:val="none" w:sz="0" w:space="0" w:color="auto"/>
            <w:left w:val="none" w:sz="0" w:space="0" w:color="auto"/>
            <w:bottom w:val="none" w:sz="0" w:space="0" w:color="auto"/>
            <w:right w:val="none" w:sz="0" w:space="0" w:color="auto"/>
          </w:divBdr>
        </w:div>
        <w:div w:id="744303184">
          <w:marLeft w:val="0"/>
          <w:marRight w:val="0"/>
          <w:marTop w:val="0"/>
          <w:marBottom w:val="0"/>
          <w:divBdr>
            <w:top w:val="none" w:sz="0" w:space="0" w:color="auto"/>
            <w:left w:val="none" w:sz="0" w:space="0" w:color="auto"/>
            <w:bottom w:val="none" w:sz="0" w:space="0" w:color="auto"/>
            <w:right w:val="none" w:sz="0" w:space="0" w:color="auto"/>
          </w:divBdr>
        </w:div>
        <w:div w:id="1318412955">
          <w:marLeft w:val="0"/>
          <w:marRight w:val="0"/>
          <w:marTop w:val="0"/>
          <w:marBottom w:val="600"/>
          <w:divBdr>
            <w:top w:val="none" w:sz="0" w:space="0" w:color="auto"/>
            <w:left w:val="none" w:sz="0" w:space="0" w:color="auto"/>
            <w:bottom w:val="none" w:sz="0" w:space="0" w:color="auto"/>
            <w:right w:val="none" w:sz="0" w:space="0" w:color="auto"/>
          </w:divBdr>
        </w:div>
      </w:divsChild>
    </w:div>
    <w:div w:id="192153439">
      <w:marLeft w:val="0"/>
      <w:marRight w:val="0"/>
      <w:marTop w:val="0"/>
      <w:marBottom w:val="0"/>
      <w:divBdr>
        <w:top w:val="none" w:sz="0" w:space="0" w:color="auto"/>
        <w:left w:val="none" w:sz="0" w:space="0" w:color="auto"/>
        <w:bottom w:val="none" w:sz="0" w:space="0" w:color="auto"/>
        <w:right w:val="none" w:sz="0" w:space="0" w:color="auto"/>
      </w:divBdr>
      <w:divsChild>
        <w:div w:id="625353341">
          <w:marLeft w:val="0"/>
          <w:marRight w:val="0"/>
          <w:marTop w:val="432"/>
          <w:marBottom w:val="0"/>
          <w:divBdr>
            <w:top w:val="none" w:sz="0" w:space="0" w:color="auto"/>
            <w:left w:val="none" w:sz="0" w:space="0" w:color="auto"/>
            <w:bottom w:val="none" w:sz="0" w:space="0" w:color="auto"/>
            <w:right w:val="none" w:sz="0" w:space="0" w:color="auto"/>
          </w:divBdr>
        </w:div>
        <w:div w:id="1381132041">
          <w:marLeft w:val="0"/>
          <w:marRight w:val="0"/>
          <w:marTop w:val="0"/>
          <w:marBottom w:val="0"/>
          <w:divBdr>
            <w:top w:val="none" w:sz="0" w:space="0" w:color="auto"/>
            <w:left w:val="none" w:sz="0" w:space="0" w:color="auto"/>
            <w:bottom w:val="none" w:sz="0" w:space="0" w:color="auto"/>
            <w:right w:val="none" w:sz="0" w:space="0" w:color="auto"/>
          </w:divBdr>
          <w:divsChild>
            <w:div w:id="397824023">
              <w:marLeft w:val="0"/>
              <w:marRight w:val="0"/>
              <w:marTop w:val="0"/>
              <w:marBottom w:val="0"/>
              <w:divBdr>
                <w:top w:val="none" w:sz="0" w:space="0" w:color="auto"/>
                <w:left w:val="none" w:sz="0" w:space="0" w:color="auto"/>
                <w:bottom w:val="none" w:sz="0" w:space="0" w:color="auto"/>
                <w:right w:val="none" w:sz="0" w:space="0" w:color="auto"/>
              </w:divBdr>
              <w:divsChild>
                <w:div w:id="816452713">
                  <w:marLeft w:val="0"/>
                  <w:marRight w:val="0"/>
                  <w:marTop w:val="0"/>
                  <w:marBottom w:val="0"/>
                  <w:divBdr>
                    <w:top w:val="none" w:sz="0" w:space="0" w:color="auto"/>
                    <w:left w:val="none" w:sz="0" w:space="0" w:color="auto"/>
                    <w:bottom w:val="none" w:sz="0" w:space="0" w:color="auto"/>
                    <w:right w:val="none" w:sz="0" w:space="0" w:color="auto"/>
                  </w:divBdr>
                </w:div>
              </w:divsChild>
            </w:div>
            <w:div w:id="1909001557">
              <w:marLeft w:val="0"/>
              <w:marRight w:val="0"/>
              <w:marTop w:val="0"/>
              <w:marBottom w:val="0"/>
              <w:divBdr>
                <w:top w:val="none" w:sz="0" w:space="0" w:color="auto"/>
                <w:left w:val="none" w:sz="0" w:space="0" w:color="auto"/>
                <w:bottom w:val="none" w:sz="0" w:space="0" w:color="auto"/>
                <w:right w:val="none" w:sz="0" w:space="0" w:color="auto"/>
              </w:divBdr>
              <w:divsChild>
                <w:div w:id="367488287">
                  <w:marLeft w:val="0"/>
                  <w:marRight w:val="0"/>
                  <w:marTop w:val="0"/>
                  <w:marBottom w:val="0"/>
                  <w:divBdr>
                    <w:top w:val="none" w:sz="0" w:space="0" w:color="auto"/>
                    <w:left w:val="none" w:sz="0" w:space="0" w:color="auto"/>
                    <w:bottom w:val="none" w:sz="0" w:space="0" w:color="auto"/>
                    <w:right w:val="none" w:sz="0" w:space="0" w:color="auto"/>
                  </w:divBdr>
                </w:div>
              </w:divsChild>
            </w:div>
            <w:div w:id="1794521126">
              <w:marLeft w:val="0"/>
              <w:marRight w:val="0"/>
              <w:marTop w:val="0"/>
              <w:marBottom w:val="0"/>
              <w:divBdr>
                <w:top w:val="none" w:sz="0" w:space="0" w:color="auto"/>
                <w:left w:val="none" w:sz="0" w:space="0" w:color="auto"/>
                <w:bottom w:val="none" w:sz="0" w:space="0" w:color="auto"/>
                <w:right w:val="none" w:sz="0" w:space="0" w:color="auto"/>
              </w:divBdr>
              <w:divsChild>
                <w:div w:id="342823860">
                  <w:marLeft w:val="0"/>
                  <w:marRight w:val="0"/>
                  <w:marTop w:val="0"/>
                  <w:marBottom w:val="0"/>
                  <w:divBdr>
                    <w:top w:val="none" w:sz="0" w:space="0" w:color="auto"/>
                    <w:left w:val="none" w:sz="0" w:space="0" w:color="auto"/>
                    <w:bottom w:val="none" w:sz="0" w:space="0" w:color="auto"/>
                    <w:right w:val="none" w:sz="0" w:space="0" w:color="auto"/>
                  </w:divBdr>
                </w:div>
              </w:divsChild>
            </w:div>
            <w:div w:id="286620542">
              <w:marLeft w:val="0"/>
              <w:marRight w:val="0"/>
              <w:marTop w:val="0"/>
              <w:marBottom w:val="0"/>
              <w:divBdr>
                <w:top w:val="none" w:sz="0" w:space="0" w:color="auto"/>
                <w:left w:val="none" w:sz="0" w:space="0" w:color="auto"/>
                <w:bottom w:val="none" w:sz="0" w:space="0" w:color="auto"/>
                <w:right w:val="none" w:sz="0" w:space="0" w:color="auto"/>
              </w:divBdr>
              <w:divsChild>
                <w:div w:id="335039617">
                  <w:marLeft w:val="0"/>
                  <w:marRight w:val="0"/>
                  <w:marTop w:val="0"/>
                  <w:marBottom w:val="0"/>
                  <w:divBdr>
                    <w:top w:val="none" w:sz="0" w:space="0" w:color="auto"/>
                    <w:left w:val="none" w:sz="0" w:space="0" w:color="auto"/>
                    <w:bottom w:val="none" w:sz="0" w:space="0" w:color="auto"/>
                    <w:right w:val="none" w:sz="0" w:space="0" w:color="auto"/>
                  </w:divBdr>
                </w:div>
              </w:divsChild>
            </w:div>
            <w:div w:id="741871111">
              <w:marLeft w:val="0"/>
              <w:marRight w:val="0"/>
              <w:marTop w:val="0"/>
              <w:marBottom w:val="0"/>
              <w:divBdr>
                <w:top w:val="none" w:sz="0" w:space="0" w:color="auto"/>
                <w:left w:val="none" w:sz="0" w:space="0" w:color="auto"/>
                <w:bottom w:val="none" w:sz="0" w:space="0" w:color="auto"/>
                <w:right w:val="none" w:sz="0" w:space="0" w:color="auto"/>
              </w:divBdr>
              <w:divsChild>
                <w:div w:id="1217622959">
                  <w:marLeft w:val="0"/>
                  <w:marRight w:val="0"/>
                  <w:marTop w:val="0"/>
                  <w:marBottom w:val="0"/>
                  <w:divBdr>
                    <w:top w:val="none" w:sz="0" w:space="0" w:color="auto"/>
                    <w:left w:val="none" w:sz="0" w:space="0" w:color="auto"/>
                    <w:bottom w:val="none" w:sz="0" w:space="0" w:color="auto"/>
                    <w:right w:val="none" w:sz="0" w:space="0" w:color="auto"/>
                  </w:divBdr>
                </w:div>
              </w:divsChild>
            </w:div>
            <w:div w:id="1911692767">
              <w:marLeft w:val="0"/>
              <w:marRight w:val="0"/>
              <w:marTop w:val="0"/>
              <w:marBottom w:val="0"/>
              <w:divBdr>
                <w:top w:val="none" w:sz="0" w:space="0" w:color="auto"/>
                <w:left w:val="none" w:sz="0" w:space="0" w:color="auto"/>
                <w:bottom w:val="none" w:sz="0" w:space="0" w:color="auto"/>
                <w:right w:val="none" w:sz="0" w:space="0" w:color="auto"/>
              </w:divBdr>
              <w:divsChild>
                <w:div w:id="951012530">
                  <w:marLeft w:val="0"/>
                  <w:marRight w:val="0"/>
                  <w:marTop w:val="0"/>
                  <w:marBottom w:val="0"/>
                  <w:divBdr>
                    <w:top w:val="none" w:sz="0" w:space="0" w:color="auto"/>
                    <w:left w:val="none" w:sz="0" w:space="0" w:color="auto"/>
                    <w:bottom w:val="none" w:sz="0" w:space="0" w:color="auto"/>
                    <w:right w:val="none" w:sz="0" w:space="0" w:color="auto"/>
                  </w:divBdr>
                </w:div>
              </w:divsChild>
            </w:div>
            <w:div w:id="947002364">
              <w:marLeft w:val="0"/>
              <w:marRight w:val="0"/>
              <w:marTop w:val="0"/>
              <w:marBottom w:val="0"/>
              <w:divBdr>
                <w:top w:val="none" w:sz="0" w:space="0" w:color="auto"/>
                <w:left w:val="none" w:sz="0" w:space="0" w:color="auto"/>
                <w:bottom w:val="none" w:sz="0" w:space="0" w:color="auto"/>
                <w:right w:val="none" w:sz="0" w:space="0" w:color="auto"/>
              </w:divBdr>
              <w:divsChild>
                <w:div w:id="2150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014">
          <w:marLeft w:val="0"/>
          <w:marRight w:val="0"/>
          <w:marTop w:val="0"/>
          <w:marBottom w:val="600"/>
          <w:divBdr>
            <w:top w:val="none" w:sz="0" w:space="0" w:color="auto"/>
            <w:left w:val="none" w:sz="0" w:space="0" w:color="auto"/>
            <w:bottom w:val="none" w:sz="0" w:space="0" w:color="auto"/>
            <w:right w:val="none" w:sz="0" w:space="0" w:color="auto"/>
          </w:divBdr>
        </w:div>
      </w:divsChild>
    </w:div>
    <w:div w:id="206112252">
      <w:marLeft w:val="0"/>
      <w:marRight w:val="0"/>
      <w:marTop w:val="0"/>
      <w:marBottom w:val="0"/>
      <w:divBdr>
        <w:top w:val="none" w:sz="0" w:space="0" w:color="auto"/>
        <w:left w:val="none" w:sz="0" w:space="0" w:color="auto"/>
        <w:bottom w:val="none" w:sz="0" w:space="0" w:color="auto"/>
        <w:right w:val="none" w:sz="0" w:space="0" w:color="auto"/>
      </w:divBdr>
      <w:divsChild>
        <w:div w:id="228000051">
          <w:marLeft w:val="0"/>
          <w:marRight w:val="0"/>
          <w:marTop w:val="432"/>
          <w:marBottom w:val="0"/>
          <w:divBdr>
            <w:top w:val="none" w:sz="0" w:space="0" w:color="auto"/>
            <w:left w:val="none" w:sz="0" w:space="0" w:color="auto"/>
            <w:bottom w:val="none" w:sz="0" w:space="0" w:color="auto"/>
            <w:right w:val="none" w:sz="0" w:space="0" w:color="auto"/>
          </w:divBdr>
        </w:div>
        <w:div w:id="1398239520">
          <w:marLeft w:val="0"/>
          <w:marRight w:val="0"/>
          <w:marTop w:val="0"/>
          <w:marBottom w:val="0"/>
          <w:divBdr>
            <w:top w:val="none" w:sz="0" w:space="0" w:color="auto"/>
            <w:left w:val="none" w:sz="0" w:space="0" w:color="auto"/>
            <w:bottom w:val="none" w:sz="0" w:space="0" w:color="auto"/>
            <w:right w:val="none" w:sz="0" w:space="0" w:color="auto"/>
          </w:divBdr>
        </w:div>
        <w:div w:id="2033339458">
          <w:marLeft w:val="0"/>
          <w:marRight w:val="0"/>
          <w:marTop w:val="0"/>
          <w:marBottom w:val="600"/>
          <w:divBdr>
            <w:top w:val="none" w:sz="0" w:space="0" w:color="auto"/>
            <w:left w:val="none" w:sz="0" w:space="0" w:color="auto"/>
            <w:bottom w:val="none" w:sz="0" w:space="0" w:color="auto"/>
            <w:right w:val="none" w:sz="0" w:space="0" w:color="auto"/>
          </w:divBdr>
        </w:div>
      </w:divsChild>
    </w:div>
    <w:div w:id="238447592">
      <w:marLeft w:val="0"/>
      <w:marRight w:val="0"/>
      <w:marTop w:val="0"/>
      <w:marBottom w:val="0"/>
      <w:divBdr>
        <w:top w:val="none" w:sz="0" w:space="0" w:color="auto"/>
        <w:left w:val="none" w:sz="0" w:space="0" w:color="auto"/>
        <w:bottom w:val="none" w:sz="0" w:space="0" w:color="auto"/>
        <w:right w:val="none" w:sz="0" w:space="0" w:color="auto"/>
      </w:divBdr>
      <w:divsChild>
        <w:div w:id="1063405135">
          <w:marLeft w:val="0"/>
          <w:marRight w:val="0"/>
          <w:marTop w:val="432"/>
          <w:marBottom w:val="0"/>
          <w:divBdr>
            <w:top w:val="none" w:sz="0" w:space="0" w:color="auto"/>
            <w:left w:val="none" w:sz="0" w:space="0" w:color="auto"/>
            <w:bottom w:val="none" w:sz="0" w:space="0" w:color="auto"/>
            <w:right w:val="none" w:sz="0" w:space="0" w:color="auto"/>
          </w:divBdr>
        </w:div>
        <w:div w:id="1238637909">
          <w:marLeft w:val="0"/>
          <w:marRight w:val="0"/>
          <w:marTop w:val="0"/>
          <w:marBottom w:val="0"/>
          <w:divBdr>
            <w:top w:val="none" w:sz="0" w:space="0" w:color="auto"/>
            <w:left w:val="none" w:sz="0" w:space="0" w:color="auto"/>
            <w:bottom w:val="none" w:sz="0" w:space="0" w:color="auto"/>
            <w:right w:val="none" w:sz="0" w:space="0" w:color="auto"/>
          </w:divBdr>
          <w:divsChild>
            <w:div w:id="510223806">
              <w:marLeft w:val="0"/>
              <w:marRight w:val="0"/>
              <w:marTop w:val="0"/>
              <w:marBottom w:val="0"/>
              <w:divBdr>
                <w:top w:val="none" w:sz="0" w:space="0" w:color="auto"/>
                <w:left w:val="none" w:sz="0" w:space="0" w:color="auto"/>
                <w:bottom w:val="none" w:sz="0" w:space="0" w:color="auto"/>
                <w:right w:val="none" w:sz="0" w:space="0" w:color="auto"/>
              </w:divBdr>
              <w:divsChild>
                <w:div w:id="1616401755">
                  <w:marLeft w:val="0"/>
                  <w:marRight w:val="0"/>
                  <w:marTop w:val="0"/>
                  <w:marBottom w:val="0"/>
                  <w:divBdr>
                    <w:top w:val="none" w:sz="0" w:space="0" w:color="auto"/>
                    <w:left w:val="none" w:sz="0" w:space="0" w:color="auto"/>
                    <w:bottom w:val="none" w:sz="0" w:space="0" w:color="auto"/>
                    <w:right w:val="none" w:sz="0" w:space="0" w:color="auto"/>
                  </w:divBdr>
                </w:div>
              </w:divsChild>
            </w:div>
            <w:div w:id="301421015">
              <w:marLeft w:val="0"/>
              <w:marRight w:val="0"/>
              <w:marTop w:val="0"/>
              <w:marBottom w:val="0"/>
              <w:divBdr>
                <w:top w:val="none" w:sz="0" w:space="0" w:color="auto"/>
                <w:left w:val="none" w:sz="0" w:space="0" w:color="auto"/>
                <w:bottom w:val="none" w:sz="0" w:space="0" w:color="auto"/>
                <w:right w:val="none" w:sz="0" w:space="0" w:color="auto"/>
              </w:divBdr>
              <w:divsChild>
                <w:div w:id="1234004660">
                  <w:marLeft w:val="0"/>
                  <w:marRight w:val="0"/>
                  <w:marTop w:val="0"/>
                  <w:marBottom w:val="0"/>
                  <w:divBdr>
                    <w:top w:val="none" w:sz="0" w:space="0" w:color="auto"/>
                    <w:left w:val="none" w:sz="0" w:space="0" w:color="auto"/>
                    <w:bottom w:val="none" w:sz="0" w:space="0" w:color="auto"/>
                    <w:right w:val="none" w:sz="0" w:space="0" w:color="auto"/>
                  </w:divBdr>
                </w:div>
              </w:divsChild>
            </w:div>
            <w:div w:id="711541997">
              <w:marLeft w:val="0"/>
              <w:marRight w:val="0"/>
              <w:marTop w:val="0"/>
              <w:marBottom w:val="0"/>
              <w:divBdr>
                <w:top w:val="none" w:sz="0" w:space="0" w:color="auto"/>
                <w:left w:val="none" w:sz="0" w:space="0" w:color="auto"/>
                <w:bottom w:val="none" w:sz="0" w:space="0" w:color="auto"/>
                <w:right w:val="none" w:sz="0" w:space="0" w:color="auto"/>
              </w:divBdr>
              <w:divsChild>
                <w:div w:id="1208837452">
                  <w:marLeft w:val="0"/>
                  <w:marRight w:val="0"/>
                  <w:marTop w:val="0"/>
                  <w:marBottom w:val="0"/>
                  <w:divBdr>
                    <w:top w:val="none" w:sz="0" w:space="0" w:color="auto"/>
                    <w:left w:val="none" w:sz="0" w:space="0" w:color="auto"/>
                    <w:bottom w:val="none" w:sz="0" w:space="0" w:color="auto"/>
                    <w:right w:val="none" w:sz="0" w:space="0" w:color="auto"/>
                  </w:divBdr>
                </w:div>
              </w:divsChild>
            </w:div>
            <w:div w:id="965281160">
              <w:marLeft w:val="0"/>
              <w:marRight w:val="0"/>
              <w:marTop w:val="0"/>
              <w:marBottom w:val="0"/>
              <w:divBdr>
                <w:top w:val="none" w:sz="0" w:space="0" w:color="auto"/>
                <w:left w:val="none" w:sz="0" w:space="0" w:color="auto"/>
                <w:bottom w:val="none" w:sz="0" w:space="0" w:color="auto"/>
                <w:right w:val="none" w:sz="0" w:space="0" w:color="auto"/>
              </w:divBdr>
              <w:divsChild>
                <w:div w:id="1239288717">
                  <w:marLeft w:val="0"/>
                  <w:marRight w:val="0"/>
                  <w:marTop w:val="0"/>
                  <w:marBottom w:val="0"/>
                  <w:divBdr>
                    <w:top w:val="none" w:sz="0" w:space="0" w:color="auto"/>
                    <w:left w:val="none" w:sz="0" w:space="0" w:color="auto"/>
                    <w:bottom w:val="none" w:sz="0" w:space="0" w:color="auto"/>
                    <w:right w:val="none" w:sz="0" w:space="0" w:color="auto"/>
                  </w:divBdr>
                </w:div>
              </w:divsChild>
            </w:div>
            <w:div w:id="178666055">
              <w:marLeft w:val="0"/>
              <w:marRight w:val="0"/>
              <w:marTop w:val="0"/>
              <w:marBottom w:val="0"/>
              <w:divBdr>
                <w:top w:val="none" w:sz="0" w:space="0" w:color="auto"/>
                <w:left w:val="none" w:sz="0" w:space="0" w:color="auto"/>
                <w:bottom w:val="none" w:sz="0" w:space="0" w:color="auto"/>
                <w:right w:val="none" w:sz="0" w:space="0" w:color="auto"/>
              </w:divBdr>
              <w:divsChild>
                <w:div w:id="977223601">
                  <w:marLeft w:val="0"/>
                  <w:marRight w:val="0"/>
                  <w:marTop w:val="0"/>
                  <w:marBottom w:val="0"/>
                  <w:divBdr>
                    <w:top w:val="none" w:sz="0" w:space="0" w:color="auto"/>
                    <w:left w:val="none" w:sz="0" w:space="0" w:color="auto"/>
                    <w:bottom w:val="none" w:sz="0" w:space="0" w:color="auto"/>
                    <w:right w:val="none" w:sz="0" w:space="0" w:color="auto"/>
                  </w:divBdr>
                </w:div>
              </w:divsChild>
            </w:div>
            <w:div w:id="1464543526">
              <w:marLeft w:val="0"/>
              <w:marRight w:val="0"/>
              <w:marTop w:val="0"/>
              <w:marBottom w:val="0"/>
              <w:divBdr>
                <w:top w:val="none" w:sz="0" w:space="0" w:color="auto"/>
                <w:left w:val="none" w:sz="0" w:space="0" w:color="auto"/>
                <w:bottom w:val="none" w:sz="0" w:space="0" w:color="auto"/>
                <w:right w:val="none" w:sz="0" w:space="0" w:color="auto"/>
              </w:divBdr>
              <w:divsChild>
                <w:div w:id="1602255352">
                  <w:marLeft w:val="0"/>
                  <w:marRight w:val="0"/>
                  <w:marTop w:val="0"/>
                  <w:marBottom w:val="0"/>
                  <w:divBdr>
                    <w:top w:val="none" w:sz="0" w:space="0" w:color="auto"/>
                    <w:left w:val="none" w:sz="0" w:space="0" w:color="auto"/>
                    <w:bottom w:val="none" w:sz="0" w:space="0" w:color="auto"/>
                    <w:right w:val="none" w:sz="0" w:space="0" w:color="auto"/>
                  </w:divBdr>
                </w:div>
              </w:divsChild>
            </w:div>
            <w:div w:id="366949602">
              <w:marLeft w:val="0"/>
              <w:marRight w:val="0"/>
              <w:marTop w:val="0"/>
              <w:marBottom w:val="0"/>
              <w:divBdr>
                <w:top w:val="none" w:sz="0" w:space="0" w:color="auto"/>
                <w:left w:val="none" w:sz="0" w:space="0" w:color="auto"/>
                <w:bottom w:val="none" w:sz="0" w:space="0" w:color="auto"/>
                <w:right w:val="none" w:sz="0" w:space="0" w:color="auto"/>
              </w:divBdr>
              <w:divsChild>
                <w:div w:id="635643587">
                  <w:marLeft w:val="0"/>
                  <w:marRight w:val="0"/>
                  <w:marTop w:val="0"/>
                  <w:marBottom w:val="0"/>
                  <w:divBdr>
                    <w:top w:val="none" w:sz="0" w:space="0" w:color="auto"/>
                    <w:left w:val="none" w:sz="0" w:space="0" w:color="auto"/>
                    <w:bottom w:val="none" w:sz="0" w:space="0" w:color="auto"/>
                    <w:right w:val="none" w:sz="0" w:space="0" w:color="auto"/>
                  </w:divBdr>
                </w:div>
              </w:divsChild>
            </w:div>
            <w:div w:id="1817524303">
              <w:marLeft w:val="0"/>
              <w:marRight w:val="0"/>
              <w:marTop w:val="0"/>
              <w:marBottom w:val="0"/>
              <w:divBdr>
                <w:top w:val="none" w:sz="0" w:space="0" w:color="auto"/>
                <w:left w:val="none" w:sz="0" w:space="0" w:color="auto"/>
                <w:bottom w:val="none" w:sz="0" w:space="0" w:color="auto"/>
                <w:right w:val="none" w:sz="0" w:space="0" w:color="auto"/>
              </w:divBdr>
              <w:divsChild>
                <w:div w:id="1892574408">
                  <w:marLeft w:val="0"/>
                  <w:marRight w:val="0"/>
                  <w:marTop w:val="0"/>
                  <w:marBottom w:val="0"/>
                  <w:divBdr>
                    <w:top w:val="none" w:sz="0" w:space="0" w:color="auto"/>
                    <w:left w:val="none" w:sz="0" w:space="0" w:color="auto"/>
                    <w:bottom w:val="none" w:sz="0" w:space="0" w:color="auto"/>
                    <w:right w:val="none" w:sz="0" w:space="0" w:color="auto"/>
                  </w:divBdr>
                </w:div>
              </w:divsChild>
            </w:div>
            <w:div w:id="2133474867">
              <w:marLeft w:val="0"/>
              <w:marRight w:val="0"/>
              <w:marTop w:val="0"/>
              <w:marBottom w:val="0"/>
              <w:divBdr>
                <w:top w:val="none" w:sz="0" w:space="0" w:color="auto"/>
                <w:left w:val="none" w:sz="0" w:space="0" w:color="auto"/>
                <w:bottom w:val="none" w:sz="0" w:space="0" w:color="auto"/>
                <w:right w:val="none" w:sz="0" w:space="0" w:color="auto"/>
              </w:divBdr>
              <w:divsChild>
                <w:div w:id="1171482201">
                  <w:marLeft w:val="0"/>
                  <w:marRight w:val="0"/>
                  <w:marTop w:val="0"/>
                  <w:marBottom w:val="0"/>
                  <w:divBdr>
                    <w:top w:val="none" w:sz="0" w:space="0" w:color="auto"/>
                    <w:left w:val="none" w:sz="0" w:space="0" w:color="auto"/>
                    <w:bottom w:val="none" w:sz="0" w:space="0" w:color="auto"/>
                    <w:right w:val="none" w:sz="0" w:space="0" w:color="auto"/>
                  </w:divBdr>
                </w:div>
              </w:divsChild>
            </w:div>
            <w:div w:id="367032026">
              <w:marLeft w:val="0"/>
              <w:marRight w:val="0"/>
              <w:marTop w:val="0"/>
              <w:marBottom w:val="0"/>
              <w:divBdr>
                <w:top w:val="none" w:sz="0" w:space="0" w:color="auto"/>
                <w:left w:val="none" w:sz="0" w:space="0" w:color="auto"/>
                <w:bottom w:val="none" w:sz="0" w:space="0" w:color="auto"/>
                <w:right w:val="none" w:sz="0" w:space="0" w:color="auto"/>
              </w:divBdr>
              <w:divsChild>
                <w:div w:id="935015505">
                  <w:marLeft w:val="0"/>
                  <w:marRight w:val="0"/>
                  <w:marTop w:val="0"/>
                  <w:marBottom w:val="0"/>
                  <w:divBdr>
                    <w:top w:val="none" w:sz="0" w:space="0" w:color="auto"/>
                    <w:left w:val="none" w:sz="0" w:space="0" w:color="auto"/>
                    <w:bottom w:val="none" w:sz="0" w:space="0" w:color="auto"/>
                    <w:right w:val="none" w:sz="0" w:space="0" w:color="auto"/>
                  </w:divBdr>
                </w:div>
              </w:divsChild>
            </w:div>
            <w:div w:id="1061559051">
              <w:marLeft w:val="0"/>
              <w:marRight w:val="0"/>
              <w:marTop w:val="0"/>
              <w:marBottom w:val="0"/>
              <w:divBdr>
                <w:top w:val="none" w:sz="0" w:space="0" w:color="auto"/>
                <w:left w:val="none" w:sz="0" w:space="0" w:color="auto"/>
                <w:bottom w:val="none" w:sz="0" w:space="0" w:color="auto"/>
                <w:right w:val="none" w:sz="0" w:space="0" w:color="auto"/>
              </w:divBdr>
              <w:divsChild>
                <w:div w:id="646671292">
                  <w:marLeft w:val="0"/>
                  <w:marRight w:val="0"/>
                  <w:marTop w:val="0"/>
                  <w:marBottom w:val="0"/>
                  <w:divBdr>
                    <w:top w:val="none" w:sz="0" w:space="0" w:color="auto"/>
                    <w:left w:val="none" w:sz="0" w:space="0" w:color="auto"/>
                    <w:bottom w:val="none" w:sz="0" w:space="0" w:color="auto"/>
                    <w:right w:val="none" w:sz="0" w:space="0" w:color="auto"/>
                  </w:divBdr>
                </w:div>
              </w:divsChild>
            </w:div>
            <w:div w:id="1439787937">
              <w:marLeft w:val="0"/>
              <w:marRight w:val="0"/>
              <w:marTop w:val="0"/>
              <w:marBottom w:val="0"/>
              <w:divBdr>
                <w:top w:val="none" w:sz="0" w:space="0" w:color="auto"/>
                <w:left w:val="none" w:sz="0" w:space="0" w:color="auto"/>
                <w:bottom w:val="none" w:sz="0" w:space="0" w:color="auto"/>
                <w:right w:val="none" w:sz="0" w:space="0" w:color="auto"/>
              </w:divBdr>
              <w:divsChild>
                <w:div w:id="103355622">
                  <w:marLeft w:val="0"/>
                  <w:marRight w:val="0"/>
                  <w:marTop w:val="0"/>
                  <w:marBottom w:val="0"/>
                  <w:divBdr>
                    <w:top w:val="none" w:sz="0" w:space="0" w:color="auto"/>
                    <w:left w:val="none" w:sz="0" w:space="0" w:color="auto"/>
                    <w:bottom w:val="none" w:sz="0" w:space="0" w:color="auto"/>
                    <w:right w:val="none" w:sz="0" w:space="0" w:color="auto"/>
                  </w:divBdr>
                </w:div>
              </w:divsChild>
            </w:div>
            <w:div w:id="1010643264">
              <w:marLeft w:val="0"/>
              <w:marRight w:val="0"/>
              <w:marTop w:val="0"/>
              <w:marBottom w:val="0"/>
              <w:divBdr>
                <w:top w:val="none" w:sz="0" w:space="0" w:color="auto"/>
                <w:left w:val="none" w:sz="0" w:space="0" w:color="auto"/>
                <w:bottom w:val="none" w:sz="0" w:space="0" w:color="auto"/>
                <w:right w:val="none" w:sz="0" w:space="0" w:color="auto"/>
              </w:divBdr>
              <w:divsChild>
                <w:div w:id="641422804">
                  <w:marLeft w:val="0"/>
                  <w:marRight w:val="0"/>
                  <w:marTop w:val="0"/>
                  <w:marBottom w:val="0"/>
                  <w:divBdr>
                    <w:top w:val="none" w:sz="0" w:space="0" w:color="auto"/>
                    <w:left w:val="none" w:sz="0" w:space="0" w:color="auto"/>
                    <w:bottom w:val="none" w:sz="0" w:space="0" w:color="auto"/>
                    <w:right w:val="none" w:sz="0" w:space="0" w:color="auto"/>
                  </w:divBdr>
                </w:div>
              </w:divsChild>
            </w:div>
            <w:div w:id="102968744">
              <w:marLeft w:val="0"/>
              <w:marRight w:val="0"/>
              <w:marTop w:val="0"/>
              <w:marBottom w:val="0"/>
              <w:divBdr>
                <w:top w:val="none" w:sz="0" w:space="0" w:color="auto"/>
                <w:left w:val="none" w:sz="0" w:space="0" w:color="auto"/>
                <w:bottom w:val="none" w:sz="0" w:space="0" w:color="auto"/>
                <w:right w:val="none" w:sz="0" w:space="0" w:color="auto"/>
              </w:divBdr>
              <w:divsChild>
                <w:div w:id="2043439568">
                  <w:marLeft w:val="0"/>
                  <w:marRight w:val="0"/>
                  <w:marTop w:val="0"/>
                  <w:marBottom w:val="0"/>
                  <w:divBdr>
                    <w:top w:val="none" w:sz="0" w:space="0" w:color="auto"/>
                    <w:left w:val="none" w:sz="0" w:space="0" w:color="auto"/>
                    <w:bottom w:val="none" w:sz="0" w:space="0" w:color="auto"/>
                    <w:right w:val="none" w:sz="0" w:space="0" w:color="auto"/>
                  </w:divBdr>
                </w:div>
              </w:divsChild>
            </w:div>
            <w:div w:id="677973610">
              <w:marLeft w:val="0"/>
              <w:marRight w:val="0"/>
              <w:marTop w:val="0"/>
              <w:marBottom w:val="0"/>
              <w:divBdr>
                <w:top w:val="none" w:sz="0" w:space="0" w:color="auto"/>
                <w:left w:val="none" w:sz="0" w:space="0" w:color="auto"/>
                <w:bottom w:val="none" w:sz="0" w:space="0" w:color="auto"/>
                <w:right w:val="none" w:sz="0" w:space="0" w:color="auto"/>
              </w:divBdr>
              <w:divsChild>
                <w:div w:id="168906185">
                  <w:marLeft w:val="0"/>
                  <w:marRight w:val="0"/>
                  <w:marTop w:val="0"/>
                  <w:marBottom w:val="0"/>
                  <w:divBdr>
                    <w:top w:val="none" w:sz="0" w:space="0" w:color="auto"/>
                    <w:left w:val="none" w:sz="0" w:space="0" w:color="auto"/>
                    <w:bottom w:val="none" w:sz="0" w:space="0" w:color="auto"/>
                    <w:right w:val="none" w:sz="0" w:space="0" w:color="auto"/>
                  </w:divBdr>
                </w:div>
              </w:divsChild>
            </w:div>
            <w:div w:id="1225606134">
              <w:marLeft w:val="0"/>
              <w:marRight w:val="0"/>
              <w:marTop w:val="0"/>
              <w:marBottom w:val="0"/>
              <w:divBdr>
                <w:top w:val="none" w:sz="0" w:space="0" w:color="auto"/>
                <w:left w:val="none" w:sz="0" w:space="0" w:color="auto"/>
                <w:bottom w:val="none" w:sz="0" w:space="0" w:color="auto"/>
                <w:right w:val="none" w:sz="0" w:space="0" w:color="auto"/>
              </w:divBdr>
              <w:divsChild>
                <w:div w:id="1979872559">
                  <w:marLeft w:val="0"/>
                  <w:marRight w:val="0"/>
                  <w:marTop w:val="0"/>
                  <w:marBottom w:val="0"/>
                  <w:divBdr>
                    <w:top w:val="none" w:sz="0" w:space="0" w:color="auto"/>
                    <w:left w:val="none" w:sz="0" w:space="0" w:color="auto"/>
                    <w:bottom w:val="none" w:sz="0" w:space="0" w:color="auto"/>
                    <w:right w:val="none" w:sz="0" w:space="0" w:color="auto"/>
                  </w:divBdr>
                </w:div>
              </w:divsChild>
            </w:div>
            <w:div w:id="63526881">
              <w:marLeft w:val="0"/>
              <w:marRight w:val="0"/>
              <w:marTop w:val="0"/>
              <w:marBottom w:val="0"/>
              <w:divBdr>
                <w:top w:val="none" w:sz="0" w:space="0" w:color="auto"/>
                <w:left w:val="none" w:sz="0" w:space="0" w:color="auto"/>
                <w:bottom w:val="none" w:sz="0" w:space="0" w:color="auto"/>
                <w:right w:val="none" w:sz="0" w:space="0" w:color="auto"/>
              </w:divBdr>
              <w:divsChild>
                <w:div w:id="1416588709">
                  <w:marLeft w:val="0"/>
                  <w:marRight w:val="0"/>
                  <w:marTop w:val="0"/>
                  <w:marBottom w:val="0"/>
                  <w:divBdr>
                    <w:top w:val="none" w:sz="0" w:space="0" w:color="auto"/>
                    <w:left w:val="none" w:sz="0" w:space="0" w:color="auto"/>
                    <w:bottom w:val="none" w:sz="0" w:space="0" w:color="auto"/>
                    <w:right w:val="none" w:sz="0" w:space="0" w:color="auto"/>
                  </w:divBdr>
                </w:div>
              </w:divsChild>
            </w:div>
            <w:div w:id="1261329443">
              <w:marLeft w:val="0"/>
              <w:marRight w:val="0"/>
              <w:marTop w:val="0"/>
              <w:marBottom w:val="0"/>
              <w:divBdr>
                <w:top w:val="none" w:sz="0" w:space="0" w:color="auto"/>
                <w:left w:val="none" w:sz="0" w:space="0" w:color="auto"/>
                <w:bottom w:val="none" w:sz="0" w:space="0" w:color="auto"/>
                <w:right w:val="none" w:sz="0" w:space="0" w:color="auto"/>
              </w:divBdr>
              <w:divsChild>
                <w:div w:id="1747727072">
                  <w:marLeft w:val="0"/>
                  <w:marRight w:val="0"/>
                  <w:marTop w:val="0"/>
                  <w:marBottom w:val="0"/>
                  <w:divBdr>
                    <w:top w:val="none" w:sz="0" w:space="0" w:color="auto"/>
                    <w:left w:val="none" w:sz="0" w:space="0" w:color="auto"/>
                    <w:bottom w:val="none" w:sz="0" w:space="0" w:color="auto"/>
                    <w:right w:val="none" w:sz="0" w:space="0" w:color="auto"/>
                  </w:divBdr>
                </w:div>
              </w:divsChild>
            </w:div>
            <w:div w:id="1553035783">
              <w:marLeft w:val="0"/>
              <w:marRight w:val="0"/>
              <w:marTop w:val="0"/>
              <w:marBottom w:val="0"/>
              <w:divBdr>
                <w:top w:val="none" w:sz="0" w:space="0" w:color="auto"/>
                <w:left w:val="none" w:sz="0" w:space="0" w:color="auto"/>
                <w:bottom w:val="none" w:sz="0" w:space="0" w:color="auto"/>
                <w:right w:val="none" w:sz="0" w:space="0" w:color="auto"/>
              </w:divBdr>
              <w:divsChild>
                <w:div w:id="10461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8936">
          <w:marLeft w:val="0"/>
          <w:marRight w:val="0"/>
          <w:marTop w:val="0"/>
          <w:marBottom w:val="600"/>
          <w:divBdr>
            <w:top w:val="none" w:sz="0" w:space="0" w:color="auto"/>
            <w:left w:val="none" w:sz="0" w:space="0" w:color="auto"/>
            <w:bottom w:val="none" w:sz="0" w:space="0" w:color="auto"/>
            <w:right w:val="none" w:sz="0" w:space="0" w:color="auto"/>
          </w:divBdr>
        </w:div>
      </w:divsChild>
    </w:div>
    <w:div w:id="338973977">
      <w:marLeft w:val="0"/>
      <w:marRight w:val="0"/>
      <w:marTop w:val="0"/>
      <w:marBottom w:val="0"/>
      <w:divBdr>
        <w:top w:val="none" w:sz="0" w:space="0" w:color="auto"/>
        <w:left w:val="none" w:sz="0" w:space="0" w:color="auto"/>
        <w:bottom w:val="none" w:sz="0" w:space="0" w:color="auto"/>
        <w:right w:val="none" w:sz="0" w:space="0" w:color="auto"/>
      </w:divBdr>
      <w:divsChild>
        <w:div w:id="550773885">
          <w:marLeft w:val="0"/>
          <w:marRight w:val="0"/>
          <w:marTop w:val="432"/>
          <w:marBottom w:val="0"/>
          <w:divBdr>
            <w:top w:val="none" w:sz="0" w:space="0" w:color="auto"/>
            <w:left w:val="none" w:sz="0" w:space="0" w:color="auto"/>
            <w:bottom w:val="none" w:sz="0" w:space="0" w:color="auto"/>
            <w:right w:val="none" w:sz="0" w:space="0" w:color="auto"/>
          </w:divBdr>
        </w:div>
        <w:div w:id="1413047685">
          <w:marLeft w:val="0"/>
          <w:marRight w:val="0"/>
          <w:marTop w:val="0"/>
          <w:marBottom w:val="0"/>
          <w:divBdr>
            <w:top w:val="none" w:sz="0" w:space="0" w:color="auto"/>
            <w:left w:val="none" w:sz="0" w:space="0" w:color="auto"/>
            <w:bottom w:val="none" w:sz="0" w:space="0" w:color="auto"/>
            <w:right w:val="none" w:sz="0" w:space="0" w:color="auto"/>
          </w:divBdr>
        </w:div>
        <w:div w:id="1150054739">
          <w:marLeft w:val="0"/>
          <w:marRight w:val="0"/>
          <w:marTop w:val="0"/>
          <w:marBottom w:val="600"/>
          <w:divBdr>
            <w:top w:val="none" w:sz="0" w:space="0" w:color="auto"/>
            <w:left w:val="none" w:sz="0" w:space="0" w:color="auto"/>
            <w:bottom w:val="none" w:sz="0" w:space="0" w:color="auto"/>
            <w:right w:val="none" w:sz="0" w:space="0" w:color="auto"/>
          </w:divBdr>
        </w:div>
      </w:divsChild>
    </w:div>
    <w:div w:id="361253015">
      <w:marLeft w:val="0"/>
      <w:marRight w:val="0"/>
      <w:marTop w:val="0"/>
      <w:marBottom w:val="0"/>
      <w:divBdr>
        <w:top w:val="none" w:sz="0" w:space="0" w:color="auto"/>
        <w:left w:val="none" w:sz="0" w:space="0" w:color="auto"/>
        <w:bottom w:val="none" w:sz="0" w:space="0" w:color="auto"/>
        <w:right w:val="none" w:sz="0" w:space="0" w:color="auto"/>
      </w:divBdr>
      <w:divsChild>
        <w:div w:id="463620345">
          <w:marLeft w:val="0"/>
          <w:marRight w:val="0"/>
          <w:marTop w:val="432"/>
          <w:marBottom w:val="0"/>
          <w:divBdr>
            <w:top w:val="none" w:sz="0" w:space="0" w:color="auto"/>
            <w:left w:val="none" w:sz="0" w:space="0" w:color="auto"/>
            <w:bottom w:val="none" w:sz="0" w:space="0" w:color="auto"/>
            <w:right w:val="none" w:sz="0" w:space="0" w:color="auto"/>
          </w:divBdr>
        </w:div>
        <w:div w:id="955528491">
          <w:marLeft w:val="0"/>
          <w:marRight w:val="0"/>
          <w:marTop w:val="0"/>
          <w:marBottom w:val="0"/>
          <w:divBdr>
            <w:top w:val="none" w:sz="0" w:space="0" w:color="auto"/>
            <w:left w:val="none" w:sz="0" w:space="0" w:color="auto"/>
            <w:bottom w:val="none" w:sz="0" w:space="0" w:color="auto"/>
            <w:right w:val="none" w:sz="0" w:space="0" w:color="auto"/>
          </w:divBdr>
          <w:divsChild>
            <w:div w:id="2049841861">
              <w:marLeft w:val="0"/>
              <w:marRight w:val="0"/>
              <w:marTop w:val="0"/>
              <w:marBottom w:val="0"/>
              <w:divBdr>
                <w:top w:val="none" w:sz="0" w:space="0" w:color="auto"/>
                <w:left w:val="none" w:sz="0" w:space="0" w:color="auto"/>
                <w:bottom w:val="none" w:sz="0" w:space="0" w:color="auto"/>
                <w:right w:val="none" w:sz="0" w:space="0" w:color="auto"/>
              </w:divBdr>
              <w:divsChild>
                <w:div w:id="244188861">
                  <w:marLeft w:val="0"/>
                  <w:marRight w:val="0"/>
                  <w:marTop w:val="0"/>
                  <w:marBottom w:val="0"/>
                  <w:divBdr>
                    <w:top w:val="none" w:sz="0" w:space="0" w:color="auto"/>
                    <w:left w:val="none" w:sz="0" w:space="0" w:color="auto"/>
                    <w:bottom w:val="none" w:sz="0" w:space="0" w:color="auto"/>
                    <w:right w:val="none" w:sz="0" w:space="0" w:color="auto"/>
                  </w:divBdr>
                </w:div>
              </w:divsChild>
            </w:div>
            <w:div w:id="823008613">
              <w:marLeft w:val="0"/>
              <w:marRight w:val="0"/>
              <w:marTop w:val="0"/>
              <w:marBottom w:val="0"/>
              <w:divBdr>
                <w:top w:val="none" w:sz="0" w:space="0" w:color="auto"/>
                <w:left w:val="none" w:sz="0" w:space="0" w:color="auto"/>
                <w:bottom w:val="none" w:sz="0" w:space="0" w:color="auto"/>
                <w:right w:val="none" w:sz="0" w:space="0" w:color="auto"/>
              </w:divBdr>
              <w:divsChild>
                <w:div w:id="326448296">
                  <w:marLeft w:val="0"/>
                  <w:marRight w:val="0"/>
                  <w:marTop w:val="0"/>
                  <w:marBottom w:val="0"/>
                  <w:divBdr>
                    <w:top w:val="none" w:sz="0" w:space="0" w:color="auto"/>
                    <w:left w:val="none" w:sz="0" w:space="0" w:color="auto"/>
                    <w:bottom w:val="none" w:sz="0" w:space="0" w:color="auto"/>
                    <w:right w:val="none" w:sz="0" w:space="0" w:color="auto"/>
                  </w:divBdr>
                </w:div>
              </w:divsChild>
            </w:div>
            <w:div w:id="1914973641">
              <w:marLeft w:val="0"/>
              <w:marRight w:val="0"/>
              <w:marTop w:val="0"/>
              <w:marBottom w:val="0"/>
              <w:divBdr>
                <w:top w:val="none" w:sz="0" w:space="0" w:color="auto"/>
                <w:left w:val="none" w:sz="0" w:space="0" w:color="auto"/>
                <w:bottom w:val="none" w:sz="0" w:space="0" w:color="auto"/>
                <w:right w:val="none" w:sz="0" w:space="0" w:color="auto"/>
              </w:divBdr>
              <w:divsChild>
                <w:div w:id="800417705">
                  <w:marLeft w:val="0"/>
                  <w:marRight w:val="0"/>
                  <w:marTop w:val="0"/>
                  <w:marBottom w:val="0"/>
                  <w:divBdr>
                    <w:top w:val="none" w:sz="0" w:space="0" w:color="auto"/>
                    <w:left w:val="none" w:sz="0" w:space="0" w:color="auto"/>
                    <w:bottom w:val="none" w:sz="0" w:space="0" w:color="auto"/>
                    <w:right w:val="none" w:sz="0" w:space="0" w:color="auto"/>
                  </w:divBdr>
                </w:div>
              </w:divsChild>
            </w:div>
            <w:div w:id="295721459">
              <w:marLeft w:val="0"/>
              <w:marRight w:val="0"/>
              <w:marTop w:val="0"/>
              <w:marBottom w:val="0"/>
              <w:divBdr>
                <w:top w:val="none" w:sz="0" w:space="0" w:color="auto"/>
                <w:left w:val="none" w:sz="0" w:space="0" w:color="auto"/>
                <w:bottom w:val="none" w:sz="0" w:space="0" w:color="auto"/>
                <w:right w:val="none" w:sz="0" w:space="0" w:color="auto"/>
              </w:divBdr>
              <w:divsChild>
                <w:div w:id="47459448">
                  <w:marLeft w:val="0"/>
                  <w:marRight w:val="0"/>
                  <w:marTop w:val="0"/>
                  <w:marBottom w:val="0"/>
                  <w:divBdr>
                    <w:top w:val="none" w:sz="0" w:space="0" w:color="auto"/>
                    <w:left w:val="none" w:sz="0" w:space="0" w:color="auto"/>
                    <w:bottom w:val="none" w:sz="0" w:space="0" w:color="auto"/>
                    <w:right w:val="none" w:sz="0" w:space="0" w:color="auto"/>
                  </w:divBdr>
                </w:div>
              </w:divsChild>
            </w:div>
            <w:div w:id="1851482393">
              <w:marLeft w:val="0"/>
              <w:marRight w:val="0"/>
              <w:marTop w:val="0"/>
              <w:marBottom w:val="0"/>
              <w:divBdr>
                <w:top w:val="none" w:sz="0" w:space="0" w:color="auto"/>
                <w:left w:val="none" w:sz="0" w:space="0" w:color="auto"/>
                <w:bottom w:val="none" w:sz="0" w:space="0" w:color="auto"/>
                <w:right w:val="none" w:sz="0" w:space="0" w:color="auto"/>
              </w:divBdr>
              <w:divsChild>
                <w:div w:id="1752192205">
                  <w:marLeft w:val="0"/>
                  <w:marRight w:val="0"/>
                  <w:marTop w:val="0"/>
                  <w:marBottom w:val="0"/>
                  <w:divBdr>
                    <w:top w:val="none" w:sz="0" w:space="0" w:color="auto"/>
                    <w:left w:val="none" w:sz="0" w:space="0" w:color="auto"/>
                    <w:bottom w:val="none" w:sz="0" w:space="0" w:color="auto"/>
                    <w:right w:val="none" w:sz="0" w:space="0" w:color="auto"/>
                  </w:divBdr>
                </w:div>
              </w:divsChild>
            </w:div>
            <w:div w:id="1984305842">
              <w:marLeft w:val="0"/>
              <w:marRight w:val="0"/>
              <w:marTop w:val="0"/>
              <w:marBottom w:val="0"/>
              <w:divBdr>
                <w:top w:val="none" w:sz="0" w:space="0" w:color="auto"/>
                <w:left w:val="none" w:sz="0" w:space="0" w:color="auto"/>
                <w:bottom w:val="none" w:sz="0" w:space="0" w:color="auto"/>
                <w:right w:val="none" w:sz="0" w:space="0" w:color="auto"/>
              </w:divBdr>
              <w:divsChild>
                <w:div w:id="401753353">
                  <w:marLeft w:val="0"/>
                  <w:marRight w:val="0"/>
                  <w:marTop w:val="0"/>
                  <w:marBottom w:val="0"/>
                  <w:divBdr>
                    <w:top w:val="none" w:sz="0" w:space="0" w:color="auto"/>
                    <w:left w:val="none" w:sz="0" w:space="0" w:color="auto"/>
                    <w:bottom w:val="none" w:sz="0" w:space="0" w:color="auto"/>
                    <w:right w:val="none" w:sz="0" w:space="0" w:color="auto"/>
                  </w:divBdr>
                </w:div>
              </w:divsChild>
            </w:div>
            <w:div w:id="1215266542">
              <w:marLeft w:val="0"/>
              <w:marRight w:val="0"/>
              <w:marTop w:val="0"/>
              <w:marBottom w:val="0"/>
              <w:divBdr>
                <w:top w:val="none" w:sz="0" w:space="0" w:color="auto"/>
                <w:left w:val="none" w:sz="0" w:space="0" w:color="auto"/>
                <w:bottom w:val="none" w:sz="0" w:space="0" w:color="auto"/>
                <w:right w:val="none" w:sz="0" w:space="0" w:color="auto"/>
              </w:divBdr>
              <w:divsChild>
                <w:div w:id="8186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264">
          <w:marLeft w:val="0"/>
          <w:marRight w:val="0"/>
          <w:marTop w:val="0"/>
          <w:marBottom w:val="600"/>
          <w:divBdr>
            <w:top w:val="none" w:sz="0" w:space="0" w:color="auto"/>
            <w:left w:val="none" w:sz="0" w:space="0" w:color="auto"/>
            <w:bottom w:val="none" w:sz="0" w:space="0" w:color="auto"/>
            <w:right w:val="none" w:sz="0" w:space="0" w:color="auto"/>
          </w:divBdr>
        </w:div>
      </w:divsChild>
    </w:div>
    <w:div w:id="514736825">
      <w:marLeft w:val="0"/>
      <w:marRight w:val="0"/>
      <w:marTop w:val="0"/>
      <w:marBottom w:val="0"/>
      <w:divBdr>
        <w:top w:val="none" w:sz="0" w:space="0" w:color="auto"/>
        <w:left w:val="none" w:sz="0" w:space="0" w:color="auto"/>
        <w:bottom w:val="none" w:sz="0" w:space="0" w:color="auto"/>
        <w:right w:val="none" w:sz="0" w:space="0" w:color="auto"/>
      </w:divBdr>
      <w:divsChild>
        <w:div w:id="309286887">
          <w:marLeft w:val="0"/>
          <w:marRight w:val="0"/>
          <w:marTop w:val="432"/>
          <w:marBottom w:val="0"/>
          <w:divBdr>
            <w:top w:val="none" w:sz="0" w:space="0" w:color="auto"/>
            <w:left w:val="none" w:sz="0" w:space="0" w:color="auto"/>
            <w:bottom w:val="none" w:sz="0" w:space="0" w:color="auto"/>
            <w:right w:val="none" w:sz="0" w:space="0" w:color="auto"/>
          </w:divBdr>
        </w:div>
        <w:div w:id="542788290">
          <w:marLeft w:val="0"/>
          <w:marRight w:val="0"/>
          <w:marTop w:val="0"/>
          <w:marBottom w:val="0"/>
          <w:divBdr>
            <w:top w:val="none" w:sz="0" w:space="0" w:color="auto"/>
            <w:left w:val="none" w:sz="0" w:space="0" w:color="auto"/>
            <w:bottom w:val="none" w:sz="0" w:space="0" w:color="auto"/>
            <w:right w:val="none" w:sz="0" w:space="0" w:color="auto"/>
          </w:divBdr>
          <w:divsChild>
            <w:div w:id="1323898792">
              <w:marLeft w:val="0"/>
              <w:marRight w:val="0"/>
              <w:marTop w:val="0"/>
              <w:marBottom w:val="0"/>
              <w:divBdr>
                <w:top w:val="none" w:sz="0" w:space="0" w:color="auto"/>
                <w:left w:val="none" w:sz="0" w:space="0" w:color="auto"/>
                <w:bottom w:val="none" w:sz="0" w:space="0" w:color="auto"/>
                <w:right w:val="none" w:sz="0" w:space="0" w:color="auto"/>
              </w:divBdr>
              <w:divsChild>
                <w:div w:id="1652560993">
                  <w:marLeft w:val="0"/>
                  <w:marRight w:val="0"/>
                  <w:marTop w:val="0"/>
                  <w:marBottom w:val="0"/>
                  <w:divBdr>
                    <w:top w:val="none" w:sz="0" w:space="0" w:color="auto"/>
                    <w:left w:val="none" w:sz="0" w:space="0" w:color="auto"/>
                    <w:bottom w:val="none" w:sz="0" w:space="0" w:color="auto"/>
                    <w:right w:val="none" w:sz="0" w:space="0" w:color="auto"/>
                  </w:divBdr>
                </w:div>
              </w:divsChild>
            </w:div>
            <w:div w:id="1384216183">
              <w:marLeft w:val="0"/>
              <w:marRight w:val="0"/>
              <w:marTop w:val="0"/>
              <w:marBottom w:val="0"/>
              <w:divBdr>
                <w:top w:val="none" w:sz="0" w:space="0" w:color="auto"/>
                <w:left w:val="none" w:sz="0" w:space="0" w:color="auto"/>
                <w:bottom w:val="none" w:sz="0" w:space="0" w:color="auto"/>
                <w:right w:val="none" w:sz="0" w:space="0" w:color="auto"/>
              </w:divBdr>
              <w:divsChild>
                <w:div w:id="641157948">
                  <w:marLeft w:val="0"/>
                  <w:marRight w:val="0"/>
                  <w:marTop w:val="0"/>
                  <w:marBottom w:val="0"/>
                  <w:divBdr>
                    <w:top w:val="none" w:sz="0" w:space="0" w:color="auto"/>
                    <w:left w:val="none" w:sz="0" w:space="0" w:color="auto"/>
                    <w:bottom w:val="none" w:sz="0" w:space="0" w:color="auto"/>
                    <w:right w:val="none" w:sz="0" w:space="0" w:color="auto"/>
                  </w:divBdr>
                </w:div>
              </w:divsChild>
            </w:div>
            <w:div w:id="263461409">
              <w:marLeft w:val="0"/>
              <w:marRight w:val="0"/>
              <w:marTop w:val="0"/>
              <w:marBottom w:val="0"/>
              <w:divBdr>
                <w:top w:val="none" w:sz="0" w:space="0" w:color="auto"/>
                <w:left w:val="none" w:sz="0" w:space="0" w:color="auto"/>
                <w:bottom w:val="none" w:sz="0" w:space="0" w:color="auto"/>
                <w:right w:val="none" w:sz="0" w:space="0" w:color="auto"/>
              </w:divBdr>
              <w:divsChild>
                <w:div w:id="1908685705">
                  <w:marLeft w:val="0"/>
                  <w:marRight w:val="0"/>
                  <w:marTop w:val="0"/>
                  <w:marBottom w:val="0"/>
                  <w:divBdr>
                    <w:top w:val="none" w:sz="0" w:space="0" w:color="auto"/>
                    <w:left w:val="none" w:sz="0" w:space="0" w:color="auto"/>
                    <w:bottom w:val="none" w:sz="0" w:space="0" w:color="auto"/>
                    <w:right w:val="none" w:sz="0" w:space="0" w:color="auto"/>
                  </w:divBdr>
                </w:div>
              </w:divsChild>
            </w:div>
            <w:div w:id="1817067489">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
              </w:divsChild>
            </w:div>
            <w:div w:id="971404177">
              <w:marLeft w:val="0"/>
              <w:marRight w:val="0"/>
              <w:marTop w:val="0"/>
              <w:marBottom w:val="0"/>
              <w:divBdr>
                <w:top w:val="none" w:sz="0" w:space="0" w:color="auto"/>
                <w:left w:val="none" w:sz="0" w:space="0" w:color="auto"/>
                <w:bottom w:val="none" w:sz="0" w:space="0" w:color="auto"/>
                <w:right w:val="none" w:sz="0" w:space="0" w:color="auto"/>
              </w:divBdr>
              <w:divsChild>
                <w:div w:id="1039432724">
                  <w:marLeft w:val="0"/>
                  <w:marRight w:val="0"/>
                  <w:marTop w:val="0"/>
                  <w:marBottom w:val="0"/>
                  <w:divBdr>
                    <w:top w:val="none" w:sz="0" w:space="0" w:color="auto"/>
                    <w:left w:val="none" w:sz="0" w:space="0" w:color="auto"/>
                    <w:bottom w:val="none" w:sz="0" w:space="0" w:color="auto"/>
                    <w:right w:val="none" w:sz="0" w:space="0" w:color="auto"/>
                  </w:divBdr>
                </w:div>
              </w:divsChild>
            </w:div>
            <w:div w:id="46413398">
              <w:marLeft w:val="0"/>
              <w:marRight w:val="0"/>
              <w:marTop w:val="0"/>
              <w:marBottom w:val="0"/>
              <w:divBdr>
                <w:top w:val="none" w:sz="0" w:space="0" w:color="auto"/>
                <w:left w:val="none" w:sz="0" w:space="0" w:color="auto"/>
                <w:bottom w:val="none" w:sz="0" w:space="0" w:color="auto"/>
                <w:right w:val="none" w:sz="0" w:space="0" w:color="auto"/>
              </w:divBdr>
              <w:divsChild>
                <w:div w:id="463157739">
                  <w:marLeft w:val="0"/>
                  <w:marRight w:val="0"/>
                  <w:marTop w:val="0"/>
                  <w:marBottom w:val="0"/>
                  <w:divBdr>
                    <w:top w:val="none" w:sz="0" w:space="0" w:color="auto"/>
                    <w:left w:val="none" w:sz="0" w:space="0" w:color="auto"/>
                    <w:bottom w:val="none" w:sz="0" w:space="0" w:color="auto"/>
                    <w:right w:val="none" w:sz="0" w:space="0" w:color="auto"/>
                  </w:divBdr>
                </w:div>
              </w:divsChild>
            </w:div>
            <w:div w:id="2103522777">
              <w:marLeft w:val="0"/>
              <w:marRight w:val="0"/>
              <w:marTop w:val="0"/>
              <w:marBottom w:val="0"/>
              <w:divBdr>
                <w:top w:val="none" w:sz="0" w:space="0" w:color="auto"/>
                <w:left w:val="none" w:sz="0" w:space="0" w:color="auto"/>
                <w:bottom w:val="none" w:sz="0" w:space="0" w:color="auto"/>
                <w:right w:val="none" w:sz="0" w:space="0" w:color="auto"/>
              </w:divBdr>
              <w:divsChild>
                <w:div w:id="172645446">
                  <w:marLeft w:val="0"/>
                  <w:marRight w:val="0"/>
                  <w:marTop w:val="0"/>
                  <w:marBottom w:val="0"/>
                  <w:divBdr>
                    <w:top w:val="none" w:sz="0" w:space="0" w:color="auto"/>
                    <w:left w:val="none" w:sz="0" w:space="0" w:color="auto"/>
                    <w:bottom w:val="none" w:sz="0" w:space="0" w:color="auto"/>
                    <w:right w:val="none" w:sz="0" w:space="0" w:color="auto"/>
                  </w:divBdr>
                </w:div>
              </w:divsChild>
            </w:div>
            <w:div w:id="1235967176">
              <w:marLeft w:val="0"/>
              <w:marRight w:val="0"/>
              <w:marTop w:val="0"/>
              <w:marBottom w:val="0"/>
              <w:divBdr>
                <w:top w:val="none" w:sz="0" w:space="0" w:color="auto"/>
                <w:left w:val="none" w:sz="0" w:space="0" w:color="auto"/>
                <w:bottom w:val="none" w:sz="0" w:space="0" w:color="auto"/>
                <w:right w:val="none" w:sz="0" w:space="0" w:color="auto"/>
              </w:divBdr>
              <w:divsChild>
                <w:div w:id="1559441620">
                  <w:marLeft w:val="0"/>
                  <w:marRight w:val="0"/>
                  <w:marTop w:val="0"/>
                  <w:marBottom w:val="0"/>
                  <w:divBdr>
                    <w:top w:val="none" w:sz="0" w:space="0" w:color="auto"/>
                    <w:left w:val="none" w:sz="0" w:space="0" w:color="auto"/>
                    <w:bottom w:val="none" w:sz="0" w:space="0" w:color="auto"/>
                    <w:right w:val="none" w:sz="0" w:space="0" w:color="auto"/>
                  </w:divBdr>
                </w:div>
              </w:divsChild>
            </w:div>
            <w:div w:id="1764103106">
              <w:marLeft w:val="0"/>
              <w:marRight w:val="0"/>
              <w:marTop w:val="0"/>
              <w:marBottom w:val="0"/>
              <w:divBdr>
                <w:top w:val="none" w:sz="0" w:space="0" w:color="auto"/>
                <w:left w:val="none" w:sz="0" w:space="0" w:color="auto"/>
                <w:bottom w:val="none" w:sz="0" w:space="0" w:color="auto"/>
                <w:right w:val="none" w:sz="0" w:space="0" w:color="auto"/>
              </w:divBdr>
              <w:divsChild>
                <w:div w:id="159852740">
                  <w:marLeft w:val="0"/>
                  <w:marRight w:val="0"/>
                  <w:marTop w:val="0"/>
                  <w:marBottom w:val="0"/>
                  <w:divBdr>
                    <w:top w:val="none" w:sz="0" w:space="0" w:color="auto"/>
                    <w:left w:val="none" w:sz="0" w:space="0" w:color="auto"/>
                    <w:bottom w:val="none" w:sz="0" w:space="0" w:color="auto"/>
                    <w:right w:val="none" w:sz="0" w:space="0" w:color="auto"/>
                  </w:divBdr>
                </w:div>
              </w:divsChild>
            </w:div>
            <w:div w:id="538737737">
              <w:marLeft w:val="0"/>
              <w:marRight w:val="0"/>
              <w:marTop w:val="0"/>
              <w:marBottom w:val="0"/>
              <w:divBdr>
                <w:top w:val="none" w:sz="0" w:space="0" w:color="auto"/>
                <w:left w:val="none" w:sz="0" w:space="0" w:color="auto"/>
                <w:bottom w:val="none" w:sz="0" w:space="0" w:color="auto"/>
                <w:right w:val="none" w:sz="0" w:space="0" w:color="auto"/>
              </w:divBdr>
              <w:divsChild>
                <w:div w:id="2047412756">
                  <w:marLeft w:val="0"/>
                  <w:marRight w:val="0"/>
                  <w:marTop w:val="0"/>
                  <w:marBottom w:val="0"/>
                  <w:divBdr>
                    <w:top w:val="none" w:sz="0" w:space="0" w:color="auto"/>
                    <w:left w:val="none" w:sz="0" w:space="0" w:color="auto"/>
                    <w:bottom w:val="none" w:sz="0" w:space="0" w:color="auto"/>
                    <w:right w:val="none" w:sz="0" w:space="0" w:color="auto"/>
                  </w:divBdr>
                </w:div>
              </w:divsChild>
            </w:div>
            <w:div w:id="1786577478">
              <w:marLeft w:val="0"/>
              <w:marRight w:val="0"/>
              <w:marTop w:val="0"/>
              <w:marBottom w:val="0"/>
              <w:divBdr>
                <w:top w:val="none" w:sz="0" w:space="0" w:color="auto"/>
                <w:left w:val="none" w:sz="0" w:space="0" w:color="auto"/>
                <w:bottom w:val="none" w:sz="0" w:space="0" w:color="auto"/>
                <w:right w:val="none" w:sz="0" w:space="0" w:color="auto"/>
              </w:divBdr>
              <w:divsChild>
                <w:div w:id="940721593">
                  <w:marLeft w:val="0"/>
                  <w:marRight w:val="0"/>
                  <w:marTop w:val="0"/>
                  <w:marBottom w:val="0"/>
                  <w:divBdr>
                    <w:top w:val="none" w:sz="0" w:space="0" w:color="auto"/>
                    <w:left w:val="none" w:sz="0" w:space="0" w:color="auto"/>
                    <w:bottom w:val="none" w:sz="0" w:space="0" w:color="auto"/>
                    <w:right w:val="none" w:sz="0" w:space="0" w:color="auto"/>
                  </w:divBdr>
                </w:div>
              </w:divsChild>
            </w:div>
            <w:div w:id="2000888400">
              <w:marLeft w:val="0"/>
              <w:marRight w:val="0"/>
              <w:marTop w:val="0"/>
              <w:marBottom w:val="0"/>
              <w:divBdr>
                <w:top w:val="none" w:sz="0" w:space="0" w:color="auto"/>
                <w:left w:val="none" w:sz="0" w:space="0" w:color="auto"/>
                <w:bottom w:val="none" w:sz="0" w:space="0" w:color="auto"/>
                <w:right w:val="none" w:sz="0" w:space="0" w:color="auto"/>
              </w:divBdr>
              <w:divsChild>
                <w:div w:id="1383093871">
                  <w:marLeft w:val="0"/>
                  <w:marRight w:val="0"/>
                  <w:marTop w:val="0"/>
                  <w:marBottom w:val="0"/>
                  <w:divBdr>
                    <w:top w:val="none" w:sz="0" w:space="0" w:color="auto"/>
                    <w:left w:val="none" w:sz="0" w:space="0" w:color="auto"/>
                    <w:bottom w:val="none" w:sz="0" w:space="0" w:color="auto"/>
                    <w:right w:val="none" w:sz="0" w:space="0" w:color="auto"/>
                  </w:divBdr>
                </w:div>
              </w:divsChild>
            </w:div>
            <w:div w:id="279721935">
              <w:marLeft w:val="0"/>
              <w:marRight w:val="0"/>
              <w:marTop w:val="0"/>
              <w:marBottom w:val="0"/>
              <w:divBdr>
                <w:top w:val="none" w:sz="0" w:space="0" w:color="auto"/>
                <w:left w:val="none" w:sz="0" w:space="0" w:color="auto"/>
                <w:bottom w:val="none" w:sz="0" w:space="0" w:color="auto"/>
                <w:right w:val="none" w:sz="0" w:space="0" w:color="auto"/>
              </w:divBdr>
              <w:divsChild>
                <w:div w:id="1669944129">
                  <w:marLeft w:val="0"/>
                  <w:marRight w:val="0"/>
                  <w:marTop w:val="0"/>
                  <w:marBottom w:val="0"/>
                  <w:divBdr>
                    <w:top w:val="none" w:sz="0" w:space="0" w:color="auto"/>
                    <w:left w:val="none" w:sz="0" w:space="0" w:color="auto"/>
                    <w:bottom w:val="none" w:sz="0" w:space="0" w:color="auto"/>
                    <w:right w:val="none" w:sz="0" w:space="0" w:color="auto"/>
                  </w:divBdr>
                </w:div>
              </w:divsChild>
            </w:div>
            <w:div w:id="267272685">
              <w:marLeft w:val="0"/>
              <w:marRight w:val="0"/>
              <w:marTop w:val="0"/>
              <w:marBottom w:val="0"/>
              <w:divBdr>
                <w:top w:val="none" w:sz="0" w:space="0" w:color="auto"/>
                <w:left w:val="none" w:sz="0" w:space="0" w:color="auto"/>
                <w:bottom w:val="none" w:sz="0" w:space="0" w:color="auto"/>
                <w:right w:val="none" w:sz="0" w:space="0" w:color="auto"/>
              </w:divBdr>
              <w:divsChild>
                <w:div w:id="519589016">
                  <w:marLeft w:val="0"/>
                  <w:marRight w:val="0"/>
                  <w:marTop w:val="0"/>
                  <w:marBottom w:val="0"/>
                  <w:divBdr>
                    <w:top w:val="none" w:sz="0" w:space="0" w:color="auto"/>
                    <w:left w:val="none" w:sz="0" w:space="0" w:color="auto"/>
                    <w:bottom w:val="none" w:sz="0" w:space="0" w:color="auto"/>
                    <w:right w:val="none" w:sz="0" w:space="0" w:color="auto"/>
                  </w:divBdr>
                </w:div>
              </w:divsChild>
            </w:div>
            <w:div w:id="603073294">
              <w:marLeft w:val="0"/>
              <w:marRight w:val="0"/>
              <w:marTop w:val="0"/>
              <w:marBottom w:val="0"/>
              <w:divBdr>
                <w:top w:val="none" w:sz="0" w:space="0" w:color="auto"/>
                <w:left w:val="none" w:sz="0" w:space="0" w:color="auto"/>
                <w:bottom w:val="none" w:sz="0" w:space="0" w:color="auto"/>
                <w:right w:val="none" w:sz="0" w:space="0" w:color="auto"/>
              </w:divBdr>
              <w:divsChild>
                <w:div w:id="1147093995">
                  <w:marLeft w:val="0"/>
                  <w:marRight w:val="0"/>
                  <w:marTop w:val="0"/>
                  <w:marBottom w:val="0"/>
                  <w:divBdr>
                    <w:top w:val="none" w:sz="0" w:space="0" w:color="auto"/>
                    <w:left w:val="none" w:sz="0" w:space="0" w:color="auto"/>
                    <w:bottom w:val="none" w:sz="0" w:space="0" w:color="auto"/>
                    <w:right w:val="none" w:sz="0" w:space="0" w:color="auto"/>
                  </w:divBdr>
                </w:div>
              </w:divsChild>
            </w:div>
            <w:div w:id="453328863">
              <w:marLeft w:val="0"/>
              <w:marRight w:val="0"/>
              <w:marTop w:val="0"/>
              <w:marBottom w:val="0"/>
              <w:divBdr>
                <w:top w:val="none" w:sz="0" w:space="0" w:color="auto"/>
                <w:left w:val="none" w:sz="0" w:space="0" w:color="auto"/>
                <w:bottom w:val="none" w:sz="0" w:space="0" w:color="auto"/>
                <w:right w:val="none" w:sz="0" w:space="0" w:color="auto"/>
              </w:divBdr>
              <w:divsChild>
                <w:div w:id="1561743933">
                  <w:marLeft w:val="0"/>
                  <w:marRight w:val="0"/>
                  <w:marTop w:val="0"/>
                  <w:marBottom w:val="0"/>
                  <w:divBdr>
                    <w:top w:val="none" w:sz="0" w:space="0" w:color="auto"/>
                    <w:left w:val="none" w:sz="0" w:space="0" w:color="auto"/>
                    <w:bottom w:val="none" w:sz="0" w:space="0" w:color="auto"/>
                    <w:right w:val="none" w:sz="0" w:space="0" w:color="auto"/>
                  </w:divBdr>
                </w:div>
              </w:divsChild>
            </w:div>
            <w:div w:id="487284242">
              <w:marLeft w:val="0"/>
              <w:marRight w:val="0"/>
              <w:marTop w:val="0"/>
              <w:marBottom w:val="0"/>
              <w:divBdr>
                <w:top w:val="none" w:sz="0" w:space="0" w:color="auto"/>
                <w:left w:val="none" w:sz="0" w:space="0" w:color="auto"/>
                <w:bottom w:val="none" w:sz="0" w:space="0" w:color="auto"/>
                <w:right w:val="none" w:sz="0" w:space="0" w:color="auto"/>
              </w:divBdr>
              <w:divsChild>
                <w:div w:id="1801410370">
                  <w:marLeft w:val="0"/>
                  <w:marRight w:val="0"/>
                  <w:marTop w:val="0"/>
                  <w:marBottom w:val="0"/>
                  <w:divBdr>
                    <w:top w:val="none" w:sz="0" w:space="0" w:color="auto"/>
                    <w:left w:val="none" w:sz="0" w:space="0" w:color="auto"/>
                    <w:bottom w:val="none" w:sz="0" w:space="0" w:color="auto"/>
                    <w:right w:val="none" w:sz="0" w:space="0" w:color="auto"/>
                  </w:divBdr>
                </w:div>
              </w:divsChild>
            </w:div>
            <w:div w:id="1105463877">
              <w:marLeft w:val="0"/>
              <w:marRight w:val="0"/>
              <w:marTop w:val="0"/>
              <w:marBottom w:val="0"/>
              <w:divBdr>
                <w:top w:val="none" w:sz="0" w:space="0" w:color="auto"/>
                <w:left w:val="none" w:sz="0" w:space="0" w:color="auto"/>
                <w:bottom w:val="none" w:sz="0" w:space="0" w:color="auto"/>
                <w:right w:val="none" w:sz="0" w:space="0" w:color="auto"/>
              </w:divBdr>
              <w:divsChild>
                <w:div w:id="1774209051">
                  <w:marLeft w:val="0"/>
                  <w:marRight w:val="0"/>
                  <w:marTop w:val="0"/>
                  <w:marBottom w:val="0"/>
                  <w:divBdr>
                    <w:top w:val="none" w:sz="0" w:space="0" w:color="auto"/>
                    <w:left w:val="none" w:sz="0" w:space="0" w:color="auto"/>
                    <w:bottom w:val="none" w:sz="0" w:space="0" w:color="auto"/>
                    <w:right w:val="none" w:sz="0" w:space="0" w:color="auto"/>
                  </w:divBdr>
                </w:div>
              </w:divsChild>
            </w:div>
            <w:div w:id="1317101754">
              <w:marLeft w:val="0"/>
              <w:marRight w:val="0"/>
              <w:marTop w:val="0"/>
              <w:marBottom w:val="0"/>
              <w:divBdr>
                <w:top w:val="none" w:sz="0" w:space="0" w:color="auto"/>
                <w:left w:val="none" w:sz="0" w:space="0" w:color="auto"/>
                <w:bottom w:val="none" w:sz="0" w:space="0" w:color="auto"/>
                <w:right w:val="none" w:sz="0" w:space="0" w:color="auto"/>
              </w:divBdr>
              <w:divsChild>
                <w:div w:id="1934782460">
                  <w:marLeft w:val="0"/>
                  <w:marRight w:val="0"/>
                  <w:marTop w:val="0"/>
                  <w:marBottom w:val="0"/>
                  <w:divBdr>
                    <w:top w:val="none" w:sz="0" w:space="0" w:color="auto"/>
                    <w:left w:val="none" w:sz="0" w:space="0" w:color="auto"/>
                    <w:bottom w:val="none" w:sz="0" w:space="0" w:color="auto"/>
                    <w:right w:val="none" w:sz="0" w:space="0" w:color="auto"/>
                  </w:divBdr>
                </w:div>
              </w:divsChild>
            </w:div>
            <w:div w:id="1387532069">
              <w:marLeft w:val="0"/>
              <w:marRight w:val="0"/>
              <w:marTop w:val="0"/>
              <w:marBottom w:val="0"/>
              <w:divBdr>
                <w:top w:val="none" w:sz="0" w:space="0" w:color="auto"/>
                <w:left w:val="none" w:sz="0" w:space="0" w:color="auto"/>
                <w:bottom w:val="none" w:sz="0" w:space="0" w:color="auto"/>
                <w:right w:val="none" w:sz="0" w:space="0" w:color="auto"/>
              </w:divBdr>
              <w:divsChild>
                <w:div w:id="1868790658">
                  <w:marLeft w:val="0"/>
                  <w:marRight w:val="0"/>
                  <w:marTop w:val="0"/>
                  <w:marBottom w:val="0"/>
                  <w:divBdr>
                    <w:top w:val="none" w:sz="0" w:space="0" w:color="auto"/>
                    <w:left w:val="none" w:sz="0" w:space="0" w:color="auto"/>
                    <w:bottom w:val="none" w:sz="0" w:space="0" w:color="auto"/>
                    <w:right w:val="none" w:sz="0" w:space="0" w:color="auto"/>
                  </w:divBdr>
                </w:div>
              </w:divsChild>
            </w:div>
            <w:div w:id="2119980049">
              <w:marLeft w:val="0"/>
              <w:marRight w:val="0"/>
              <w:marTop w:val="0"/>
              <w:marBottom w:val="0"/>
              <w:divBdr>
                <w:top w:val="none" w:sz="0" w:space="0" w:color="auto"/>
                <w:left w:val="none" w:sz="0" w:space="0" w:color="auto"/>
                <w:bottom w:val="none" w:sz="0" w:space="0" w:color="auto"/>
                <w:right w:val="none" w:sz="0" w:space="0" w:color="auto"/>
              </w:divBdr>
              <w:divsChild>
                <w:div w:id="58331921">
                  <w:marLeft w:val="0"/>
                  <w:marRight w:val="0"/>
                  <w:marTop w:val="0"/>
                  <w:marBottom w:val="0"/>
                  <w:divBdr>
                    <w:top w:val="none" w:sz="0" w:space="0" w:color="auto"/>
                    <w:left w:val="none" w:sz="0" w:space="0" w:color="auto"/>
                    <w:bottom w:val="none" w:sz="0" w:space="0" w:color="auto"/>
                    <w:right w:val="none" w:sz="0" w:space="0" w:color="auto"/>
                  </w:divBdr>
                </w:div>
              </w:divsChild>
            </w:div>
            <w:div w:id="1148590729">
              <w:marLeft w:val="0"/>
              <w:marRight w:val="0"/>
              <w:marTop w:val="0"/>
              <w:marBottom w:val="0"/>
              <w:divBdr>
                <w:top w:val="none" w:sz="0" w:space="0" w:color="auto"/>
                <w:left w:val="none" w:sz="0" w:space="0" w:color="auto"/>
                <w:bottom w:val="none" w:sz="0" w:space="0" w:color="auto"/>
                <w:right w:val="none" w:sz="0" w:space="0" w:color="auto"/>
              </w:divBdr>
              <w:divsChild>
                <w:div w:id="634796271">
                  <w:marLeft w:val="0"/>
                  <w:marRight w:val="0"/>
                  <w:marTop w:val="0"/>
                  <w:marBottom w:val="0"/>
                  <w:divBdr>
                    <w:top w:val="none" w:sz="0" w:space="0" w:color="auto"/>
                    <w:left w:val="none" w:sz="0" w:space="0" w:color="auto"/>
                    <w:bottom w:val="none" w:sz="0" w:space="0" w:color="auto"/>
                    <w:right w:val="none" w:sz="0" w:space="0" w:color="auto"/>
                  </w:divBdr>
                </w:div>
              </w:divsChild>
            </w:div>
            <w:div w:id="1490293425">
              <w:marLeft w:val="0"/>
              <w:marRight w:val="0"/>
              <w:marTop w:val="0"/>
              <w:marBottom w:val="0"/>
              <w:divBdr>
                <w:top w:val="none" w:sz="0" w:space="0" w:color="auto"/>
                <w:left w:val="none" w:sz="0" w:space="0" w:color="auto"/>
                <w:bottom w:val="none" w:sz="0" w:space="0" w:color="auto"/>
                <w:right w:val="none" w:sz="0" w:space="0" w:color="auto"/>
              </w:divBdr>
              <w:divsChild>
                <w:div w:id="301732911">
                  <w:marLeft w:val="0"/>
                  <w:marRight w:val="0"/>
                  <w:marTop w:val="0"/>
                  <w:marBottom w:val="0"/>
                  <w:divBdr>
                    <w:top w:val="none" w:sz="0" w:space="0" w:color="auto"/>
                    <w:left w:val="none" w:sz="0" w:space="0" w:color="auto"/>
                    <w:bottom w:val="none" w:sz="0" w:space="0" w:color="auto"/>
                    <w:right w:val="none" w:sz="0" w:space="0" w:color="auto"/>
                  </w:divBdr>
                </w:div>
              </w:divsChild>
            </w:div>
            <w:div w:id="757825533">
              <w:marLeft w:val="0"/>
              <w:marRight w:val="0"/>
              <w:marTop w:val="0"/>
              <w:marBottom w:val="0"/>
              <w:divBdr>
                <w:top w:val="none" w:sz="0" w:space="0" w:color="auto"/>
                <w:left w:val="none" w:sz="0" w:space="0" w:color="auto"/>
                <w:bottom w:val="none" w:sz="0" w:space="0" w:color="auto"/>
                <w:right w:val="none" w:sz="0" w:space="0" w:color="auto"/>
              </w:divBdr>
              <w:divsChild>
                <w:div w:id="522985021">
                  <w:marLeft w:val="0"/>
                  <w:marRight w:val="0"/>
                  <w:marTop w:val="0"/>
                  <w:marBottom w:val="0"/>
                  <w:divBdr>
                    <w:top w:val="none" w:sz="0" w:space="0" w:color="auto"/>
                    <w:left w:val="none" w:sz="0" w:space="0" w:color="auto"/>
                    <w:bottom w:val="none" w:sz="0" w:space="0" w:color="auto"/>
                    <w:right w:val="none" w:sz="0" w:space="0" w:color="auto"/>
                  </w:divBdr>
                </w:div>
              </w:divsChild>
            </w:div>
            <w:div w:id="1767846401">
              <w:marLeft w:val="0"/>
              <w:marRight w:val="0"/>
              <w:marTop w:val="0"/>
              <w:marBottom w:val="0"/>
              <w:divBdr>
                <w:top w:val="none" w:sz="0" w:space="0" w:color="auto"/>
                <w:left w:val="none" w:sz="0" w:space="0" w:color="auto"/>
                <w:bottom w:val="none" w:sz="0" w:space="0" w:color="auto"/>
                <w:right w:val="none" w:sz="0" w:space="0" w:color="auto"/>
              </w:divBdr>
              <w:divsChild>
                <w:div w:id="719592950">
                  <w:marLeft w:val="0"/>
                  <w:marRight w:val="0"/>
                  <w:marTop w:val="0"/>
                  <w:marBottom w:val="0"/>
                  <w:divBdr>
                    <w:top w:val="none" w:sz="0" w:space="0" w:color="auto"/>
                    <w:left w:val="none" w:sz="0" w:space="0" w:color="auto"/>
                    <w:bottom w:val="none" w:sz="0" w:space="0" w:color="auto"/>
                    <w:right w:val="none" w:sz="0" w:space="0" w:color="auto"/>
                  </w:divBdr>
                </w:div>
              </w:divsChild>
            </w:div>
            <w:div w:id="138379097">
              <w:marLeft w:val="0"/>
              <w:marRight w:val="0"/>
              <w:marTop w:val="0"/>
              <w:marBottom w:val="0"/>
              <w:divBdr>
                <w:top w:val="none" w:sz="0" w:space="0" w:color="auto"/>
                <w:left w:val="none" w:sz="0" w:space="0" w:color="auto"/>
                <w:bottom w:val="none" w:sz="0" w:space="0" w:color="auto"/>
                <w:right w:val="none" w:sz="0" w:space="0" w:color="auto"/>
              </w:divBdr>
              <w:divsChild>
                <w:div w:id="1680231159">
                  <w:marLeft w:val="0"/>
                  <w:marRight w:val="0"/>
                  <w:marTop w:val="0"/>
                  <w:marBottom w:val="0"/>
                  <w:divBdr>
                    <w:top w:val="none" w:sz="0" w:space="0" w:color="auto"/>
                    <w:left w:val="none" w:sz="0" w:space="0" w:color="auto"/>
                    <w:bottom w:val="none" w:sz="0" w:space="0" w:color="auto"/>
                    <w:right w:val="none" w:sz="0" w:space="0" w:color="auto"/>
                  </w:divBdr>
                </w:div>
              </w:divsChild>
            </w:div>
            <w:div w:id="1570846902">
              <w:marLeft w:val="0"/>
              <w:marRight w:val="0"/>
              <w:marTop w:val="0"/>
              <w:marBottom w:val="0"/>
              <w:divBdr>
                <w:top w:val="none" w:sz="0" w:space="0" w:color="auto"/>
                <w:left w:val="none" w:sz="0" w:space="0" w:color="auto"/>
                <w:bottom w:val="none" w:sz="0" w:space="0" w:color="auto"/>
                <w:right w:val="none" w:sz="0" w:space="0" w:color="auto"/>
              </w:divBdr>
              <w:divsChild>
                <w:div w:id="726417942">
                  <w:marLeft w:val="0"/>
                  <w:marRight w:val="0"/>
                  <w:marTop w:val="0"/>
                  <w:marBottom w:val="0"/>
                  <w:divBdr>
                    <w:top w:val="none" w:sz="0" w:space="0" w:color="auto"/>
                    <w:left w:val="none" w:sz="0" w:space="0" w:color="auto"/>
                    <w:bottom w:val="none" w:sz="0" w:space="0" w:color="auto"/>
                    <w:right w:val="none" w:sz="0" w:space="0" w:color="auto"/>
                  </w:divBdr>
                </w:div>
              </w:divsChild>
            </w:div>
            <w:div w:id="1952275651">
              <w:marLeft w:val="0"/>
              <w:marRight w:val="0"/>
              <w:marTop w:val="0"/>
              <w:marBottom w:val="0"/>
              <w:divBdr>
                <w:top w:val="none" w:sz="0" w:space="0" w:color="auto"/>
                <w:left w:val="none" w:sz="0" w:space="0" w:color="auto"/>
                <w:bottom w:val="none" w:sz="0" w:space="0" w:color="auto"/>
                <w:right w:val="none" w:sz="0" w:space="0" w:color="auto"/>
              </w:divBdr>
              <w:divsChild>
                <w:div w:id="901521480">
                  <w:marLeft w:val="0"/>
                  <w:marRight w:val="0"/>
                  <w:marTop w:val="0"/>
                  <w:marBottom w:val="0"/>
                  <w:divBdr>
                    <w:top w:val="none" w:sz="0" w:space="0" w:color="auto"/>
                    <w:left w:val="none" w:sz="0" w:space="0" w:color="auto"/>
                    <w:bottom w:val="none" w:sz="0" w:space="0" w:color="auto"/>
                    <w:right w:val="none" w:sz="0" w:space="0" w:color="auto"/>
                  </w:divBdr>
                </w:div>
              </w:divsChild>
            </w:div>
            <w:div w:id="1949122994">
              <w:marLeft w:val="0"/>
              <w:marRight w:val="0"/>
              <w:marTop w:val="0"/>
              <w:marBottom w:val="0"/>
              <w:divBdr>
                <w:top w:val="none" w:sz="0" w:space="0" w:color="auto"/>
                <w:left w:val="none" w:sz="0" w:space="0" w:color="auto"/>
                <w:bottom w:val="none" w:sz="0" w:space="0" w:color="auto"/>
                <w:right w:val="none" w:sz="0" w:space="0" w:color="auto"/>
              </w:divBdr>
              <w:divsChild>
                <w:div w:id="1498770896">
                  <w:marLeft w:val="0"/>
                  <w:marRight w:val="0"/>
                  <w:marTop w:val="0"/>
                  <w:marBottom w:val="0"/>
                  <w:divBdr>
                    <w:top w:val="none" w:sz="0" w:space="0" w:color="auto"/>
                    <w:left w:val="none" w:sz="0" w:space="0" w:color="auto"/>
                    <w:bottom w:val="none" w:sz="0" w:space="0" w:color="auto"/>
                    <w:right w:val="none" w:sz="0" w:space="0" w:color="auto"/>
                  </w:divBdr>
                </w:div>
              </w:divsChild>
            </w:div>
            <w:div w:id="1327974648">
              <w:marLeft w:val="0"/>
              <w:marRight w:val="0"/>
              <w:marTop w:val="0"/>
              <w:marBottom w:val="0"/>
              <w:divBdr>
                <w:top w:val="none" w:sz="0" w:space="0" w:color="auto"/>
                <w:left w:val="none" w:sz="0" w:space="0" w:color="auto"/>
                <w:bottom w:val="none" w:sz="0" w:space="0" w:color="auto"/>
                <w:right w:val="none" w:sz="0" w:space="0" w:color="auto"/>
              </w:divBdr>
              <w:divsChild>
                <w:div w:id="1626036245">
                  <w:marLeft w:val="0"/>
                  <w:marRight w:val="0"/>
                  <w:marTop w:val="0"/>
                  <w:marBottom w:val="0"/>
                  <w:divBdr>
                    <w:top w:val="none" w:sz="0" w:space="0" w:color="auto"/>
                    <w:left w:val="none" w:sz="0" w:space="0" w:color="auto"/>
                    <w:bottom w:val="none" w:sz="0" w:space="0" w:color="auto"/>
                    <w:right w:val="none" w:sz="0" w:space="0" w:color="auto"/>
                  </w:divBdr>
                </w:div>
              </w:divsChild>
            </w:div>
            <w:div w:id="1532038293">
              <w:marLeft w:val="0"/>
              <w:marRight w:val="0"/>
              <w:marTop w:val="0"/>
              <w:marBottom w:val="0"/>
              <w:divBdr>
                <w:top w:val="none" w:sz="0" w:space="0" w:color="auto"/>
                <w:left w:val="none" w:sz="0" w:space="0" w:color="auto"/>
                <w:bottom w:val="none" w:sz="0" w:space="0" w:color="auto"/>
                <w:right w:val="none" w:sz="0" w:space="0" w:color="auto"/>
              </w:divBdr>
              <w:divsChild>
                <w:div w:id="1926570352">
                  <w:marLeft w:val="0"/>
                  <w:marRight w:val="0"/>
                  <w:marTop w:val="0"/>
                  <w:marBottom w:val="0"/>
                  <w:divBdr>
                    <w:top w:val="none" w:sz="0" w:space="0" w:color="auto"/>
                    <w:left w:val="none" w:sz="0" w:space="0" w:color="auto"/>
                    <w:bottom w:val="none" w:sz="0" w:space="0" w:color="auto"/>
                    <w:right w:val="none" w:sz="0" w:space="0" w:color="auto"/>
                  </w:divBdr>
                </w:div>
              </w:divsChild>
            </w:div>
            <w:div w:id="845290375">
              <w:marLeft w:val="0"/>
              <w:marRight w:val="0"/>
              <w:marTop w:val="0"/>
              <w:marBottom w:val="0"/>
              <w:divBdr>
                <w:top w:val="none" w:sz="0" w:space="0" w:color="auto"/>
                <w:left w:val="none" w:sz="0" w:space="0" w:color="auto"/>
                <w:bottom w:val="none" w:sz="0" w:space="0" w:color="auto"/>
                <w:right w:val="none" w:sz="0" w:space="0" w:color="auto"/>
              </w:divBdr>
              <w:divsChild>
                <w:div w:id="910696184">
                  <w:marLeft w:val="0"/>
                  <w:marRight w:val="0"/>
                  <w:marTop w:val="0"/>
                  <w:marBottom w:val="0"/>
                  <w:divBdr>
                    <w:top w:val="none" w:sz="0" w:space="0" w:color="auto"/>
                    <w:left w:val="none" w:sz="0" w:space="0" w:color="auto"/>
                    <w:bottom w:val="none" w:sz="0" w:space="0" w:color="auto"/>
                    <w:right w:val="none" w:sz="0" w:space="0" w:color="auto"/>
                  </w:divBdr>
                </w:div>
              </w:divsChild>
            </w:div>
            <w:div w:id="1782190965">
              <w:marLeft w:val="0"/>
              <w:marRight w:val="0"/>
              <w:marTop w:val="0"/>
              <w:marBottom w:val="0"/>
              <w:divBdr>
                <w:top w:val="none" w:sz="0" w:space="0" w:color="auto"/>
                <w:left w:val="none" w:sz="0" w:space="0" w:color="auto"/>
                <w:bottom w:val="none" w:sz="0" w:space="0" w:color="auto"/>
                <w:right w:val="none" w:sz="0" w:space="0" w:color="auto"/>
              </w:divBdr>
              <w:divsChild>
                <w:div w:id="683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058">
          <w:marLeft w:val="0"/>
          <w:marRight w:val="0"/>
          <w:marTop w:val="0"/>
          <w:marBottom w:val="600"/>
          <w:divBdr>
            <w:top w:val="none" w:sz="0" w:space="0" w:color="auto"/>
            <w:left w:val="none" w:sz="0" w:space="0" w:color="auto"/>
            <w:bottom w:val="none" w:sz="0" w:space="0" w:color="auto"/>
            <w:right w:val="none" w:sz="0" w:space="0" w:color="auto"/>
          </w:divBdr>
        </w:div>
      </w:divsChild>
    </w:div>
    <w:div w:id="528297531">
      <w:marLeft w:val="0"/>
      <w:marRight w:val="0"/>
      <w:marTop w:val="0"/>
      <w:marBottom w:val="0"/>
      <w:divBdr>
        <w:top w:val="none" w:sz="0" w:space="0" w:color="auto"/>
        <w:left w:val="none" w:sz="0" w:space="0" w:color="auto"/>
        <w:bottom w:val="none" w:sz="0" w:space="0" w:color="auto"/>
        <w:right w:val="none" w:sz="0" w:space="0" w:color="auto"/>
      </w:divBdr>
      <w:divsChild>
        <w:div w:id="1534689137">
          <w:marLeft w:val="0"/>
          <w:marRight w:val="0"/>
          <w:marTop w:val="432"/>
          <w:marBottom w:val="0"/>
          <w:divBdr>
            <w:top w:val="none" w:sz="0" w:space="0" w:color="auto"/>
            <w:left w:val="none" w:sz="0" w:space="0" w:color="auto"/>
            <w:bottom w:val="none" w:sz="0" w:space="0" w:color="auto"/>
            <w:right w:val="none" w:sz="0" w:space="0" w:color="auto"/>
          </w:divBdr>
        </w:div>
        <w:div w:id="1379160417">
          <w:marLeft w:val="0"/>
          <w:marRight w:val="0"/>
          <w:marTop w:val="0"/>
          <w:marBottom w:val="0"/>
          <w:divBdr>
            <w:top w:val="none" w:sz="0" w:space="0" w:color="auto"/>
            <w:left w:val="none" w:sz="0" w:space="0" w:color="auto"/>
            <w:bottom w:val="none" w:sz="0" w:space="0" w:color="auto"/>
            <w:right w:val="none" w:sz="0" w:space="0" w:color="auto"/>
          </w:divBdr>
          <w:divsChild>
            <w:div w:id="54856326">
              <w:marLeft w:val="0"/>
              <w:marRight w:val="0"/>
              <w:marTop w:val="0"/>
              <w:marBottom w:val="0"/>
              <w:divBdr>
                <w:top w:val="none" w:sz="0" w:space="0" w:color="auto"/>
                <w:left w:val="none" w:sz="0" w:space="0" w:color="auto"/>
                <w:bottom w:val="none" w:sz="0" w:space="0" w:color="auto"/>
                <w:right w:val="none" w:sz="0" w:space="0" w:color="auto"/>
              </w:divBdr>
              <w:divsChild>
                <w:div w:id="948776416">
                  <w:marLeft w:val="0"/>
                  <w:marRight w:val="0"/>
                  <w:marTop w:val="0"/>
                  <w:marBottom w:val="0"/>
                  <w:divBdr>
                    <w:top w:val="none" w:sz="0" w:space="0" w:color="auto"/>
                    <w:left w:val="none" w:sz="0" w:space="0" w:color="auto"/>
                    <w:bottom w:val="none" w:sz="0" w:space="0" w:color="auto"/>
                    <w:right w:val="none" w:sz="0" w:space="0" w:color="auto"/>
                  </w:divBdr>
                </w:div>
              </w:divsChild>
            </w:div>
            <w:div w:id="928386142">
              <w:marLeft w:val="0"/>
              <w:marRight w:val="0"/>
              <w:marTop w:val="0"/>
              <w:marBottom w:val="0"/>
              <w:divBdr>
                <w:top w:val="none" w:sz="0" w:space="0" w:color="auto"/>
                <w:left w:val="none" w:sz="0" w:space="0" w:color="auto"/>
                <w:bottom w:val="none" w:sz="0" w:space="0" w:color="auto"/>
                <w:right w:val="none" w:sz="0" w:space="0" w:color="auto"/>
              </w:divBdr>
              <w:divsChild>
                <w:div w:id="1000540772">
                  <w:marLeft w:val="0"/>
                  <w:marRight w:val="0"/>
                  <w:marTop w:val="0"/>
                  <w:marBottom w:val="0"/>
                  <w:divBdr>
                    <w:top w:val="none" w:sz="0" w:space="0" w:color="auto"/>
                    <w:left w:val="none" w:sz="0" w:space="0" w:color="auto"/>
                    <w:bottom w:val="none" w:sz="0" w:space="0" w:color="auto"/>
                    <w:right w:val="none" w:sz="0" w:space="0" w:color="auto"/>
                  </w:divBdr>
                </w:div>
              </w:divsChild>
            </w:div>
            <w:div w:id="1816095767">
              <w:marLeft w:val="0"/>
              <w:marRight w:val="0"/>
              <w:marTop w:val="0"/>
              <w:marBottom w:val="0"/>
              <w:divBdr>
                <w:top w:val="none" w:sz="0" w:space="0" w:color="auto"/>
                <w:left w:val="none" w:sz="0" w:space="0" w:color="auto"/>
                <w:bottom w:val="none" w:sz="0" w:space="0" w:color="auto"/>
                <w:right w:val="none" w:sz="0" w:space="0" w:color="auto"/>
              </w:divBdr>
              <w:divsChild>
                <w:div w:id="28536906">
                  <w:marLeft w:val="0"/>
                  <w:marRight w:val="0"/>
                  <w:marTop w:val="0"/>
                  <w:marBottom w:val="0"/>
                  <w:divBdr>
                    <w:top w:val="none" w:sz="0" w:space="0" w:color="auto"/>
                    <w:left w:val="none" w:sz="0" w:space="0" w:color="auto"/>
                    <w:bottom w:val="none" w:sz="0" w:space="0" w:color="auto"/>
                    <w:right w:val="none" w:sz="0" w:space="0" w:color="auto"/>
                  </w:divBdr>
                </w:div>
              </w:divsChild>
            </w:div>
            <w:div w:id="1782333848">
              <w:marLeft w:val="0"/>
              <w:marRight w:val="0"/>
              <w:marTop w:val="0"/>
              <w:marBottom w:val="0"/>
              <w:divBdr>
                <w:top w:val="none" w:sz="0" w:space="0" w:color="auto"/>
                <w:left w:val="none" w:sz="0" w:space="0" w:color="auto"/>
                <w:bottom w:val="none" w:sz="0" w:space="0" w:color="auto"/>
                <w:right w:val="none" w:sz="0" w:space="0" w:color="auto"/>
              </w:divBdr>
              <w:divsChild>
                <w:div w:id="1359312200">
                  <w:marLeft w:val="0"/>
                  <w:marRight w:val="0"/>
                  <w:marTop w:val="0"/>
                  <w:marBottom w:val="0"/>
                  <w:divBdr>
                    <w:top w:val="none" w:sz="0" w:space="0" w:color="auto"/>
                    <w:left w:val="none" w:sz="0" w:space="0" w:color="auto"/>
                    <w:bottom w:val="none" w:sz="0" w:space="0" w:color="auto"/>
                    <w:right w:val="none" w:sz="0" w:space="0" w:color="auto"/>
                  </w:divBdr>
                </w:div>
              </w:divsChild>
            </w:div>
            <w:div w:id="1072316612">
              <w:marLeft w:val="0"/>
              <w:marRight w:val="0"/>
              <w:marTop w:val="0"/>
              <w:marBottom w:val="0"/>
              <w:divBdr>
                <w:top w:val="none" w:sz="0" w:space="0" w:color="auto"/>
                <w:left w:val="none" w:sz="0" w:space="0" w:color="auto"/>
                <w:bottom w:val="none" w:sz="0" w:space="0" w:color="auto"/>
                <w:right w:val="none" w:sz="0" w:space="0" w:color="auto"/>
              </w:divBdr>
              <w:divsChild>
                <w:div w:id="2131321628">
                  <w:marLeft w:val="0"/>
                  <w:marRight w:val="0"/>
                  <w:marTop w:val="0"/>
                  <w:marBottom w:val="0"/>
                  <w:divBdr>
                    <w:top w:val="none" w:sz="0" w:space="0" w:color="auto"/>
                    <w:left w:val="none" w:sz="0" w:space="0" w:color="auto"/>
                    <w:bottom w:val="none" w:sz="0" w:space="0" w:color="auto"/>
                    <w:right w:val="none" w:sz="0" w:space="0" w:color="auto"/>
                  </w:divBdr>
                </w:div>
              </w:divsChild>
            </w:div>
            <w:div w:id="48504271">
              <w:marLeft w:val="0"/>
              <w:marRight w:val="0"/>
              <w:marTop w:val="0"/>
              <w:marBottom w:val="0"/>
              <w:divBdr>
                <w:top w:val="none" w:sz="0" w:space="0" w:color="auto"/>
                <w:left w:val="none" w:sz="0" w:space="0" w:color="auto"/>
                <w:bottom w:val="none" w:sz="0" w:space="0" w:color="auto"/>
                <w:right w:val="none" w:sz="0" w:space="0" w:color="auto"/>
              </w:divBdr>
              <w:divsChild>
                <w:div w:id="912545484">
                  <w:marLeft w:val="0"/>
                  <w:marRight w:val="0"/>
                  <w:marTop w:val="0"/>
                  <w:marBottom w:val="0"/>
                  <w:divBdr>
                    <w:top w:val="none" w:sz="0" w:space="0" w:color="auto"/>
                    <w:left w:val="none" w:sz="0" w:space="0" w:color="auto"/>
                    <w:bottom w:val="none" w:sz="0" w:space="0" w:color="auto"/>
                    <w:right w:val="none" w:sz="0" w:space="0" w:color="auto"/>
                  </w:divBdr>
                </w:div>
              </w:divsChild>
            </w:div>
            <w:div w:id="581334445">
              <w:marLeft w:val="0"/>
              <w:marRight w:val="0"/>
              <w:marTop w:val="0"/>
              <w:marBottom w:val="0"/>
              <w:divBdr>
                <w:top w:val="none" w:sz="0" w:space="0" w:color="auto"/>
                <w:left w:val="none" w:sz="0" w:space="0" w:color="auto"/>
                <w:bottom w:val="none" w:sz="0" w:space="0" w:color="auto"/>
                <w:right w:val="none" w:sz="0" w:space="0" w:color="auto"/>
              </w:divBdr>
              <w:divsChild>
                <w:div w:id="7530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83">
          <w:marLeft w:val="0"/>
          <w:marRight w:val="0"/>
          <w:marTop w:val="0"/>
          <w:marBottom w:val="600"/>
          <w:divBdr>
            <w:top w:val="none" w:sz="0" w:space="0" w:color="auto"/>
            <w:left w:val="none" w:sz="0" w:space="0" w:color="auto"/>
            <w:bottom w:val="none" w:sz="0" w:space="0" w:color="auto"/>
            <w:right w:val="none" w:sz="0" w:space="0" w:color="auto"/>
          </w:divBdr>
        </w:div>
      </w:divsChild>
    </w:div>
    <w:div w:id="542523180">
      <w:marLeft w:val="0"/>
      <w:marRight w:val="0"/>
      <w:marTop w:val="0"/>
      <w:marBottom w:val="0"/>
      <w:divBdr>
        <w:top w:val="none" w:sz="0" w:space="0" w:color="auto"/>
        <w:left w:val="none" w:sz="0" w:space="0" w:color="auto"/>
        <w:bottom w:val="none" w:sz="0" w:space="0" w:color="auto"/>
        <w:right w:val="none" w:sz="0" w:space="0" w:color="auto"/>
      </w:divBdr>
      <w:divsChild>
        <w:div w:id="514078112">
          <w:marLeft w:val="0"/>
          <w:marRight w:val="0"/>
          <w:marTop w:val="432"/>
          <w:marBottom w:val="0"/>
          <w:divBdr>
            <w:top w:val="none" w:sz="0" w:space="0" w:color="auto"/>
            <w:left w:val="none" w:sz="0" w:space="0" w:color="auto"/>
            <w:bottom w:val="none" w:sz="0" w:space="0" w:color="auto"/>
            <w:right w:val="none" w:sz="0" w:space="0" w:color="auto"/>
          </w:divBdr>
        </w:div>
        <w:div w:id="1342203357">
          <w:marLeft w:val="0"/>
          <w:marRight w:val="0"/>
          <w:marTop w:val="0"/>
          <w:marBottom w:val="0"/>
          <w:divBdr>
            <w:top w:val="none" w:sz="0" w:space="0" w:color="auto"/>
            <w:left w:val="none" w:sz="0" w:space="0" w:color="auto"/>
            <w:bottom w:val="none" w:sz="0" w:space="0" w:color="auto"/>
            <w:right w:val="none" w:sz="0" w:space="0" w:color="auto"/>
          </w:divBdr>
        </w:div>
        <w:div w:id="1793934014">
          <w:marLeft w:val="0"/>
          <w:marRight w:val="0"/>
          <w:marTop w:val="0"/>
          <w:marBottom w:val="600"/>
          <w:divBdr>
            <w:top w:val="none" w:sz="0" w:space="0" w:color="auto"/>
            <w:left w:val="none" w:sz="0" w:space="0" w:color="auto"/>
            <w:bottom w:val="none" w:sz="0" w:space="0" w:color="auto"/>
            <w:right w:val="none" w:sz="0" w:space="0" w:color="auto"/>
          </w:divBdr>
        </w:div>
      </w:divsChild>
    </w:div>
    <w:div w:id="593168600">
      <w:marLeft w:val="0"/>
      <w:marRight w:val="0"/>
      <w:marTop w:val="0"/>
      <w:marBottom w:val="0"/>
      <w:divBdr>
        <w:top w:val="none" w:sz="0" w:space="0" w:color="auto"/>
        <w:left w:val="none" w:sz="0" w:space="0" w:color="auto"/>
        <w:bottom w:val="none" w:sz="0" w:space="0" w:color="auto"/>
        <w:right w:val="none" w:sz="0" w:space="0" w:color="auto"/>
      </w:divBdr>
      <w:divsChild>
        <w:div w:id="878973013">
          <w:marLeft w:val="0"/>
          <w:marRight w:val="0"/>
          <w:marTop w:val="432"/>
          <w:marBottom w:val="0"/>
          <w:divBdr>
            <w:top w:val="none" w:sz="0" w:space="0" w:color="auto"/>
            <w:left w:val="none" w:sz="0" w:space="0" w:color="auto"/>
            <w:bottom w:val="none" w:sz="0" w:space="0" w:color="auto"/>
            <w:right w:val="none" w:sz="0" w:space="0" w:color="auto"/>
          </w:divBdr>
        </w:div>
        <w:div w:id="1878198025">
          <w:marLeft w:val="0"/>
          <w:marRight w:val="0"/>
          <w:marTop w:val="0"/>
          <w:marBottom w:val="0"/>
          <w:divBdr>
            <w:top w:val="none" w:sz="0" w:space="0" w:color="auto"/>
            <w:left w:val="none" w:sz="0" w:space="0" w:color="auto"/>
            <w:bottom w:val="none" w:sz="0" w:space="0" w:color="auto"/>
            <w:right w:val="none" w:sz="0" w:space="0" w:color="auto"/>
          </w:divBdr>
          <w:divsChild>
            <w:div w:id="167643651">
              <w:marLeft w:val="0"/>
              <w:marRight w:val="0"/>
              <w:marTop w:val="0"/>
              <w:marBottom w:val="0"/>
              <w:divBdr>
                <w:top w:val="none" w:sz="0" w:space="0" w:color="auto"/>
                <w:left w:val="none" w:sz="0" w:space="0" w:color="auto"/>
                <w:bottom w:val="none" w:sz="0" w:space="0" w:color="auto"/>
                <w:right w:val="none" w:sz="0" w:space="0" w:color="auto"/>
              </w:divBdr>
              <w:divsChild>
                <w:div w:id="167527439">
                  <w:marLeft w:val="0"/>
                  <w:marRight w:val="0"/>
                  <w:marTop w:val="0"/>
                  <w:marBottom w:val="0"/>
                  <w:divBdr>
                    <w:top w:val="none" w:sz="0" w:space="0" w:color="auto"/>
                    <w:left w:val="none" w:sz="0" w:space="0" w:color="auto"/>
                    <w:bottom w:val="none" w:sz="0" w:space="0" w:color="auto"/>
                    <w:right w:val="none" w:sz="0" w:space="0" w:color="auto"/>
                  </w:divBdr>
                </w:div>
              </w:divsChild>
            </w:div>
            <w:div w:id="1190410923">
              <w:marLeft w:val="0"/>
              <w:marRight w:val="0"/>
              <w:marTop w:val="0"/>
              <w:marBottom w:val="0"/>
              <w:divBdr>
                <w:top w:val="none" w:sz="0" w:space="0" w:color="auto"/>
                <w:left w:val="none" w:sz="0" w:space="0" w:color="auto"/>
                <w:bottom w:val="none" w:sz="0" w:space="0" w:color="auto"/>
                <w:right w:val="none" w:sz="0" w:space="0" w:color="auto"/>
              </w:divBdr>
              <w:divsChild>
                <w:div w:id="328751035">
                  <w:marLeft w:val="0"/>
                  <w:marRight w:val="0"/>
                  <w:marTop w:val="0"/>
                  <w:marBottom w:val="0"/>
                  <w:divBdr>
                    <w:top w:val="none" w:sz="0" w:space="0" w:color="auto"/>
                    <w:left w:val="none" w:sz="0" w:space="0" w:color="auto"/>
                    <w:bottom w:val="none" w:sz="0" w:space="0" w:color="auto"/>
                    <w:right w:val="none" w:sz="0" w:space="0" w:color="auto"/>
                  </w:divBdr>
                </w:div>
              </w:divsChild>
            </w:div>
            <w:div w:id="111561436">
              <w:marLeft w:val="0"/>
              <w:marRight w:val="0"/>
              <w:marTop w:val="0"/>
              <w:marBottom w:val="0"/>
              <w:divBdr>
                <w:top w:val="none" w:sz="0" w:space="0" w:color="auto"/>
                <w:left w:val="none" w:sz="0" w:space="0" w:color="auto"/>
                <w:bottom w:val="none" w:sz="0" w:space="0" w:color="auto"/>
                <w:right w:val="none" w:sz="0" w:space="0" w:color="auto"/>
              </w:divBdr>
              <w:divsChild>
                <w:div w:id="1316834343">
                  <w:marLeft w:val="0"/>
                  <w:marRight w:val="0"/>
                  <w:marTop w:val="0"/>
                  <w:marBottom w:val="0"/>
                  <w:divBdr>
                    <w:top w:val="none" w:sz="0" w:space="0" w:color="auto"/>
                    <w:left w:val="none" w:sz="0" w:space="0" w:color="auto"/>
                    <w:bottom w:val="none" w:sz="0" w:space="0" w:color="auto"/>
                    <w:right w:val="none" w:sz="0" w:space="0" w:color="auto"/>
                  </w:divBdr>
                </w:div>
              </w:divsChild>
            </w:div>
            <w:div w:id="930702807">
              <w:marLeft w:val="0"/>
              <w:marRight w:val="0"/>
              <w:marTop w:val="0"/>
              <w:marBottom w:val="0"/>
              <w:divBdr>
                <w:top w:val="none" w:sz="0" w:space="0" w:color="auto"/>
                <w:left w:val="none" w:sz="0" w:space="0" w:color="auto"/>
                <w:bottom w:val="none" w:sz="0" w:space="0" w:color="auto"/>
                <w:right w:val="none" w:sz="0" w:space="0" w:color="auto"/>
              </w:divBdr>
              <w:divsChild>
                <w:div w:id="1923296020">
                  <w:marLeft w:val="0"/>
                  <w:marRight w:val="0"/>
                  <w:marTop w:val="0"/>
                  <w:marBottom w:val="0"/>
                  <w:divBdr>
                    <w:top w:val="none" w:sz="0" w:space="0" w:color="auto"/>
                    <w:left w:val="none" w:sz="0" w:space="0" w:color="auto"/>
                    <w:bottom w:val="none" w:sz="0" w:space="0" w:color="auto"/>
                    <w:right w:val="none" w:sz="0" w:space="0" w:color="auto"/>
                  </w:divBdr>
                </w:div>
              </w:divsChild>
            </w:div>
            <w:div w:id="828598686">
              <w:marLeft w:val="0"/>
              <w:marRight w:val="0"/>
              <w:marTop w:val="0"/>
              <w:marBottom w:val="0"/>
              <w:divBdr>
                <w:top w:val="none" w:sz="0" w:space="0" w:color="auto"/>
                <w:left w:val="none" w:sz="0" w:space="0" w:color="auto"/>
                <w:bottom w:val="none" w:sz="0" w:space="0" w:color="auto"/>
                <w:right w:val="none" w:sz="0" w:space="0" w:color="auto"/>
              </w:divBdr>
              <w:divsChild>
                <w:div w:id="533495595">
                  <w:marLeft w:val="0"/>
                  <w:marRight w:val="0"/>
                  <w:marTop w:val="0"/>
                  <w:marBottom w:val="0"/>
                  <w:divBdr>
                    <w:top w:val="none" w:sz="0" w:space="0" w:color="auto"/>
                    <w:left w:val="none" w:sz="0" w:space="0" w:color="auto"/>
                    <w:bottom w:val="none" w:sz="0" w:space="0" w:color="auto"/>
                    <w:right w:val="none" w:sz="0" w:space="0" w:color="auto"/>
                  </w:divBdr>
                </w:div>
              </w:divsChild>
            </w:div>
            <w:div w:id="1886020224">
              <w:marLeft w:val="0"/>
              <w:marRight w:val="0"/>
              <w:marTop w:val="0"/>
              <w:marBottom w:val="0"/>
              <w:divBdr>
                <w:top w:val="none" w:sz="0" w:space="0" w:color="auto"/>
                <w:left w:val="none" w:sz="0" w:space="0" w:color="auto"/>
                <w:bottom w:val="none" w:sz="0" w:space="0" w:color="auto"/>
                <w:right w:val="none" w:sz="0" w:space="0" w:color="auto"/>
              </w:divBdr>
              <w:divsChild>
                <w:div w:id="1797260611">
                  <w:marLeft w:val="0"/>
                  <w:marRight w:val="0"/>
                  <w:marTop w:val="0"/>
                  <w:marBottom w:val="0"/>
                  <w:divBdr>
                    <w:top w:val="none" w:sz="0" w:space="0" w:color="auto"/>
                    <w:left w:val="none" w:sz="0" w:space="0" w:color="auto"/>
                    <w:bottom w:val="none" w:sz="0" w:space="0" w:color="auto"/>
                    <w:right w:val="none" w:sz="0" w:space="0" w:color="auto"/>
                  </w:divBdr>
                </w:div>
              </w:divsChild>
            </w:div>
            <w:div w:id="312830356">
              <w:marLeft w:val="0"/>
              <w:marRight w:val="0"/>
              <w:marTop w:val="0"/>
              <w:marBottom w:val="0"/>
              <w:divBdr>
                <w:top w:val="none" w:sz="0" w:space="0" w:color="auto"/>
                <w:left w:val="none" w:sz="0" w:space="0" w:color="auto"/>
                <w:bottom w:val="none" w:sz="0" w:space="0" w:color="auto"/>
                <w:right w:val="none" w:sz="0" w:space="0" w:color="auto"/>
              </w:divBdr>
              <w:divsChild>
                <w:div w:id="7830203">
                  <w:marLeft w:val="0"/>
                  <w:marRight w:val="0"/>
                  <w:marTop w:val="0"/>
                  <w:marBottom w:val="0"/>
                  <w:divBdr>
                    <w:top w:val="none" w:sz="0" w:space="0" w:color="auto"/>
                    <w:left w:val="none" w:sz="0" w:space="0" w:color="auto"/>
                    <w:bottom w:val="none" w:sz="0" w:space="0" w:color="auto"/>
                    <w:right w:val="none" w:sz="0" w:space="0" w:color="auto"/>
                  </w:divBdr>
                </w:div>
              </w:divsChild>
            </w:div>
            <w:div w:id="546723842">
              <w:marLeft w:val="0"/>
              <w:marRight w:val="0"/>
              <w:marTop w:val="0"/>
              <w:marBottom w:val="0"/>
              <w:divBdr>
                <w:top w:val="none" w:sz="0" w:space="0" w:color="auto"/>
                <w:left w:val="none" w:sz="0" w:space="0" w:color="auto"/>
                <w:bottom w:val="none" w:sz="0" w:space="0" w:color="auto"/>
                <w:right w:val="none" w:sz="0" w:space="0" w:color="auto"/>
              </w:divBdr>
              <w:divsChild>
                <w:div w:id="1996758916">
                  <w:marLeft w:val="0"/>
                  <w:marRight w:val="0"/>
                  <w:marTop w:val="0"/>
                  <w:marBottom w:val="0"/>
                  <w:divBdr>
                    <w:top w:val="none" w:sz="0" w:space="0" w:color="auto"/>
                    <w:left w:val="none" w:sz="0" w:space="0" w:color="auto"/>
                    <w:bottom w:val="none" w:sz="0" w:space="0" w:color="auto"/>
                    <w:right w:val="none" w:sz="0" w:space="0" w:color="auto"/>
                  </w:divBdr>
                </w:div>
              </w:divsChild>
            </w:div>
            <w:div w:id="117380458">
              <w:marLeft w:val="0"/>
              <w:marRight w:val="0"/>
              <w:marTop w:val="0"/>
              <w:marBottom w:val="0"/>
              <w:divBdr>
                <w:top w:val="none" w:sz="0" w:space="0" w:color="auto"/>
                <w:left w:val="none" w:sz="0" w:space="0" w:color="auto"/>
                <w:bottom w:val="none" w:sz="0" w:space="0" w:color="auto"/>
                <w:right w:val="none" w:sz="0" w:space="0" w:color="auto"/>
              </w:divBdr>
              <w:divsChild>
                <w:div w:id="1457406323">
                  <w:marLeft w:val="0"/>
                  <w:marRight w:val="0"/>
                  <w:marTop w:val="0"/>
                  <w:marBottom w:val="0"/>
                  <w:divBdr>
                    <w:top w:val="none" w:sz="0" w:space="0" w:color="auto"/>
                    <w:left w:val="none" w:sz="0" w:space="0" w:color="auto"/>
                    <w:bottom w:val="none" w:sz="0" w:space="0" w:color="auto"/>
                    <w:right w:val="none" w:sz="0" w:space="0" w:color="auto"/>
                  </w:divBdr>
                </w:div>
              </w:divsChild>
            </w:div>
            <w:div w:id="1145049907">
              <w:marLeft w:val="0"/>
              <w:marRight w:val="0"/>
              <w:marTop w:val="0"/>
              <w:marBottom w:val="0"/>
              <w:divBdr>
                <w:top w:val="none" w:sz="0" w:space="0" w:color="auto"/>
                <w:left w:val="none" w:sz="0" w:space="0" w:color="auto"/>
                <w:bottom w:val="none" w:sz="0" w:space="0" w:color="auto"/>
                <w:right w:val="none" w:sz="0" w:space="0" w:color="auto"/>
              </w:divBdr>
              <w:divsChild>
                <w:div w:id="143547777">
                  <w:marLeft w:val="0"/>
                  <w:marRight w:val="0"/>
                  <w:marTop w:val="0"/>
                  <w:marBottom w:val="0"/>
                  <w:divBdr>
                    <w:top w:val="none" w:sz="0" w:space="0" w:color="auto"/>
                    <w:left w:val="none" w:sz="0" w:space="0" w:color="auto"/>
                    <w:bottom w:val="none" w:sz="0" w:space="0" w:color="auto"/>
                    <w:right w:val="none" w:sz="0" w:space="0" w:color="auto"/>
                  </w:divBdr>
                </w:div>
              </w:divsChild>
            </w:div>
            <w:div w:id="714962299">
              <w:marLeft w:val="0"/>
              <w:marRight w:val="0"/>
              <w:marTop w:val="0"/>
              <w:marBottom w:val="0"/>
              <w:divBdr>
                <w:top w:val="none" w:sz="0" w:space="0" w:color="auto"/>
                <w:left w:val="none" w:sz="0" w:space="0" w:color="auto"/>
                <w:bottom w:val="none" w:sz="0" w:space="0" w:color="auto"/>
                <w:right w:val="none" w:sz="0" w:space="0" w:color="auto"/>
              </w:divBdr>
              <w:divsChild>
                <w:div w:id="328363210">
                  <w:marLeft w:val="0"/>
                  <w:marRight w:val="0"/>
                  <w:marTop w:val="0"/>
                  <w:marBottom w:val="0"/>
                  <w:divBdr>
                    <w:top w:val="none" w:sz="0" w:space="0" w:color="auto"/>
                    <w:left w:val="none" w:sz="0" w:space="0" w:color="auto"/>
                    <w:bottom w:val="none" w:sz="0" w:space="0" w:color="auto"/>
                    <w:right w:val="none" w:sz="0" w:space="0" w:color="auto"/>
                  </w:divBdr>
                </w:div>
              </w:divsChild>
            </w:div>
            <w:div w:id="752236258">
              <w:marLeft w:val="0"/>
              <w:marRight w:val="0"/>
              <w:marTop w:val="0"/>
              <w:marBottom w:val="0"/>
              <w:divBdr>
                <w:top w:val="none" w:sz="0" w:space="0" w:color="auto"/>
                <w:left w:val="none" w:sz="0" w:space="0" w:color="auto"/>
                <w:bottom w:val="none" w:sz="0" w:space="0" w:color="auto"/>
                <w:right w:val="none" w:sz="0" w:space="0" w:color="auto"/>
              </w:divBdr>
              <w:divsChild>
                <w:div w:id="6418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5428">
          <w:marLeft w:val="0"/>
          <w:marRight w:val="0"/>
          <w:marTop w:val="0"/>
          <w:marBottom w:val="600"/>
          <w:divBdr>
            <w:top w:val="none" w:sz="0" w:space="0" w:color="auto"/>
            <w:left w:val="none" w:sz="0" w:space="0" w:color="auto"/>
            <w:bottom w:val="none" w:sz="0" w:space="0" w:color="auto"/>
            <w:right w:val="none" w:sz="0" w:space="0" w:color="auto"/>
          </w:divBdr>
        </w:div>
      </w:divsChild>
    </w:div>
    <w:div w:id="622927690">
      <w:marLeft w:val="0"/>
      <w:marRight w:val="0"/>
      <w:marTop w:val="0"/>
      <w:marBottom w:val="0"/>
      <w:divBdr>
        <w:top w:val="none" w:sz="0" w:space="0" w:color="auto"/>
        <w:left w:val="none" w:sz="0" w:space="0" w:color="auto"/>
        <w:bottom w:val="none" w:sz="0" w:space="0" w:color="auto"/>
        <w:right w:val="none" w:sz="0" w:space="0" w:color="auto"/>
      </w:divBdr>
      <w:divsChild>
        <w:div w:id="1967930626">
          <w:marLeft w:val="0"/>
          <w:marRight w:val="0"/>
          <w:marTop w:val="432"/>
          <w:marBottom w:val="0"/>
          <w:divBdr>
            <w:top w:val="none" w:sz="0" w:space="0" w:color="auto"/>
            <w:left w:val="none" w:sz="0" w:space="0" w:color="auto"/>
            <w:bottom w:val="none" w:sz="0" w:space="0" w:color="auto"/>
            <w:right w:val="none" w:sz="0" w:space="0" w:color="auto"/>
          </w:divBdr>
        </w:div>
        <w:div w:id="489097146">
          <w:marLeft w:val="0"/>
          <w:marRight w:val="0"/>
          <w:marTop w:val="0"/>
          <w:marBottom w:val="0"/>
          <w:divBdr>
            <w:top w:val="none" w:sz="0" w:space="0" w:color="auto"/>
            <w:left w:val="none" w:sz="0" w:space="0" w:color="auto"/>
            <w:bottom w:val="none" w:sz="0" w:space="0" w:color="auto"/>
            <w:right w:val="none" w:sz="0" w:space="0" w:color="auto"/>
          </w:divBdr>
        </w:div>
        <w:div w:id="2011328644">
          <w:marLeft w:val="0"/>
          <w:marRight w:val="0"/>
          <w:marTop w:val="0"/>
          <w:marBottom w:val="600"/>
          <w:divBdr>
            <w:top w:val="none" w:sz="0" w:space="0" w:color="auto"/>
            <w:left w:val="none" w:sz="0" w:space="0" w:color="auto"/>
            <w:bottom w:val="none" w:sz="0" w:space="0" w:color="auto"/>
            <w:right w:val="none" w:sz="0" w:space="0" w:color="auto"/>
          </w:divBdr>
        </w:div>
      </w:divsChild>
    </w:div>
    <w:div w:id="653144698">
      <w:marLeft w:val="0"/>
      <w:marRight w:val="0"/>
      <w:marTop w:val="0"/>
      <w:marBottom w:val="0"/>
      <w:divBdr>
        <w:top w:val="none" w:sz="0" w:space="0" w:color="auto"/>
        <w:left w:val="none" w:sz="0" w:space="0" w:color="auto"/>
        <w:bottom w:val="none" w:sz="0" w:space="0" w:color="auto"/>
        <w:right w:val="none" w:sz="0" w:space="0" w:color="auto"/>
      </w:divBdr>
      <w:divsChild>
        <w:div w:id="1333027676">
          <w:marLeft w:val="0"/>
          <w:marRight w:val="0"/>
          <w:marTop w:val="432"/>
          <w:marBottom w:val="0"/>
          <w:divBdr>
            <w:top w:val="none" w:sz="0" w:space="0" w:color="auto"/>
            <w:left w:val="none" w:sz="0" w:space="0" w:color="auto"/>
            <w:bottom w:val="none" w:sz="0" w:space="0" w:color="auto"/>
            <w:right w:val="none" w:sz="0" w:space="0" w:color="auto"/>
          </w:divBdr>
        </w:div>
        <w:div w:id="366684444">
          <w:marLeft w:val="0"/>
          <w:marRight w:val="0"/>
          <w:marTop w:val="0"/>
          <w:marBottom w:val="0"/>
          <w:divBdr>
            <w:top w:val="none" w:sz="0" w:space="0" w:color="auto"/>
            <w:left w:val="none" w:sz="0" w:space="0" w:color="auto"/>
            <w:bottom w:val="none" w:sz="0" w:space="0" w:color="auto"/>
            <w:right w:val="none" w:sz="0" w:space="0" w:color="auto"/>
          </w:divBdr>
          <w:divsChild>
            <w:div w:id="1569681813">
              <w:marLeft w:val="0"/>
              <w:marRight w:val="0"/>
              <w:marTop w:val="0"/>
              <w:marBottom w:val="0"/>
              <w:divBdr>
                <w:top w:val="none" w:sz="0" w:space="0" w:color="auto"/>
                <w:left w:val="none" w:sz="0" w:space="0" w:color="auto"/>
                <w:bottom w:val="none" w:sz="0" w:space="0" w:color="auto"/>
                <w:right w:val="none" w:sz="0" w:space="0" w:color="auto"/>
              </w:divBdr>
              <w:divsChild>
                <w:div w:id="1680156413">
                  <w:marLeft w:val="0"/>
                  <w:marRight w:val="0"/>
                  <w:marTop w:val="0"/>
                  <w:marBottom w:val="0"/>
                  <w:divBdr>
                    <w:top w:val="none" w:sz="0" w:space="0" w:color="auto"/>
                    <w:left w:val="none" w:sz="0" w:space="0" w:color="auto"/>
                    <w:bottom w:val="none" w:sz="0" w:space="0" w:color="auto"/>
                    <w:right w:val="none" w:sz="0" w:space="0" w:color="auto"/>
                  </w:divBdr>
                </w:div>
              </w:divsChild>
            </w:div>
            <w:div w:id="1267881922">
              <w:marLeft w:val="0"/>
              <w:marRight w:val="0"/>
              <w:marTop w:val="0"/>
              <w:marBottom w:val="0"/>
              <w:divBdr>
                <w:top w:val="none" w:sz="0" w:space="0" w:color="auto"/>
                <w:left w:val="none" w:sz="0" w:space="0" w:color="auto"/>
                <w:bottom w:val="none" w:sz="0" w:space="0" w:color="auto"/>
                <w:right w:val="none" w:sz="0" w:space="0" w:color="auto"/>
              </w:divBdr>
              <w:divsChild>
                <w:div w:id="380985102">
                  <w:marLeft w:val="0"/>
                  <w:marRight w:val="0"/>
                  <w:marTop w:val="0"/>
                  <w:marBottom w:val="0"/>
                  <w:divBdr>
                    <w:top w:val="none" w:sz="0" w:space="0" w:color="auto"/>
                    <w:left w:val="none" w:sz="0" w:space="0" w:color="auto"/>
                    <w:bottom w:val="none" w:sz="0" w:space="0" w:color="auto"/>
                    <w:right w:val="none" w:sz="0" w:space="0" w:color="auto"/>
                  </w:divBdr>
                </w:div>
              </w:divsChild>
            </w:div>
            <w:div w:id="515659333">
              <w:marLeft w:val="0"/>
              <w:marRight w:val="0"/>
              <w:marTop w:val="0"/>
              <w:marBottom w:val="0"/>
              <w:divBdr>
                <w:top w:val="none" w:sz="0" w:space="0" w:color="auto"/>
                <w:left w:val="none" w:sz="0" w:space="0" w:color="auto"/>
                <w:bottom w:val="none" w:sz="0" w:space="0" w:color="auto"/>
                <w:right w:val="none" w:sz="0" w:space="0" w:color="auto"/>
              </w:divBdr>
              <w:divsChild>
                <w:div w:id="1388333666">
                  <w:marLeft w:val="0"/>
                  <w:marRight w:val="0"/>
                  <w:marTop w:val="0"/>
                  <w:marBottom w:val="0"/>
                  <w:divBdr>
                    <w:top w:val="none" w:sz="0" w:space="0" w:color="auto"/>
                    <w:left w:val="none" w:sz="0" w:space="0" w:color="auto"/>
                    <w:bottom w:val="none" w:sz="0" w:space="0" w:color="auto"/>
                    <w:right w:val="none" w:sz="0" w:space="0" w:color="auto"/>
                  </w:divBdr>
                </w:div>
              </w:divsChild>
            </w:div>
            <w:div w:id="1705983087">
              <w:marLeft w:val="0"/>
              <w:marRight w:val="0"/>
              <w:marTop w:val="0"/>
              <w:marBottom w:val="0"/>
              <w:divBdr>
                <w:top w:val="none" w:sz="0" w:space="0" w:color="auto"/>
                <w:left w:val="none" w:sz="0" w:space="0" w:color="auto"/>
                <w:bottom w:val="none" w:sz="0" w:space="0" w:color="auto"/>
                <w:right w:val="none" w:sz="0" w:space="0" w:color="auto"/>
              </w:divBdr>
              <w:divsChild>
                <w:div w:id="1204948745">
                  <w:marLeft w:val="0"/>
                  <w:marRight w:val="0"/>
                  <w:marTop w:val="0"/>
                  <w:marBottom w:val="0"/>
                  <w:divBdr>
                    <w:top w:val="none" w:sz="0" w:space="0" w:color="auto"/>
                    <w:left w:val="none" w:sz="0" w:space="0" w:color="auto"/>
                    <w:bottom w:val="none" w:sz="0" w:space="0" w:color="auto"/>
                    <w:right w:val="none" w:sz="0" w:space="0" w:color="auto"/>
                  </w:divBdr>
                </w:div>
              </w:divsChild>
            </w:div>
            <w:div w:id="1363673508">
              <w:marLeft w:val="0"/>
              <w:marRight w:val="0"/>
              <w:marTop w:val="0"/>
              <w:marBottom w:val="0"/>
              <w:divBdr>
                <w:top w:val="none" w:sz="0" w:space="0" w:color="auto"/>
                <w:left w:val="none" w:sz="0" w:space="0" w:color="auto"/>
                <w:bottom w:val="none" w:sz="0" w:space="0" w:color="auto"/>
                <w:right w:val="none" w:sz="0" w:space="0" w:color="auto"/>
              </w:divBdr>
              <w:divsChild>
                <w:div w:id="134110233">
                  <w:marLeft w:val="0"/>
                  <w:marRight w:val="0"/>
                  <w:marTop w:val="0"/>
                  <w:marBottom w:val="0"/>
                  <w:divBdr>
                    <w:top w:val="none" w:sz="0" w:space="0" w:color="auto"/>
                    <w:left w:val="none" w:sz="0" w:space="0" w:color="auto"/>
                    <w:bottom w:val="none" w:sz="0" w:space="0" w:color="auto"/>
                    <w:right w:val="none" w:sz="0" w:space="0" w:color="auto"/>
                  </w:divBdr>
                </w:div>
              </w:divsChild>
            </w:div>
            <w:div w:id="742600797">
              <w:marLeft w:val="0"/>
              <w:marRight w:val="0"/>
              <w:marTop w:val="0"/>
              <w:marBottom w:val="0"/>
              <w:divBdr>
                <w:top w:val="none" w:sz="0" w:space="0" w:color="auto"/>
                <w:left w:val="none" w:sz="0" w:space="0" w:color="auto"/>
                <w:bottom w:val="none" w:sz="0" w:space="0" w:color="auto"/>
                <w:right w:val="none" w:sz="0" w:space="0" w:color="auto"/>
              </w:divBdr>
              <w:divsChild>
                <w:div w:id="2093550067">
                  <w:marLeft w:val="0"/>
                  <w:marRight w:val="0"/>
                  <w:marTop w:val="0"/>
                  <w:marBottom w:val="0"/>
                  <w:divBdr>
                    <w:top w:val="none" w:sz="0" w:space="0" w:color="auto"/>
                    <w:left w:val="none" w:sz="0" w:space="0" w:color="auto"/>
                    <w:bottom w:val="none" w:sz="0" w:space="0" w:color="auto"/>
                    <w:right w:val="none" w:sz="0" w:space="0" w:color="auto"/>
                  </w:divBdr>
                </w:div>
              </w:divsChild>
            </w:div>
            <w:div w:id="263153041">
              <w:marLeft w:val="0"/>
              <w:marRight w:val="0"/>
              <w:marTop w:val="0"/>
              <w:marBottom w:val="0"/>
              <w:divBdr>
                <w:top w:val="none" w:sz="0" w:space="0" w:color="auto"/>
                <w:left w:val="none" w:sz="0" w:space="0" w:color="auto"/>
                <w:bottom w:val="none" w:sz="0" w:space="0" w:color="auto"/>
                <w:right w:val="none" w:sz="0" w:space="0" w:color="auto"/>
              </w:divBdr>
              <w:divsChild>
                <w:div w:id="26103994">
                  <w:marLeft w:val="0"/>
                  <w:marRight w:val="0"/>
                  <w:marTop w:val="0"/>
                  <w:marBottom w:val="0"/>
                  <w:divBdr>
                    <w:top w:val="none" w:sz="0" w:space="0" w:color="auto"/>
                    <w:left w:val="none" w:sz="0" w:space="0" w:color="auto"/>
                    <w:bottom w:val="none" w:sz="0" w:space="0" w:color="auto"/>
                    <w:right w:val="none" w:sz="0" w:space="0" w:color="auto"/>
                  </w:divBdr>
                </w:div>
              </w:divsChild>
            </w:div>
            <w:div w:id="564607956">
              <w:marLeft w:val="0"/>
              <w:marRight w:val="0"/>
              <w:marTop w:val="0"/>
              <w:marBottom w:val="0"/>
              <w:divBdr>
                <w:top w:val="none" w:sz="0" w:space="0" w:color="auto"/>
                <w:left w:val="none" w:sz="0" w:space="0" w:color="auto"/>
                <w:bottom w:val="none" w:sz="0" w:space="0" w:color="auto"/>
                <w:right w:val="none" w:sz="0" w:space="0" w:color="auto"/>
              </w:divBdr>
              <w:divsChild>
                <w:div w:id="222644827">
                  <w:marLeft w:val="0"/>
                  <w:marRight w:val="0"/>
                  <w:marTop w:val="0"/>
                  <w:marBottom w:val="0"/>
                  <w:divBdr>
                    <w:top w:val="none" w:sz="0" w:space="0" w:color="auto"/>
                    <w:left w:val="none" w:sz="0" w:space="0" w:color="auto"/>
                    <w:bottom w:val="none" w:sz="0" w:space="0" w:color="auto"/>
                    <w:right w:val="none" w:sz="0" w:space="0" w:color="auto"/>
                  </w:divBdr>
                </w:div>
              </w:divsChild>
            </w:div>
            <w:div w:id="220869956">
              <w:marLeft w:val="0"/>
              <w:marRight w:val="0"/>
              <w:marTop w:val="0"/>
              <w:marBottom w:val="0"/>
              <w:divBdr>
                <w:top w:val="none" w:sz="0" w:space="0" w:color="auto"/>
                <w:left w:val="none" w:sz="0" w:space="0" w:color="auto"/>
                <w:bottom w:val="none" w:sz="0" w:space="0" w:color="auto"/>
                <w:right w:val="none" w:sz="0" w:space="0" w:color="auto"/>
              </w:divBdr>
              <w:divsChild>
                <w:div w:id="1429498914">
                  <w:marLeft w:val="0"/>
                  <w:marRight w:val="0"/>
                  <w:marTop w:val="0"/>
                  <w:marBottom w:val="0"/>
                  <w:divBdr>
                    <w:top w:val="none" w:sz="0" w:space="0" w:color="auto"/>
                    <w:left w:val="none" w:sz="0" w:space="0" w:color="auto"/>
                    <w:bottom w:val="none" w:sz="0" w:space="0" w:color="auto"/>
                    <w:right w:val="none" w:sz="0" w:space="0" w:color="auto"/>
                  </w:divBdr>
                </w:div>
              </w:divsChild>
            </w:div>
            <w:div w:id="428476844">
              <w:marLeft w:val="0"/>
              <w:marRight w:val="0"/>
              <w:marTop w:val="0"/>
              <w:marBottom w:val="0"/>
              <w:divBdr>
                <w:top w:val="none" w:sz="0" w:space="0" w:color="auto"/>
                <w:left w:val="none" w:sz="0" w:space="0" w:color="auto"/>
                <w:bottom w:val="none" w:sz="0" w:space="0" w:color="auto"/>
                <w:right w:val="none" w:sz="0" w:space="0" w:color="auto"/>
              </w:divBdr>
              <w:divsChild>
                <w:div w:id="466364156">
                  <w:marLeft w:val="0"/>
                  <w:marRight w:val="0"/>
                  <w:marTop w:val="0"/>
                  <w:marBottom w:val="0"/>
                  <w:divBdr>
                    <w:top w:val="none" w:sz="0" w:space="0" w:color="auto"/>
                    <w:left w:val="none" w:sz="0" w:space="0" w:color="auto"/>
                    <w:bottom w:val="none" w:sz="0" w:space="0" w:color="auto"/>
                    <w:right w:val="none" w:sz="0" w:space="0" w:color="auto"/>
                  </w:divBdr>
                </w:div>
              </w:divsChild>
            </w:div>
            <w:div w:id="1763182555">
              <w:marLeft w:val="0"/>
              <w:marRight w:val="0"/>
              <w:marTop w:val="0"/>
              <w:marBottom w:val="0"/>
              <w:divBdr>
                <w:top w:val="none" w:sz="0" w:space="0" w:color="auto"/>
                <w:left w:val="none" w:sz="0" w:space="0" w:color="auto"/>
                <w:bottom w:val="none" w:sz="0" w:space="0" w:color="auto"/>
                <w:right w:val="none" w:sz="0" w:space="0" w:color="auto"/>
              </w:divBdr>
              <w:divsChild>
                <w:div w:id="185368474">
                  <w:marLeft w:val="0"/>
                  <w:marRight w:val="0"/>
                  <w:marTop w:val="0"/>
                  <w:marBottom w:val="0"/>
                  <w:divBdr>
                    <w:top w:val="none" w:sz="0" w:space="0" w:color="auto"/>
                    <w:left w:val="none" w:sz="0" w:space="0" w:color="auto"/>
                    <w:bottom w:val="none" w:sz="0" w:space="0" w:color="auto"/>
                    <w:right w:val="none" w:sz="0" w:space="0" w:color="auto"/>
                  </w:divBdr>
                </w:div>
              </w:divsChild>
            </w:div>
            <w:div w:id="46952588">
              <w:marLeft w:val="0"/>
              <w:marRight w:val="0"/>
              <w:marTop w:val="0"/>
              <w:marBottom w:val="0"/>
              <w:divBdr>
                <w:top w:val="none" w:sz="0" w:space="0" w:color="auto"/>
                <w:left w:val="none" w:sz="0" w:space="0" w:color="auto"/>
                <w:bottom w:val="none" w:sz="0" w:space="0" w:color="auto"/>
                <w:right w:val="none" w:sz="0" w:space="0" w:color="auto"/>
              </w:divBdr>
              <w:divsChild>
                <w:div w:id="1994599777">
                  <w:marLeft w:val="0"/>
                  <w:marRight w:val="0"/>
                  <w:marTop w:val="0"/>
                  <w:marBottom w:val="0"/>
                  <w:divBdr>
                    <w:top w:val="none" w:sz="0" w:space="0" w:color="auto"/>
                    <w:left w:val="none" w:sz="0" w:space="0" w:color="auto"/>
                    <w:bottom w:val="none" w:sz="0" w:space="0" w:color="auto"/>
                    <w:right w:val="none" w:sz="0" w:space="0" w:color="auto"/>
                  </w:divBdr>
                </w:div>
              </w:divsChild>
            </w:div>
            <w:div w:id="1439569740">
              <w:marLeft w:val="0"/>
              <w:marRight w:val="0"/>
              <w:marTop w:val="0"/>
              <w:marBottom w:val="0"/>
              <w:divBdr>
                <w:top w:val="none" w:sz="0" w:space="0" w:color="auto"/>
                <w:left w:val="none" w:sz="0" w:space="0" w:color="auto"/>
                <w:bottom w:val="none" w:sz="0" w:space="0" w:color="auto"/>
                <w:right w:val="none" w:sz="0" w:space="0" w:color="auto"/>
              </w:divBdr>
              <w:divsChild>
                <w:div w:id="1518537521">
                  <w:marLeft w:val="0"/>
                  <w:marRight w:val="0"/>
                  <w:marTop w:val="0"/>
                  <w:marBottom w:val="0"/>
                  <w:divBdr>
                    <w:top w:val="none" w:sz="0" w:space="0" w:color="auto"/>
                    <w:left w:val="none" w:sz="0" w:space="0" w:color="auto"/>
                    <w:bottom w:val="none" w:sz="0" w:space="0" w:color="auto"/>
                    <w:right w:val="none" w:sz="0" w:space="0" w:color="auto"/>
                  </w:divBdr>
                </w:div>
              </w:divsChild>
            </w:div>
            <w:div w:id="1011882337">
              <w:marLeft w:val="0"/>
              <w:marRight w:val="0"/>
              <w:marTop w:val="0"/>
              <w:marBottom w:val="0"/>
              <w:divBdr>
                <w:top w:val="none" w:sz="0" w:space="0" w:color="auto"/>
                <w:left w:val="none" w:sz="0" w:space="0" w:color="auto"/>
                <w:bottom w:val="none" w:sz="0" w:space="0" w:color="auto"/>
                <w:right w:val="none" w:sz="0" w:space="0" w:color="auto"/>
              </w:divBdr>
              <w:divsChild>
                <w:div w:id="1611206682">
                  <w:marLeft w:val="0"/>
                  <w:marRight w:val="0"/>
                  <w:marTop w:val="0"/>
                  <w:marBottom w:val="0"/>
                  <w:divBdr>
                    <w:top w:val="none" w:sz="0" w:space="0" w:color="auto"/>
                    <w:left w:val="none" w:sz="0" w:space="0" w:color="auto"/>
                    <w:bottom w:val="none" w:sz="0" w:space="0" w:color="auto"/>
                    <w:right w:val="none" w:sz="0" w:space="0" w:color="auto"/>
                  </w:divBdr>
                </w:div>
              </w:divsChild>
            </w:div>
            <w:div w:id="1679966115">
              <w:marLeft w:val="0"/>
              <w:marRight w:val="0"/>
              <w:marTop w:val="0"/>
              <w:marBottom w:val="0"/>
              <w:divBdr>
                <w:top w:val="none" w:sz="0" w:space="0" w:color="auto"/>
                <w:left w:val="none" w:sz="0" w:space="0" w:color="auto"/>
                <w:bottom w:val="none" w:sz="0" w:space="0" w:color="auto"/>
                <w:right w:val="none" w:sz="0" w:space="0" w:color="auto"/>
              </w:divBdr>
              <w:divsChild>
                <w:div w:id="677466314">
                  <w:marLeft w:val="0"/>
                  <w:marRight w:val="0"/>
                  <w:marTop w:val="0"/>
                  <w:marBottom w:val="0"/>
                  <w:divBdr>
                    <w:top w:val="none" w:sz="0" w:space="0" w:color="auto"/>
                    <w:left w:val="none" w:sz="0" w:space="0" w:color="auto"/>
                    <w:bottom w:val="none" w:sz="0" w:space="0" w:color="auto"/>
                    <w:right w:val="none" w:sz="0" w:space="0" w:color="auto"/>
                  </w:divBdr>
                </w:div>
              </w:divsChild>
            </w:div>
            <w:div w:id="709458992">
              <w:marLeft w:val="0"/>
              <w:marRight w:val="0"/>
              <w:marTop w:val="0"/>
              <w:marBottom w:val="0"/>
              <w:divBdr>
                <w:top w:val="none" w:sz="0" w:space="0" w:color="auto"/>
                <w:left w:val="none" w:sz="0" w:space="0" w:color="auto"/>
                <w:bottom w:val="none" w:sz="0" w:space="0" w:color="auto"/>
                <w:right w:val="none" w:sz="0" w:space="0" w:color="auto"/>
              </w:divBdr>
              <w:divsChild>
                <w:div w:id="1714036979">
                  <w:marLeft w:val="0"/>
                  <w:marRight w:val="0"/>
                  <w:marTop w:val="0"/>
                  <w:marBottom w:val="0"/>
                  <w:divBdr>
                    <w:top w:val="none" w:sz="0" w:space="0" w:color="auto"/>
                    <w:left w:val="none" w:sz="0" w:space="0" w:color="auto"/>
                    <w:bottom w:val="none" w:sz="0" w:space="0" w:color="auto"/>
                    <w:right w:val="none" w:sz="0" w:space="0" w:color="auto"/>
                  </w:divBdr>
                </w:div>
              </w:divsChild>
            </w:div>
            <w:div w:id="1185559353">
              <w:marLeft w:val="0"/>
              <w:marRight w:val="0"/>
              <w:marTop w:val="0"/>
              <w:marBottom w:val="0"/>
              <w:divBdr>
                <w:top w:val="none" w:sz="0" w:space="0" w:color="auto"/>
                <w:left w:val="none" w:sz="0" w:space="0" w:color="auto"/>
                <w:bottom w:val="none" w:sz="0" w:space="0" w:color="auto"/>
                <w:right w:val="none" w:sz="0" w:space="0" w:color="auto"/>
              </w:divBdr>
              <w:divsChild>
                <w:div w:id="171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3064">
          <w:marLeft w:val="0"/>
          <w:marRight w:val="0"/>
          <w:marTop w:val="0"/>
          <w:marBottom w:val="600"/>
          <w:divBdr>
            <w:top w:val="none" w:sz="0" w:space="0" w:color="auto"/>
            <w:left w:val="none" w:sz="0" w:space="0" w:color="auto"/>
            <w:bottom w:val="none" w:sz="0" w:space="0" w:color="auto"/>
            <w:right w:val="none" w:sz="0" w:space="0" w:color="auto"/>
          </w:divBdr>
        </w:div>
      </w:divsChild>
    </w:div>
    <w:div w:id="726688970">
      <w:marLeft w:val="0"/>
      <w:marRight w:val="0"/>
      <w:marTop w:val="0"/>
      <w:marBottom w:val="0"/>
      <w:divBdr>
        <w:top w:val="none" w:sz="0" w:space="0" w:color="auto"/>
        <w:left w:val="none" w:sz="0" w:space="0" w:color="auto"/>
        <w:bottom w:val="none" w:sz="0" w:space="0" w:color="auto"/>
        <w:right w:val="none" w:sz="0" w:space="0" w:color="auto"/>
      </w:divBdr>
      <w:divsChild>
        <w:div w:id="891111900">
          <w:marLeft w:val="0"/>
          <w:marRight w:val="0"/>
          <w:marTop w:val="432"/>
          <w:marBottom w:val="0"/>
          <w:divBdr>
            <w:top w:val="none" w:sz="0" w:space="0" w:color="auto"/>
            <w:left w:val="none" w:sz="0" w:space="0" w:color="auto"/>
            <w:bottom w:val="none" w:sz="0" w:space="0" w:color="auto"/>
            <w:right w:val="none" w:sz="0" w:space="0" w:color="auto"/>
          </w:divBdr>
        </w:div>
        <w:div w:id="1735614917">
          <w:marLeft w:val="0"/>
          <w:marRight w:val="0"/>
          <w:marTop w:val="0"/>
          <w:marBottom w:val="0"/>
          <w:divBdr>
            <w:top w:val="none" w:sz="0" w:space="0" w:color="auto"/>
            <w:left w:val="none" w:sz="0" w:space="0" w:color="auto"/>
            <w:bottom w:val="none" w:sz="0" w:space="0" w:color="auto"/>
            <w:right w:val="none" w:sz="0" w:space="0" w:color="auto"/>
          </w:divBdr>
          <w:divsChild>
            <w:div w:id="1315644237">
              <w:marLeft w:val="0"/>
              <w:marRight w:val="0"/>
              <w:marTop w:val="0"/>
              <w:marBottom w:val="0"/>
              <w:divBdr>
                <w:top w:val="none" w:sz="0" w:space="0" w:color="auto"/>
                <w:left w:val="none" w:sz="0" w:space="0" w:color="auto"/>
                <w:bottom w:val="none" w:sz="0" w:space="0" w:color="auto"/>
                <w:right w:val="none" w:sz="0" w:space="0" w:color="auto"/>
              </w:divBdr>
              <w:divsChild>
                <w:div w:id="599799544">
                  <w:marLeft w:val="0"/>
                  <w:marRight w:val="0"/>
                  <w:marTop w:val="0"/>
                  <w:marBottom w:val="0"/>
                  <w:divBdr>
                    <w:top w:val="none" w:sz="0" w:space="0" w:color="auto"/>
                    <w:left w:val="none" w:sz="0" w:space="0" w:color="auto"/>
                    <w:bottom w:val="none" w:sz="0" w:space="0" w:color="auto"/>
                    <w:right w:val="none" w:sz="0" w:space="0" w:color="auto"/>
                  </w:divBdr>
                </w:div>
              </w:divsChild>
            </w:div>
            <w:div w:id="1354844850">
              <w:marLeft w:val="0"/>
              <w:marRight w:val="0"/>
              <w:marTop w:val="0"/>
              <w:marBottom w:val="0"/>
              <w:divBdr>
                <w:top w:val="none" w:sz="0" w:space="0" w:color="auto"/>
                <w:left w:val="none" w:sz="0" w:space="0" w:color="auto"/>
                <w:bottom w:val="none" w:sz="0" w:space="0" w:color="auto"/>
                <w:right w:val="none" w:sz="0" w:space="0" w:color="auto"/>
              </w:divBdr>
              <w:divsChild>
                <w:div w:id="1387685667">
                  <w:marLeft w:val="0"/>
                  <w:marRight w:val="0"/>
                  <w:marTop w:val="0"/>
                  <w:marBottom w:val="0"/>
                  <w:divBdr>
                    <w:top w:val="none" w:sz="0" w:space="0" w:color="auto"/>
                    <w:left w:val="none" w:sz="0" w:space="0" w:color="auto"/>
                    <w:bottom w:val="none" w:sz="0" w:space="0" w:color="auto"/>
                    <w:right w:val="none" w:sz="0" w:space="0" w:color="auto"/>
                  </w:divBdr>
                </w:div>
              </w:divsChild>
            </w:div>
            <w:div w:id="1970625067">
              <w:marLeft w:val="0"/>
              <w:marRight w:val="0"/>
              <w:marTop w:val="0"/>
              <w:marBottom w:val="0"/>
              <w:divBdr>
                <w:top w:val="none" w:sz="0" w:space="0" w:color="auto"/>
                <w:left w:val="none" w:sz="0" w:space="0" w:color="auto"/>
                <w:bottom w:val="none" w:sz="0" w:space="0" w:color="auto"/>
                <w:right w:val="none" w:sz="0" w:space="0" w:color="auto"/>
              </w:divBdr>
              <w:divsChild>
                <w:div w:id="435904525">
                  <w:marLeft w:val="0"/>
                  <w:marRight w:val="0"/>
                  <w:marTop w:val="0"/>
                  <w:marBottom w:val="0"/>
                  <w:divBdr>
                    <w:top w:val="none" w:sz="0" w:space="0" w:color="auto"/>
                    <w:left w:val="none" w:sz="0" w:space="0" w:color="auto"/>
                    <w:bottom w:val="none" w:sz="0" w:space="0" w:color="auto"/>
                    <w:right w:val="none" w:sz="0" w:space="0" w:color="auto"/>
                  </w:divBdr>
                </w:div>
              </w:divsChild>
            </w:div>
            <w:div w:id="610088998">
              <w:marLeft w:val="0"/>
              <w:marRight w:val="0"/>
              <w:marTop w:val="0"/>
              <w:marBottom w:val="0"/>
              <w:divBdr>
                <w:top w:val="none" w:sz="0" w:space="0" w:color="auto"/>
                <w:left w:val="none" w:sz="0" w:space="0" w:color="auto"/>
                <w:bottom w:val="none" w:sz="0" w:space="0" w:color="auto"/>
                <w:right w:val="none" w:sz="0" w:space="0" w:color="auto"/>
              </w:divBdr>
              <w:divsChild>
                <w:div w:id="1079062158">
                  <w:marLeft w:val="0"/>
                  <w:marRight w:val="0"/>
                  <w:marTop w:val="0"/>
                  <w:marBottom w:val="0"/>
                  <w:divBdr>
                    <w:top w:val="none" w:sz="0" w:space="0" w:color="auto"/>
                    <w:left w:val="none" w:sz="0" w:space="0" w:color="auto"/>
                    <w:bottom w:val="none" w:sz="0" w:space="0" w:color="auto"/>
                    <w:right w:val="none" w:sz="0" w:space="0" w:color="auto"/>
                  </w:divBdr>
                </w:div>
              </w:divsChild>
            </w:div>
            <w:div w:id="1144272399">
              <w:marLeft w:val="0"/>
              <w:marRight w:val="0"/>
              <w:marTop w:val="0"/>
              <w:marBottom w:val="0"/>
              <w:divBdr>
                <w:top w:val="none" w:sz="0" w:space="0" w:color="auto"/>
                <w:left w:val="none" w:sz="0" w:space="0" w:color="auto"/>
                <w:bottom w:val="none" w:sz="0" w:space="0" w:color="auto"/>
                <w:right w:val="none" w:sz="0" w:space="0" w:color="auto"/>
              </w:divBdr>
              <w:divsChild>
                <w:div w:id="802424821">
                  <w:marLeft w:val="0"/>
                  <w:marRight w:val="0"/>
                  <w:marTop w:val="0"/>
                  <w:marBottom w:val="0"/>
                  <w:divBdr>
                    <w:top w:val="none" w:sz="0" w:space="0" w:color="auto"/>
                    <w:left w:val="none" w:sz="0" w:space="0" w:color="auto"/>
                    <w:bottom w:val="none" w:sz="0" w:space="0" w:color="auto"/>
                    <w:right w:val="none" w:sz="0" w:space="0" w:color="auto"/>
                  </w:divBdr>
                </w:div>
              </w:divsChild>
            </w:div>
            <w:div w:id="1779904941">
              <w:marLeft w:val="0"/>
              <w:marRight w:val="0"/>
              <w:marTop w:val="0"/>
              <w:marBottom w:val="0"/>
              <w:divBdr>
                <w:top w:val="none" w:sz="0" w:space="0" w:color="auto"/>
                <w:left w:val="none" w:sz="0" w:space="0" w:color="auto"/>
                <w:bottom w:val="none" w:sz="0" w:space="0" w:color="auto"/>
                <w:right w:val="none" w:sz="0" w:space="0" w:color="auto"/>
              </w:divBdr>
              <w:divsChild>
                <w:div w:id="1944415242">
                  <w:marLeft w:val="0"/>
                  <w:marRight w:val="0"/>
                  <w:marTop w:val="0"/>
                  <w:marBottom w:val="0"/>
                  <w:divBdr>
                    <w:top w:val="none" w:sz="0" w:space="0" w:color="auto"/>
                    <w:left w:val="none" w:sz="0" w:space="0" w:color="auto"/>
                    <w:bottom w:val="none" w:sz="0" w:space="0" w:color="auto"/>
                    <w:right w:val="none" w:sz="0" w:space="0" w:color="auto"/>
                  </w:divBdr>
                </w:div>
              </w:divsChild>
            </w:div>
            <w:div w:id="841626904">
              <w:marLeft w:val="0"/>
              <w:marRight w:val="0"/>
              <w:marTop w:val="0"/>
              <w:marBottom w:val="0"/>
              <w:divBdr>
                <w:top w:val="none" w:sz="0" w:space="0" w:color="auto"/>
                <w:left w:val="none" w:sz="0" w:space="0" w:color="auto"/>
                <w:bottom w:val="none" w:sz="0" w:space="0" w:color="auto"/>
                <w:right w:val="none" w:sz="0" w:space="0" w:color="auto"/>
              </w:divBdr>
              <w:divsChild>
                <w:div w:id="1634483379">
                  <w:marLeft w:val="0"/>
                  <w:marRight w:val="0"/>
                  <w:marTop w:val="0"/>
                  <w:marBottom w:val="0"/>
                  <w:divBdr>
                    <w:top w:val="none" w:sz="0" w:space="0" w:color="auto"/>
                    <w:left w:val="none" w:sz="0" w:space="0" w:color="auto"/>
                    <w:bottom w:val="none" w:sz="0" w:space="0" w:color="auto"/>
                    <w:right w:val="none" w:sz="0" w:space="0" w:color="auto"/>
                  </w:divBdr>
                </w:div>
              </w:divsChild>
            </w:div>
            <w:div w:id="1542669540">
              <w:marLeft w:val="0"/>
              <w:marRight w:val="0"/>
              <w:marTop w:val="0"/>
              <w:marBottom w:val="0"/>
              <w:divBdr>
                <w:top w:val="none" w:sz="0" w:space="0" w:color="auto"/>
                <w:left w:val="none" w:sz="0" w:space="0" w:color="auto"/>
                <w:bottom w:val="none" w:sz="0" w:space="0" w:color="auto"/>
                <w:right w:val="none" w:sz="0" w:space="0" w:color="auto"/>
              </w:divBdr>
              <w:divsChild>
                <w:div w:id="1765569753">
                  <w:marLeft w:val="0"/>
                  <w:marRight w:val="0"/>
                  <w:marTop w:val="0"/>
                  <w:marBottom w:val="0"/>
                  <w:divBdr>
                    <w:top w:val="none" w:sz="0" w:space="0" w:color="auto"/>
                    <w:left w:val="none" w:sz="0" w:space="0" w:color="auto"/>
                    <w:bottom w:val="none" w:sz="0" w:space="0" w:color="auto"/>
                    <w:right w:val="none" w:sz="0" w:space="0" w:color="auto"/>
                  </w:divBdr>
                </w:div>
              </w:divsChild>
            </w:div>
            <w:div w:id="698941769">
              <w:marLeft w:val="0"/>
              <w:marRight w:val="0"/>
              <w:marTop w:val="0"/>
              <w:marBottom w:val="0"/>
              <w:divBdr>
                <w:top w:val="none" w:sz="0" w:space="0" w:color="auto"/>
                <w:left w:val="none" w:sz="0" w:space="0" w:color="auto"/>
                <w:bottom w:val="none" w:sz="0" w:space="0" w:color="auto"/>
                <w:right w:val="none" w:sz="0" w:space="0" w:color="auto"/>
              </w:divBdr>
              <w:divsChild>
                <w:div w:id="2009867978">
                  <w:marLeft w:val="0"/>
                  <w:marRight w:val="0"/>
                  <w:marTop w:val="0"/>
                  <w:marBottom w:val="0"/>
                  <w:divBdr>
                    <w:top w:val="none" w:sz="0" w:space="0" w:color="auto"/>
                    <w:left w:val="none" w:sz="0" w:space="0" w:color="auto"/>
                    <w:bottom w:val="none" w:sz="0" w:space="0" w:color="auto"/>
                    <w:right w:val="none" w:sz="0" w:space="0" w:color="auto"/>
                  </w:divBdr>
                </w:div>
              </w:divsChild>
            </w:div>
            <w:div w:id="347760615">
              <w:marLeft w:val="0"/>
              <w:marRight w:val="0"/>
              <w:marTop w:val="0"/>
              <w:marBottom w:val="0"/>
              <w:divBdr>
                <w:top w:val="none" w:sz="0" w:space="0" w:color="auto"/>
                <w:left w:val="none" w:sz="0" w:space="0" w:color="auto"/>
                <w:bottom w:val="none" w:sz="0" w:space="0" w:color="auto"/>
                <w:right w:val="none" w:sz="0" w:space="0" w:color="auto"/>
              </w:divBdr>
              <w:divsChild>
                <w:div w:id="1411197822">
                  <w:marLeft w:val="0"/>
                  <w:marRight w:val="0"/>
                  <w:marTop w:val="0"/>
                  <w:marBottom w:val="0"/>
                  <w:divBdr>
                    <w:top w:val="none" w:sz="0" w:space="0" w:color="auto"/>
                    <w:left w:val="none" w:sz="0" w:space="0" w:color="auto"/>
                    <w:bottom w:val="none" w:sz="0" w:space="0" w:color="auto"/>
                    <w:right w:val="none" w:sz="0" w:space="0" w:color="auto"/>
                  </w:divBdr>
                </w:div>
              </w:divsChild>
            </w:div>
            <w:div w:id="1637027780">
              <w:marLeft w:val="0"/>
              <w:marRight w:val="0"/>
              <w:marTop w:val="0"/>
              <w:marBottom w:val="0"/>
              <w:divBdr>
                <w:top w:val="none" w:sz="0" w:space="0" w:color="auto"/>
                <w:left w:val="none" w:sz="0" w:space="0" w:color="auto"/>
                <w:bottom w:val="none" w:sz="0" w:space="0" w:color="auto"/>
                <w:right w:val="none" w:sz="0" w:space="0" w:color="auto"/>
              </w:divBdr>
              <w:divsChild>
                <w:div w:id="612515386">
                  <w:marLeft w:val="0"/>
                  <w:marRight w:val="0"/>
                  <w:marTop w:val="0"/>
                  <w:marBottom w:val="0"/>
                  <w:divBdr>
                    <w:top w:val="none" w:sz="0" w:space="0" w:color="auto"/>
                    <w:left w:val="none" w:sz="0" w:space="0" w:color="auto"/>
                    <w:bottom w:val="none" w:sz="0" w:space="0" w:color="auto"/>
                    <w:right w:val="none" w:sz="0" w:space="0" w:color="auto"/>
                  </w:divBdr>
                </w:div>
              </w:divsChild>
            </w:div>
            <w:div w:id="514806139">
              <w:marLeft w:val="0"/>
              <w:marRight w:val="0"/>
              <w:marTop w:val="0"/>
              <w:marBottom w:val="0"/>
              <w:divBdr>
                <w:top w:val="none" w:sz="0" w:space="0" w:color="auto"/>
                <w:left w:val="none" w:sz="0" w:space="0" w:color="auto"/>
                <w:bottom w:val="none" w:sz="0" w:space="0" w:color="auto"/>
                <w:right w:val="none" w:sz="0" w:space="0" w:color="auto"/>
              </w:divBdr>
              <w:divsChild>
                <w:div w:id="1850172193">
                  <w:marLeft w:val="0"/>
                  <w:marRight w:val="0"/>
                  <w:marTop w:val="0"/>
                  <w:marBottom w:val="0"/>
                  <w:divBdr>
                    <w:top w:val="none" w:sz="0" w:space="0" w:color="auto"/>
                    <w:left w:val="none" w:sz="0" w:space="0" w:color="auto"/>
                    <w:bottom w:val="none" w:sz="0" w:space="0" w:color="auto"/>
                    <w:right w:val="none" w:sz="0" w:space="0" w:color="auto"/>
                  </w:divBdr>
                </w:div>
              </w:divsChild>
            </w:div>
            <w:div w:id="470902037">
              <w:marLeft w:val="0"/>
              <w:marRight w:val="0"/>
              <w:marTop w:val="0"/>
              <w:marBottom w:val="0"/>
              <w:divBdr>
                <w:top w:val="none" w:sz="0" w:space="0" w:color="auto"/>
                <w:left w:val="none" w:sz="0" w:space="0" w:color="auto"/>
                <w:bottom w:val="none" w:sz="0" w:space="0" w:color="auto"/>
                <w:right w:val="none" w:sz="0" w:space="0" w:color="auto"/>
              </w:divBdr>
              <w:divsChild>
                <w:div w:id="211695077">
                  <w:marLeft w:val="0"/>
                  <w:marRight w:val="0"/>
                  <w:marTop w:val="0"/>
                  <w:marBottom w:val="0"/>
                  <w:divBdr>
                    <w:top w:val="none" w:sz="0" w:space="0" w:color="auto"/>
                    <w:left w:val="none" w:sz="0" w:space="0" w:color="auto"/>
                    <w:bottom w:val="none" w:sz="0" w:space="0" w:color="auto"/>
                    <w:right w:val="none" w:sz="0" w:space="0" w:color="auto"/>
                  </w:divBdr>
                </w:div>
              </w:divsChild>
            </w:div>
            <w:div w:id="1514808568">
              <w:marLeft w:val="0"/>
              <w:marRight w:val="0"/>
              <w:marTop w:val="0"/>
              <w:marBottom w:val="0"/>
              <w:divBdr>
                <w:top w:val="none" w:sz="0" w:space="0" w:color="auto"/>
                <w:left w:val="none" w:sz="0" w:space="0" w:color="auto"/>
                <w:bottom w:val="none" w:sz="0" w:space="0" w:color="auto"/>
                <w:right w:val="none" w:sz="0" w:space="0" w:color="auto"/>
              </w:divBdr>
              <w:divsChild>
                <w:div w:id="88546448">
                  <w:marLeft w:val="0"/>
                  <w:marRight w:val="0"/>
                  <w:marTop w:val="0"/>
                  <w:marBottom w:val="0"/>
                  <w:divBdr>
                    <w:top w:val="none" w:sz="0" w:space="0" w:color="auto"/>
                    <w:left w:val="none" w:sz="0" w:space="0" w:color="auto"/>
                    <w:bottom w:val="none" w:sz="0" w:space="0" w:color="auto"/>
                    <w:right w:val="none" w:sz="0" w:space="0" w:color="auto"/>
                  </w:divBdr>
                </w:div>
              </w:divsChild>
            </w:div>
            <w:div w:id="204605766">
              <w:marLeft w:val="0"/>
              <w:marRight w:val="0"/>
              <w:marTop w:val="0"/>
              <w:marBottom w:val="0"/>
              <w:divBdr>
                <w:top w:val="none" w:sz="0" w:space="0" w:color="auto"/>
                <w:left w:val="none" w:sz="0" w:space="0" w:color="auto"/>
                <w:bottom w:val="none" w:sz="0" w:space="0" w:color="auto"/>
                <w:right w:val="none" w:sz="0" w:space="0" w:color="auto"/>
              </w:divBdr>
              <w:divsChild>
                <w:div w:id="1067998338">
                  <w:marLeft w:val="0"/>
                  <w:marRight w:val="0"/>
                  <w:marTop w:val="0"/>
                  <w:marBottom w:val="0"/>
                  <w:divBdr>
                    <w:top w:val="none" w:sz="0" w:space="0" w:color="auto"/>
                    <w:left w:val="none" w:sz="0" w:space="0" w:color="auto"/>
                    <w:bottom w:val="none" w:sz="0" w:space="0" w:color="auto"/>
                    <w:right w:val="none" w:sz="0" w:space="0" w:color="auto"/>
                  </w:divBdr>
                </w:div>
              </w:divsChild>
            </w:div>
            <w:div w:id="399330885">
              <w:marLeft w:val="0"/>
              <w:marRight w:val="0"/>
              <w:marTop w:val="0"/>
              <w:marBottom w:val="0"/>
              <w:divBdr>
                <w:top w:val="none" w:sz="0" w:space="0" w:color="auto"/>
                <w:left w:val="none" w:sz="0" w:space="0" w:color="auto"/>
                <w:bottom w:val="none" w:sz="0" w:space="0" w:color="auto"/>
                <w:right w:val="none" w:sz="0" w:space="0" w:color="auto"/>
              </w:divBdr>
              <w:divsChild>
                <w:div w:id="1509322837">
                  <w:marLeft w:val="0"/>
                  <w:marRight w:val="0"/>
                  <w:marTop w:val="0"/>
                  <w:marBottom w:val="0"/>
                  <w:divBdr>
                    <w:top w:val="none" w:sz="0" w:space="0" w:color="auto"/>
                    <w:left w:val="none" w:sz="0" w:space="0" w:color="auto"/>
                    <w:bottom w:val="none" w:sz="0" w:space="0" w:color="auto"/>
                    <w:right w:val="none" w:sz="0" w:space="0" w:color="auto"/>
                  </w:divBdr>
                </w:div>
              </w:divsChild>
            </w:div>
            <w:div w:id="245577714">
              <w:marLeft w:val="0"/>
              <w:marRight w:val="0"/>
              <w:marTop w:val="0"/>
              <w:marBottom w:val="0"/>
              <w:divBdr>
                <w:top w:val="none" w:sz="0" w:space="0" w:color="auto"/>
                <w:left w:val="none" w:sz="0" w:space="0" w:color="auto"/>
                <w:bottom w:val="none" w:sz="0" w:space="0" w:color="auto"/>
                <w:right w:val="none" w:sz="0" w:space="0" w:color="auto"/>
              </w:divBdr>
              <w:divsChild>
                <w:div w:id="1509711749">
                  <w:marLeft w:val="0"/>
                  <w:marRight w:val="0"/>
                  <w:marTop w:val="0"/>
                  <w:marBottom w:val="0"/>
                  <w:divBdr>
                    <w:top w:val="none" w:sz="0" w:space="0" w:color="auto"/>
                    <w:left w:val="none" w:sz="0" w:space="0" w:color="auto"/>
                    <w:bottom w:val="none" w:sz="0" w:space="0" w:color="auto"/>
                    <w:right w:val="none" w:sz="0" w:space="0" w:color="auto"/>
                  </w:divBdr>
                </w:div>
              </w:divsChild>
            </w:div>
            <w:div w:id="1965848361">
              <w:marLeft w:val="0"/>
              <w:marRight w:val="0"/>
              <w:marTop w:val="0"/>
              <w:marBottom w:val="0"/>
              <w:divBdr>
                <w:top w:val="none" w:sz="0" w:space="0" w:color="auto"/>
                <w:left w:val="none" w:sz="0" w:space="0" w:color="auto"/>
                <w:bottom w:val="none" w:sz="0" w:space="0" w:color="auto"/>
                <w:right w:val="none" w:sz="0" w:space="0" w:color="auto"/>
              </w:divBdr>
              <w:divsChild>
                <w:div w:id="1206404714">
                  <w:marLeft w:val="0"/>
                  <w:marRight w:val="0"/>
                  <w:marTop w:val="0"/>
                  <w:marBottom w:val="0"/>
                  <w:divBdr>
                    <w:top w:val="none" w:sz="0" w:space="0" w:color="auto"/>
                    <w:left w:val="none" w:sz="0" w:space="0" w:color="auto"/>
                    <w:bottom w:val="none" w:sz="0" w:space="0" w:color="auto"/>
                    <w:right w:val="none" w:sz="0" w:space="0" w:color="auto"/>
                  </w:divBdr>
                </w:div>
              </w:divsChild>
            </w:div>
            <w:div w:id="1987974237">
              <w:marLeft w:val="0"/>
              <w:marRight w:val="0"/>
              <w:marTop w:val="0"/>
              <w:marBottom w:val="0"/>
              <w:divBdr>
                <w:top w:val="none" w:sz="0" w:space="0" w:color="auto"/>
                <w:left w:val="none" w:sz="0" w:space="0" w:color="auto"/>
                <w:bottom w:val="none" w:sz="0" w:space="0" w:color="auto"/>
                <w:right w:val="none" w:sz="0" w:space="0" w:color="auto"/>
              </w:divBdr>
              <w:divsChild>
                <w:div w:id="104034698">
                  <w:marLeft w:val="0"/>
                  <w:marRight w:val="0"/>
                  <w:marTop w:val="0"/>
                  <w:marBottom w:val="0"/>
                  <w:divBdr>
                    <w:top w:val="none" w:sz="0" w:space="0" w:color="auto"/>
                    <w:left w:val="none" w:sz="0" w:space="0" w:color="auto"/>
                    <w:bottom w:val="none" w:sz="0" w:space="0" w:color="auto"/>
                    <w:right w:val="none" w:sz="0" w:space="0" w:color="auto"/>
                  </w:divBdr>
                </w:div>
              </w:divsChild>
            </w:div>
            <w:div w:id="18168000">
              <w:marLeft w:val="0"/>
              <w:marRight w:val="0"/>
              <w:marTop w:val="0"/>
              <w:marBottom w:val="0"/>
              <w:divBdr>
                <w:top w:val="none" w:sz="0" w:space="0" w:color="auto"/>
                <w:left w:val="none" w:sz="0" w:space="0" w:color="auto"/>
                <w:bottom w:val="none" w:sz="0" w:space="0" w:color="auto"/>
                <w:right w:val="none" w:sz="0" w:space="0" w:color="auto"/>
              </w:divBdr>
              <w:divsChild>
                <w:div w:id="963847504">
                  <w:marLeft w:val="0"/>
                  <w:marRight w:val="0"/>
                  <w:marTop w:val="0"/>
                  <w:marBottom w:val="0"/>
                  <w:divBdr>
                    <w:top w:val="none" w:sz="0" w:space="0" w:color="auto"/>
                    <w:left w:val="none" w:sz="0" w:space="0" w:color="auto"/>
                    <w:bottom w:val="none" w:sz="0" w:space="0" w:color="auto"/>
                    <w:right w:val="none" w:sz="0" w:space="0" w:color="auto"/>
                  </w:divBdr>
                </w:div>
              </w:divsChild>
            </w:div>
            <w:div w:id="1131827990">
              <w:marLeft w:val="0"/>
              <w:marRight w:val="0"/>
              <w:marTop w:val="0"/>
              <w:marBottom w:val="0"/>
              <w:divBdr>
                <w:top w:val="none" w:sz="0" w:space="0" w:color="auto"/>
                <w:left w:val="none" w:sz="0" w:space="0" w:color="auto"/>
                <w:bottom w:val="none" w:sz="0" w:space="0" w:color="auto"/>
                <w:right w:val="none" w:sz="0" w:space="0" w:color="auto"/>
              </w:divBdr>
              <w:divsChild>
                <w:div w:id="1140417188">
                  <w:marLeft w:val="0"/>
                  <w:marRight w:val="0"/>
                  <w:marTop w:val="0"/>
                  <w:marBottom w:val="0"/>
                  <w:divBdr>
                    <w:top w:val="none" w:sz="0" w:space="0" w:color="auto"/>
                    <w:left w:val="none" w:sz="0" w:space="0" w:color="auto"/>
                    <w:bottom w:val="none" w:sz="0" w:space="0" w:color="auto"/>
                    <w:right w:val="none" w:sz="0" w:space="0" w:color="auto"/>
                  </w:divBdr>
                </w:div>
              </w:divsChild>
            </w:div>
            <w:div w:id="1860971713">
              <w:marLeft w:val="0"/>
              <w:marRight w:val="0"/>
              <w:marTop w:val="0"/>
              <w:marBottom w:val="0"/>
              <w:divBdr>
                <w:top w:val="none" w:sz="0" w:space="0" w:color="auto"/>
                <w:left w:val="none" w:sz="0" w:space="0" w:color="auto"/>
                <w:bottom w:val="none" w:sz="0" w:space="0" w:color="auto"/>
                <w:right w:val="none" w:sz="0" w:space="0" w:color="auto"/>
              </w:divBdr>
              <w:divsChild>
                <w:div w:id="217908607">
                  <w:marLeft w:val="0"/>
                  <w:marRight w:val="0"/>
                  <w:marTop w:val="0"/>
                  <w:marBottom w:val="0"/>
                  <w:divBdr>
                    <w:top w:val="none" w:sz="0" w:space="0" w:color="auto"/>
                    <w:left w:val="none" w:sz="0" w:space="0" w:color="auto"/>
                    <w:bottom w:val="none" w:sz="0" w:space="0" w:color="auto"/>
                    <w:right w:val="none" w:sz="0" w:space="0" w:color="auto"/>
                  </w:divBdr>
                </w:div>
              </w:divsChild>
            </w:div>
            <w:div w:id="557056904">
              <w:marLeft w:val="0"/>
              <w:marRight w:val="0"/>
              <w:marTop w:val="0"/>
              <w:marBottom w:val="0"/>
              <w:divBdr>
                <w:top w:val="none" w:sz="0" w:space="0" w:color="auto"/>
                <w:left w:val="none" w:sz="0" w:space="0" w:color="auto"/>
                <w:bottom w:val="none" w:sz="0" w:space="0" w:color="auto"/>
                <w:right w:val="none" w:sz="0" w:space="0" w:color="auto"/>
              </w:divBdr>
              <w:divsChild>
                <w:div w:id="111949438">
                  <w:marLeft w:val="0"/>
                  <w:marRight w:val="0"/>
                  <w:marTop w:val="0"/>
                  <w:marBottom w:val="0"/>
                  <w:divBdr>
                    <w:top w:val="none" w:sz="0" w:space="0" w:color="auto"/>
                    <w:left w:val="none" w:sz="0" w:space="0" w:color="auto"/>
                    <w:bottom w:val="none" w:sz="0" w:space="0" w:color="auto"/>
                    <w:right w:val="none" w:sz="0" w:space="0" w:color="auto"/>
                  </w:divBdr>
                </w:div>
              </w:divsChild>
            </w:div>
            <w:div w:id="80765473">
              <w:marLeft w:val="0"/>
              <w:marRight w:val="0"/>
              <w:marTop w:val="0"/>
              <w:marBottom w:val="0"/>
              <w:divBdr>
                <w:top w:val="none" w:sz="0" w:space="0" w:color="auto"/>
                <w:left w:val="none" w:sz="0" w:space="0" w:color="auto"/>
                <w:bottom w:val="none" w:sz="0" w:space="0" w:color="auto"/>
                <w:right w:val="none" w:sz="0" w:space="0" w:color="auto"/>
              </w:divBdr>
              <w:divsChild>
                <w:div w:id="66584783">
                  <w:marLeft w:val="0"/>
                  <w:marRight w:val="0"/>
                  <w:marTop w:val="0"/>
                  <w:marBottom w:val="0"/>
                  <w:divBdr>
                    <w:top w:val="none" w:sz="0" w:space="0" w:color="auto"/>
                    <w:left w:val="none" w:sz="0" w:space="0" w:color="auto"/>
                    <w:bottom w:val="none" w:sz="0" w:space="0" w:color="auto"/>
                    <w:right w:val="none" w:sz="0" w:space="0" w:color="auto"/>
                  </w:divBdr>
                </w:div>
              </w:divsChild>
            </w:div>
            <w:div w:id="452671044">
              <w:marLeft w:val="0"/>
              <w:marRight w:val="0"/>
              <w:marTop w:val="0"/>
              <w:marBottom w:val="0"/>
              <w:divBdr>
                <w:top w:val="none" w:sz="0" w:space="0" w:color="auto"/>
                <w:left w:val="none" w:sz="0" w:space="0" w:color="auto"/>
                <w:bottom w:val="none" w:sz="0" w:space="0" w:color="auto"/>
                <w:right w:val="none" w:sz="0" w:space="0" w:color="auto"/>
              </w:divBdr>
              <w:divsChild>
                <w:div w:id="1122192827">
                  <w:marLeft w:val="0"/>
                  <w:marRight w:val="0"/>
                  <w:marTop w:val="0"/>
                  <w:marBottom w:val="0"/>
                  <w:divBdr>
                    <w:top w:val="none" w:sz="0" w:space="0" w:color="auto"/>
                    <w:left w:val="none" w:sz="0" w:space="0" w:color="auto"/>
                    <w:bottom w:val="none" w:sz="0" w:space="0" w:color="auto"/>
                    <w:right w:val="none" w:sz="0" w:space="0" w:color="auto"/>
                  </w:divBdr>
                </w:div>
              </w:divsChild>
            </w:div>
            <w:div w:id="654533515">
              <w:marLeft w:val="0"/>
              <w:marRight w:val="0"/>
              <w:marTop w:val="0"/>
              <w:marBottom w:val="0"/>
              <w:divBdr>
                <w:top w:val="none" w:sz="0" w:space="0" w:color="auto"/>
                <w:left w:val="none" w:sz="0" w:space="0" w:color="auto"/>
                <w:bottom w:val="none" w:sz="0" w:space="0" w:color="auto"/>
                <w:right w:val="none" w:sz="0" w:space="0" w:color="auto"/>
              </w:divBdr>
              <w:divsChild>
                <w:div w:id="1898274123">
                  <w:marLeft w:val="0"/>
                  <w:marRight w:val="0"/>
                  <w:marTop w:val="0"/>
                  <w:marBottom w:val="0"/>
                  <w:divBdr>
                    <w:top w:val="none" w:sz="0" w:space="0" w:color="auto"/>
                    <w:left w:val="none" w:sz="0" w:space="0" w:color="auto"/>
                    <w:bottom w:val="none" w:sz="0" w:space="0" w:color="auto"/>
                    <w:right w:val="none" w:sz="0" w:space="0" w:color="auto"/>
                  </w:divBdr>
                </w:div>
              </w:divsChild>
            </w:div>
            <w:div w:id="524053259">
              <w:marLeft w:val="0"/>
              <w:marRight w:val="0"/>
              <w:marTop w:val="0"/>
              <w:marBottom w:val="0"/>
              <w:divBdr>
                <w:top w:val="none" w:sz="0" w:space="0" w:color="auto"/>
                <w:left w:val="none" w:sz="0" w:space="0" w:color="auto"/>
                <w:bottom w:val="none" w:sz="0" w:space="0" w:color="auto"/>
                <w:right w:val="none" w:sz="0" w:space="0" w:color="auto"/>
              </w:divBdr>
              <w:divsChild>
                <w:div w:id="1768035167">
                  <w:marLeft w:val="0"/>
                  <w:marRight w:val="0"/>
                  <w:marTop w:val="0"/>
                  <w:marBottom w:val="0"/>
                  <w:divBdr>
                    <w:top w:val="none" w:sz="0" w:space="0" w:color="auto"/>
                    <w:left w:val="none" w:sz="0" w:space="0" w:color="auto"/>
                    <w:bottom w:val="none" w:sz="0" w:space="0" w:color="auto"/>
                    <w:right w:val="none" w:sz="0" w:space="0" w:color="auto"/>
                  </w:divBdr>
                </w:div>
              </w:divsChild>
            </w:div>
            <w:div w:id="2019843137">
              <w:marLeft w:val="0"/>
              <w:marRight w:val="0"/>
              <w:marTop w:val="0"/>
              <w:marBottom w:val="0"/>
              <w:divBdr>
                <w:top w:val="none" w:sz="0" w:space="0" w:color="auto"/>
                <w:left w:val="none" w:sz="0" w:space="0" w:color="auto"/>
                <w:bottom w:val="none" w:sz="0" w:space="0" w:color="auto"/>
                <w:right w:val="none" w:sz="0" w:space="0" w:color="auto"/>
              </w:divBdr>
              <w:divsChild>
                <w:div w:id="802574171">
                  <w:marLeft w:val="0"/>
                  <w:marRight w:val="0"/>
                  <w:marTop w:val="0"/>
                  <w:marBottom w:val="0"/>
                  <w:divBdr>
                    <w:top w:val="none" w:sz="0" w:space="0" w:color="auto"/>
                    <w:left w:val="none" w:sz="0" w:space="0" w:color="auto"/>
                    <w:bottom w:val="none" w:sz="0" w:space="0" w:color="auto"/>
                    <w:right w:val="none" w:sz="0" w:space="0" w:color="auto"/>
                  </w:divBdr>
                </w:div>
              </w:divsChild>
            </w:div>
            <w:div w:id="1518423027">
              <w:marLeft w:val="0"/>
              <w:marRight w:val="0"/>
              <w:marTop w:val="0"/>
              <w:marBottom w:val="0"/>
              <w:divBdr>
                <w:top w:val="none" w:sz="0" w:space="0" w:color="auto"/>
                <w:left w:val="none" w:sz="0" w:space="0" w:color="auto"/>
                <w:bottom w:val="none" w:sz="0" w:space="0" w:color="auto"/>
                <w:right w:val="none" w:sz="0" w:space="0" w:color="auto"/>
              </w:divBdr>
              <w:divsChild>
                <w:div w:id="1705518148">
                  <w:marLeft w:val="0"/>
                  <w:marRight w:val="0"/>
                  <w:marTop w:val="0"/>
                  <w:marBottom w:val="0"/>
                  <w:divBdr>
                    <w:top w:val="none" w:sz="0" w:space="0" w:color="auto"/>
                    <w:left w:val="none" w:sz="0" w:space="0" w:color="auto"/>
                    <w:bottom w:val="none" w:sz="0" w:space="0" w:color="auto"/>
                    <w:right w:val="none" w:sz="0" w:space="0" w:color="auto"/>
                  </w:divBdr>
                </w:div>
              </w:divsChild>
            </w:div>
            <w:div w:id="1010988910">
              <w:marLeft w:val="0"/>
              <w:marRight w:val="0"/>
              <w:marTop w:val="0"/>
              <w:marBottom w:val="0"/>
              <w:divBdr>
                <w:top w:val="none" w:sz="0" w:space="0" w:color="auto"/>
                <w:left w:val="none" w:sz="0" w:space="0" w:color="auto"/>
                <w:bottom w:val="none" w:sz="0" w:space="0" w:color="auto"/>
                <w:right w:val="none" w:sz="0" w:space="0" w:color="auto"/>
              </w:divBdr>
              <w:divsChild>
                <w:div w:id="959334914">
                  <w:marLeft w:val="0"/>
                  <w:marRight w:val="0"/>
                  <w:marTop w:val="0"/>
                  <w:marBottom w:val="0"/>
                  <w:divBdr>
                    <w:top w:val="none" w:sz="0" w:space="0" w:color="auto"/>
                    <w:left w:val="none" w:sz="0" w:space="0" w:color="auto"/>
                    <w:bottom w:val="none" w:sz="0" w:space="0" w:color="auto"/>
                    <w:right w:val="none" w:sz="0" w:space="0" w:color="auto"/>
                  </w:divBdr>
                </w:div>
              </w:divsChild>
            </w:div>
            <w:div w:id="720715168">
              <w:marLeft w:val="0"/>
              <w:marRight w:val="0"/>
              <w:marTop w:val="0"/>
              <w:marBottom w:val="0"/>
              <w:divBdr>
                <w:top w:val="none" w:sz="0" w:space="0" w:color="auto"/>
                <w:left w:val="none" w:sz="0" w:space="0" w:color="auto"/>
                <w:bottom w:val="none" w:sz="0" w:space="0" w:color="auto"/>
                <w:right w:val="none" w:sz="0" w:space="0" w:color="auto"/>
              </w:divBdr>
              <w:divsChild>
                <w:div w:id="1398362986">
                  <w:marLeft w:val="0"/>
                  <w:marRight w:val="0"/>
                  <w:marTop w:val="0"/>
                  <w:marBottom w:val="0"/>
                  <w:divBdr>
                    <w:top w:val="none" w:sz="0" w:space="0" w:color="auto"/>
                    <w:left w:val="none" w:sz="0" w:space="0" w:color="auto"/>
                    <w:bottom w:val="none" w:sz="0" w:space="0" w:color="auto"/>
                    <w:right w:val="none" w:sz="0" w:space="0" w:color="auto"/>
                  </w:divBdr>
                </w:div>
              </w:divsChild>
            </w:div>
            <w:div w:id="552694961">
              <w:marLeft w:val="0"/>
              <w:marRight w:val="0"/>
              <w:marTop w:val="0"/>
              <w:marBottom w:val="0"/>
              <w:divBdr>
                <w:top w:val="none" w:sz="0" w:space="0" w:color="auto"/>
                <w:left w:val="none" w:sz="0" w:space="0" w:color="auto"/>
                <w:bottom w:val="none" w:sz="0" w:space="0" w:color="auto"/>
                <w:right w:val="none" w:sz="0" w:space="0" w:color="auto"/>
              </w:divBdr>
              <w:divsChild>
                <w:div w:id="1163621728">
                  <w:marLeft w:val="0"/>
                  <w:marRight w:val="0"/>
                  <w:marTop w:val="0"/>
                  <w:marBottom w:val="0"/>
                  <w:divBdr>
                    <w:top w:val="none" w:sz="0" w:space="0" w:color="auto"/>
                    <w:left w:val="none" w:sz="0" w:space="0" w:color="auto"/>
                    <w:bottom w:val="none" w:sz="0" w:space="0" w:color="auto"/>
                    <w:right w:val="none" w:sz="0" w:space="0" w:color="auto"/>
                  </w:divBdr>
                </w:div>
              </w:divsChild>
            </w:div>
            <w:div w:id="703166336">
              <w:marLeft w:val="0"/>
              <w:marRight w:val="0"/>
              <w:marTop w:val="0"/>
              <w:marBottom w:val="0"/>
              <w:divBdr>
                <w:top w:val="none" w:sz="0" w:space="0" w:color="auto"/>
                <w:left w:val="none" w:sz="0" w:space="0" w:color="auto"/>
                <w:bottom w:val="none" w:sz="0" w:space="0" w:color="auto"/>
                <w:right w:val="none" w:sz="0" w:space="0" w:color="auto"/>
              </w:divBdr>
              <w:divsChild>
                <w:div w:id="1490053375">
                  <w:marLeft w:val="0"/>
                  <w:marRight w:val="0"/>
                  <w:marTop w:val="0"/>
                  <w:marBottom w:val="0"/>
                  <w:divBdr>
                    <w:top w:val="none" w:sz="0" w:space="0" w:color="auto"/>
                    <w:left w:val="none" w:sz="0" w:space="0" w:color="auto"/>
                    <w:bottom w:val="none" w:sz="0" w:space="0" w:color="auto"/>
                    <w:right w:val="none" w:sz="0" w:space="0" w:color="auto"/>
                  </w:divBdr>
                </w:div>
              </w:divsChild>
            </w:div>
            <w:div w:id="2031058712">
              <w:marLeft w:val="0"/>
              <w:marRight w:val="0"/>
              <w:marTop w:val="0"/>
              <w:marBottom w:val="0"/>
              <w:divBdr>
                <w:top w:val="none" w:sz="0" w:space="0" w:color="auto"/>
                <w:left w:val="none" w:sz="0" w:space="0" w:color="auto"/>
                <w:bottom w:val="none" w:sz="0" w:space="0" w:color="auto"/>
                <w:right w:val="none" w:sz="0" w:space="0" w:color="auto"/>
              </w:divBdr>
              <w:divsChild>
                <w:div w:id="142745532">
                  <w:marLeft w:val="0"/>
                  <w:marRight w:val="0"/>
                  <w:marTop w:val="0"/>
                  <w:marBottom w:val="0"/>
                  <w:divBdr>
                    <w:top w:val="none" w:sz="0" w:space="0" w:color="auto"/>
                    <w:left w:val="none" w:sz="0" w:space="0" w:color="auto"/>
                    <w:bottom w:val="none" w:sz="0" w:space="0" w:color="auto"/>
                    <w:right w:val="none" w:sz="0" w:space="0" w:color="auto"/>
                  </w:divBdr>
                </w:div>
              </w:divsChild>
            </w:div>
            <w:div w:id="1461148560">
              <w:marLeft w:val="0"/>
              <w:marRight w:val="0"/>
              <w:marTop w:val="0"/>
              <w:marBottom w:val="0"/>
              <w:divBdr>
                <w:top w:val="none" w:sz="0" w:space="0" w:color="auto"/>
                <w:left w:val="none" w:sz="0" w:space="0" w:color="auto"/>
                <w:bottom w:val="none" w:sz="0" w:space="0" w:color="auto"/>
                <w:right w:val="none" w:sz="0" w:space="0" w:color="auto"/>
              </w:divBdr>
              <w:divsChild>
                <w:div w:id="1682122890">
                  <w:marLeft w:val="0"/>
                  <w:marRight w:val="0"/>
                  <w:marTop w:val="0"/>
                  <w:marBottom w:val="0"/>
                  <w:divBdr>
                    <w:top w:val="none" w:sz="0" w:space="0" w:color="auto"/>
                    <w:left w:val="none" w:sz="0" w:space="0" w:color="auto"/>
                    <w:bottom w:val="none" w:sz="0" w:space="0" w:color="auto"/>
                    <w:right w:val="none" w:sz="0" w:space="0" w:color="auto"/>
                  </w:divBdr>
                </w:div>
              </w:divsChild>
            </w:div>
            <w:div w:id="1541942862">
              <w:marLeft w:val="0"/>
              <w:marRight w:val="0"/>
              <w:marTop w:val="0"/>
              <w:marBottom w:val="0"/>
              <w:divBdr>
                <w:top w:val="none" w:sz="0" w:space="0" w:color="auto"/>
                <w:left w:val="none" w:sz="0" w:space="0" w:color="auto"/>
                <w:bottom w:val="none" w:sz="0" w:space="0" w:color="auto"/>
                <w:right w:val="none" w:sz="0" w:space="0" w:color="auto"/>
              </w:divBdr>
              <w:divsChild>
                <w:div w:id="1034303471">
                  <w:marLeft w:val="0"/>
                  <w:marRight w:val="0"/>
                  <w:marTop w:val="0"/>
                  <w:marBottom w:val="0"/>
                  <w:divBdr>
                    <w:top w:val="none" w:sz="0" w:space="0" w:color="auto"/>
                    <w:left w:val="none" w:sz="0" w:space="0" w:color="auto"/>
                    <w:bottom w:val="none" w:sz="0" w:space="0" w:color="auto"/>
                    <w:right w:val="none" w:sz="0" w:space="0" w:color="auto"/>
                  </w:divBdr>
                </w:div>
              </w:divsChild>
            </w:div>
            <w:div w:id="541283186">
              <w:marLeft w:val="0"/>
              <w:marRight w:val="0"/>
              <w:marTop w:val="0"/>
              <w:marBottom w:val="0"/>
              <w:divBdr>
                <w:top w:val="none" w:sz="0" w:space="0" w:color="auto"/>
                <w:left w:val="none" w:sz="0" w:space="0" w:color="auto"/>
                <w:bottom w:val="none" w:sz="0" w:space="0" w:color="auto"/>
                <w:right w:val="none" w:sz="0" w:space="0" w:color="auto"/>
              </w:divBdr>
              <w:divsChild>
                <w:div w:id="154882004">
                  <w:marLeft w:val="0"/>
                  <w:marRight w:val="0"/>
                  <w:marTop w:val="0"/>
                  <w:marBottom w:val="0"/>
                  <w:divBdr>
                    <w:top w:val="none" w:sz="0" w:space="0" w:color="auto"/>
                    <w:left w:val="none" w:sz="0" w:space="0" w:color="auto"/>
                    <w:bottom w:val="none" w:sz="0" w:space="0" w:color="auto"/>
                    <w:right w:val="none" w:sz="0" w:space="0" w:color="auto"/>
                  </w:divBdr>
                </w:div>
              </w:divsChild>
            </w:div>
            <w:div w:id="549733962">
              <w:marLeft w:val="0"/>
              <w:marRight w:val="0"/>
              <w:marTop w:val="0"/>
              <w:marBottom w:val="0"/>
              <w:divBdr>
                <w:top w:val="none" w:sz="0" w:space="0" w:color="auto"/>
                <w:left w:val="none" w:sz="0" w:space="0" w:color="auto"/>
                <w:bottom w:val="none" w:sz="0" w:space="0" w:color="auto"/>
                <w:right w:val="none" w:sz="0" w:space="0" w:color="auto"/>
              </w:divBdr>
              <w:divsChild>
                <w:div w:id="1430928472">
                  <w:marLeft w:val="0"/>
                  <w:marRight w:val="0"/>
                  <w:marTop w:val="0"/>
                  <w:marBottom w:val="0"/>
                  <w:divBdr>
                    <w:top w:val="none" w:sz="0" w:space="0" w:color="auto"/>
                    <w:left w:val="none" w:sz="0" w:space="0" w:color="auto"/>
                    <w:bottom w:val="none" w:sz="0" w:space="0" w:color="auto"/>
                    <w:right w:val="none" w:sz="0" w:space="0" w:color="auto"/>
                  </w:divBdr>
                </w:div>
              </w:divsChild>
            </w:div>
            <w:div w:id="1913156718">
              <w:marLeft w:val="0"/>
              <w:marRight w:val="0"/>
              <w:marTop w:val="0"/>
              <w:marBottom w:val="0"/>
              <w:divBdr>
                <w:top w:val="none" w:sz="0" w:space="0" w:color="auto"/>
                <w:left w:val="none" w:sz="0" w:space="0" w:color="auto"/>
                <w:bottom w:val="none" w:sz="0" w:space="0" w:color="auto"/>
                <w:right w:val="none" w:sz="0" w:space="0" w:color="auto"/>
              </w:divBdr>
              <w:divsChild>
                <w:div w:id="631180875">
                  <w:marLeft w:val="0"/>
                  <w:marRight w:val="0"/>
                  <w:marTop w:val="0"/>
                  <w:marBottom w:val="0"/>
                  <w:divBdr>
                    <w:top w:val="none" w:sz="0" w:space="0" w:color="auto"/>
                    <w:left w:val="none" w:sz="0" w:space="0" w:color="auto"/>
                    <w:bottom w:val="none" w:sz="0" w:space="0" w:color="auto"/>
                    <w:right w:val="none" w:sz="0" w:space="0" w:color="auto"/>
                  </w:divBdr>
                </w:div>
              </w:divsChild>
            </w:div>
            <w:div w:id="2078671897">
              <w:marLeft w:val="0"/>
              <w:marRight w:val="0"/>
              <w:marTop w:val="0"/>
              <w:marBottom w:val="0"/>
              <w:divBdr>
                <w:top w:val="none" w:sz="0" w:space="0" w:color="auto"/>
                <w:left w:val="none" w:sz="0" w:space="0" w:color="auto"/>
                <w:bottom w:val="none" w:sz="0" w:space="0" w:color="auto"/>
                <w:right w:val="none" w:sz="0" w:space="0" w:color="auto"/>
              </w:divBdr>
              <w:divsChild>
                <w:div w:id="1128813443">
                  <w:marLeft w:val="0"/>
                  <w:marRight w:val="0"/>
                  <w:marTop w:val="0"/>
                  <w:marBottom w:val="0"/>
                  <w:divBdr>
                    <w:top w:val="none" w:sz="0" w:space="0" w:color="auto"/>
                    <w:left w:val="none" w:sz="0" w:space="0" w:color="auto"/>
                    <w:bottom w:val="none" w:sz="0" w:space="0" w:color="auto"/>
                    <w:right w:val="none" w:sz="0" w:space="0" w:color="auto"/>
                  </w:divBdr>
                </w:div>
              </w:divsChild>
            </w:div>
            <w:div w:id="167521187">
              <w:marLeft w:val="0"/>
              <w:marRight w:val="0"/>
              <w:marTop w:val="0"/>
              <w:marBottom w:val="0"/>
              <w:divBdr>
                <w:top w:val="none" w:sz="0" w:space="0" w:color="auto"/>
                <w:left w:val="none" w:sz="0" w:space="0" w:color="auto"/>
                <w:bottom w:val="none" w:sz="0" w:space="0" w:color="auto"/>
                <w:right w:val="none" w:sz="0" w:space="0" w:color="auto"/>
              </w:divBdr>
              <w:divsChild>
                <w:div w:id="870267204">
                  <w:marLeft w:val="0"/>
                  <w:marRight w:val="0"/>
                  <w:marTop w:val="0"/>
                  <w:marBottom w:val="0"/>
                  <w:divBdr>
                    <w:top w:val="none" w:sz="0" w:space="0" w:color="auto"/>
                    <w:left w:val="none" w:sz="0" w:space="0" w:color="auto"/>
                    <w:bottom w:val="none" w:sz="0" w:space="0" w:color="auto"/>
                    <w:right w:val="none" w:sz="0" w:space="0" w:color="auto"/>
                  </w:divBdr>
                </w:div>
              </w:divsChild>
            </w:div>
            <w:div w:id="1959216810">
              <w:marLeft w:val="0"/>
              <w:marRight w:val="0"/>
              <w:marTop w:val="0"/>
              <w:marBottom w:val="0"/>
              <w:divBdr>
                <w:top w:val="none" w:sz="0" w:space="0" w:color="auto"/>
                <w:left w:val="none" w:sz="0" w:space="0" w:color="auto"/>
                <w:bottom w:val="none" w:sz="0" w:space="0" w:color="auto"/>
                <w:right w:val="none" w:sz="0" w:space="0" w:color="auto"/>
              </w:divBdr>
              <w:divsChild>
                <w:div w:id="803044450">
                  <w:marLeft w:val="0"/>
                  <w:marRight w:val="0"/>
                  <w:marTop w:val="0"/>
                  <w:marBottom w:val="0"/>
                  <w:divBdr>
                    <w:top w:val="none" w:sz="0" w:space="0" w:color="auto"/>
                    <w:left w:val="none" w:sz="0" w:space="0" w:color="auto"/>
                    <w:bottom w:val="none" w:sz="0" w:space="0" w:color="auto"/>
                    <w:right w:val="none" w:sz="0" w:space="0" w:color="auto"/>
                  </w:divBdr>
                </w:div>
              </w:divsChild>
            </w:div>
            <w:div w:id="1388531146">
              <w:marLeft w:val="0"/>
              <w:marRight w:val="0"/>
              <w:marTop w:val="0"/>
              <w:marBottom w:val="0"/>
              <w:divBdr>
                <w:top w:val="none" w:sz="0" w:space="0" w:color="auto"/>
                <w:left w:val="none" w:sz="0" w:space="0" w:color="auto"/>
                <w:bottom w:val="none" w:sz="0" w:space="0" w:color="auto"/>
                <w:right w:val="none" w:sz="0" w:space="0" w:color="auto"/>
              </w:divBdr>
              <w:divsChild>
                <w:div w:id="264849322">
                  <w:marLeft w:val="0"/>
                  <w:marRight w:val="0"/>
                  <w:marTop w:val="0"/>
                  <w:marBottom w:val="0"/>
                  <w:divBdr>
                    <w:top w:val="none" w:sz="0" w:space="0" w:color="auto"/>
                    <w:left w:val="none" w:sz="0" w:space="0" w:color="auto"/>
                    <w:bottom w:val="none" w:sz="0" w:space="0" w:color="auto"/>
                    <w:right w:val="none" w:sz="0" w:space="0" w:color="auto"/>
                  </w:divBdr>
                </w:div>
              </w:divsChild>
            </w:div>
            <w:div w:id="1309893809">
              <w:marLeft w:val="0"/>
              <w:marRight w:val="0"/>
              <w:marTop w:val="0"/>
              <w:marBottom w:val="0"/>
              <w:divBdr>
                <w:top w:val="none" w:sz="0" w:space="0" w:color="auto"/>
                <w:left w:val="none" w:sz="0" w:space="0" w:color="auto"/>
                <w:bottom w:val="none" w:sz="0" w:space="0" w:color="auto"/>
                <w:right w:val="none" w:sz="0" w:space="0" w:color="auto"/>
              </w:divBdr>
              <w:divsChild>
                <w:div w:id="1521158914">
                  <w:marLeft w:val="0"/>
                  <w:marRight w:val="0"/>
                  <w:marTop w:val="0"/>
                  <w:marBottom w:val="0"/>
                  <w:divBdr>
                    <w:top w:val="none" w:sz="0" w:space="0" w:color="auto"/>
                    <w:left w:val="none" w:sz="0" w:space="0" w:color="auto"/>
                    <w:bottom w:val="none" w:sz="0" w:space="0" w:color="auto"/>
                    <w:right w:val="none" w:sz="0" w:space="0" w:color="auto"/>
                  </w:divBdr>
                </w:div>
              </w:divsChild>
            </w:div>
            <w:div w:id="652366566">
              <w:marLeft w:val="0"/>
              <w:marRight w:val="0"/>
              <w:marTop w:val="0"/>
              <w:marBottom w:val="0"/>
              <w:divBdr>
                <w:top w:val="none" w:sz="0" w:space="0" w:color="auto"/>
                <w:left w:val="none" w:sz="0" w:space="0" w:color="auto"/>
                <w:bottom w:val="none" w:sz="0" w:space="0" w:color="auto"/>
                <w:right w:val="none" w:sz="0" w:space="0" w:color="auto"/>
              </w:divBdr>
              <w:divsChild>
                <w:div w:id="1874997876">
                  <w:marLeft w:val="0"/>
                  <w:marRight w:val="0"/>
                  <w:marTop w:val="0"/>
                  <w:marBottom w:val="0"/>
                  <w:divBdr>
                    <w:top w:val="none" w:sz="0" w:space="0" w:color="auto"/>
                    <w:left w:val="none" w:sz="0" w:space="0" w:color="auto"/>
                    <w:bottom w:val="none" w:sz="0" w:space="0" w:color="auto"/>
                    <w:right w:val="none" w:sz="0" w:space="0" w:color="auto"/>
                  </w:divBdr>
                </w:div>
              </w:divsChild>
            </w:div>
            <w:div w:id="1624657826">
              <w:marLeft w:val="0"/>
              <w:marRight w:val="0"/>
              <w:marTop w:val="0"/>
              <w:marBottom w:val="0"/>
              <w:divBdr>
                <w:top w:val="none" w:sz="0" w:space="0" w:color="auto"/>
                <w:left w:val="none" w:sz="0" w:space="0" w:color="auto"/>
                <w:bottom w:val="none" w:sz="0" w:space="0" w:color="auto"/>
                <w:right w:val="none" w:sz="0" w:space="0" w:color="auto"/>
              </w:divBdr>
              <w:divsChild>
                <w:div w:id="1513757677">
                  <w:marLeft w:val="0"/>
                  <w:marRight w:val="0"/>
                  <w:marTop w:val="0"/>
                  <w:marBottom w:val="0"/>
                  <w:divBdr>
                    <w:top w:val="none" w:sz="0" w:space="0" w:color="auto"/>
                    <w:left w:val="none" w:sz="0" w:space="0" w:color="auto"/>
                    <w:bottom w:val="none" w:sz="0" w:space="0" w:color="auto"/>
                    <w:right w:val="none" w:sz="0" w:space="0" w:color="auto"/>
                  </w:divBdr>
                </w:div>
              </w:divsChild>
            </w:div>
            <w:div w:id="1256594265">
              <w:marLeft w:val="0"/>
              <w:marRight w:val="0"/>
              <w:marTop w:val="0"/>
              <w:marBottom w:val="0"/>
              <w:divBdr>
                <w:top w:val="none" w:sz="0" w:space="0" w:color="auto"/>
                <w:left w:val="none" w:sz="0" w:space="0" w:color="auto"/>
                <w:bottom w:val="none" w:sz="0" w:space="0" w:color="auto"/>
                <w:right w:val="none" w:sz="0" w:space="0" w:color="auto"/>
              </w:divBdr>
              <w:divsChild>
                <w:div w:id="220488346">
                  <w:marLeft w:val="0"/>
                  <w:marRight w:val="0"/>
                  <w:marTop w:val="0"/>
                  <w:marBottom w:val="0"/>
                  <w:divBdr>
                    <w:top w:val="none" w:sz="0" w:space="0" w:color="auto"/>
                    <w:left w:val="none" w:sz="0" w:space="0" w:color="auto"/>
                    <w:bottom w:val="none" w:sz="0" w:space="0" w:color="auto"/>
                    <w:right w:val="none" w:sz="0" w:space="0" w:color="auto"/>
                  </w:divBdr>
                </w:div>
              </w:divsChild>
            </w:div>
            <w:div w:id="1944410808">
              <w:marLeft w:val="0"/>
              <w:marRight w:val="0"/>
              <w:marTop w:val="0"/>
              <w:marBottom w:val="0"/>
              <w:divBdr>
                <w:top w:val="none" w:sz="0" w:space="0" w:color="auto"/>
                <w:left w:val="none" w:sz="0" w:space="0" w:color="auto"/>
                <w:bottom w:val="none" w:sz="0" w:space="0" w:color="auto"/>
                <w:right w:val="none" w:sz="0" w:space="0" w:color="auto"/>
              </w:divBdr>
              <w:divsChild>
                <w:div w:id="957949911">
                  <w:marLeft w:val="0"/>
                  <w:marRight w:val="0"/>
                  <w:marTop w:val="0"/>
                  <w:marBottom w:val="0"/>
                  <w:divBdr>
                    <w:top w:val="none" w:sz="0" w:space="0" w:color="auto"/>
                    <w:left w:val="none" w:sz="0" w:space="0" w:color="auto"/>
                    <w:bottom w:val="none" w:sz="0" w:space="0" w:color="auto"/>
                    <w:right w:val="none" w:sz="0" w:space="0" w:color="auto"/>
                  </w:divBdr>
                </w:div>
              </w:divsChild>
            </w:div>
            <w:div w:id="218827561">
              <w:marLeft w:val="0"/>
              <w:marRight w:val="0"/>
              <w:marTop w:val="0"/>
              <w:marBottom w:val="0"/>
              <w:divBdr>
                <w:top w:val="none" w:sz="0" w:space="0" w:color="auto"/>
                <w:left w:val="none" w:sz="0" w:space="0" w:color="auto"/>
                <w:bottom w:val="none" w:sz="0" w:space="0" w:color="auto"/>
                <w:right w:val="none" w:sz="0" w:space="0" w:color="auto"/>
              </w:divBdr>
              <w:divsChild>
                <w:div w:id="1625845911">
                  <w:marLeft w:val="0"/>
                  <w:marRight w:val="0"/>
                  <w:marTop w:val="0"/>
                  <w:marBottom w:val="0"/>
                  <w:divBdr>
                    <w:top w:val="none" w:sz="0" w:space="0" w:color="auto"/>
                    <w:left w:val="none" w:sz="0" w:space="0" w:color="auto"/>
                    <w:bottom w:val="none" w:sz="0" w:space="0" w:color="auto"/>
                    <w:right w:val="none" w:sz="0" w:space="0" w:color="auto"/>
                  </w:divBdr>
                </w:div>
              </w:divsChild>
            </w:div>
            <w:div w:id="1717925980">
              <w:marLeft w:val="0"/>
              <w:marRight w:val="0"/>
              <w:marTop w:val="0"/>
              <w:marBottom w:val="0"/>
              <w:divBdr>
                <w:top w:val="none" w:sz="0" w:space="0" w:color="auto"/>
                <w:left w:val="none" w:sz="0" w:space="0" w:color="auto"/>
                <w:bottom w:val="none" w:sz="0" w:space="0" w:color="auto"/>
                <w:right w:val="none" w:sz="0" w:space="0" w:color="auto"/>
              </w:divBdr>
              <w:divsChild>
                <w:div w:id="718165531">
                  <w:marLeft w:val="0"/>
                  <w:marRight w:val="0"/>
                  <w:marTop w:val="0"/>
                  <w:marBottom w:val="0"/>
                  <w:divBdr>
                    <w:top w:val="none" w:sz="0" w:space="0" w:color="auto"/>
                    <w:left w:val="none" w:sz="0" w:space="0" w:color="auto"/>
                    <w:bottom w:val="none" w:sz="0" w:space="0" w:color="auto"/>
                    <w:right w:val="none" w:sz="0" w:space="0" w:color="auto"/>
                  </w:divBdr>
                </w:div>
              </w:divsChild>
            </w:div>
            <w:div w:id="1149204779">
              <w:marLeft w:val="0"/>
              <w:marRight w:val="0"/>
              <w:marTop w:val="0"/>
              <w:marBottom w:val="0"/>
              <w:divBdr>
                <w:top w:val="none" w:sz="0" w:space="0" w:color="auto"/>
                <w:left w:val="none" w:sz="0" w:space="0" w:color="auto"/>
                <w:bottom w:val="none" w:sz="0" w:space="0" w:color="auto"/>
                <w:right w:val="none" w:sz="0" w:space="0" w:color="auto"/>
              </w:divBdr>
              <w:divsChild>
                <w:div w:id="207423143">
                  <w:marLeft w:val="0"/>
                  <w:marRight w:val="0"/>
                  <w:marTop w:val="0"/>
                  <w:marBottom w:val="0"/>
                  <w:divBdr>
                    <w:top w:val="none" w:sz="0" w:space="0" w:color="auto"/>
                    <w:left w:val="none" w:sz="0" w:space="0" w:color="auto"/>
                    <w:bottom w:val="none" w:sz="0" w:space="0" w:color="auto"/>
                    <w:right w:val="none" w:sz="0" w:space="0" w:color="auto"/>
                  </w:divBdr>
                </w:div>
              </w:divsChild>
            </w:div>
            <w:div w:id="1967350051">
              <w:marLeft w:val="0"/>
              <w:marRight w:val="0"/>
              <w:marTop w:val="0"/>
              <w:marBottom w:val="0"/>
              <w:divBdr>
                <w:top w:val="none" w:sz="0" w:space="0" w:color="auto"/>
                <w:left w:val="none" w:sz="0" w:space="0" w:color="auto"/>
                <w:bottom w:val="none" w:sz="0" w:space="0" w:color="auto"/>
                <w:right w:val="none" w:sz="0" w:space="0" w:color="auto"/>
              </w:divBdr>
              <w:divsChild>
                <w:div w:id="345644120">
                  <w:marLeft w:val="0"/>
                  <w:marRight w:val="0"/>
                  <w:marTop w:val="0"/>
                  <w:marBottom w:val="0"/>
                  <w:divBdr>
                    <w:top w:val="none" w:sz="0" w:space="0" w:color="auto"/>
                    <w:left w:val="none" w:sz="0" w:space="0" w:color="auto"/>
                    <w:bottom w:val="none" w:sz="0" w:space="0" w:color="auto"/>
                    <w:right w:val="none" w:sz="0" w:space="0" w:color="auto"/>
                  </w:divBdr>
                </w:div>
              </w:divsChild>
            </w:div>
            <w:div w:id="1497917753">
              <w:marLeft w:val="0"/>
              <w:marRight w:val="0"/>
              <w:marTop w:val="0"/>
              <w:marBottom w:val="0"/>
              <w:divBdr>
                <w:top w:val="none" w:sz="0" w:space="0" w:color="auto"/>
                <w:left w:val="none" w:sz="0" w:space="0" w:color="auto"/>
                <w:bottom w:val="none" w:sz="0" w:space="0" w:color="auto"/>
                <w:right w:val="none" w:sz="0" w:space="0" w:color="auto"/>
              </w:divBdr>
              <w:divsChild>
                <w:div w:id="248513051">
                  <w:marLeft w:val="0"/>
                  <w:marRight w:val="0"/>
                  <w:marTop w:val="0"/>
                  <w:marBottom w:val="0"/>
                  <w:divBdr>
                    <w:top w:val="none" w:sz="0" w:space="0" w:color="auto"/>
                    <w:left w:val="none" w:sz="0" w:space="0" w:color="auto"/>
                    <w:bottom w:val="none" w:sz="0" w:space="0" w:color="auto"/>
                    <w:right w:val="none" w:sz="0" w:space="0" w:color="auto"/>
                  </w:divBdr>
                </w:div>
              </w:divsChild>
            </w:div>
            <w:div w:id="170147977">
              <w:marLeft w:val="0"/>
              <w:marRight w:val="0"/>
              <w:marTop w:val="0"/>
              <w:marBottom w:val="0"/>
              <w:divBdr>
                <w:top w:val="none" w:sz="0" w:space="0" w:color="auto"/>
                <w:left w:val="none" w:sz="0" w:space="0" w:color="auto"/>
                <w:bottom w:val="none" w:sz="0" w:space="0" w:color="auto"/>
                <w:right w:val="none" w:sz="0" w:space="0" w:color="auto"/>
              </w:divBdr>
              <w:divsChild>
                <w:div w:id="1529948300">
                  <w:marLeft w:val="0"/>
                  <w:marRight w:val="0"/>
                  <w:marTop w:val="0"/>
                  <w:marBottom w:val="0"/>
                  <w:divBdr>
                    <w:top w:val="none" w:sz="0" w:space="0" w:color="auto"/>
                    <w:left w:val="none" w:sz="0" w:space="0" w:color="auto"/>
                    <w:bottom w:val="none" w:sz="0" w:space="0" w:color="auto"/>
                    <w:right w:val="none" w:sz="0" w:space="0" w:color="auto"/>
                  </w:divBdr>
                </w:div>
              </w:divsChild>
            </w:div>
            <w:div w:id="2057507157">
              <w:marLeft w:val="0"/>
              <w:marRight w:val="0"/>
              <w:marTop w:val="0"/>
              <w:marBottom w:val="0"/>
              <w:divBdr>
                <w:top w:val="none" w:sz="0" w:space="0" w:color="auto"/>
                <w:left w:val="none" w:sz="0" w:space="0" w:color="auto"/>
                <w:bottom w:val="none" w:sz="0" w:space="0" w:color="auto"/>
                <w:right w:val="none" w:sz="0" w:space="0" w:color="auto"/>
              </w:divBdr>
              <w:divsChild>
                <w:div w:id="1742942308">
                  <w:marLeft w:val="0"/>
                  <w:marRight w:val="0"/>
                  <w:marTop w:val="0"/>
                  <w:marBottom w:val="0"/>
                  <w:divBdr>
                    <w:top w:val="none" w:sz="0" w:space="0" w:color="auto"/>
                    <w:left w:val="none" w:sz="0" w:space="0" w:color="auto"/>
                    <w:bottom w:val="none" w:sz="0" w:space="0" w:color="auto"/>
                    <w:right w:val="none" w:sz="0" w:space="0" w:color="auto"/>
                  </w:divBdr>
                </w:div>
              </w:divsChild>
            </w:div>
            <w:div w:id="1384791725">
              <w:marLeft w:val="0"/>
              <w:marRight w:val="0"/>
              <w:marTop w:val="0"/>
              <w:marBottom w:val="0"/>
              <w:divBdr>
                <w:top w:val="none" w:sz="0" w:space="0" w:color="auto"/>
                <w:left w:val="none" w:sz="0" w:space="0" w:color="auto"/>
                <w:bottom w:val="none" w:sz="0" w:space="0" w:color="auto"/>
                <w:right w:val="none" w:sz="0" w:space="0" w:color="auto"/>
              </w:divBdr>
              <w:divsChild>
                <w:div w:id="18807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309">
          <w:marLeft w:val="0"/>
          <w:marRight w:val="0"/>
          <w:marTop w:val="0"/>
          <w:marBottom w:val="600"/>
          <w:divBdr>
            <w:top w:val="none" w:sz="0" w:space="0" w:color="auto"/>
            <w:left w:val="none" w:sz="0" w:space="0" w:color="auto"/>
            <w:bottom w:val="none" w:sz="0" w:space="0" w:color="auto"/>
            <w:right w:val="none" w:sz="0" w:space="0" w:color="auto"/>
          </w:divBdr>
        </w:div>
      </w:divsChild>
    </w:div>
    <w:div w:id="756710412">
      <w:marLeft w:val="0"/>
      <w:marRight w:val="0"/>
      <w:marTop w:val="0"/>
      <w:marBottom w:val="0"/>
      <w:divBdr>
        <w:top w:val="none" w:sz="0" w:space="0" w:color="auto"/>
        <w:left w:val="none" w:sz="0" w:space="0" w:color="auto"/>
        <w:bottom w:val="none" w:sz="0" w:space="0" w:color="auto"/>
        <w:right w:val="none" w:sz="0" w:space="0" w:color="auto"/>
      </w:divBdr>
      <w:divsChild>
        <w:div w:id="115802737">
          <w:marLeft w:val="0"/>
          <w:marRight w:val="0"/>
          <w:marTop w:val="432"/>
          <w:marBottom w:val="0"/>
          <w:divBdr>
            <w:top w:val="none" w:sz="0" w:space="0" w:color="auto"/>
            <w:left w:val="none" w:sz="0" w:space="0" w:color="auto"/>
            <w:bottom w:val="none" w:sz="0" w:space="0" w:color="auto"/>
            <w:right w:val="none" w:sz="0" w:space="0" w:color="auto"/>
          </w:divBdr>
        </w:div>
        <w:div w:id="988945237">
          <w:marLeft w:val="0"/>
          <w:marRight w:val="0"/>
          <w:marTop w:val="0"/>
          <w:marBottom w:val="0"/>
          <w:divBdr>
            <w:top w:val="none" w:sz="0" w:space="0" w:color="auto"/>
            <w:left w:val="none" w:sz="0" w:space="0" w:color="auto"/>
            <w:bottom w:val="none" w:sz="0" w:space="0" w:color="auto"/>
            <w:right w:val="none" w:sz="0" w:space="0" w:color="auto"/>
          </w:divBdr>
          <w:divsChild>
            <w:div w:id="1011031892">
              <w:marLeft w:val="0"/>
              <w:marRight w:val="0"/>
              <w:marTop w:val="0"/>
              <w:marBottom w:val="0"/>
              <w:divBdr>
                <w:top w:val="none" w:sz="0" w:space="0" w:color="auto"/>
                <w:left w:val="none" w:sz="0" w:space="0" w:color="auto"/>
                <w:bottom w:val="none" w:sz="0" w:space="0" w:color="auto"/>
                <w:right w:val="none" w:sz="0" w:space="0" w:color="auto"/>
              </w:divBdr>
              <w:divsChild>
                <w:div w:id="584386836">
                  <w:marLeft w:val="0"/>
                  <w:marRight w:val="0"/>
                  <w:marTop w:val="0"/>
                  <w:marBottom w:val="0"/>
                  <w:divBdr>
                    <w:top w:val="none" w:sz="0" w:space="0" w:color="auto"/>
                    <w:left w:val="none" w:sz="0" w:space="0" w:color="auto"/>
                    <w:bottom w:val="none" w:sz="0" w:space="0" w:color="auto"/>
                    <w:right w:val="none" w:sz="0" w:space="0" w:color="auto"/>
                  </w:divBdr>
                </w:div>
              </w:divsChild>
            </w:div>
            <w:div w:id="1068380380">
              <w:marLeft w:val="0"/>
              <w:marRight w:val="0"/>
              <w:marTop w:val="0"/>
              <w:marBottom w:val="0"/>
              <w:divBdr>
                <w:top w:val="none" w:sz="0" w:space="0" w:color="auto"/>
                <w:left w:val="none" w:sz="0" w:space="0" w:color="auto"/>
                <w:bottom w:val="none" w:sz="0" w:space="0" w:color="auto"/>
                <w:right w:val="none" w:sz="0" w:space="0" w:color="auto"/>
              </w:divBdr>
              <w:divsChild>
                <w:div w:id="1957562387">
                  <w:marLeft w:val="0"/>
                  <w:marRight w:val="0"/>
                  <w:marTop w:val="0"/>
                  <w:marBottom w:val="0"/>
                  <w:divBdr>
                    <w:top w:val="none" w:sz="0" w:space="0" w:color="auto"/>
                    <w:left w:val="none" w:sz="0" w:space="0" w:color="auto"/>
                    <w:bottom w:val="none" w:sz="0" w:space="0" w:color="auto"/>
                    <w:right w:val="none" w:sz="0" w:space="0" w:color="auto"/>
                  </w:divBdr>
                </w:div>
              </w:divsChild>
            </w:div>
            <w:div w:id="407121045">
              <w:marLeft w:val="0"/>
              <w:marRight w:val="0"/>
              <w:marTop w:val="0"/>
              <w:marBottom w:val="0"/>
              <w:divBdr>
                <w:top w:val="none" w:sz="0" w:space="0" w:color="auto"/>
                <w:left w:val="none" w:sz="0" w:space="0" w:color="auto"/>
                <w:bottom w:val="none" w:sz="0" w:space="0" w:color="auto"/>
                <w:right w:val="none" w:sz="0" w:space="0" w:color="auto"/>
              </w:divBdr>
              <w:divsChild>
                <w:div w:id="2001300104">
                  <w:marLeft w:val="0"/>
                  <w:marRight w:val="0"/>
                  <w:marTop w:val="0"/>
                  <w:marBottom w:val="0"/>
                  <w:divBdr>
                    <w:top w:val="none" w:sz="0" w:space="0" w:color="auto"/>
                    <w:left w:val="none" w:sz="0" w:space="0" w:color="auto"/>
                    <w:bottom w:val="none" w:sz="0" w:space="0" w:color="auto"/>
                    <w:right w:val="none" w:sz="0" w:space="0" w:color="auto"/>
                  </w:divBdr>
                </w:div>
              </w:divsChild>
            </w:div>
            <w:div w:id="988441717">
              <w:marLeft w:val="0"/>
              <w:marRight w:val="0"/>
              <w:marTop w:val="0"/>
              <w:marBottom w:val="0"/>
              <w:divBdr>
                <w:top w:val="none" w:sz="0" w:space="0" w:color="auto"/>
                <w:left w:val="none" w:sz="0" w:space="0" w:color="auto"/>
                <w:bottom w:val="none" w:sz="0" w:space="0" w:color="auto"/>
                <w:right w:val="none" w:sz="0" w:space="0" w:color="auto"/>
              </w:divBdr>
              <w:divsChild>
                <w:div w:id="1878539113">
                  <w:marLeft w:val="0"/>
                  <w:marRight w:val="0"/>
                  <w:marTop w:val="0"/>
                  <w:marBottom w:val="0"/>
                  <w:divBdr>
                    <w:top w:val="none" w:sz="0" w:space="0" w:color="auto"/>
                    <w:left w:val="none" w:sz="0" w:space="0" w:color="auto"/>
                    <w:bottom w:val="none" w:sz="0" w:space="0" w:color="auto"/>
                    <w:right w:val="none" w:sz="0" w:space="0" w:color="auto"/>
                  </w:divBdr>
                </w:div>
              </w:divsChild>
            </w:div>
            <w:div w:id="2058821715">
              <w:marLeft w:val="0"/>
              <w:marRight w:val="0"/>
              <w:marTop w:val="0"/>
              <w:marBottom w:val="0"/>
              <w:divBdr>
                <w:top w:val="none" w:sz="0" w:space="0" w:color="auto"/>
                <w:left w:val="none" w:sz="0" w:space="0" w:color="auto"/>
                <w:bottom w:val="none" w:sz="0" w:space="0" w:color="auto"/>
                <w:right w:val="none" w:sz="0" w:space="0" w:color="auto"/>
              </w:divBdr>
              <w:divsChild>
                <w:div w:id="2053454889">
                  <w:marLeft w:val="0"/>
                  <w:marRight w:val="0"/>
                  <w:marTop w:val="0"/>
                  <w:marBottom w:val="0"/>
                  <w:divBdr>
                    <w:top w:val="none" w:sz="0" w:space="0" w:color="auto"/>
                    <w:left w:val="none" w:sz="0" w:space="0" w:color="auto"/>
                    <w:bottom w:val="none" w:sz="0" w:space="0" w:color="auto"/>
                    <w:right w:val="none" w:sz="0" w:space="0" w:color="auto"/>
                  </w:divBdr>
                </w:div>
              </w:divsChild>
            </w:div>
            <w:div w:id="818694594">
              <w:marLeft w:val="0"/>
              <w:marRight w:val="0"/>
              <w:marTop w:val="0"/>
              <w:marBottom w:val="0"/>
              <w:divBdr>
                <w:top w:val="none" w:sz="0" w:space="0" w:color="auto"/>
                <w:left w:val="none" w:sz="0" w:space="0" w:color="auto"/>
                <w:bottom w:val="none" w:sz="0" w:space="0" w:color="auto"/>
                <w:right w:val="none" w:sz="0" w:space="0" w:color="auto"/>
              </w:divBdr>
              <w:divsChild>
                <w:div w:id="752555688">
                  <w:marLeft w:val="0"/>
                  <w:marRight w:val="0"/>
                  <w:marTop w:val="0"/>
                  <w:marBottom w:val="0"/>
                  <w:divBdr>
                    <w:top w:val="none" w:sz="0" w:space="0" w:color="auto"/>
                    <w:left w:val="none" w:sz="0" w:space="0" w:color="auto"/>
                    <w:bottom w:val="none" w:sz="0" w:space="0" w:color="auto"/>
                    <w:right w:val="none" w:sz="0" w:space="0" w:color="auto"/>
                  </w:divBdr>
                </w:div>
              </w:divsChild>
            </w:div>
            <w:div w:id="212664457">
              <w:marLeft w:val="0"/>
              <w:marRight w:val="0"/>
              <w:marTop w:val="0"/>
              <w:marBottom w:val="0"/>
              <w:divBdr>
                <w:top w:val="none" w:sz="0" w:space="0" w:color="auto"/>
                <w:left w:val="none" w:sz="0" w:space="0" w:color="auto"/>
                <w:bottom w:val="none" w:sz="0" w:space="0" w:color="auto"/>
                <w:right w:val="none" w:sz="0" w:space="0" w:color="auto"/>
              </w:divBdr>
              <w:divsChild>
                <w:div w:id="1043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2521">
          <w:marLeft w:val="0"/>
          <w:marRight w:val="0"/>
          <w:marTop w:val="0"/>
          <w:marBottom w:val="600"/>
          <w:divBdr>
            <w:top w:val="none" w:sz="0" w:space="0" w:color="auto"/>
            <w:left w:val="none" w:sz="0" w:space="0" w:color="auto"/>
            <w:bottom w:val="none" w:sz="0" w:space="0" w:color="auto"/>
            <w:right w:val="none" w:sz="0" w:space="0" w:color="auto"/>
          </w:divBdr>
        </w:div>
      </w:divsChild>
    </w:div>
    <w:div w:id="809639323">
      <w:marLeft w:val="0"/>
      <w:marRight w:val="0"/>
      <w:marTop w:val="0"/>
      <w:marBottom w:val="0"/>
      <w:divBdr>
        <w:top w:val="none" w:sz="0" w:space="0" w:color="auto"/>
        <w:left w:val="none" w:sz="0" w:space="0" w:color="auto"/>
        <w:bottom w:val="none" w:sz="0" w:space="0" w:color="auto"/>
        <w:right w:val="none" w:sz="0" w:space="0" w:color="auto"/>
      </w:divBdr>
      <w:divsChild>
        <w:div w:id="1265919163">
          <w:marLeft w:val="0"/>
          <w:marRight w:val="0"/>
          <w:marTop w:val="432"/>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201675503">
          <w:marLeft w:val="0"/>
          <w:marRight w:val="0"/>
          <w:marTop w:val="0"/>
          <w:marBottom w:val="600"/>
          <w:divBdr>
            <w:top w:val="none" w:sz="0" w:space="0" w:color="auto"/>
            <w:left w:val="none" w:sz="0" w:space="0" w:color="auto"/>
            <w:bottom w:val="none" w:sz="0" w:space="0" w:color="auto"/>
            <w:right w:val="none" w:sz="0" w:space="0" w:color="auto"/>
          </w:divBdr>
        </w:div>
      </w:divsChild>
    </w:div>
    <w:div w:id="832330399">
      <w:marLeft w:val="0"/>
      <w:marRight w:val="0"/>
      <w:marTop w:val="0"/>
      <w:marBottom w:val="0"/>
      <w:divBdr>
        <w:top w:val="none" w:sz="0" w:space="0" w:color="auto"/>
        <w:left w:val="none" w:sz="0" w:space="0" w:color="auto"/>
        <w:bottom w:val="none" w:sz="0" w:space="0" w:color="auto"/>
        <w:right w:val="none" w:sz="0" w:space="0" w:color="auto"/>
      </w:divBdr>
      <w:divsChild>
        <w:div w:id="1901474225">
          <w:marLeft w:val="0"/>
          <w:marRight w:val="0"/>
          <w:marTop w:val="432"/>
          <w:marBottom w:val="0"/>
          <w:divBdr>
            <w:top w:val="none" w:sz="0" w:space="0" w:color="auto"/>
            <w:left w:val="none" w:sz="0" w:space="0" w:color="auto"/>
            <w:bottom w:val="none" w:sz="0" w:space="0" w:color="auto"/>
            <w:right w:val="none" w:sz="0" w:space="0" w:color="auto"/>
          </w:divBdr>
        </w:div>
        <w:div w:id="535000146">
          <w:marLeft w:val="0"/>
          <w:marRight w:val="0"/>
          <w:marTop w:val="0"/>
          <w:marBottom w:val="0"/>
          <w:divBdr>
            <w:top w:val="none" w:sz="0" w:space="0" w:color="auto"/>
            <w:left w:val="none" w:sz="0" w:space="0" w:color="auto"/>
            <w:bottom w:val="none" w:sz="0" w:space="0" w:color="auto"/>
            <w:right w:val="none" w:sz="0" w:space="0" w:color="auto"/>
          </w:divBdr>
          <w:divsChild>
            <w:div w:id="970743558">
              <w:marLeft w:val="0"/>
              <w:marRight w:val="0"/>
              <w:marTop w:val="0"/>
              <w:marBottom w:val="0"/>
              <w:divBdr>
                <w:top w:val="none" w:sz="0" w:space="0" w:color="auto"/>
                <w:left w:val="none" w:sz="0" w:space="0" w:color="auto"/>
                <w:bottom w:val="none" w:sz="0" w:space="0" w:color="auto"/>
                <w:right w:val="none" w:sz="0" w:space="0" w:color="auto"/>
              </w:divBdr>
              <w:divsChild>
                <w:div w:id="1815020973">
                  <w:marLeft w:val="0"/>
                  <w:marRight w:val="0"/>
                  <w:marTop w:val="0"/>
                  <w:marBottom w:val="0"/>
                  <w:divBdr>
                    <w:top w:val="none" w:sz="0" w:space="0" w:color="auto"/>
                    <w:left w:val="none" w:sz="0" w:space="0" w:color="auto"/>
                    <w:bottom w:val="none" w:sz="0" w:space="0" w:color="auto"/>
                    <w:right w:val="none" w:sz="0" w:space="0" w:color="auto"/>
                  </w:divBdr>
                </w:div>
              </w:divsChild>
            </w:div>
            <w:div w:id="1522553213">
              <w:marLeft w:val="0"/>
              <w:marRight w:val="0"/>
              <w:marTop w:val="0"/>
              <w:marBottom w:val="0"/>
              <w:divBdr>
                <w:top w:val="none" w:sz="0" w:space="0" w:color="auto"/>
                <w:left w:val="none" w:sz="0" w:space="0" w:color="auto"/>
                <w:bottom w:val="none" w:sz="0" w:space="0" w:color="auto"/>
                <w:right w:val="none" w:sz="0" w:space="0" w:color="auto"/>
              </w:divBdr>
              <w:divsChild>
                <w:div w:id="286278509">
                  <w:marLeft w:val="0"/>
                  <w:marRight w:val="0"/>
                  <w:marTop w:val="0"/>
                  <w:marBottom w:val="0"/>
                  <w:divBdr>
                    <w:top w:val="none" w:sz="0" w:space="0" w:color="auto"/>
                    <w:left w:val="none" w:sz="0" w:space="0" w:color="auto"/>
                    <w:bottom w:val="none" w:sz="0" w:space="0" w:color="auto"/>
                    <w:right w:val="none" w:sz="0" w:space="0" w:color="auto"/>
                  </w:divBdr>
                </w:div>
              </w:divsChild>
            </w:div>
            <w:div w:id="1284531326">
              <w:marLeft w:val="0"/>
              <w:marRight w:val="0"/>
              <w:marTop w:val="0"/>
              <w:marBottom w:val="0"/>
              <w:divBdr>
                <w:top w:val="none" w:sz="0" w:space="0" w:color="auto"/>
                <w:left w:val="none" w:sz="0" w:space="0" w:color="auto"/>
                <w:bottom w:val="none" w:sz="0" w:space="0" w:color="auto"/>
                <w:right w:val="none" w:sz="0" w:space="0" w:color="auto"/>
              </w:divBdr>
              <w:divsChild>
                <w:div w:id="1244678117">
                  <w:marLeft w:val="0"/>
                  <w:marRight w:val="0"/>
                  <w:marTop w:val="0"/>
                  <w:marBottom w:val="0"/>
                  <w:divBdr>
                    <w:top w:val="none" w:sz="0" w:space="0" w:color="auto"/>
                    <w:left w:val="none" w:sz="0" w:space="0" w:color="auto"/>
                    <w:bottom w:val="none" w:sz="0" w:space="0" w:color="auto"/>
                    <w:right w:val="none" w:sz="0" w:space="0" w:color="auto"/>
                  </w:divBdr>
                </w:div>
              </w:divsChild>
            </w:div>
            <w:div w:id="949509273">
              <w:marLeft w:val="0"/>
              <w:marRight w:val="0"/>
              <w:marTop w:val="0"/>
              <w:marBottom w:val="0"/>
              <w:divBdr>
                <w:top w:val="none" w:sz="0" w:space="0" w:color="auto"/>
                <w:left w:val="none" w:sz="0" w:space="0" w:color="auto"/>
                <w:bottom w:val="none" w:sz="0" w:space="0" w:color="auto"/>
                <w:right w:val="none" w:sz="0" w:space="0" w:color="auto"/>
              </w:divBdr>
              <w:divsChild>
                <w:div w:id="1355882469">
                  <w:marLeft w:val="0"/>
                  <w:marRight w:val="0"/>
                  <w:marTop w:val="0"/>
                  <w:marBottom w:val="0"/>
                  <w:divBdr>
                    <w:top w:val="none" w:sz="0" w:space="0" w:color="auto"/>
                    <w:left w:val="none" w:sz="0" w:space="0" w:color="auto"/>
                    <w:bottom w:val="none" w:sz="0" w:space="0" w:color="auto"/>
                    <w:right w:val="none" w:sz="0" w:space="0" w:color="auto"/>
                  </w:divBdr>
                </w:div>
              </w:divsChild>
            </w:div>
            <w:div w:id="597100585">
              <w:marLeft w:val="0"/>
              <w:marRight w:val="0"/>
              <w:marTop w:val="0"/>
              <w:marBottom w:val="0"/>
              <w:divBdr>
                <w:top w:val="none" w:sz="0" w:space="0" w:color="auto"/>
                <w:left w:val="none" w:sz="0" w:space="0" w:color="auto"/>
                <w:bottom w:val="none" w:sz="0" w:space="0" w:color="auto"/>
                <w:right w:val="none" w:sz="0" w:space="0" w:color="auto"/>
              </w:divBdr>
              <w:divsChild>
                <w:div w:id="153959376">
                  <w:marLeft w:val="0"/>
                  <w:marRight w:val="0"/>
                  <w:marTop w:val="0"/>
                  <w:marBottom w:val="0"/>
                  <w:divBdr>
                    <w:top w:val="none" w:sz="0" w:space="0" w:color="auto"/>
                    <w:left w:val="none" w:sz="0" w:space="0" w:color="auto"/>
                    <w:bottom w:val="none" w:sz="0" w:space="0" w:color="auto"/>
                    <w:right w:val="none" w:sz="0" w:space="0" w:color="auto"/>
                  </w:divBdr>
                </w:div>
              </w:divsChild>
            </w:div>
            <w:div w:id="166093385">
              <w:marLeft w:val="0"/>
              <w:marRight w:val="0"/>
              <w:marTop w:val="0"/>
              <w:marBottom w:val="0"/>
              <w:divBdr>
                <w:top w:val="none" w:sz="0" w:space="0" w:color="auto"/>
                <w:left w:val="none" w:sz="0" w:space="0" w:color="auto"/>
                <w:bottom w:val="none" w:sz="0" w:space="0" w:color="auto"/>
                <w:right w:val="none" w:sz="0" w:space="0" w:color="auto"/>
              </w:divBdr>
              <w:divsChild>
                <w:div w:id="283459942">
                  <w:marLeft w:val="0"/>
                  <w:marRight w:val="0"/>
                  <w:marTop w:val="0"/>
                  <w:marBottom w:val="0"/>
                  <w:divBdr>
                    <w:top w:val="none" w:sz="0" w:space="0" w:color="auto"/>
                    <w:left w:val="none" w:sz="0" w:space="0" w:color="auto"/>
                    <w:bottom w:val="none" w:sz="0" w:space="0" w:color="auto"/>
                    <w:right w:val="none" w:sz="0" w:space="0" w:color="auto"/>
                  </w:divBdr>
                </w:div>
              </w:divsChild>
            </w:div>
            <w:div w:id="1970042981">
              <w:marLeft w:val="0"/>
              <w:marRight w:val="0"/>
              <w:marTop w:val="0"/>
              <w:marBottom w:val="0"/>
              <w:divBdr>
                <w:top w:val="none" w:sz="0" w:space="0" w:color="auto"/>
                <w:left w:val="none" w:sz="0" w:space="0" w:color="auto"/>
                <w:bottom w:val="none" w:sz="0" w:space="0" w:color="auto"/>
                <w:right w:val="none" w:sz="0" w:space="0" w:color="auto"/>
              </w:divBdr>
              <w:divsChild>
                <w:div w:id="1569346092">
                  <w:marLeft w:val="0"/>
                  <w:marRight w:val="0"/>
                  <w:marTop w:val="0"/>
                  <w:marBottom w:val="0"/>
                  <w:divBdr>
                    <w:top w:val="none" w:sz="0" w:space="0" w:color="auto"/>
                    <w:left w:val="none" w:sz="0" w:space="0" w:color="auto"/>
                    <w:bottom w:val="none" w:sz="0" w:space="0" w:color="auto"/>
                    <w:right w:val="none" w:sz="0" w:space="0" w:color="auto"/>
                  </w:divBdr>
                </w:div>
              </w:divsChild>
            </w:div>
            <w:div w:id="1237133417">
              <w:marLeft w:val="0"/>
              <w:marRight w:val="0"/>
              <w:marTop w:val="0"/>
              <w:marBottom w:val="0"/>
              <w:divBdr>
                <w:top w:val="none" w:sz="0" w:space="0" w:color="auto"/>
                <w:left w:val="none" w:sz="0" w:space="0" w:color="auto"/>
                <w:bottom w:val="none" w:sz="0" w:space="0" w:color="auto"/>
                <w:right w:val="none" w:sz="0" w:space="0" w:color="auto"/>
              </w:divBdr>
              <w:divsChild>
                <w:div w:id="2032534547">
                  <w:marLeft w:val="0"/>
                  <w:marRight w:val="0"/>
                  <w:marTop w:val="0"/>
                  <w:marBottom w:val="0"/>
                  <w:divBdr>
                    <w:top w:val="none" w:sz="0" w:space="0" w:color="auto"/>
                    <w:left w:val="none" w:sz="0" w:space="0" w:color="auto"/>
                    <w:bottom w:val="none" w:sz="0" w:space="0" w:color="auto"/>
                    <w:right w:val="none" w:sz="0" w:space="0" w:color="auto"/>
                  </w:divBdr>
                </w:div>
              </w:divsChild>
            </w:div>
            <w:div w:id="1597714007">
              <w:marLeft w:val="0"/>
              <w:marRight w:val="0"/>
              <w:marTop w:val="0"/>
              <w:marBottom w:val="0"/>
              <w:divBdr>
                <w:top w:val="none" w:sz="0" w:space="0" w:color="auto"/>
                <w:left w:val="none" w:sz="0" w:space="0" w:color="auto"/>
                <w:bottom w:val="none" w:sz="0" w:space="0" w:color="auto"/>
                <w:right w:val="none" w:sz="0" w:space="0" w:color="auto"/>
              </w:divBdr>
              <w:divsChild>
                <w:div w:id="1449472136">
                  <w:marLeft w:val="0"/>
                  <w:marRight w:val="0"/>
                  <w:marTop w:val="0"/>
                  <w:marBottom w:val="0"/>
                  <w:divBdr>
                    <w:top w:val="none" w:sz="0" w:space="0" w:color="auto"/>
                    <w:left w:val="none" w:sz="0" w:space="0" w:color="auto"/>
                    <w:bottom w:val="none" w:sz="0" w:space="0" w:color="auto"/>
                    <w:right w:val="none" w:sz="0" w:space="0" w:color="auto"/>
                  </w:divBdr>
                </w:div>
              </w:divsChild>
            </w:div>
            <w:div w:id="1425806504">
              <w:marLeft w:val="0"/>
              <w:marRight w:val="0"/>
              <w:marTop w:val="0"/>
              <w:marBottom w:val="0"/>
              <w:divBdr>
                <w:top w:val="none" w:sz="0" w:space="0" w:color="auto"/>
                <w:left w:val="none" w:sz="0" w:space="0" w:color="auto"/>
                <w:bottom w:val="none" w:sz="0" w:space="0" w:color="auto"/>
                <w:right w:val="none" w:sz="0" w:space="0" w:color="auto"/>
              </w:divBdr>
              <w:divsChild>
                <w:div w:id="1376156603">
                  <w:marLeft w:val="0"/>
                  <w:marRight w:val="0"/>
                  <w:marTop w:val="0"/>
                  <w:marBottom w:val="0"/>
                  <w:divBdr>
                    <w:top w:val="none" w:sz="0" w:space="0" w:color="auto"/>
                    <w:left w:val="none" w:sz="0" w:space="0" w:color="auto"/>
                    <w:bottom w:val="none" w:sz="0" w:space="0" w:color="auto"/>
                    <w:right w:val="none" w:sz="0" w:space="0" w:color="auto"/>
                  </w:divBdr>
                </w:div>
              </w:divsChild>
            </w:div>
            <w:div w:id="943881846">
              <w:marLeft w:val="0"/>
              <w:marRight w:val="0"/>
              <w:marTop w:val="0"/>
              <w:marBottom w:val="0"/>
              <w:divBdr>
                <w:top w:val="none" w:sz="0" w:space="0" w:color="auto"/>
                <w:left w:val="none" w:sz="0" w:space="0" w:color="auto"/>
                <w:bottom w:val="none" w:sz="0" w:space="0" w:color="auto"/>
                <w:right w:val="none" w:sz="0" w:space="0" w:color="auto"/>
              </w:divBdr>
              <w:divsChild>
                <w:div w:id="258679728">
                  <w:marLeft w:val="0"/>
                  <w:marRight w:val="0"/>
                  <w:marTop w:val="0"/>
                  <w:marBottom w:val="0"/>
                  <w:divBdr>
                    <w:top w:val="none" w:sz="0" w:space="0" w:color="auto"/>
                    <w:left w:val="none" w:sz="0" w:space="0" w:color="auto"/>
                    <w:bottom w:val="none" w:sz="0" w:space="0" w:color="auto"/>
                    <w:right w:val="none" w:sz="0" w:space="0" w:color="auto"/>
                  </w:divBdr>
                </w:div>
              </w:divsChild>
            </w:div>
            <w:div w:id="811630091">
              <w:marLeft w:val="0"/>
              <w:marRight w:val="0"/>
              <w:marTop w:val="0"/>
              <w:marBottom w:val="0"/>
              <w:divBdr>
                <w:top w:val="none" w:sz="0" w:space="0" w:color="auto"/>
                <w:left w:val="none" w:sz="0" w:space="0" w:color="auto"/>
                <w:bottom w:val="none" w:sz="0" w:space="0" w:color="auto"/>
                <w:right w:val="none" w:sz="0" w:space="0" w:color="auto"/>
              </w:divBdr>
              <w:divsChild>
                <w:div w:id="583149528">
                  <w:marLeft w:val="0"/>
                  <w:marRight w:val="0"/>
                  <w:marTop w:val="0"/>
                  <w:marBottom w:val="0"/>
                  <w:divBdr>
                    <w:top w:val="none" w:sz="0" w:space="0" w:color="auto"/>
                    <w:left w:val="none" w:sz="0" w:space="0" w:color="auto"/>
                    <w:bottom w:val="none" w:sz="0" w:space="0" w:color="auto"/>
                    <w:right w:val="none" w:sz="0" w:space="0" w:color="auto"/>
                  </w:divBdr>
                </w:div>
              </w:divsChild>
            </w:div>
            <w:div w:id="1865047364">
              <w:marLeft w:val="0"/>
              <w:marRight w:val="0"/>
              <w:marTop w:val="0"/>
              <w:marBottom w:val="0"/>
              <w:divBdr>
                <w:top w:val="none" w:sz="0" w:space="0" w:color="auto"/>
                <w:left w:val="none" w:sz="0" w:space="0" w:color="auto"/>
                <w:bottom w:val="none" w:sz="0" w:space="0" w:color="auto"/>
                <w:right w:val="none" w:sz="0" w:space="0" w:color="auto"/>
              </w:divBdr>
              <w:divsChild>
                <w:div w:id="515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966">
          <w:marLeft w:val="0"/>
          <w:marRight w:val="0"/>
          <w:marTop w:val="0"/>
          <w:marBottom w:val="600"/>
          <w:divBdr>
            <w:top w:val="none" w:sz="0" w:space="0" w:color="auto"/>
            <w:left w:val="none" w:sz="0" w:space="0" w:color="auto"/>
            <w:bottom w:val="none" w:sz="0" w:space="0" w:color="auto"/>
            <w:right w:val="none" w:sz="0" w:space="0" w:color="auto"/>
          </w:divBdr>
        </w:div>
      </w:divsChild>
    </w:div>
    <w:div w:id="923994841">
      <w:marLeft w:val="0"/>
      <w:marRight w:val="0"/>
      <w:marTop w:val="0"/>
      <w:marBottom w:val="0"/>
      <w:divBdr>
        <w:top w:val="none" w:sz="0" w:space="0" w:color="auto"/>
        <w:left w:val="none" w:sz="0" w:space="0" w:color="auto"/>
        <w:bottom w:val="none" w:sz="0" w:space="0" w:color="auto"/>
        <w:right w:val="none" w:sz="0" w:space="0" w:color="auto"/>
      </w:divBdr>
      <w:divsChild>
        <w:div w:id="1968926755">
          <w:marLeft w:val="0"/>
          <w:marRight w:val="0"/>
          <w:marTop w:val="432"/>
          <w:marBottom w:val="0"/>
          <w:divBdr>
            <w:top w:val="none" w:sz="0" w:space="0" w:color="auto"/>
            <w:left w:val="none" w:sz="0" w:space="0" w:color="auto"/>
            <w:bottom w:val="none" w:sz="0" w:space="0" w:color="auto"/>
            <w:right w:val="none" w:sz="0" w:space="0" w:color="auto"/>
          </w:divBdr>
        </w:div>
        <w:div w:id="463502599">
          <w:marLeft w:val="0"/>
          <w:marRight w:val="0"/>
          <w:marTop w:val="0"/>
          <w:marBottom w:val="0"/>
          <w:divBdr>
            <w:top w:val="none" w:sz="0" w:space="0" w:color="auto"/>
            <w:left w:val="none" w:sz="0" w:space="0" w:color="auto"/>
            <w:bottom w:val="none" w:sz="0" w:space="0" w:color="auto"/>
            <w:right w:val="none" w:sz="0" w:space="0" w:color="auto"/>
          </w:divBdr>
          <w:divsChild>
            <w:div w:id="2004043622">
              <w:marLeft w:val="0"/>
              <w:marRight w:val="0"/>
              <w:marTop w:val="0"/>
              <w:marBottom w:val="0"/>
              <w:divBdr>
                <w:top w:val="none" w:sz="0" w:space="0" w:color="auto"/>
                <w:left w:val="none" w:sz="0" w:space="0" w:color="auto"/>
                <w:bottom w:val="none" w:sz="0" w:space="0" w:color="auto"/>
                <w:right w:val="none" w:sz="0" w:space="0" w:color="auto"/>
              </w:divBdr>
              <w:divsChild>
                <w:div w:id="725493429">
                  <w:marLeft w:val="0"/>
                  <w:marRight w:val="0"/>
                  <w:marTop w:val="0"/>
                  <w:marBottom w:val="0"/>
                  <w:divBdr>
                    <w:top w:val="none" w:sz="0" w:space="0" w:color="auto"/>
                    <w:left w:val="none" w:sz="0" w:space="0" w:color="auto"/>
                    <w:bottom w:val="none" w:sz="0" w:space="0" w:color="auto"/>
                    <w:right w:val="none" w:sz="0" w:space="0" w:color="auto"/>
                  </w:divBdr>
                </w:div>
              </w:divsChild>
            </w:div>
            <w:div w:id="364523206">
              <w:marLeft w:val="0"/>
              <w:marRight w:val="0"/>
              <w:marTop w:val="0"/>
              <w:marBottom w:val="0"/>
              <w:divBdr>
                <w:top w:val="none" w:sz="0" w:space="0" w:color="auto"/>
                <w:left w:val="none" w:sz="0" w:space="0" w:color="auto"/>
                <w:bottom w:val="none" w:sz="0" w:space="0" w:color="auto"/>
                <w:right w:val="none" w:sz="0" w:space="0" w:color="auto"/>
              </w:divBdr>
              <w:divsChild>
                <w:div w:id="902830909">
                  <w:marLeft w:val="0"/>
                  <w:marRight w:val="0"/>
                  <w:marTop w:val="0"/>
                  <w:marBottom w:val="0"/>
                  <w:divBdr>
                    <w:top w:val="none" w:sz="0" w:space="0" w:color="auto"/>
                    <w:left w:val="none" w:sz="0" w:space="0" w:color="auto"/>
                    <w:bottom w:val="none" w:sz="0" w:space="0" w:color="auto"/>
                    <w:right w:val="none" w:sz="0" w:space="0" w:color="auto"/>
                  </w:divBdr>
                </w:div>
              </w:divsChild>
            </w:div>
            <w:div w:id="1866677399">
              <w:marLeft w:val="0"/>
              <w:marRight w:val="0"/>
              <w:marTop w:val="0"/>
              <w:marBottom w:val="0"/>
              <w:divBdr>
                <w:top w:val="none" w:sz="0" w:space="0" w:color="auto"/>
                <w:left w:val="none" w:sz="0" w:space="0" w:color="auto"/>
                <w:bottom w:val="none" w:sz="0" w:space="0" w:color="auto"/>
                <w:right w:val="none" w:sz="0" w:space="0" w:color="auto"/>
              </w:divBdr>
              <w:divsChild>
                <w:div w:id="1894845947">
                  <w:marLeft w:val="0"/>
                  <w:marRight w:val="0"/>
                  <w:marTop w:val="0"/>
                  <w:marBottom w:val="0"/>
                  <w:divBdr>
                    <w:top w:val="none" w:sz="0" w:space="0" w:color="auto"/>
                    <w:left w:val="none" w:sz="0" w:space="0" w:color="auto"/>
                    <w:bottom w:val="none" w:sz="0" w:space="0" w:color="auto"/>
                    <w:right w:val="none" w:sz="0" w:space="0" w:color="auto"/>
                  </w:divBdr>
                </w:div>
              </w:divsChild>
            </w:div>
            <w:div w:id="391272027">
              <w:marLeft w:val="0"/>
              <w:marRight w:val="0"/>
              <w:marTop w:val="0"/>
              <w:marBottom w:val="0"/>
              <w:divBdr>
                <w:top w:val="none" w:sz="0" w:space="0" w:color="auto"/>
                <w:left w:val="none" w:sz="0" w:space="0" w:color="auto"/>
                <w:bottom w:val="none" w:sz="0" w:space="0" w:color="auto"/>
                <w:right w:val="none" w:sz="0" w:space="0" w:color="auto"/>
              </w:divBdr>
              <w:divsChild>
                <w:div w:id="243419789">
                  <w:marLeft w:val="0"/>
                  <w:marRight w:val="0"/>
                  <w:marTop w:val="0"/>
                  <w:marBottom w:val="0"/>
                  <w:divBdr>
                    <w:top w:val="none" w:sz="0" w:space="0" w:color="auto"/>
                    <w:left w:val="none" w:sz="0" w:space="0" w:color="auto"/>
                    <w:bottom w:val="none" w:sz="0" w:space="0" w:color="auto"/>
                    <w:right w:val="none" w:sz="0" w:space="0" w:color="auto"/>
                  </w:divBdr>
                </w:div>
              </w:divsChild>
            </w:div>
            <w:div w:id="1992713695">
              <w:marLeft w:val="0"/>
              <w:marRight w:val="0"/>
              <w:marTop w:val="0"/>
              <w:marBottom w:val="0"/>
              <w:divBdr>
                <w:top w:val="none" w:sz="0" w:space="0" w:color="auto"/>
                <w:left w:val="none" w:sz="0" w:space="0" w:color="auto"/>
                <w:bottom w:val="none" w:sz="0" w:space="0" w:color="auto"/>
                <w:right w:val="none" w:sz="0" w:space="0" w:color="auto"/>
              </w:divBdr>
              <w:divsChild>
                <w:div w:id="12925238">
                  <w:marLeft w:val="0"/>
                  <w:marRight w:val="0"/>
                  <w:marTop w:val="0"/>
                  <w:marBottom w:val="0"/>
                  <w:divBdr>
                    <w:top w:val="none" w:sz="0" w:space="0" w:color="auto"/>
                    <w:left w:val="none" w:sz="0" w:space="0" w:color="auto"/>
                    <w:bottom w:val="none" w:sz="0" w:space="0" w:color="auto"/>
                    <w:right w:val="none" w:sz="0" w:space="0" w:color="auto"/>
                  </w:divBdr>
                </w:div>
              </w:divsChild>
            </w:div>
            <w:div w:id="315644158">
              <w:marLeft w:val="0"/>
              <w:marRight w:val="0"/>
              <w:marTop w:val="0"/>
              <w:marBottom w:val="0"/>
              <w:divBdr>
                <w:top w:val="none" w:sz="0" w:space="0" w:color="auto"/>
                <w:left w:val="none" w:sz="0" w:space="0" w:color="auto"/>
                <w:bottom w:val="none" w:sz="0" w:space="0" w:color="auto"/>
                <w:right w:val="none" w:sz="0" w:space="0" w:color="auto"/>
              </w:divBdr>
              <w:divsChild>
                <w:div w:id="965156600">
                  <w:marLeft w:val="0"/>
                  <w:marRight w:val="0"/>
                  <w:marTop w:val="0"/>
                  <w:marBottom w:val="0"/>
                  <w:divBdr>
                    <w:top w:val="none" w:sz="0" w:space="0" w:color="auto"/>
                    <w:left w:val="none" w:sz="0" w:space="0" w:color="auto"/>
                    <w:bottom w:val="none" w:sz="0" w:space="0" w:color="auto"/>
                    <w:right w:val="none" w:sz="0" w:space="0" w:color="auto"/>
                  </w:divBdr>
                </w:div>
              </w:divsChild>
            </w:div>
            <w:div w:id="1369800652">
              <w:marLeft w:val="0"/>
              <w:marRight w:val="0"/>
              <w:marTop w:val="0"/>
              <w:marBottom w:val="0"/>
              <w:divBdr>
                <w:top w:val="none" w:sz="0" w:space="0" w:color="auto"/>
                <w:left w:val="none" w:sz="0" w:space="0" w:color="auto"/>
                <w:bottom w:val="none" w:sz="0" w:space="0" w:color="auto"/>
                <w:right w:val="none" w:sz="0" w:space="0" w:color="auto"/>
              </w:divBdr>
              <w:divsChild>
                <w:div w:id="567377641">
                  <w:marLeft w:val="0"/>
                  <w:marRight w:val="0"/>
                  <w:marTop w:val="0"/>
                  <w:marBottom w:val="0"/>
                  <w:divBdr>
                    <w:top w:val="none" w:sz="0" w:space="0" w:color="auto"/>
                    <w:left w:val="none" w:sz="0" w:space="0" w:color="auto"/>
                    <w:bottom w:val="none" w:sz="0" w:space="0" w:color="auto"/>
                    <w:right w:val="none" w:sz="0" w:space="0" w:color="auto"/>
                  </w:divBdr>
                </w:div>
              </w:divsChild>
            </w:div>
            <w:div w:id="757363361">
              <w:marLeft w:val="0"/>
              <w:marRight w:val="0"/>
              <w:marTop w:val="0"/>
              <w:marBottom w:val="0"/>
              <w:divBdr>
                <w:top w:val="none" w:sz="0" w:space="0" w:color="auto"/>
                <w:left w:val="none" w:sz="0" w:space="0" w:color="auto"/>
                <w:bottom w:val="none" w:sz="0" w:space="0" w:color="auto"/>
                <w:right w:val="none" w:sz="0" w:space="0" w:color="auto"/>
              </w:divBdr>
              <w:divsChild>
                <w:div w:id="1229851593">
                  <w:marLeft w:val="0"/>
                  <w:marRight w:val="0"/>
                  <w:marTop w:val="0"/>
                  <w:marBottom w:val="0"/>
                  <w:divBdr>
                    <w:top w:val="none" w:sz="0" w:space="0" w:color="auto"/>
                    <w:left w:val="none" w:sz="0" w:space="0" w:color="auto"/>
                    <w:bottom w:val="none" w:sz="0" w:space="0" w:color="auto"/>
                    <w:right w:val="none" w:sz="0" w:space="0" w:color="auto"/>
                  </w:divBdr>
                </w:div>
              </w:divsChild>
            </w:div>
            <w:div w:id="201597130">
              <w:marLeft w:val="0"/>
              <w:marRight w:val="0"/>
              <w:marTop w:val="0"/>
              <w:marBottom w:val="0"/>
              <w:divBdr>
                <w:top w:val="none" w:sz="0" w:space="0" w:color="auto"/>
                <w:left w:val="none" w:sz="0" w:space="0" w:color="auto"/>
                <w:bottom w:val="none" w:sz="0" w:space="0" w:color="auto"/>
                <w:right w:val="none" w:sz="0" w:space="0" w:color="auto"/>
              </w:divBdr>
              <w:divsChild>
                <w:div w:id="810170432">
                  <w:marLeft w:val="0"/>
                  <w:marRight w:val="0"/>
                  <w:marTop w:val="0"/>
                  <w:marBottom w:val="0"/>
                  <w:divBdr>
                    <w:top w:val="none" w:sz="0" w:space="0" w:color="auto"/>
                    <w:left w:val="none" w:sz="0" w:space="0" w:color="auto"/>
                    <w:bottom w:val="none" w:sz="0" w:space="0" w:color="auto"/>
                    <w:right w:val="none" w:sz="0" w:space="0" w:color="auto"/>
                  </w:divBdr>
                </w:div>
              </w:divsChild>
            </w:div>
            <w:div w:id="854616840">
              <w:marLeft w:val="0"/>
              <w:marRight w:val="0"/>
              <w:marTop w:val="0"/>
              <w:marBottom w:val="0"/>
              <w:divBdr>
                <w:top w:val="none" w:sz="0" w:space="0" w:color="auto"/>
                <w:left w:val="none" w:sz="0" w:space="0" w:color="auto"/>
                <w:bottom w:val="none" w:sz="0" w:space="0" w:color="auto"/>
                <w:right w:val="none" w:sz="0" w:space="0" w:color="auto"/>
              </w:divBdr>
              <w:divsChild>
                <w:div w:id="1699892187">
                  <w:marLeft w:val="0"/>
                  <w:marRight w:val="0"/>
                  <w:marTop w:val="0"/>
                  <w:marBottom w:val="0"/>
                  <w:divBdr>
                    <w:top w:val="none" w:sz="0" w:space="0" w:color="auto"/>
                    <w:left w:val="none" w:sz="0" w:space="0" w:color="auto"/>
                    <w:bottom w:val="none" w:sz="0" w:space="0" w:color="auto"/>
                    <w:right w:val="none" w:sz="0" w:space="0" w:color="auto"/>
                  </w:divBdr>
                </w:div>
              </w:divsChild>
            </w:div>
            <w:div w:id="223417724">
              <w:marLeft w:val="0"/>
              <w:marRight w:val="0"/>
              <w:marTop w:val="0"/>
              <w:marBottom w:val="0"/>
              <w:divBdr>
                <w:top w:val="none" w:sz="0" w:space="0" w:color="auto"/>
                <w:left w:val="none" w:sz="0" w:space="0" w:color="auto"/>
                <w:bottom w:val="none" w:sz="0" w:space="0" w:color="auto"/>
                <w:right w:val="none" w:sz="0" w:space="0" w:color="auto"/>
              </w:divBdr>
              <w:divsChild>
                <w:div w:id="860633749">
                  <w:marLeft w:val="0"/>
                  <w:marRight w:val="0"/>
                  <w:marTop w:val="0"/>
                  <w:marBottom w:val="0"/>
                  <w:divBdr>
                    <w:top w:val="none" w:sz="0" w:space="0" w:color="auto"/>
                    <w:left w:val="none" w:sz="0" w:space="0" w:color="auto"/>
                    <w:bottom w:val="none" w:sz="0" w:space="0" w:color="auto"/>
                    <w:right w:val="none" w:sz="0" w:space="0" w:color="auto"/>
                  </w:divBdr>
                </w:div>
              </w:divsChild>
            </w:div>
            <w:div w:id="1486555296">
              <w:marLeft w:val="0"/>
              <w:marRight w:val="0"/>
              <w:marTop w:val="0"/>
              <w:marBottom w:val="0"/>
              <w:divBdr>
                <w:top w:val="none" w:sz="0" w:space="0" w:color="auto"/>
                <w:left w:val="none" w:sz="0" w:space="0" w:color="auto"/>
                <w:bottom w:val="none" w:sz="0" w:space="0" w:color="auto"/>
                <w:right w:val="none" w:sz="0" w:space="0" w:color="auto"/>
              </w:divBdr>
              <w:divsChild>
                <w:div w:id="1180585762">
                  <w:marLeft w:val="0"/>
                  <w:marRight w:val="0"/>
                  <w:marTop w:val="0"/>
                  <w:marBottom w:val="0"/>
                  <w:divBdr>
                    <w:top w:val="none" w:sz="0" w:space="0" w:color="auto"/>
                    <w:left w:val="none" w:sz="0" w:space="0" w:color="auto"/>
                    <w:bottom w:val="none" w:sz="0" w:space="0" w:color="auto"/>
                    <w:right w:val="none" w:sz="0" w:space="0" w:color="auto"/>
                  </w:divBdr>
                </w:div>
              </w:divsChild>
            </w:div>
            <w:div w:id="1717462054">
              <w:marLeft w:val="0"/>
              <w:marRight w:val="0"/>
              <w:marTop w:val="0"/>
              <w:marBottom w:val="0"/>
              <w:divBdr>
                <w:top w:val="none" w:sz="0" w:space="0" w:color="auto"/>
                <w:left w:val="none" w:sz="0" w:space="0" w:color="auto"/>
                <w:bottom w:val="none" w:sz="0" w:space="0" w:color="auto"/>
                <w:right w:val="none" w:sz="0" w:space="0" w:color="auto"/>
              </w:divBdr>
              <w:divsChild>
                <w:div w:id="1962950583">
                  <w:marLeft w:val="0"/>
                  <w:marRight w:val="0"/>
                  <w:marTop w:val="0"/>
                  <w:marBottom w:val="0"/>
                  <w:divBdr>
                    <w:top w:val="none" w:sz="0" w:space="0" w:color="auto"/>
                    <w:left w:val="none" w:sz="0" w:space="0" w:color="auto"/>
                    <w:bottom w:val="none" w:sz="0" w:space="0" w:color="auto"/>
                    <w:right w:val="none" w:sz="0" w:space="0" w:color="auto"/>
                  </w:divBdr>
                </w:div>
              </w:divsChild>
            </w:div>
            <w:div w:id="1020593228">
              <w:marLeft w:val="0"/>
              <w:marRight w:val="0"/>
              <w:marTop w:val="0"/>
              <w:marBottom w:val="0"/>
              <w:divBdr>
                <w:top w:val="none" w:sz="0" w:space="0" w:color="auto"/>
                <w:left w:val="none" w:sz="0" w:space="0" w:color="auto"/>
                <w:bottom w:val="none" w:sz="0" w:space="0" w:color="auto"/>
                <w:right w:val="none" w:sz="0" w:space="0" w:color="auto"/>
              </w:divBdr>
              <w:divsChild>
                <w:div w:id="462113168">
                  <w:marLeft w:val="0"/>
                  <w:marRight w:val="0"/>
                  <w:marTop w:val="0"/>
                  <w:marBottom w:val="0"/>
                  <w:divBdr>
                    <w:top w:val="none" w:sz="0" w:space="0" w:color="auto"/>
                    <w:left w:val="none" w:sz="0" w:space="0" w:color="auto"/>
                    <w:bottom w:val="none" w:sz="0" w:space="0" w:color="auto"/>
                    <w:right w:val="none" w:sz="0" w:space="0" w:color="auto"/>
                  </w:divBdr>
                </w:div>
              </w:divsChild>
            </w:div>
            <w:div w:id="1139955736">
              <w:marLeft w:val="0"/>
              <w:marRight w:val="0"/>
              <w:marTop w:val="0"/>
              <w:marBottom w:val="0"/>
              <w:divBdr>
                <w:top w:val="none" w:sz="0" w:space="0" w:color="auto"/>
                <w:left w:val="none" w:sz="0" w:space="0" w:color="auto"/>
                <w:bottom w:val="none" w:sz="0" w:space="0" w:color="auto"/>
                <w:right w:val="none" w:sz="0" w:space="0" w:color="auto"/>
              </w:divBdr>
              <w:divsChild>
                <w:div w:id="1866602599">
                  <w:marLeft w:val="0"/>
                  <w:marRight w:val="0"/>
                  <w:marTop w:val="0"/>
                  <w:marBottom w:val="0"/>
                  <w:divBdr>
                    <w:top w:val="none" w:sz="0" w:space="0" w:color="auto"/>
                    <w:left w:val="none" w:sz="0" w:space="0" w:color="auto"/>
                    <w:bottom w:val="none" w:sz="0" w:space="0" w:color="auto"/>
                    <w:right w:val="none" w:sz="0" w:space="0" w:color="auto"/>
                  </w:divBdr>
                </w:div>
              </w:divsChild>
            </w:div>
            <w:div w:id="1493061031">
              <w:marLeft w:val="0"/>
              <w:marRight w:val="0"/>
              <w:marTop w:val="0"/>
              <w:marBottom w:val="0"/>
              <w:divBdr>
                <w:top w:val="none" w:sz="0" w:space="0" w:color="auto"/>
                <w:left w:val="none" w:sz="0" w:space="0" w:color="auto"/>
                <w:bottom w:val="none" w:sz="0" w:space="0" w:color="auto"/>
                <w:right w:val="none" w:sz="0" w:space="0" w:color="auto"/>
              </w:divBdr>
              <w:divsChild>
                <w:div w:id="1153331714">
                  <w:marLeft w:val="0"/>
                  <w:marRight w:val="0"/>
                  <w:marTop w:val="0"/>
                  <w:marBottom w:val="0"/>
                  <w:divBdr>
                    <w:top w:val="none" w:sz="0" w:space="0" w:color="auto"/>
                    <w:left w:val="none" w:sz="0" w:space="0" w:color="auto"/>
                    <w:bottom w:val="none" w:sz="0" w:space="0" w:color="auto"/>
                    <w:right w:val="none" w:sz="0" w:space="0" w:color="auto"/>
                  </w:divBdr>
                </w:div>
              </w:divsChild>
            </w:div>
            <w:div w:id="1466848306">
              <w:marLeft w:val="0"/>
              <w:marRight w:val="0"/>
              <w:marTop w:val="0"/>
              <w:marBottom w:val="0"/>
              <w:divBdr>
                <w:top w:val="none" w:sz="0" w:space="0" w:color="auto"/>
                <w:left w:val="none" w:sz="0" w:space="0" w:color="auto"/>
                <w:bottom w:val="none" w:sz="0" w:space="0" w:color="auto"/>
                <w:right w:val="none" w:sz="0" w:space="0" w:color="auto"/>
              </w:divBdr>
              <w:divsChild>
                <w:div w:id="638346272">
                  <w:marLeft w:val="0"/>
                  <w:marRight w:val="0"/>
                  <w:marTop w:val="0"/>
                  <w:marBottom w:val="0"/>
                  <w:divBdr>
                    <w:top w:val="none" w:sz="0" w:space="0" w:color="auto"/>
                    <w:left w:val="none" w:sz="0" w:space="0" w:color="auto"/>
                    <w:bottom w:val="none" w:sz="0" w:space="0" w:color="auto"/>
                    <w:right w:val="none" w:sz="0" w:space="0" w:color="auto"/>
                  </w:divBdr>
                </w:div>
              </w:divsChild>
            </w:div>
            <w:div w:id="1101071214">
              <w:marLeft w:val="0"/>
              <w:marRight w:val="0"/>
              <w:marTop w:val="0"/>
              <w:marBottom w:val="0"/>
              <w:divBdr>
                <w:top w:val="none" w:sz="0" w:space="0" w:color="auto"/>
                <w:left w:val="none" w:sz="0" w:space="0" w:color="auto"/>
                <w:bottom w:val="none" w:sz="0" w:space="0" w:color="auto"/>
                <w:right w:val="none" w:sz="0" w:space="0" w:color="auto"/>
              </w:divBdr>
              <w:divsChild>
                <w:div w:id="746465384">
                  <w:marLeft w:val="0"/>
                  <w:marRight w:val="0"/>
                  <w:marTop w:val="0"/>
                  <w:marBottom w:val="0"/>
                  <w:divBdr>
                    <w:top w:val="none" w:sz="0" w:space="0" w:color="auto"/>
                    <w:left w:val="none" w:sz="0" w:space="0" w:color="auto"/>
                    <w:bottom w:val="none" w:sz="0" w:space="0" w:color="auto"/>
                    <w:right w:val="none" w:sz="0" w:space="0" w:color="auto"/>
                  </w:divBdr>
                </w:div>
              </w:divsChild>
            </w:div>
            <w:div w:id="1680039243">
              <w:marLeft w:val="0"/>
              <w:marRight w:val="0"/>
              <w:marTop w:val="0"/>
              <w:marBottom w:val="0"/>
              <w:divBdr>
                <w:top w:val="none" w:sz="0" w:space="0" w:color="auto"/>
                <w:left w:val="none" w:sz="0" w:space="0" w:color="auto"/>
                <w:bottom w:val="none" w:sz="0" w:space="0" w:color="auto"/>
                <w:right w:val="none" w:sz="0" w:space="0" w:color="auto"/>
              </w:divBdr>
              <w:divsChild>
                <w:div w:id="525292849">
                  <w:marLeft w:val="0"/>
                  <w:marRight w:val="0"/>
                  <w:marTop w:val="0"/>
                  <w:marBottom w:val="0"/>
                  <w:divBdr>
                    <w:top w:val="none" w:sz="0" w:space="0" w:color="auto"/>
                    <w:left w:val="none" w:sz="0" w:space="0" w:color="auto"/>
                    <w:bottom w:val="none" w:sz="0" w:space="0" w:color="auto"/>
                    <w:right w:val="none" w:sz="0" w:space="0" w:color="auto"/>
                  </w:divBdr>
                </w:div>
              </w:divsChild>
            </w:div>
            <w:div w:id="1340620774">
              <w:marLeft w:val="0"/>
              <w:marRight w:val="0"/>
              <w:marTop w:val="0"/>
              <w:marBottom w:val="0"/>
              <w:divBdr>
                <w:top w:val="none" w:sz="0" w:space="0" w:color="auto"/>
                <w:left w:val="none" w:sz="0" w:space="0" w:color="auto"/>
                <w:bottom w:val="none" w:sz="0" w:space="0" w:color="auto"/>
                <w:right w:val="none" w:sz="0" w:space="0" w:color="auto"/>
              </w:divBdr>
              <w:divsChild>
                <w:div w:id="671297061">
                  <w:marLeft w:val="0"/>
                  <w:marRight w:val="0"/>
                  <w:marTop w:val="0"/>
                  <w:marBottom w:val="0"/>
                  <w:divBdr>
                    <w:top w:val="none" w:sz="0" w:space="0" w:color="auto"/>
                    <w:left w:val="none" w:sz="0" w:space="0" w:color="auto"/>
                    <w:bottom w:val="none" w:sz="0" w:space="0" w:color="auto"/>
                    <w:right w:val="none" w:sz="0" w:space="0" w:color="auto"/>
                  </w:divBdr>
                </w:div>
              </w:divsChild>
            </w:div>
            <w:div w:id="478613727">
              <w:marLeft w:val="0"/>
              <w:marRight w:val="0"/>
              <w:marTop w:val="0"/>
              <w:marBottom w:val="0"/>
              <w:divBdr>
                <w:top w:val="none" w:sz="0" w:space="0" w:color="auto"/>
                <w:left w:val="none" w:sz="0" w:space="0" w:color="auto"/>
                <w:bottom w:val="none" w:sz="0" w:space="0" w:color="auto"/>
                <w:right w:val="none" w:sz="0" w:space="0" w:color="auto"/>
              </w:divBdr>
              <w:divsChild>
                <w:div w:id="1712225953">
                  <w:marLeft w:val="0"/>
                  <w:marRight w:val="0"/>
                  <w:marTop w:val="0"/>
                  <w:marBottom w:val="0"/>
                  <w:divBdr>
                    <w:top w:val="none" w:sz="0" w:space="0" w:color="auto"/>
                    <w:left w:val="none" w:sz="0" w:space="0" w:color="auto"/>
                    <w:bottom w:val="none" w:sz="0" w:space="0" w:color="auto"/>
                    <w:right w:val="none" w:sz="0" w:space="0" w:color="auto"/>
                  </w:divBdr>
                </w:div>
              </w:divsChild>
            </w:div>
            <w:div w:id="274793099">
              <w:marLeft w:val="0"/>
              <w:marRight w:val="0"/>
              <w:marTop w:val="0"/>
              <w:marBottom w:val="0"/>
              <w:divBdr>
                <w:top w:val="none" w:sz="0" w:space="0" w:color="auto"/>
                <w:left w:val="none" w:sz="0" w:space="0" w:color="auto"/>
                <w:bottom w:val="none" w:sz="0" w:space="0" w:color="auto"/>
                <w:right w:val="none" w:sz="0" w:space="0" w:color="auto"/>
              </w:divBdr>
              <w:divsChild>
                <w:div w:id="1071537265">
                  <w:marLeft w:val="0"/>
                  <w:marRight w:val="0"/>
                  <w:marTop w:val="0"/>
                  <w:marBottom w:val="0"/>
                  <w:divBdr>
                    <w:top w:val="none" w:sz="0" w:space="0" w:color="auto"/>
                    <w:left w:val="none" w:sz="0" w:space="0" w:color="auto"/>
                    <w:bottom w:val="none" w:sz="0" w:space="0" w:color="auto"/>
                    <w:right w:val="none" w:sz="0" w:space="0" w:color="auto"/>
                  </w:divBdr>
                </w:div>
              </w:divsChild>
            </w:div>
            <w:div w:id="1792046309">
              <w:marLeft w:val="0"/>
              <w:marRight w:val="0"/>
              <w:marTop w:val="0"/>
              <w:marBottom w:val="0"/>
              <w:divBdr>
                <w:top w:val="none" w:sz="0" w:space="0" w:color="auto"/>
                <w:left w:val="none" w:sz="0" w:space="0" w:color="auto"/>
                <w:bottom w:val="none" w:sz="0" w:space="0" w:color="auto"/>
                <w:right w:val="none" w:sz="0" w:space="0" w:color="auto"/>
              </w:divBdr>
              <w:divsChild>
                <w:div w:id="102530343">
                  <w:marLeft w:val="0"/>
                  <w:marRight w:val="0"/>
                  <w:marTop w:val="0"/>
                  <w:marBottom w:val="0"/>
                  <w:divBdr>
                    <w:top w:val="none" w:sz="0" w:space="0" w:color="auto"/>
                    <w:left w:val="none" w:sz="0" w:space="0" w:color="auto"/>
                    <w:bottom w:val="none" w:sz="0" w:space="0" w:color="auto"/>
                    <w:right w:val="none" w:sz="0" w:space="0" w:color="auto"/>
                  </w:divBdr>
                </w:div>
              </w:divsChild>
            </w:div>
            <w:div w:id="728575530">
              <w:marLeft w:val="0"/>
              <w:marRight w:val="0"/>
              <w:marTop w:val="0"/>
              <w:marBottom w:val="0"/>
              <w:divBdr>
                <w:top w:val="none" w:sz="0" w:space="0" w:color="auto"/>
                <w:left w:val="none" w:sz="0" w:space="0" w:color="auto"/>
                <w:bottom w:val="none" w:sz="0" w:space="0" w:color="auto"/>
                <w:right w:val="none" w:sz="0" w:space="0" w:color="auto"/>
              </w:divBdr>
              <w:divsChild>
                <w:div w:id="235750289">
                  <w:marLeft w:val="0"/>
                  <w:marRight w:val="0"/>
                  <w:marTop w:val="0"/>
                  <w:marBottom w:val="0"/>
                  <w:divBdr>
                    <w:top w:val="none" w:sz="0" w:space="0" w:color="auto"/>
                    <w:left w:val="none" w:sz="0" w:space="0" w:color="auto"/>
                    <w:bottom w:val="none" w:sz="0" w:space="0" w:color="auto"/>
                    <w:right w:val="none" w:sz="0" w:space="0" w:color="auto"/>
                  </w:divBdr>
                </w:div>
              </w:divsChild>
            </w:div>
            <w:div w:id="61685391">
              <w:marLeft w:val="0"/>
              <w:marRight w:val="0"/>
              <w:marTop w:val="0"/>
              <w:marBottom w:val="0"/>
              <w:divBdr>
                <w:top w:val="none" w:sz="0" w:space="0" w:color="auto"/>
                <w:left w:val="none" w:sz="0" w:space="0" w:color="auto"/>
                <w:bottom w:val="none" w:sz="0" w:space="0" w:color="auto"/>
                <w:right w:val="none" w:sz="0" w:space="0" w:color="auto"/>
              </w:divBdr>
              <w:divsChild>
                <w:div w:id="231278546">
                  <w:marLeft w:val="0"/>
                  <w:marRight w:val="0"/>
                  <w:marTop w:val="0"/>
                  <w:marBottom w:val="0"/>
                  <w:divBdr>
                    <w:top w:val="none" w:sz="0" w:space="0" w:color="auto"/>
                    <w:left w:val="none" w:sz="0" w:space="0" w:color="auto"/>
                    <w:bottom w:val="none" w:sz="0" w:space="0" w:color="auto"/>
                    <w:right w:val="none" w:sz="0" w:space="0" w:color="auto"/>
                  </w:divBdr>
                </w:div>
              </w:divsChild>
            </w:div>
            <w:div w:id="35550681">
              <w:marLeft w:val="0"/>
              <w:marRight w:val="0"/>
              <w:marTop w:val="0"/>
              <w:marBottom w:val="0"/>
              <w:divBdr>
                <w:top w:val="none" w:sz="0" w:space="0" w:color="auto"/>
                <w:left w:val="none" w:sz="0" w:space="0" w:color="auto"/>
                <w:bottom w:val="none" w:sz="0" w:space="0" w:color="auto"/>
                <w:right w:val="none" w:sz="0" w:space="0" w:color="auto"/>
              </w:divBdr>
              <w:divsChild>
                <w:div w:id="224265920">
                  <w:marLeft w:val="0"/>
                  <w:marRight w:val="0"/>
                  <w:marTop w:val="0"/>
                  <w:marBottom w:val="0"/>
                  <w:divBdr>
                    <w:top w:val="none" w:sz="0" w:space="0" w:color="auto"/>
                    <w:left w:val="none" w:sz="0" w:space="0" w:color="auto"/>
                    <w:bottom w:val="none" w:sz="0" w:space="0" w:color="auto"/>
                    <w:right w:val="none" w:sz="0" w:space="0" w:color="auto"/>
                  </w:divBdr>
                </w:div>
              </w:divsChild>
            </w:div>
            <w:div w:id="1511589">
              <w:marLeft w:val="0"/>
              <w:marRight w:val="0"/>
              <w:marTop w:val="0"/>
              <w:marBottom w:val="0"/>
              <w:divBdr>
                <w:top w:val="none" w:sz="0" w:space="0" w:color="auto"/>
                <w:left w:val="none" w:sz="0" w:space="0" w:color="auto"/>
                <w:bottom w:val="none" w:sz="0" w:space="0" w:color="auto"/>
                <w:right w:val="none" w:sz="0" w:space="0" w:color="auto"/>
              </w:divBdr>
              <w:divsChild>
                <w:div w:id="275521648">
                  <w:marLeft w:val="0"/>
                  <w:marRight w:val="0"/>
                  <w:marTop w:val="0"/>
                  <w:marBottom w:val="0"/>
                  <w:divBdr>
                    <w:top w:val="none" w:sz="0" w:space="0" w:color="auto"/>
                    <w:left w:val="none" w:sz="0" w:space="0" w:color="auto"/>
                    <w:bottom w:val="none" w:sz="0" w:space="0" w:color="auto"/>
                    <w:right w:val="none" w:sz="0" w:space="0" w:color="auto"/>
                  </w:divBdr>
                </w:div>
              </w:divsChild>
            </w:div>
            <w:div w:id="1568422135">
              <w:marLeft w:val="0"/>
              <w:marRight w:val="0"/>
              <w:marTop w:val="0"/>
              <w:marBottom w:val="0"/>
              <w:divBdr>
                <w:top w:val="none" w:sz="0" w:space="0" w:color="auto"/>
                <w:left w:val="none" w:sz="0" w:space="0" w:color="auto"/>
                <w:bottom w:val="none" w:sz="0" w:space="0" w:color="auto"/>
                <w:right w:val="none" w:sz="0" w:space="0" w:color="auto"/>
              </w:divBdr>
              <w:divsChild>
                <w:div w:id="570308501">
                  <w:marLeft w:val="0"/>
                  <w:marRight w:val="0"/>
                  <w:marTop w:val="0"/>
                  <w:marBottom w:val="0"/>
                  <w:divBdr>
                    <w:top w:val="none" w:sz="0" w:space="0" w:color="auto"/>
                    <w:left w:val="none" w:sz="0" w:space="0" w:color="auto"/>
                    <w:bottom w:val="none" w:sz="0" w:space="0" w:color="auto"/>
                    <w:right w:val="none" w:sz="0" w:space="0" w:color="auto"/>
                  </w:divBdr>
                </w:div>
              </w:divsChild>
            </w:div>
            <w:div w:id="1582328252">
              <w:marLeft w:val="0"/>
              <w:marRight w:val="0"/>
              <w:marTop w:val="0"/>
              <w:marBottom w:val="0"/>
              <w:divBdr>
                <w:top w:val="none" w:sz="0" w:space="0" w:color="auto"/>
                <w:left w:val="none" w:sz="0" w:space="0" w:color="auto"/>
                <w:bottom w:val="none" w:sz="0" w:space="0" w:color="auto"/>
                <w:right w:val="none" w:sz="0" w:space="0" w:color="auto"/>
              </w:divBdr>
              <w:divsChild>
                <w:div w:id="1654409817">
                  <w:marLeft w:val="0"/>
                  <w:marRight w:val="0"/>
                  <w:marTop w:val="0"/>
                  <w:marBottom w:val="0"/>
                  <w:divBdr>
                    <w:top w:val="none" w:sz="0" w:space="0" w:color="auto"/>
                    <w:left w:val="none" w:sz="0" w:space="0" w:color="auto"/>
                    <w:bottom w:val="none" w:sz="0" w:space="0" w:color="auto"/>
                    <w:right w:val="none" w:sz="0" w:space="0" w:color="auto"/>
                  </w:divBdr>
                </w:div>
              </w:divsChild>
            </w:div>
            <w:div w:id="411203354">
              <w:marLeft w:val="0"/>
              <w:marRight w:val="0"/>
              <w:marTop w:val="0"/>
              <w:marBottom w:val="0"/>
              <w:divBdr>
                <w:top w:val="none" w:sz="0" w:space="0" w:color="auto"/>
                <w:left w:val="none" w:sz="0" w:space="0" w:color="auto"/>
                <w:bottom w:val="none" w:sz="0" w:space="0" w:color="auto"/>
                <w:right w:val="none" w:sz="0" w:space="0" w:color="auto"/>
              </w:divBdr>
              <w:divsChild>
                <w:div w:id="1859812581">
                  <w:marLeft w:val="0"/>
                  <w:marRight w:val="0"/>
                  <w:marTop w:val="0"/>
                  <w:marBottom w:val="0"/>
                  <w:divBdr>
                    <w:top w:val="none" w:sz="0" w:space="0" w:color="auto"/>
                    <w:left w:val="none" w:sz="0" w:space="0" w:color="auto"/>
                    <w:bottom w:val="none" w:sz="0" w:space="0" w:color="auto"/>
                    <w:right w:val="none" w:sz="0" w:space="0" w:color="auto"/>
                  </w:divBdr>
                </w:div>
              </w:divsChild>
            </w:div>
            <w:div w:id="1224828933">
              <w:marLeft w:val="0"/>
              <w:marRight w:val="0"/>
              <w:marTop w:val="0"/>
              <w:marBottom w:val="0"/>
              <w:divBdr>
                <w:top w:val="none" w:sz="0" w:space="0" w:color="auto"/>
                <w:left w:val="none" w:sz="0" w:space="0" w:color="auto"/>
                <w:bottom w:val="none" w:sz="0" w:space="0" w:color="auto"/>
                <w:right w:val="none" w:sz="0" w:space="0" w:color="auto"/>
              </w:divBdr>
              <w:divsChild>
                <w:div w:id="1033649485">
                  <w:marLeft w:val="0"/>
                  <w:marRight w:val="0"/>
                  <w:marTop w:val="0"/>
                  <w:marBottom w:val="0"/>
                  <w:divBdr>
                    <w:top w:val="none" w:sz="0" w:space="0" w:color="auto"/>
                    <w:left w:val="none" w:sz="0" w:space="0" w:color="auto"/>
                    <w:bottom w:val="none" w:sz="0" w:space="0" w:color="auto"/>
                    <w:right w:val="none" w:sz="0" w:space="0" w:color="auto"/>
                  </w:divBdr>
                </w:div>
              </w:divsChild>
            </w:div>
            <w:div w:id="1437679652">
              <w:marLeft w:val="0"/>
              <w:marRight w:val="0"/>
              <w:marTop w:val="0"/>
              <w:marBottom w:val="0"/>
              <w:divBdr>
                <w:top w:val="none" w:sz="0" w:space="0" w:color="auto"/>
                <w:left w:val="none" w:sz="0" w:space="0" w:color="auto"/>
                <w:bottom w:val="none" w:sz="0" w:space="0" w:color="auto"/>
                <w:right w:val="none" w:sz="0" w:space="0" w:color="auto"/>
              </w:divBdr>
              <w:divsChild>
                <w:div w:id="990325565">
                  <w:marLeft w:val="0"/>
                  <w:marRight w:val="0"/>
                  <w:marTop w:val="0"/>
                  <w:marBottom w:val="0"/>
                  <w:divBdr>
                    <w:top w:val="none" w:sz="0" w:space="0" w:color="auto"/>
                    <w:left w:val="none" w:sz="0" w:space="0" w:color="auto"/>
                    <w:bottom w:val="none" w:sz="0" w:space="0" w:color="auto"/>
                    <w:right w:val="none" w:sz="0" w:space="0" w:color="auto"/>
                  </w:divBdr>
                </w:div>
              </w:divsChild>
            </w:div>
            <w:div w:id="561333138">
              <w:marLeft w:val="0"/>
              <w:marRight w:val="0"/>
              <w:marTop w:val="0"/>
              <w:marBottom w:val="0"/>
              <w:divBdr>
                <w:top w:val="none" w:sz="0" w:space="0" w:color="auto"/>
                <w:left w:val="none" w:sz="0" w:space="0" w:color="auto"/>
                <w:bottom w:val="none" w:sz="0" w:space="0" w:color="auto"/>
                <w:right w:val="none" w:sz="0" w:space="0" w:color="auto"/>
              </w:divBdr>
              <w:divsChild>
                <w:div w:id="1303466574">
                  <w:marLeft w:val="0"/>
                  <w:marRight w:val="0"/>
                  <w:marTop w:val="0"/>
                  <w:marBottom w:val="0"/>
                  <w:divBdr>
                    <w:top w:val="none" w:sz="0" w:space="0" w:color="auto"/>
                    <w:left w:val="none" w:sz="0" w:space="0" w:color="auto"/>
                    <w:bottom w:val="none" w:sz="0" w:space="0" w:color="auto"/>
                    <w:right w:val="none" w:sz="0" w:space="0" w:color="auto"/>
                  </w:divBdr>
                </w:div>
              </w:divsChild>
            </w:div>
            <w:div w:id="1593318018">
              <w:marLeft w:val="0"/>
              <w:marRight w:val="0"/>
              <w:marTop w:val="0"/>
              <w:marBottom w:val="0"/>
              <w:divBdr>
                <w:top w:val="none" w:sz="0" w:space="0" w:color="auto"/>
                <w:left w:val="none" w:sz="0" w:space="0" w:color="auto"/>
                <w:bottom w:val="none" w:sz="0" w:space="0" w:color="auto"/>
                <w:right w:val="none" w:sz="0" w:space="0" w:color="auto"/>
              </w:divBdr>
              <w:divsChild>
                <w:div w:id="1610814194">
                  <w:marLeft w:val="0"/>
                  <w:marRight w:val="0"/>
                  <w:marTop w:val="0"/>
                  <w:marBottom w:val="0"/>
                  <w:divBdr>
                    <w:top w:val="none" w:sz="0" w:space="0" w:color="auto"/>
                    <w:left w:val="none" w:sz="0" w:space="0" w:color="auto"/>
                    <w:bottom w:val="none" w:sz="0" w:space="0" w:color="auto"/>
                    <w:right w:val="none" w:sz="0" w:space="0" w:color="auto"/>
                  </w:divBdr>
                </w:div>
              </w:divsChild>
            </w:div>
            <w:div w:id="1084883048">
              <w:marLeft w:val="0"/>
              <w:marRight w:val="0"/>
              <w:marTop w:val="0"/>
              <w:marBottom w:val="0"/>
              <w:divBdr>
                <w:top w:val="none" w:sz="0" w:space="0" w:color="auto"/>
                <w:left w:val="none" w:sz="0" w:space="0" w:color="auto"/>
                <w:bottom w:val="none" w:sz="0" w:space="0" w:color="auto"/>
                <w:right w:val="none" w:sz="0" w:space="0" w:color="auto"/>
              </w:divBdr>
              <w:divsChild>
                <w:div w:id="1918856672">
                  <w:marLeft w:val="0"/>
                  <w:marRight w:val="0"/>
                  <w:marTop w:val="0"/>
                  <w:marBottom w:val="0"/>
                  <w:divBdr>
                    <w:top w:val="none" w:sz="0" w:space="0" w:color="auto"/>
                    <w:left w:val="none" w:sz="0" w:space="0" w:color="auto"/>
                    <w:bottom w:val="none" w:sz="0" w:space="0" w:color="auto"/>
                    <w:right w:val="none" w:sz="0" w:space="0" w:color="auto"/>
                  </w:divBdr>
                </w:div>
              </w:divsChild>
            </w:div>
            <w:div w:id="1168866987">
              <w:marLeft w:val="0"/>
              <w:marRight w:val="0"/>
              <w:marTop w:val="0"/>
              <w:marBottom w:val="0"/>
              <w:divBdr>
                <w:top w:val="none" w:sz="0" w:space="0" w:color="auto"/>
                <w:left w:val="none" w:sz="0" w:space="0" w:color="auto"/>
                <w:bottom w:val="none" w:sz="0" w:space="0" w:color="auto"/>
                <w:right w:val="none" w:sz="0" w:space="0" w:color="auto"/>
              </w:divBdr>
              <w:divsChild>
                <w:div w:id="265844382">
                  <w:marLeft w:val="0"/>
                  <w:marRight w:val="0"/>
                  <w:marTop w:val="0"/>
                  <w:marBottom w:val="0"/>
                  <w:divBdr>
                    <w:top w:val="none" w:sz="0" w:space="0" w:color="auto"/>
                    <w:left w:val="none" w:sz="0" w:space="0" w:color="auto"/>
                    <w:bottom w:val="none" w:sz="0" w:space="0" w:color="auto"/>
                    <w:right w:val="none" w:sz="0" w:space="0" w:color="auto"/>
                  </w:divBdr>
                </w:div>
              </w:divsChild>
            </w:div>
            <w:div w:id="1179544252">
              <w:marLeft w:val="0"/>
              <w:marRight w:val="0"/>
              <w:marTop w:val="0"/>
              <w:marBottom w:val="0"/>
              <w:divBdr>
                <w:top w:val="none" w:sz="0" w:space="0" w:color="auto"/>
                <w:left w:val="none" w:sz="0" w:space="0" w:color="auto"/>
                <w:bottom w:val="none" w:sz="0" w:space="0" w:color="auto"/>
                <w:right w:val="none" w:sz="0" w:space="0" w:color="auto"/>
              </w:divBdr>
              <w:divsChild>
                <w:div w:id="562177325">
                  <w:marLeft w:val="0"/>
                  <w:marRight w:val="0"/>
                  <w:marTop w:val="0"/>
                  <w:marBottom w:val="0"/>
                  <w:divBdr>
                    <w:top w:val="none" w:sz="0" w:space="0" w:color="auto"/>
                    <w:left w:val="none" w:sz="0" w:space="0" w:color="auto"/>
                    <w:bottom w:val="none" w:sz="0" w:space="0" w:color="auto"/>
                    <w:right w:val="none" w:sz="0" w:space="0" w:color="auto"/>
                  </w:divBdr>
                </w:div>
              </w:divsChild>
            </w:div>
            <w:div w:id="967709726">
              <w:marLeft w:val="0"/>
              <w:marRight w:val="0"/>
              <w:marTop w:val="0"/>
              <w:marBottom w:val="0"/>
              <w:divBdr>
                <w:top w:val="none" w:sz="0" w:space="0" w:color="auto"/>
                <w:left w:val="none" w:sz="0" w:space="0" w:color="auto"/>
                <w:bottom w:val="none" w:sz="0" w:space="0" w:color="auto"/>
                <w:right w:val="none" w:sz="0" w:space="0" w:color="auto"/>
              </w:divBdr>
              <w:divsChild>
                <w:div w:id="1140924359">
                  <w:marLeft w:val="0"/>
                  <w:marRight w:val="0"/>
                  <w:marTop w:val="0"/>
                  <w:marBottom w:val="0"/>
                  <w:divBdr>
                    <w:top w:val="none" w:sz="0" w:space="0" w:color="auto"/>
                    <w:left w:val="none" w:sz="0" w:space="0" w:color="auto"/>
                    <w:bottom w:val="none" w:sz="0" w:space="0" w:color="auto"/>
                    <w:right w:val="none" w:sz="0" w:space="0" w:color="auto"/>
                  </w:divBdr>
                </w:div>
              </w:divsChild>
            </w:div>
            <w:div w:id="604532410">
              <w:marLeft w:val="0"/>
              <w:marRight w:val="0"/>
              <w:marTop w:val="0"/>
              <w:marBottom w:val="0"/>
              <w:divBdr>
                <w:top w:val="none" w:sz="0" w:space="0" w:color="auto"/>
                <w:left w:val="none" w:sz="0" w:space="0" w:color="auto"/>
                <w:bottom w:val="none" w:sz="0" w:space="0" w:color="auto"/>
                <w:right w:val="none" w:sz="0" w:space="0" w:color="auto"/>
              </w:divBdr>
              <w:divsChild>
                <w:div w:id="1197156849">
                  <w:marLeft w:val="0"/>
                  <w:marRight w:val="0"/>
                  <w:marTop w:val="0"/>
                  <w:marBottom w:val="0"/>
                  <w:divBdr>
                    <w:top w:val="none" w:sz="0" w:space="0" w:color="auto"/>
                    <w:left w:val="none" w:sz="0" w:space="0" w:color="auto"/>
                    <w:bottom w:val="none" w:sz="0" w:space="0" w:color="auto"/>
                    <w:right w:val="none" w:sz="0" w:space="0" w:color="auto"/>
                  </w:divBdr>
                </w:div>
              </w:divsChild>
            </w:div>
            <w:div w:id="693190058">
              <w:marLeft w:val="0"/>
              <w:marRight w:val="0"/>
              <w:marTop w:val="0"/>
              <w:marBottom w:val="0"/>
              <w:divBdr>
                <w:top w:val="none" w:sz="0" w:space="0" w:color="auto"/>
                <w:left w:val="none" w:sz="0" w:space="0" w:color="auto"/>
                <w:bottom w:val="none" w:sz="0" w:space="0" w:color="auto"/>
                <w:right w:val="none" w:sz="0" w:space="0" w:color="auto"/>
              </w:divBdr>
              <w:divsChild>
                <w:div w:id="176357864">
                  <w:marLeft w:val="0"/>
                  <w:marRight w:val="0"/>
                  <w:marTop w:val="0"/>
                  <w:marBottom w:val="0"/>
                  <w:divBdr>
                    <w:top w:val="none" w:sz="0" w:space="0" w:color="auto"/>
                    <w:left w:val="none" w:sz="0" w:space="0" w:color="auto"/>
                    <w:bottom w:val="none" w:sz="0" w:space="0" w:color="auto"/>
                    <w:right w:val="none" w:sz="0" w:space="0" w:color="auto"/>
                  </w:divBdr>
                </w:div>
              </w:divsChild>
            </w:div>
            <w:div w:id="1702852123">
              <w:marLeft w:val="0"/>
              <w:marRight w:val="0"/>
              <w:marTop w:val="0"/>
              <w:marBottom w:val="0"/>
              <w:divBdr>
                <w:top w:val="none" w:sz="0" w:space="0" w:color="auto"/>
                <w:left w:val="none" w:sz="0" w:space="0" w:color="auto"/>
                <w:bottom w:val="none" w:sz="0" w:space="0" w:color="auto"/>
                <w:right w:val="none" w:sz="0" w:space="0" w:color="auto"/>
              </w:divBdr>
              <w:divsChild>
                <w:div w:id="846991207">
                  <w:marLeft w:val="0"/>
                  <w:marRight w:val="0"/>
                  <w:marTop w:val="0"/>
                  <w:marBottom w:val="0"/>
                  <w:divBdr>
                    <w:top w:val="none" w:sz="0" w:space="0" w:color="auto"/>
                    <w:left w:val="none" w:sz="0" w:space="0" w:color="auto"/>
                    <w:bottom w:val="none" w:sz="0" w:space="0" w:color="auto"/>
                    <w:right w:val="none" w:sz="0" w:space="0" w:color="auto"/>
                  </w:divBdr>
                </w:div>
              </w:divsChild>
            </w:div>
            <w:div w:id="1293708862">
              <w:marLeft w:val="0"/>
              <w:marRight w:val="0"/>
              <w:marTop w:val="0"/>
              <w:marBottom w:val="0"/>
              <w:divBdr>
                <w:top w:val="none" w:sz="0" w:space="0" w:color="auto"/>
                <w:left w:val="none" w:sz="0" w:space="0" w:color="auto"/>
                <w:bottom w:val="none" w:sz="0" w:space="0" w:color="auto"/>
                <w:right w:val="none" w:sz="0" w:space="0" w:color="auto"/>
              </w:divBdr>
              <w:divsChild>
                <w:div w:id="577129269">
                  <w:marLeft w:val="0"/>
                  <w:marRight w:val="0"/>
                  <w:marTop w:val="0"/>
                  <w:marBottom w:val="0"/>
                  <w:divBdr>
                    <w:top w:val="none" w:sz="0" w:space="0" w:color="auto"/>
                    <w:left w:val="none" w:sz="0" w:space="0" w:color="auto"/>
                    <w:bottom w:val="none" w:sz="0" w:space="0" w:color="auto"/>
                    <w:right w:val="none" w:sz="0" w:space="0" w:color="auto"/>
                  </w:divBdr>
                </w:div>
              </w:divsChild>
            </w:div>
            <w:div w:id="133332906">
              <w:marLeft w:val="0"/>
              <w:marRight w:val="0"/>
              <w:marTop w:val="0"/>
              <w:marBottom w:val="0"/>
              <w:divBdr>
                <w:top w:val="none" w:sz="0" w:space="0" w:color="auto"/>
                <w:left w:val="none" w:sz="0" w:space="0" w:color="auto"/>
                <w:bottom w:val="none" w:sz="0" w:space="0" w:color="auto"/>
                <w:right w:val="none" w:sz="0" w:space="0" w:color="auto"/>
              </w:divBdr>
              <w:divsChild>
                <w:div w:id="1875802177">
                  <w:marLeft w:val="0"/>
                  <w:marRight w:val="0"/>
                  <w:marTop w:val="0"/>
                  <w:marBottom w:val="0"/>
                  <w:divBdr>
                    <w:top w:val="none" w:sz="0" w:space="0" w:color="auto"/>
                    <w:left w:val="none" w:sz="0" w:space="0" w:color="auto"/>
                    <w:bottom w:val="none" w:sz="0" w:space="0" w:color="auto"/>
                    <w:right w:val="none" w:sz="0" w:space="0" w:color="auto"/>
                  </w:divBdr>
                </w:div>
              </w:divsChild>
            </w:div>
            <w:div w:id="1945723707">
              <w:marLeft w:val="0"/>
              <w:marRight w:val="0"/>
              <w:marTop w:val="0"/>
              <w:marBottom w:val="0"/>
              <w:divBdr>
                <w:top w:val="none" w:sz="0" w:space="0" w:color="auto"/>
                <w:left w:val="none" w:sz="0" w:space="0" w:color="auto"/>
                <w:bottom w:val="none" w:sz="0" w:space="0" w:color="auto"/>
                <w:right w:val="none" w:sz="0" w:space="0" w:color="auto"/>
              </w:divBdr>
              <w:divsChild>
                <w:div w:id="1068041586">
                  <w:marLeft w:val="0"/>
                  <w:marRight w:val="0"/>
                  <w:marTop w:val="0"/>
                  <w:marBottom w:val="0"/>
                  <w:divBdr>
                    <w:top w:val="none" w:sz="0" w:space="0" w:color="auto"/>
                    <w:left w:val="none" w:sz="0" w:space="0" w:color="auto"/>
                    <w:bottom w:val="none" w:sz="0" w:space="0" w:color="auto"/>
                    <w:right w:val="none" w:sz="0" w:space="0" w:color="auto"/>
                  </w:divBdr>
                </w:div>
              </w:divsChild>
            </w:div>
            <w:div w:id="300233683">
              <w:marLeft w:val="0"/>
              <w:marRight w:val="0"/>
              <w:marTop w:val="0"/>
              <w:marBottom w:val="0"/>
              <w:divBdr>
                <w:top w:val="none" w:sz="0" w:space="0" w:color="auto"/>
                <w:left w:val="none" w:sz="0" w:space="0" w:color="auto"/>
                <w:bottom w:val="none" w:sz="0" w:space="0" w:color="auto"/>
                <w:right w:val="none" w:sz="0" w:space="0" w:color="auto"/>
              </w:divBdr>
              <w:divsChild>
                <w:div w:id="1855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6068">
          <w:marLeft w:val="0"/>
          <w:marRight w:val="0"/>
          <w:marTop w:val="0"/>
          <w:marBottom w:val="600"/>
          <w:divBdr>
            <w:top w:val="none" w:sz="0" w:space="0" w:color="auto"/>
            <w:left w:val="none" w:sz="0" w:space="0" w:color="auto"/>
            <w:bottom w:val="none" w:sz="0" w:space="0" w:color="auto"/>
            <w:right w:val="none" w:sz="0" w:space="0" w:color="auto"/>
          </w:divBdr>
        </w:div>
      </w:divsChild>
    </w:div>
    <w:div w:id="931742908">
      <w:marLeft w:val="0"/>
      <w:marRight w:val="0"/>
      <w:marTop w:val="0"/>
      <w:marBottom w:val="0"/>
      <w:divBdr>
        <w:top w:val="none" w:sz="0" w:space="0" w:color="auto"/>
        <w:left w:val="none" w:sz="0" w:space="0" w:color="auto"/>
        <w:bottom w:val="none" w:sz="0" w:space="0" w:color="auto"/>
        <w:right w:val="none" w:sz="0" w:space="0" w:color="auto"/>
      </w:divBdr>
      <w:divsChild>
        <w:div w:id="889540436">
          <w:marLeft w:val="0"/>
          <w:marRight w:val="0"/>
          <w:marTop w:val="432"/>
          <w:marBottom w:val="0"/>
          <w:divBdr>
            <w:top w:val="none" w:sz="0" w:space="0" w:color="auto"/>
            <w:left w:val="none" w:sz="0" w:space="0" w:color="auto"/>
            <w:bottom w:val="none" w:sz="0" w:space="0" w:color="auto"/>
            <w:right w:val="none" w:sz="0" w:space="0" w:color="auto"/>
          </w:divBdr>
        </w:div>
        <w:div w:id="1915779364">
          <w:marLeft w:val="0"/>
          <w:marRight w:val="0"/>
          <w:marTop w:val="0"/>
          <w:marBottom w:val="0"/>
          <w:divBdr>
            <w:top w:val="none" w:sz="0" w:space="0" w:color="auto"/>
            <w:left w:val="none" w:sz="0" w:space="0" w:color="auto"/>
            <w:bottom w:val="none" w:sz="0" w:space="0" w:color="auto"/>
            <w:right w:val="none" w:sz="0" w:space="0" w:color="auto"/>
          </w:divBdr>
        </w:div>
        <w:div w:id="263848224">
          <w:marLeft w:val="0"/>
          <w:marRight w:val="0"/>
          <w:marTop w:val="0"/>
          <w:marBottom w:val="600"/>
          <w:divBdr>
            <w:top w:val="none" w:sz="0" w:space="0" w:color="auto"/>
            <w:left w:val="none" w:sz="0" w:space="0" w:color="auto"/>
            <w:bottom w:val="none" w:sz="0" w:space="0" w:color="auto"/>
            <w:right w:val="none" w:sz="0" w:space="0" w:color="auto"/>
          </w:divBdr>
        </w:div>
      </w:divsChild>
    </w:div>
    <w:div w:id="959190380">
      <w:marLeft w:val="0"/>
      <w:marRight w:val="0"/>
      <w:marTop w:val="0"/>
      <w:marBottom w:val="0"/>
      <w:divBdr>
        <w:top w:val="none" w:sz="0" w:space="0" w:color="auto"/>
        <w:left w:val="none" w:sz="0" w:space="0" w:color="auto"/>
        <w:bottom w:val="none" w:sz="0" w:space="0" w:color="auto"/>
        <w:right w:val="none" w:sz="0" w:space="0" w:color="auto"/>
      </w:divBdr>
      <w:divsChild>
        <w:div w:id="1184127421">
          <w:marLeft w:val="0"/>
          <w:marRight w:val="0"/>
          <w:marTop w:val="432"/>
          <w:marBottom w:val="0"/>
          <w:divBdr>
            <w:top w:val="none" w:sz="0" w:space="0" w:color="auto"/>
            <w:left w:val="none" w:sz="0" w:space="0" w:color="auto"/>
            <w:bottom w:val="none" w:sz="0" w:space="0" w:color="auto"/>
            <w:right w:val="none" w:sz="0" w:space="0" w:color="auto"/>
          </w:divBdr>
        </w:div>
        <w:div w:id="1518690364">
          <w:marLeft w:val="0"/>
          <w:marRight w:val="0"/>
          <w:marTop w:val="0"/>
          <w:marBottom w:val="0"/>
          <w:divBdr>
            <w:top w:val="none" w:sz="0" w:space="0" w:color="auto"/>
            <w:left w:val="none" w:sz="0" w:space="0" w:color="auto"/>
            <w:bottom w:val="none" w:sz="0" w:space="0" w:color="auto"/>
            <w:right w:val="none" w:sz="0" w:space="0" w:color="auto"/>
          </w:divBdr>
          <w:divsChild>
            <w:div w:id="2020505657">
              <w:marLeft w:val="0"/>
              <w:marRight w:val="0"/>
              <w:marTop w:val="0"/>
              <w:marBottom w:val="0"/>
              <w:divBdr>
                <w:top w:val="none" w:sz="0" w:space="0" w:color="auto"/>
                <w:left w:val="none" w:sz="0" w:space="0" w:color="auto"/>
                <w:bottom w:val="none" w:sz="0" w:space="0" w:color="auto"/>
                <w:right w:val="none" w:sz="0" w:space="0" w:color="auto"/>
              </w:divBdr>
              <w:divsChild>
                <w:div w:id="1141852455">
                  <w:marLeft w:val="0"/>
                  <w:marRight w:val="0"/>
                  <w:marTop w:val="0"/>
                  <w:marBottom w:val="0"/>
                  <w:divBdr>
                    <w:top w:val="none" w:sz="0" w:space="0" w:color="auto"/>
                    <w:left w:val="none" w:sz="0" w:space="0" w:color="auto"/>
                    <w:bottom w:val="none" w:sz="0" w:space="0" w:color="auto"/>
                    <w:right w:val="none" w:sz="0" w:space="0" w:color="auto"/>
                  </w:divBdr>
                </w:div>
              </w:divsChild>
            </w:div>
            <w:div w:id="2115783967">
              <w:marLeft w:val="0"/>
              <w:marRight w:val="0"/>
              <w:marTop w:val="0"/>
              <w:marBottom w:val="0"/>
              <w:divBdr>
                <w:top w:val="none" w:sz="0" w:space="0" w:color="auto"/>
                <w:left w:val="none" w:sz="0" w:space="0" w:color="auto"/>
                <w:bottom w:val="none" w:sz="0" w:space="0" w:color="auto"/>
                <w:right w:val="none" w:sz="0" w:space="0" w:color="auto"/>
              </w:divBdr>
              <w:divsChild>
                <w:div w:id="1271163221">
                  <w:marLeft w:val="0"/>
                  <w:marRight w:val="0"/>
                  <w:marTop w:val="0"/>
                  <w:marBottom w:val="0"/>
                  <w:divBdr>
                    <w:top w:val="none" w:sz="0" w:space="0" w:color="auto"/>
                    <w:left w:val="none" w:sz="0" w:space="0" w:color="auto"/>
                    <w:bottom w:val="none" w:sz="0" w:space="0" w:color="auto"/>
                    <w:right w:val="none" w:sz="0" w:space="0" w:color="auto"/>
                  </w:divBdr>
                </w:div>
              </w:divsChild>
            </w:div>
            <w:div w:id="832450989">
              <w:marLeft w:val="0"/>
              <w:marRight w:val="0"/>
              <w:marTop w:val="0"/>
              <w:marBottom w:val="0"/>
              <w:divBdr>
                <w:top w:val="none" w:sz="0" w:space="0" w:color="auto"/>
                <w:left w:val="none" w:sz="0" w:space="0" w:color="auto"/>
                <w:bottom w:val="none" w:sz="0" w:space="0" w:color="auto"/>
                <w:right w:val="none" w:sz="0" w:space="0" w:color="auto"/>
              </w:divBdr>
              <w:divsChild>
                <w:div w:id="885802360">
                  <w:marLeft w:val="0"/>
                  <w:marRight w:val="0"/>
                  <w:marTop w:val="0"/>
                  <w:marBottom w:val="0"/>
                  <w:divBdr>
                    <w:top w:val="none" w:sz="0" w:space="0" w:color="auto"/>
                    <w:left w:val="none" w:sz="0" w:space="0" w:color="auto"/>
                    <w:bottom w:val="none" w:sz="0" w:space="0" w:color="auto"/>
                    <w:right w:val="none" w:sz="0" w:space="0" w:color="auto"/>
                  </w:divBdr>
                </w:div>
              </w:divsChild>
            </w:div>
            <w:div w:id="958411775">
              <w:marLeft w:val="0"/>
              <w:marRight w:val="0"/>
              <w:marTop w:val="0"/>
              <w:marBottom w:val="0"/>
              <w:divBdr>
                <w:top w:val="none" w:sz="0" w:space="0" w:color="auto"/>
                <w:left w:val="none" w:sz="0" w:space="0" w:color="auto"/>
                <w:bottom w:val="none" w:sz="0" w:space="0" w:color="auto"/>
                <w:right w:val="none" w:sz="0" w:space="0" w:color="auto"/>
              </w:divBdr>
              <w:divsChild>
                <w:div w:id="1666856665">
                  <w:marLeft w:val="0"/>
                  <w:marRight w:val="0"/>
                  <w:marTop w:val="0"/>
                  <w:marBottom w:val="0"/>
                  <w:divBdr>
                    <w:top w:val="none" w:sz="0" w:space="0" w:color="auto"/>
                    <w:left w:val="none" w:sz="0" w:space="0" w:color="auto"/>
                    <w:bottom w:val="none" w:sz="0" w:space="0" w:color="auto"/>
                    <w:right w:val="none" w:sz="0" w:space="0" w:color="auto"/>
                  </w:divBdr>
                </w:div>
              </w:divsChild>
            </w:div>
            <w:div w:id="821701961">
              <w:marLeft w:val="0"/>
              <w:marRight w:val="0"/>
              <w:marTop w:val="0"/>
              <w:marBottom w:val="0"/>
              <w:divBdr>
                <w:top w:val="none" w:sz="0" w:space="0" w:color="auto"/>
                <w:left w:val="none" w:sz="0" w:space="0" w:color="auto"/>
                <w:bottom w:val="none" w:sz="0" w:space="0" w:color="auto"/>
                <w:right w:val="none" w:sz="0" w:space="0" w:color="auto"/>
              </w:divBdr>
              <w:divsChild>
                <w:div w:id="1346908518">
                  <w:marLeft w:val="0"/>
                  <w:marRight w:val="0"/>
                  <w:marTop w:val="0"/>
                  <w:marBottom w:val="0"/>
                  <w:divBdr>
                    <w:top w:val="none" w:sz="0" w:space="0" w:color="auto"/>
                    <w:left w:val="none" w:sz="0" w:space="0" w:color="auto"/>
                    <w:bottom w:val="none" w:sz="0" w:space="0" w:color="auto"/>
                    <w:right w:val="none" w:sz="0" w:space="0" w:color="auto"/>
                  </w:divBdr>
                </w:div>
              </w:divsChild>
            </w:div>
            <w:div w:id="1654749240">
              <w:marLeft w:val="0"/>
              <w:marRight w:val="0"/>
              <w:marTop w:val="0"/>
              <w:marBottom w:val="0"/>
              <w:divBdr>
                <w:top w:val="none" w:sz="0" w:space="0" w:color="auto"/>
                <w:left w:val="none" w:sz="0" w:space="0" w:color="auto"/>
                <w:bottom w:val="none" w:sz="0" w:space="0" w:color="auto"/>
                <w:right w:val="none" w:sz="0" w:space="0" w:color="auto"/>
              </w:divBdr>
              <w:divsChild>
                <w:div w:id="1762867336">
                  <w:marLeft w:val="0"/>
                  <w:marRight w:val="0"/>
                  <w:marTop w:val="0"/>
                  <w:marBottom w:val="0"/>
                  <w:divBdr>
                    <w:top w:val="none" w:sz="0" w:space="0" w:color="auto"/>
                    <w:left w:val="none" w:sz="0" w:space="0" w:color="auto"/>
                    <w:bottom w:val="none" w:sz="0" w:space="0" w:color="auto"/>
                    <w:right w:val="none" w:sz="0" w:space="0" w:color="auto"/>
                  </w:divBdr>
                </w:div>
              </w:divsChild>
            </w:div>
            <w:div w:id="1045180762">
              <w:marLeft w:val="0"/>
              <w:marRight w:val="0"/>
              <w:marTop w:val="0"/>
              <w:marBottom w:val="0"/>
              <w:divBdr>
                <w:top w:val="none" w:sz="0" w:space="0" w:color="auto"/>
                <w:left w:val="none" w:sz="0" w:space="0" w:color="auto"/>
                <w:bottom w:val="none" w:sz="0" w:space="0" w:color="auto"/>
                <w:right w:val="none" w:sz="0" w:space="0" w:color="auto"/>
              </w:divBdr>
              <w:divsChild>
                <w:div w:id="483622142">
                  <w:marLeft w:val="0"/>
                  <w:marRight w:val="0"/>
                  <w:marTop w:val="0"/>
                  <w:marBottom w:val="0"/>
                  <w:divBdr>
                    <w:top w:val="none" w:sz="0" w:space="0" w:color="auto"/>
                    <w:left w:val="none" w:sz="0" w:space="0" w:color="auto"/>
                    <w:bottom w:val="none" w:sz="0" w:space="0" w:color="auto"/>
                    <w:right w:val="none" w:sz="0" w:space="0" w:color="auto"/>
                  </w:divBdr>
                </w:div>
              </w:divsChild>
            </w:div>
            <w:div w:id="1612518193">
              <w:marLeft w:val="0"/>
              <w:marRight w:val="0"/>
              <w:marTop w:val="0"/>
              <w:marBottom w:val="0"/>
              <w:divBdr>
                <w:top w:val="none" w:sz="0" w:space="0" w:color="auto"/>
                <w:left w:val="none" w:sz="0" w:space="0" w:color="auto"/>
                <w:bottom w:val="none" w:sz="0" w:space="0" w:color="auto"/>
                <w:right w:val="none" w:sz="0" w:space="0" w:color="auto"/>
              </w:divBdr>
              <w:divsChild>
                <w:div w:id="1417051447">
                  <w:marLeft w:val="0"/>
                  <w:marRight w:val="0"/>
                  <w:marTop w:val="0"/>
                  <w:marBottom w:val="0"/>
                  <w:divBdr>
                    <w:top w:val="none" w:sz="0" w:space="0" w:color="auto"/>
                    <w:left w:val="none" w:sz="0" w:space="0" w:color="auto"/>
                    <w:bottom w:val="none" w:sz="0" w:space="0" w:color="auto"/>
                    <w:right w:val="none" w:sz="0" w:space="0" w:color="auto"/>
                  </w:divBdr>
                </w:div>
              </w:divsChild>
            </w:div>
            <w:div w:id="855775673">
              <w:marLeft w:val="0"/>
              <w:marRight w:val="0"/>
              <w:marTop w:val="0"/>
              <w:marBottom w:val="0"/>
              <w:divBdr>
                <w:top w:val="none" w:sz="0" w:space="0" w:color="auto"/>
                <w:left w:val="none" w:sz="0" w:space="0" w:color="auto"/>
                <w:bottom w:val="none" w:sz="0" w:space="0" w:color="auto"/>
                <w:right w:val="none" w:sz="0" w:space="0" w:color="auto"/>
              </w:divBdr>
              <w:divsChild>
                <w:div w:id="1015961314">
                  <w:marLeft w:val="0"/>
                  <w:marRight w:val="0"/>
                  <w:marTop w:val="0"/>
                  <w:marBottom w:val="0"/>
                  <w:divBdr>
                    <w:top w:val="none" w:sz="0" w:space="0" w:color="auto"/>
                    <w:left w:val="none" w:sz="0" w:space="0" w:color="auto"/>
                    <w:bottom w:val="none" w:sz="0" w:space="0" w:color="auto"/>
                    <w:right w:val="none" w:sz="0" w:space="0" w:color="auto"/>
                  </w:divBdr>
                </w:div>
              </w:divsChild>
            </w:div>
            <w:div w:id="1713994945">
              <w:marLeft w:val="0"/>
              <w:marRight w:val="0"/>
              <w:marTop w:val="0"/>
              <w:marBottom w:val="0"/>
              <w:divBdr>
                <w:top w:val="none" w:sz="0" w:space="0" w:color="auto"/>
                <w:left w:val="none" w:sz="0" w:space="0" w:color="auto"/>
                <w:bottom w:val="none" w:sz="0" w:space="0" w:color="auto"/>
                <w:right w:val="none" w:sz="0" w:space="0" w:color="auto"/>
              </w:divBdr>
              <w:divsChild>
                <w:div w:id="1660843846">
                  <w:marLeft w:val="0"/>
                  <w:marRight w:val="0"/>
                  <w:marTop w:val="0"/>
                  <w:marBottom w:val="0"/>
                  <w:divBdr>
                    <w:top w:val="none" w:sz="0" w:space="0" w:color="auto"/>
                    <w:left w:val="none" w:sz="0" w:space="0" w:color="auto"/>
                    <w:bottom w:val="none" w:sz="0" w:space="0" w:color="auto"/>
                    <w:right w:val="none" w:sz="0" w:space="0" w:color="auto"/>
                  </w:divBdr>
                </w:div>
              </w:divsChild>
            </w:div>
            <w:div w:id="752430859">
              <w:marLeft w:val="0"/>
              <w:marRight w:val="0"/>
              <w:marTop w:val="0"/>
              <w:marBottom w:val="0"/>
              <w:divBdr>
                <w:top w:val="none" w:sz="0" w:space="0" w:color="auto"/>
                <w:left w:val="none" w:sz="0" w:space="0" w:color="auto"/>
                <w:bottom w:val="none" w:sz="0" w:space="0" w:color="auto"/>
                <w:right w:val="none" w:sz="0" w:space="0" w:color="auto"/>
              </w:divBdr>
              <w:divsChild>
                <w:div w:id="432432173">
                  <w:marLeft w:val="0"/>
                  <w:marRight w:val="0"/>
                  <w:marTop w:val="0"/>
                  <w:marBottom w:val="0"/>
                  <w:divBdr>
                    <w:top w:val="none" w:sz="0" w:space="0" w:color="auto"/>
                    <w:left w:val="none" w:sz="0" w:space="0" w:color="auto"/>
                    <w:bottom w:val="none" w:sz="0" w:space="0" w:color="auto"/>
                    <w:right w:val="none" w:sz="0" w:space="0" w:color="auto"/>
                  </w:divBdr>
                </w:div>
              </w:divsChild>
            </w:div>
            <w:div w:id="1015427447">
              <w:marLeft w:val="0"/>
              <w:marRight w:val="0"/>
              <w:marTop w:val="0"/>
              <w:marBottom w:val="0"/>
              <w:divBdr>
                <w:top w:val="none" w:sz="0" w:space="0" w:color="auto"/>
                <w:left w:val="none" w:sz="0" w:space="0" w:color="auto"/>
                <w:bottom w:val="none" w:sz="0" w:space="0" w:color="auto"/>
                <w:right w:val="none" w:sz="0" w:space="0" w:color="auto"/>
              </w:divBdr>
              <w:divsChild>
                <w:div w:id="1243486908">
                  <w:marLeft w:val="0"/>
                  <w:marRight w:val="0"/>
                  <w:marTop w:val="0"/>
                  <w:marBottom w:val="0"/>
                  <w:divBdr>
                    <w:top w:val="none" w:sz="0" w:space="0" w:color="auto"/>
                    <w:left w:val="none" w:sz="0" w:space="0" w:color="auto"/>
                    <w:bottom w:val="none" w:sz="0" w:space="0" w:color="auto"/>
                    <w:right w:val="none" w:sz="0" w:space="0" w:color="auto"/>
                  </w:divBdr>
                </w:div>
              </w:divsChild>
            </w:div>
            <w:div w:id="2095783140">
              <w:marLeft w:val="0"/>
              <w:marRight w:val="0"/>
              <w:marTop w:val="0"/>
              <w:marBottom w:val="0"/>
              <w:divBdr>
                <w:top w:val="none" w:sz="0" w:space="0" w:color="auto"/>
                <w:left w:val="none" w:sz="0" w:space="0" w:color="auto"/>
                <w:bottom w:val="none" w:sz="0" w:space="0" w:color="auto"/>
                <w:right w:val="none" w:sz="0" w:space="0" w:color="auto"/>
              </w:divBdr>
              <w:divsChild>
                <w:div w:id="1083527827">
                  <w:marLeft w:val="0"/>
                  <w:marRight w:val="0"/>
                  <w:marTop w:val="0"/>
                  <w:marBottom w:val="0"/>
                  <w:divBdr>
                    <w:top w:val="none" w:sz="0" w:space="0" w:color="auto"/>
                    <w:left w:val="none" w:sz="0" w:space="0" w:color="auto"/>
                    <w:bottom w:val="none" w:sz="0" w:space="0" w:color="auto"/>
                    <w:right w:val="none" w:sz="0" w:space="0" w:color="auto"/>
                  </w:divBdr>
                </w:div>
              </w:divsChild>
            </w:div>
            <w:div w:id="2038653319">
              <w:marLeft w:val="0"/>
              <w:marRight w:val="0"/>
              <w:marTop w:val="0"/>
              <w:marBottom w:val="0"/>
              <w:divBdr>
                <w:top w:val="none" w:sz="0" w:space="0" w:color="auto"/>
                <w:left w:val="none" w:sz="0" w:space="0" w:color="auto"/>
                <w:bottom w:val="none" w:sz="0" w:space="0" w:color="auto"/>
                <w:right w:val="none" w:sz="0" w:space="0" w:color="auto"/>
              </w:divBdr>
              <w:divsChild>
                <w:div w:id="1496801800">
                  <w:marLeft w:val="0"/>
                  <w:marRight w:val="0"/>
                  <w:marTop w:val="0"/>
                  <w:marBottom w:val="0"/>
                  <w:divBdr>
                    <w:top w:val="none" w:sz="0" w:space="0" w:color="auto"/>
                    <w:left w:val="none" w:sz="0" w:space="0" w:color="auto"/>
                    <w:bottom w:val="none" w:sz="0" w:space="0" w:color="auto"/>
                    <w:right w:val="none" w:sz="0" w:space="0" w:color="auto"/>
                  </w:divBdr>
                </w:div>
              </w:divsChild>
            </w:div>
            <w:div w:id="1468661989">
              <w:marLeft w:val="0"/>
              <w:marRight w:val="0"/>
              <w:marTop w:val="0"/>
              <w:marBottom w:val="0"/>
              <w:divBdr>
                <w:top w:val="none" w:sz="0" w:space="0" w:color="auto"/>
                <w:left w:val="none" w:sz="0" w:space="0" w:color="auto"/>
                <w:bottom w:val="none" w:sz="0" w:space="0" w:color="auto"/>
                <w:right w:val="none" w:sz="0" w:space="0" w:color="auto"/>
              </w:divBdr>
              <w:divsChild>
                <w:div w:id="214434982">
                  <w:marLeft w:val="0"/>
                  <w:marRight w:val="0"/>
                  <w:marTop w:val="0"/>
                  <w:marBottom w:val="0"/>
                  <w:divBdr>
                    <w:top w:val="none" w:sz="0" w:space="0" w:color="auto"/>
                    <w:left w:val="none" w:sz="0" w:space="0" w:color="auto"/>
                    <w:bottom w:val="none" w:sz="0" w:space="0" w:color="auto"/>
                    <w:right w:val="none" w:sz="0" w:space="0" w:color="auto"/>
                  </w:divBdr>
                </w:div>
              </w:divsChild>
            </w:div>
            <w:div w:id="285502230">
              <w:marLeft w:val="0"/>
              <w:marRight w:val="0"/>
              <w:marTop w:val="0"/>
              <w:marBottom w:val="0"/>
              <w:divBdr>
                <w:top w:val="none" w:sz="0" w:space="0" w:color="auto"/>
                <w:left w:val="none" w:sz="0" w:space="0" w:color="auto"/>
                <w:bottom w:val="none" w:sz="0" w:space="0" w:color="auto"/>
                <w:right w:val="none" w:sz="0" w:space="0" w:color="auto"/>
              </w:divBdr>
              <w:divsChild>
                <w:div w:id="1793134003">
                  <w:marLeft w:val="0"/>
                  <w:marRight w:val="0"/>
                  <w:marTop w:val="0"/>
                  <w:marBottom w:val="0"/>
                  <w:divBdr>
                    <w:top w:val="none" w:sz="0" w:space="0" w:color="auto"/>
                    <w:left w:val="none" w:sz="0" w:space="0" w:color="auto"/>
                    <w:bottom w:val="none" w:sz="0" w:space="0" w:color="auto"/>
                    <w:right w:val="none" w:sz="0" w:space="0" w:color="auto"/>
                  </w:divBdr>
                </w:div>
              </w:divsChild>
            </w:div>
            <w:div w:id="881215487">
              <w:marLeft w:val="0"/>
              <w:marRight w:val="0"/>
              <w:marTop w:val="0"/>
              <w:marBottom w:val="0"/>
              <w:divBdr>
                <w:top w:val="none" w:sz="0" w:space="0" w:color="auto"/>
                <w:left w:val="none" w:sz="0" w:space="0" w:color="auto"/>
                <w:bottom w:val="none" w:sz="0" w:space="0" w:color="auto"/>
                <w:right w:val="none" w:sz="0" w:space="0" w:color="auto"/>
              </w:divBdr>
              <w:divsChild>
                <w:div w:id="1241595393">
                  <w:marLeft w:val="0"/>
                  <w:marRight w:val="0"/>
                  <w:marTop w:val="0"/>
                  <w:marBottom w:val="0"/>
                  <w:divBdr>
                    <w:top w:val="none" w:sz="0" w:space="0" w:color="auto"/>
                    <w:left w:val="none" w:sz="0" w:space="0" w:color="auto"/>
                    <w:bottom w:val="none" w:sz="0" w:space="0" w:color="auto"/>
                    <w:right w:val="none" w:sz="0" w:space="0" w:color="auto"/>
                  </w:divBdr>
                </w:div>
              </w:divsChild>
            </w:div>
            <w:div w:id="283121962">
              <w:marLeft w:val="0"/>
              <w:marRight w:val="0"/>
              <w:marTop w:val="0"/>
              <w:marBottom w:val="0"/>
              <w:divBdr>
                <w:top w:val="none" w:sz="0" w:space="0" w:color="auto"/>
                <w:left w:val="none" w:sz="0" w:space="0" w:color="auto"/>
                <w:bottom w:val="none" w:sz="0" w:space="0" w:color="auto"/>
                <w:right w:val="none" w:sz="0" w:space="0" w:color="auto"/>
              </w:divBdr>
              <w:divsChild>
                <w:div w:id="835002697">
                  <w:marLeft w:val="0"/>
                  <w:marRight w:val="0"/>
                  <w:marTop w:val="0"/>
                  <w:marBottom w:val="0"/>
                  <w:divBdr>
                    <w:top w:val="none" w:sz="0" w:space="0" w:color="auto"/>
                    <w:left w:val="none" w:sz="0" w:space="0" w:color="auto"/>
                    <w:bottom w:val="none" w:sz="0" w:space="0" w:color="auto"/>
                    <w:right w:val="none" w:sz="0" w:space="0" w:color="auto"/>
                  </w:divBdr>
                </w:div>
              </w:divsChild>
            </w:div>
            <w:div w:id="949356624">
              <w:marLeft w:val="0"/>
              <w:marRight w:val="0"/>
              <w:marTop w:val="0"/>
              <w:marBottom w:val="0"/>
              <w:divBdr>
                <w:top w:val="none" w:sz="0" w:space="0" w:color="auto"/>
                <w:left w:val="none" w:sz="0" w:space="0" w:color="auto"/>
                <w:bottom w:val="none" w:sz="0" w:space="0" w:color="auto"/>
                <w:right w:val="none" w:sz="0" w:space="0" w:color="auto"/>
              </w:divBdr>
              <w:divsChild>
                <w:div w:id="1894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183">
          <w:marLeft w:val="0"/>
          <w:marRight w:val="0"/>
          <w:marTop w:val="0"/>
          <w:marBottom w:val="600"/>
          <w:divBdr>
            <w:top w:val="none" w:sz="0" w:space="0" w:color="auto"/>
            <w:left w:val="none" w:sz="0" w:space="0" w:color="auto"/>
            <w:bottom w:val="none" w:sz="0" w:space="0" w:color="auto"/>
            <w:right w:val="none" w:sz="0" w:space="0" w:color="auto"/>
          </w:divBdr>
        </w:div>
      </w:divsChild>
    </w:div>
    <w:div w:id="975527389">
      <w:marLeft w:val="0"/>
      <w:marRight w:val="0"/>
      <w:marTop w:val="0"/>
      <w:marBottom w:val="0"/>
      <w:divBdr>
        <w:top w:val="none" w:sz="0" w:space="0" w:color="auto"/>
        <w:left w:val="none" w:sz="0" w:space="0" w:color="auto"/>
        <w:bottom w:val="none" w:sz="0" w:space="0" w:color="auto"/>
        <w:right w:val="none" w:sz="0" w:space="0" w:color="auto"/>
      </w:divBdr>
      <w:divsChild>
        <w:div w:id="891773378">
          <w:marLeft w:val="0"/>
          <w:marRight w:val="0"/>
          <w:marTop w:val="432"/>
          <w:marBottom w:val="0"/>
          <w:divBdr>
            <w:top w:val="none" w:sz="0" w:space="0" w:color="auto"/>
            <w:left w:val="none" w:sz="0" w:space="0" w:color="auto"/>
            <w:bottom w:val="none" w:sz="0" w:space="0" w:color="auto"/>
            <w:right w:val="none" w:sz="0" w:space="0" w:color="auto"/>
          </w:divBdr>
        </w:div>
        <w:div w:id="2058889591">
          <w:marLeft w:val="0"/>
          <w:marRight w:val="0"/>
          <w:marTop w:val="0"/>
          <w:marBottom w:val="0"/>
          <w:divBdr>
            <w:top w:val="none" w:sz="0" w:space="0" w:color="auto"/>
            <w:left w:val="none" w:sz="0" w:space="0" w:color="auto"/>
            <w:bottom w:val="none" w:sz="0" w:space="0" w:color="auto"/>
            <w:right w:val="none" w:sz="0" w:space="0" w:color="auto"/>
          </w:divBdr>
          <w:divsChild>
            <w:div w:id="1366367393">
              <w:marLeft w:val="0"/>
              <w:marRight w:val="0"/>
              <w:marTop w:val="0"/>
              <w:marBottom w:val="0"/>
              <w:divBdr>
                <w:top w:val="none" w:sz="0" w:space="0" w:color="auto"/>
                <w:left w:val="none" w:sz="0" w:space="0" w:color="auto"/>
                <w:bottom w:val="none" w:sz="0" w:space="0" w:color="auto"/>
                <w:right w:val="none" w:sz="0" w:space="0" w:color="auto"/>
              </w:divBdr>
              <w:divsChild>
                <w:div w:id="1743091455">
                  <w:marLeft w:val="0"/>
                  <w:marRight w:val="0"/>
                  <w:marTop w:val="0"/>
                  <w:marBottom w:val="0"/>
                  <w:divBdr>
                    <w:top w:val="none" w:sz="0" w:space="0" w:color="auto"/>
                    <w:left w:val="none" w:sz="0" w:space="0" w:color="auto"/>
                    <w:bottom w:val="none" w:sz="0" w:space="0" w:color="auto"/>
                    <w:right w:val="none" w:sz="0" w:space="0" w:color="auto"/>
                  </w:divBdr>
                </w:div>
              </w:divsChild>
            </w:div>
            <w:div w:id="1066684979">
              <w:marLeft w:val="0"/>
              <w:marRight w:val="0"/>
              <w:marTop w:val="0"/>
              <w:marBottom w:val="0"/>
              <w:divBdr>
                <w:top w:val="none" w:sz="0" w:space="0" w:color="auto"/>
                <w:left w:val="none" w:sz="0" w:space="0" w:color="auto"/>
                <w:bottom w:val="none" w:sz="0" w:space="0" w:color="auto"/>
                <w:right w:val="none" w:sz="0" w:space="0" w:color="auto"/>
              </w:divBdr>
              <w:divsChild>
                <w:div w:id="1559783633">
                  <w:marLeft w:val="0"/>
                  <w:marRight w:val="0"/>
                  <w:marTop w:val="0"/>
                  <w:marBottom w:val="0"/>
                  <w:divBdr>
                    <w:top w:val="none" w:sz="0" w:space="0" w:color="auto"/>
                    <w:left w:val="none" w:sz="0" w:space="0" w:color="auto"/>
                    <w:bottom w:val="none" w:sz="0" w:space="0" w:color="auto"/>
                    <w:right w:val="none" w:sz="0" w:space="0" w:color="auto"/>
                  </w:divBdr>
                </w:div>
              </w:divsChild>
            </w:div>
            <w:div w:id="265190421">
              <w:marLeft w:val="0"/>
              <w:marRight w:val="0"/>
              <w:marTop w:val="0"/>
              <w:marBottom w:val="0"/>
              <w:divBdr>
                <w:top w:val="none" w:sz="0" w:space="0" w:color="auto"/>
                <w:left w:val="none" w:sz="0" w:space="0" w:color="auto"/>
                <w:bottom w:val="none" w:sz="0" w:space="0" w:color="auto"/>
                <w:right w:val="none" w:sz="0" w:space="0" w:color="auto"/>
              </w:divBdr>
              <w:divsChild>
                <w:div w:id="102578711">
                  <w:marLeft w:val="0"/>
                  <w:marRight w:val="0"/>
                  <w:marTop w:val="0"/>
                  <w:marBottom w:val="0"/>
                  <w:divBdr>
                    <w:top w:val="none" w:sz="0" w:space="0" w:color="auto"/>
                    <w:left w:val="none" w:sz="0" w:space="0" w:color="auto"/>
                    <w:bottom w:val="none" w:sz="0" w:space="0" w:color="auto"/>
                    <w:right w:val="none" w:sz="0" w:space="0" w:color="auto"/>
                  </w:divBdr>
                </w:div>
              </w:divsChild>
            </w:div>
            <w:div w:id="1724403205">
              <w:marLeft w:val="0"/>
              <w:marRight w:val="0"/>
              <w:marTop w:val="0"/>
              <w:marBottom w:val="0"/>
              <w:divBdr>
                <w:top w:val="none" w:sz="0" w:space="0" w:color="auto"/>
                <w:left w:val="none" w:sz="0" w:space="0" w:color="auto"/>
                <w:bottom w:val="none" w:sz="0" w:space="0" w:color="auto"/>
                <w:right w:val="none" w:sz="0" w:space="0" w:color="auto"/>
              </w:divBdr>
              <w:divsChild>
                <w:div w:id="1562859772">
                  <w:marLeft w:val="0"/>
                  <w:marRight w:val="0"/>
                  <w:marTop w:val="0"/>
                  <w:marBottom w:val="0"/>
                  <w:divBdr>
                    <w:top w:val="none" w:sz="0" w:space="0" w:color="auto"/>
                    <w:left w:val="none" w:sz="0" w:space="0" w:color="auto"/>
                    <w:bottom w:val="none" w:sz="0" w:space="0" w:color="auto"/>
                    <w:right w:val="none" w:sz="0" w:space="0" w:color="auto"/>
                  </w:divBdr>
                </w:div>
              </w:divsChild>
            </w:div>
            <w:div w:id="2067337162">
              <w:marLeft w:val="0"/>
              <w:marRight w:val="0"/>
              <w:marTop w:val="0"/>
              <w:marBottom w:val="0"/>
              <w:divBdr>
                <w:top w:val="none" w:sz="0" w:space="0" w:color="auto"/>
                <w:left w:val="none" w:sz="0" w:space="0" w:color="auto"/>
                <w:bottom w:val="none" w:sz="0" w:space="0" w:color="auto"/>
                <w:right w:val="none" w:sz="0" w:space="0" w:color="auto"/>
              </w:divBdr>
              <w:divsChild>
                <w:div w:id="784815080">
                  <w:marLeft w:val="0"/>
                  <w:marRight w:val="0"/>
                  <w:marTop w:val="0"/>
                  <w:marBottom w:val="0"/>
                  <w:divBdr>
                    <w:top w:val="none" w:sz="0" w:space="0" w:color="auto"/>
                    <w:left w:val="none" w:sz="0" w:space="0" w:color="auto"/>
                    <w:bottom w:val="none" w:sz="0" w:space="0" w:color="auto"/>
                    <w:right w:val="none" w:sz="0" w:space="0" w:color="auto"/>
                  </w:divBdr>
                </w:div>
              </w:divsChild>
            </w:div>
            <w:div w:id="1235703222">
              <w:marLeft w:val="0"/>
              <w:marRight w:val="0"/>
              <w:marTop w:val="0"/>
              <w:marBottom w:val="0"/>
              <w:divBdr>
                <w:top w:val="none" w:sz="0" w:space="0" w:color="auto"/>
                <w:left w:val="none" w:sz="0" w:space="0" w:color="auto"/>
                <w:bottom w:val="none" w:sz="0" w:space="0" w:color="auto"/>
                <w:right w:val="none" w:sz="0" w:space="0" w:color="auto"/>
              </w:divBdr>
              <w:divsChild>
                <w:div w:id="957419112">
                  <w:marLeft w:val="0"/>
                  <w:marRight w:val="0"/>
                  <w:marTop w:val="0"/>
                  <w:marBottom w:val="0"/>
                  <w:divBdr>
                    <w:top w:val="none" w:sz="0" w:space="0" w:color="auto"/>
                    <w:left w:val="none" w:sz="0" w:space="0" w:color="auto"/>
                    <w:bottom w:val="none" w:sz="0" w:space="0" w:color="auto"/>
                    <w:right w:val="none" w:sz="0" w:space="0" w:color="auto"/>
                  </w:divBdr>
                </w:div>
              </w:divsChild>
            </w:div>
            <w:div w:id="1393695999">
              <w:marLeft w:val="0"/>
              <w:marRight w:val="0"/>
              <w:marTop w:val="0"/>
              <w:marBottom w:val="0"/>
              <w:divBdr>
                <w:top w:val="none" w:sz="0" w:space="0" w:color="auto"/>
                <w:left w:val="none" w:sz="0" w:space="0" w:color="auto"/>
                <w:bottom w:val="none" w:sz="0" w:space="0" w:color="auto"/>
                <w:right w:val="none" w:sz="0" w:space="0" w:color="auto"/>
              </w:divBdr>
              <w:divsChild>
                <w:div w:id="13224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057">
          <w:marLeft w:val="0"/>
          <w:marRight w:val="0"/>
          <w:marTop w:val="0"/>
          <w:marBottom w:val="600"/>
          <w:divBdr>
            <w:top w:val="none" w:sz="0" w:space="0" w:color="auto"/>
            <w:left w:val="none" w:sz="0" w:space="0" w:color="auto"/>
            <w:bottom w:val="none" w:sz="0" w:space="0" w:color="auto"/>
            <w:right w:val="none" w:sz="0" w:space="0" w:color="auto"/>
          </w:divBdr>
        </w:div>
      </w:divsChild>
    </w:div>
    <w:div w:id="1054549463">
      <w:marLeft w:val="0"/>
      <w:marRight w:val="0"/>
      <w:marTop w:val="0"/>
      <w:marBottom w:val="0"/>
      <w:divBdr>
        <w:top w:val="none" w:sz="0" w:space="0" w:color="auto"/>
        <w:left w:val="none" w:sz="0" w:space="0" w:color="auto"/>
        <w:bottom w:val="none" w:sz="0" w:space="0" w:color="auto"/>
        <w:right w:val="none" w:sz="0" w:space="0" w:color="auto"/>
      </w:divBdr>
      <w:divsChild>
        <w:div w:id="1624579347">
          <w:marLeft w:val="0"/>
          <w:marRight w:val="0"/>
          <w:marTop w:val="432"/>
          <w:marBottom w:val="0"/>
          <w:divBdr>
            <w:top w:val="none" w:sz="0" w:space="0" w:color="auto"/>
            <w:left w:val="none" w:sz="0" w:space="0" w:color="auto"/>
            <w:bottom w:val="none" w:sz="0" w:space="0" w:color="auto"/>
            <w:right w:val="none" w:sz="0" w:space="0" w:color="auto"/>
          </w:divBdr>
        </w:div>
        <w:div w:id="1641421338">
          <w:marLeft w:val="0"/>
          <w:marRight w:val="0"/>
          <w:marTop w:val="0"/>
          <w:marBottom w:val="0"/>
          <w:divBdr>
            <w:top w:val="none" w:sz="0" w:space="0" w:color="auto"/>
            <w:left w:val="none" w:sz="0" w:space="0" w:color="auto"/>
            <w:bottom w:val="none" w:sz="0" w:space="0" w:color="auto"/>
            <w:right w:val="none" w:sz="0" w:space="0" w:color="auto"/>
          </w:divBdr>
        </w:div>
        <w:div w:id="1791439000">
          <w:marLeft w:val="0"/>
          <w:marRight w:val="0"/>
          <w:marTop w:val="0"/>
          <w:marBottom w:val="600"/>
          <w:divBdr>
            <w:top w:val="none" w:sz="0" w:space="0" w:color="auto"/>
            <w:left w:val="none" w:sz="0" w:space="0" w:color="auto"/>
            <w:bottom w:val="none" w:sz="0" w:space="0" w:color="auto"/>
            <w:right w:val="none" w:sz="0" w:space="0" w:color="auto"/>
          </w:divBdr>
        </w:div>
      </w:divsChild>
    </w:div>
    <w:div w:id="1055472477">
      <w:marLeft w:val="0"/>
      <w:marRight w:val="0"/>
      <w:marTop w:val="0"/>
      <w:marBottom w:val="0"/>
      <w:divBdr>
        <w:top w:val="none" w:sz="0" w:space="0" w:color="auto"/>
        <w:left w:val="none" w:sz="0" w:space="0" w:color="auto"/>
        <w:bottom w:val="none" w:sz="0" w:space="0" w:color="auto"/>
        <w:right w:val="none" w:sz="0" w:space="0" w:color="auto"/>
      </w:divBdr>
      <w:divsChild>
        <w:div w:id="561336417">
          <w:marLeft w:val="0"/>
          <w:marRight w:val="0"/>
          <w:marTop w:val="432"/>
          <w:marBottom w:val="0"/>
          <w:divBdr>
            <w:top w:val="none" w:sz="0" w:space="0" w:color="auto"/>
            <w:left w:val="none" w:sz="0" w:space="0" w:color="auto"/>
            <w:bottom w:val="none" w:sz="0" w:space="0" w:color="auto"/>
            <w:right w:val="none" w:sz="0" w:space="0" w:color="auto"/>
          </w:divBdr>
        </w:div>
        <w:div w:id="963392728">
          <w:marLeft w:val="0"/>
          <w:marRight w:val="0"/>
          <w:marTop w:val="0"/>
          <w:marBottom w:val="0"/>
          <w:divBdr>
            <w:top w:val="none" w:sz="0" w:space="0" w:color="auto"/>
            <w:left w:val="none" w:sz="0" w:space="0" w:color="auto"/>
            <w:bottom w:val="none" w:sz="0" w:space="0" w:color="auto"/>
            <w:right w:val="none" w:sz="0" w:space="0" w:color="auto"/>
          </w:divBdr>
        </w:div>
        <w:div w:id="1405104203">
          <w:marLeft w:val="0"/>
          <w:marRight w:val="0"/>
          <w:marTop w:val="0"/>
          <w:marBottom w:val="600"/>
          <w:divBdr>
            <w:top w:val="none" w:sz="0" w:space="0" w:color="auto"/>
            <w:left w:val="none" w:sz="0" w:space="0" w:color="auto"/>
            <w:bottom w:val="none" w:sz="0" w:space="0" w:color="auto"/>
            <w:right w:val="none" w:sz="0" w:space="0" w:color="auto"/>
          </w:divBdr>
        </w:div>
      </w:divsChild>
    </w:div>
    <w:div w:id="1173060474">
      <w:marLeft w:val="0"/>
      <w:marRight w:val="0"/>
      <w:marTop w:val="0"/>
      <w:marBottom w:val="0"/>
      <w:divBdr>
        <w:top w:val="none" w:sz="0" w:space="0" w:color="auto"/>
        <w:left w:val="none" w:sz="0" w:space="0" w:color="auto"/>
        <w:bottom w:val="none" w:sz="0" w:space="0" w:color="auto"/>
        <w:right w:val="none" w:sz="0" w:space="0" w:color="auto"/>
      </w:divBdr>
      <w:divsChild>
        <w:div w:id="1130780538">
          <w:marLeft w:val="0"/>
          <w:marRight w:val="0"/>
          <w:marTop w:val="432"/>
          <w:marBottom w:val="0"/>
          <w:divBdr>
            <w:top w:val="none" w:sz="0" w:space="0" w:color="auto"/>
            <w:left w:val="none" w:sz="0" w:space="0" w:color="auto"/>
            <w:bottom w:val="none" w:sz="0" w:space="0" w:color="auto"/>
            <w:right w:val="none" w:sz="0" w:space="0" w:color="auto"/>
          </w:divBdr>
        </w:div>
        <w:div w:id="366031016">
          <w:marLeft w:val="0"/>
          <w:marRight w:val="0"/>
          <w:marTop w:val="0"/>
          <w:marBottom w:val="0"/>
          <w:divBdr>
            <w:top w:val="none" w:sz="0" w:space="0" w:color="auto"/>
            <w:left w:val="none" w:sz="0" w:space="0" w:color="auto"/>
            <w:bottom w:val="none" w:sz="0" w:space="0" w:color="auto"/>
            <w:right w:val="none" w:sz="0" w:space="0" w:color="auto"/>
          </w:divBdr>
        </w:div>
        <w:div w:id="621501335">
          <w:marLeft w:val="0"/>
          <w:marRight w:val="0"/>
          <w:marTop w:val="0"/>
          <w:marBottom w:val="600"/>
          <w:divBdr>
            <w:top w:val="none" w:sz="0" w:space="0" w:color="auto"/>
            <w:left w:val="none" w:sz="0" w:space="0" w:color="auto"/>
            <w:bottom w:val="none" w:sz="0" w:space="0" w:color="auto"/>
            <w:right w:val="none" w:sz="0" w:space="0" w:color="auto"/>
          </w:divBdr>
        </w:div>
      </w:divsChild>
    </w:div>
    <w:div w:id="1272397210">
      <w:marLeft w:val="0"/>
      <w:marRight w:val="0"/>
      <w:marTop w:val="0"/>
      <w:marBottom w:val="0"/>
      <w:divBdr>
        <w:top w:val="none" w:sz="0" w:space="0" w:color="auto"/>
        <w:left w:val="none" w:sz="0" w:space="0" w:color="auto"/>
        <w:bottom w:val="none" w:sz="0" w:space="0" w:color="auto"/>
        <w:right w:val="none" w:sz="0" w:space="0" w:color="auto"/>
      </w:divBdr>
      <w:divsChild>
        <w:div w:id="12464961">
          <w:marLeft w:val="0"/>
          <w:marRight w:val="0"/>
          <w:marTop w:val="432"/>
          <w:marBottom w:val="0"/>
          <w:divBdr>
            <w:top w:val="none" w:sz="0" w:space="0" w:color="auto"/>
            <w:left w:val="none" w:sz="0" w:space="0" w:color="auto"/>
            <w:bottom w:val="none" w:sz="0" w:space="0" w:color="auto"/>
            <w:right w:val="none" w:sz="0" w:space="0" w:color="auto"/>
          </w:divBdr>
        </w:div>
        <w:div w:id="459501177">
          <w:marLeft w:val="0"/>
          <w:marRight w:val="0"/>
          <w:marTop w:val="0"/>
          <w:marBottom w:val="0"/>
          <w:divBdr>
            <w:top w:val="none" w:sz="0" w:space="0" w:color="auto"/>
            <w:left w:val="none" w:sz="0" w:space="0" w:color="auto"/>
            <w:bottom w:val="none" w:sz="0" w:space="0" w:color="auto"/>
            <w:right w:val="none" w:sz="0" w:space="0" w:color="auto"/>
          </w:divBdr>
          <w:divsChild>
            <w:div w:id="1497845038">
              <w:marLeft w:val="0"/>
              <w:marRight w:val="0"/>
              <w:marTop w:val="0"/>
              <w:marBottom w:val="0"/>
              <w:divBdr>
                <w:top w:val="none" w:sz="0" w:space="0" w:color="auto"/>
                <w:left w:val="none" w:sz="0" w:space="0" w:color="auto"/>
                <w:bottom w:val="none" w:sz="0" w:space="0" w:color="auto"/>
                <w:right w:val="none" w:sz="0" w:space="0" w:color="auto"/>
              </w:divBdr>
              <w:divsChild>
                <w:div w:id="1350177065">
                  <w:marLeft w:val="0"/>
                  <w:marRight w:val="0"/>
                  <w:marTop w:val="0"/>
                  <w:marBottom w:val="0"/>
                  <w:divBdr>
                    <w:top w:val="none" w:sz="0" w:space="0" w:color="auto"/>
                    <w:left w:val="none" w:sz="0" w:space="0" w:color="auto"/>
                    <w:bottom w:val="none" w:sz="0" w:space="0" w:color="auto"/>
                    <w:right w:val="none" w:sz="0" w:space="0" w:color="auto"/>
                  </w:divBdr>
                </w:div>
              </w:divsChild>
            </w:div>
            <w:div w:id="982197057">
              <w:marLeft w:val="0"/>
              <w:marRight w:val="0"/>
              <w:marTop w:val="0"/>
              <w:marBottom w:val="0"/>
              <w:divBdr>
                <w:top w:val="none" w:sz="0" w:space="0" w:color="auto"/>
                <w:left w:val="none" w:sz="0" w:space="0" w:color="auto"/>
                <w:bottom w:val="none" w:sz="0" w:space="0" w:color="auto"/>
                <w:right w:val="none" w:sz="0" w:space="0" w:color="auto"/>
              </w:divBdr>
              <w:divsChild>
                <w:div w:id="68163871">
                  <w:marLeft w:val="0"/>
                  <w:marRight w:val="0"/>
                  <w:marTop w:val="0"/>
                  <w:marBottom w:val="0"/>
                  <w:divBdr>
                    <w:top w:val="none" w:sz="0" w:space="0" w:color="auto"/>
                    <w:left w:val="none" w:sz="0" w:space="0" w:color="auto"/>
                    <w:bottom w:val="none" w:sz="0" w:space="0" w:color="auto"/>
                    <w:right w:val="none" w:sz="0" w:space="0" w:color="auto"/>
                  </w:divBdr>
                </w:div>
              </w:divsChild>
            </w:div>
            <w:div w:id="1385790932">
              <w:marLeft w:val="0"/>
              <w:marRight w:val="0"/>
              <w:marTop w:val="0"/>
              <w:marBottom w:val="0"/>
              <w:divBdr>
                <w:top w:val="none" w:sz="0" w:space="0" w:color="auto"/>
                <w:left w:val="none" w:sz="0" w:space="0" w:color="auto"/>
                <w:bottom w:val="none" w:sz="0" w:space="0" w:color="auto"/>
                <w:right w:val="none" w:sz="0" w:space="0" w:color="auto"/>
              </w:divBdr>
              <w:divsChild>
                <w:div w:id="80807642">
                  <w:marLeft w:val="0"/>
                  <w:marRight w:val="0"/>
                  <w:marTop w:val="0"/>
                  <w:marBottom w:val="0"/>
                  <w:divBdr>
                    <w:top w:val="none" w:sz="0" w:space="0" w:color="auto"/>
                    <w:left w:val="none" w:sz="0" w:space="0" w:color="auto"/>
                    <w:bottom w:val="none" w:sz="0" w:space="0" w:color="auto"/>
                    <w:right w:val="none" w:sz="0" w:space="0" w:color="auto"/>
                  </w:divBdr>
                </w:div>
              </w:divsChild>
            </w:div>
            <w:div w:id="2143039622">
              <w:marLeft w:val="0"/>
              <w:marRight w:val="0"/>
              <w:marTop w:val="0"/>
              <w:marBottom w:val="0"/>
              <w:divBdr>
                <w:top w:val="none" w:sz="0" w:space="0" w:color="auto"/>
                <w:left w:val="none" w:sz="0" w:space="0" w:color="auto"/>
                <w:bottom w:val="none" w:sz="0" w:space="0" w:color="auto"/>
                <w:right w:val="none" w:sz="0" w:space="0" w:color="auto"/>
              </w:divBdr>
              <w:divsChild>
                <w:div w:id="1398358618">
                  <w:marLeft w:val="0"/>
                  <w:marRight w:val="0"/>
                  <w:marTop w:val="0"/>
                  <w:marBottom w:val="0"/>
                  <w:divBdr>
                    <w:top w:val="none" w:sz="0" w:space="0" w:color="auto"/>
                    <w:left w:val="none" w:sz="0" w:space="0" w:color="auto"/>
                    <w:bottom w:val="none" w:sz="0" w:space="0" w:color="auto"/>
                    <w:right w:val="none" w:sz="0" w:space="0" w:color="auto"/>
                  </w:divBdr>
                </w:div>
              </w:divsChild>
            </w:div>
            <w:div w:id="290401267">
              <w:marLeft w:val="0"/>
              <w:marRight w:val="0"/>
              <w:marTop w:val="0"/>
              <w:marBottom w:val="0"/>
              <w:divBdr>
                <w:top w:val="none" w:sz="0" w:space="0" w:color="auto"/>
                <w:left w:val="none" w:sz="0" w:space="0" w:color="auto"/>
                <w:bottom w:val="none" w:sz="0" w:space="0" w:color="auto"/>
                <w:right w:val="none" w:sz="0" w:space="0" w:color="auto"/>
              </w:divBdr>
              <w:divsChild>
                <w:div w:id="625626471">
                  <w:marLeft w:val="0"/>
                  <w:marRight w:val="0"/>
                  <w:marTop w:val="0"/>
                  <w:marBottom w:val="0"/>
                  <w:divBdr>
                    <w:top w:val="none" w:sz="0" w:space="0" w:color="auto"/>
                    <w:left w:val="none" w:sz="0" w:space="0" w:color="auto"/>
                    <w:bottom w:val="none" w:sz="0" w:space="0" w:color="auto"/>
                    <w:right w:val="none" w:sz="0" w:space="0" w:color="auto"/>
                  </w:divBdr>
                </w:div>
              </w:divsChild>
            </w:div>
            <w:div w:id="227883410">
              <w:marLeft w:val="0"/>
              <w:marRight w:val="0"/>
              <w:marTop w:val="0"/>
              <w:marBottom w:val="0"/>
              <w:divBdr>
                <w:top w:val="none" w:sz="0" w:space="0" w:color="auto"/>
                <w:left w:val="none" w:sz="0" w:space="0" w:color="auto"/>
                <w:bottom w:val="none" w:sz="0" w:space="0" w:color="auto"/>
                <w:right w:val="none" w:sz="0" w:space="0" w:color="auto"/>
              </w:divBdr>
              <w:divsChild>
                <w:div w:id="813837983">
                  <w:marLeft w:val="0"/>
                  <w:marRight w:val="0"/>
                  <w:marTop w:val="0"/>
                  <w:marBottom w:val="0"/>
                  <w:divBdr>
                    <w:top w:val="none" w:sz="0" w:space="0" w:color="auto"/>
                    <w:left w:val="none" w:sz="0" w:space="0" w:color="auto"/>
                    <w:bottom w:val="none" w:sz="0" w:space="0" w:color="auto"/>
                    <w:right w:val="none" w:sz="0" w:space="0" w:color="auto"/>
                  </w:divBdr>
                </w:div>
              </w:divsChild>
            </w:div>
            <w:div w:id="1906720374">
              <w:marLeft w:val="0"/>
              <w:marRight w:val="0"/>
              <w:marTop w:val="0"/>
              <w:marBottom w:val="0"/>
              <w:divBdr>
                <w:top w:val="none" w:sz="0" w:space="0" w:color="auto"/>
                <w:left w:val="none" w:sz="0" w:space="0" w:color="auto"/>
                <w:bottom w:val="none" w:sz="0" w:space="0" w:color="auto"/>
                <w:right w:val="none" w:sz="0" w:space="0" w:color="auto"/>
              </w:divBdr>
              <w:divsChild>
                <w:div w:id="10324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023">
          <w:marLeft w:val="0"/>
          <w:marRight w:val="0"/>
          <w:marTop w:val="0"/>
          <w:marBottom w:val="600"/>
          <w:divBdr>
            <w:top w:val="none" w:sz="0" w:space="0" w:color="auto"/>
            <w:left w:val="none" w:sz="0" w:space="0" w:color="auto"/>
            <w:bottom w:val="none" w:sz="0" w:space="0" w:color="auto"/>
            <w:right w:val="none" w:sz="0" w:space="0" w:color="auto"/>
          </w:divBdr>
        </w:div>
      </w:divsChild>
    </w:div>
    <w:div w:id="1282304803">
      <w:marLeft w:val="0"/>
      <w:marRight w:val="0"/>
      <w:marTop w:val="0"/>
      <w:marBottom w:val="0"/>
      <w:divBdr>
        <w:top w:val="none" w:sz="0" w:space="0" w:color="auto"/>
        <w:left w:val="none" w:sz="0" w:space="0" w:color="auto"/>
        <w:bottom w:val="none" w:sz="0" w:space="0" w:color="auto"/>
        <w:right w:val="none" w:sz="0" w:space="0" w:color="auto"/>
      </w:divBdr>
      <w:divsChild>
        <w:div w:id="1195383187">
          <w:marLeft w:val="0"/>
          <w:marRight w:val="0"/>
          <w:marTop w:val="0"/>
          <w:marBottom w:val="0"/>
          <w:divBdr>
            <w:top w:val="none" w:sz="0" w:space="0" w:color="auto"/>
            <w:left w:val="none" w:sz="0" w:space="0" w:color="auto"/>
            <w:bottom w:val="none" w:sz="0" w:space="0" w:color="auto"/>
            <w:right w:val="none" w:sz="0" w:space="0" w:color="auto"/>
          </w:divBdr>
        </w:div>
        <w:div w:id="588466356">
          <w:marLeft w:val="0"/>
          <w:marRight w:val="0"/>
          <w:marTop w:val="0"/>
          <w:marBottom w:val="600"/>
          <w:divBdr>
            <w:top w:val="none" w:sz="0" w:space="0" w:color="auto"/>
            <w:left w:val="none" w:sz="0" w:space="0" w:color="auto"/>
            <w:bottom w:val="none" w:sz="0" w:space="0" w:color="auto"/>
            <w:right w:val="none" w:sz="0" w:space="0" w:color="auto"/>
          </w:divBdr>
        </w:div>
      </w:divsChild>
    </w:div>
    <w:div w:id="1295135848">
      <w:marLeft w:val="0"/>
      <w:marRight w:val="0"/>
      <w:marTop w:val="0"/>
      <w:marBottom w:val="0"/>
      <w:divBdr>
        <w:top w:val="none" w:sz="0" w:space="0" w:color="auto"/>
        <w:left w:val="none" w:sz="0" w:space="0" w:color="auto"/>
        <w:bottom w:val="none" w:sz="0" w:space="0" w:color="auto"/>
        <w:right w:val="none" w:sz="0" w:space="0" w:color="auto"/>
      </w:divBdr>
      <w:divsChild>
        <w:div w:id="809325157">
          <w:marLeft w:val="0"/>
          <w:marRight w:val="0"/>
          <w:marTop w:val="432"/>
          <w:marBottom w:val="0"/>
          <w:divBdr>
            <w:top w:val="none" w:sz="0" w:space="0" w:color="auto"/>
            <w:left w:val="none" w:sz="0" w:space="0" w:color="auto"/>
            <w:bottom w:val="none" w:sz="0" w:space="0" w:color="auto"/>
            <w:right w:val="none" w:sz="0" w:space="0" w:color="auto"/>
          </w:divBdr>
        </w:div>
        <w:div w:id="1660621875">
          <w:marLeft w:val="0"/>
          <w:marRight w:val="0"/>
          <w:marTop w:val="0"/>
          <w:marBottom w:val="0"/>
          <w:divBdr>
            <w:top w:val="none" w:sz="0" w:space="0" w:color="auto"/>
            <w:left w:val="none" w:sz="0" w:space="0" w:color="auto"/>
            <w:bottom w:val="none" w:sz="0" w:space="0" w:color="auto"/>
            <w:right w:val="none" w:sz="0" w:space="0" w:color="auto"/>
          </w:divBdr>
          <w:divsChild>
            <w:div w:id="1475637602">
              <w:marLeft w:val="0"/>
              <w:marRight w:val="0"/>
              <w:marTop w:val="0"/>
              <w:marBottom w:val="0"/>
              <w:divBdr>
                <w:top w:val="none" w:sz="0" w:space="0" w:color="auto"/>
                <w:left w:val="none" w:sz="0" w:space="0" w:color="auto"/>
                <w:bottom w:val="none" w:sz="0" w:space="0" w:color="auto"/>
                <w:right w:val="none" w:sz="0" w:space="0" w:color="auto"/>
              </w:divBdr>
              <w:divsChild>
                <w:div w:id="335235903">
                  <w:marLeft w:val="0"/>
                  <w:marRight w:val="0"/>
                  <w:marTop w:val="0"/>
                  <w:marBottom w:val="0"/>
                  <w:divBdr>
                    <w:top w:val="none" w:sz="0" w:space="0" w:color="auto"/>
                    <w:left w:val="none" w:sz="0" w:space="0" w:color="auto"/>
                    <w:bottom w:val="none" w:sz="0" w:space="0" w:color="auto"/>
                    <w:right w:val="none" w:sz="0" w:space="0" w:color="auto"/>
                  </w:divBdr>
                </w:div>
              </w:divsChild>
            </w:div>
            <w:div w:id="1134299280">
              <w:marLeft w:val="0"/>
              <w:marRight w:val="0"/>
              <w:marTop w:val="0"/>
              <w:marBottom w:val="0"/>
              <w:divBdr>
                <w:top w:val="none" w:sz="0" w:space="0" w:color="auto"/>
                <w:left w:val="none" w:sz="0" w:space="0" w:color="auto"/>
                <w:bottom w:val="none" w:sz="0" w:space="0" w:color="auto"/>
                <w:right w:val="none" w:sz="0" w:space="0" w:color="auto"/>
              </w:divBdr>
              <w:divsChild>
                <w:div w:id="1905337024">
                  <w:marLeft w:val="0"/>
                  <w:marRight w:val="0"/>
                  <w:marTop w:val="0"/>
                  <w:marBottom w:val="0"/>
                  <w:divBdr>
                    <w:top w:val="none" w:sz="0" w:space="0" w:color="auto"/>
                    <w:left w:val="none" w:sz="0" w:space="0" w:color="auto"/>
                    <w:bottom w:val="none" w:sz="0" w:space="0" w:color="auto"/>
                    <w:right w:val="none" w:sz="0" w:space="0" w:color="auto"/>
                  </w:divBdr>
                </w:div>
              </w:divsChild>
            </w:div>
            <w:div w:id="1780374479">
              <w:marLeft w:val="0"/>
              <w:marRight w:val="0"/>
              <w:marTop w:val="0"/>
              <w:marBottom w:val="0"/>
              <w:divBdr>
                <w:top w:val="none" w:sz="0" w:space="0" w:color="auto"/>
                <w:left w:val="none" w:sz="0" w:space="0" w:color="auto"/>
                <w:bottom w:val="none" w:sz="0" w:space="0" w:color="auto"/>
                <w:right w:val="none" w:sz="0" w:space="0" w:color="auto"/>
              </w:divBdr>
              <w:divsChild>
                <w:div w:id="276839474">
                  <w:marLeft w:val="0"/>
                  <w:marRight w:val="0"/>
                  <w:marTop w:val="0"/>
                  <w:marBottom w:val="0"/>
                  <w:divBdr>
                    <w:top w:val="none" w:sz="0" w:space="0" w:color="auto"/>
                    <w:left w:val="none" w:sz="0" w:space="0" w:color="auto"/>
                    <w:bottom w:val="none" w:sz="0" w:space="0" w:color="auto"/>
                    <w:right w:val="none" w:sz="0" w:space="0" w:color="auto"/>
                  </w:divBdr>
                </w:div>
              </w:divsChild>
            </w:div>
            <w:div w:id="238634662">
              <w:marLeft w:val="0"/>
              <w:marRight w:val="0"/>
              <w:marTop w:val="0"/>
              <w:marBottom w:val="0"/>
              <w:divBdr>
                <w:top w:val="none" w:sz="0" w:space="0" w:color="auto"/>
                <w:left w:val="none" w:sz="0" w:space="0" w:color="auto"/>
                <w:bottom w:val="none" w:sz="0" w:space="0" w:color="auto"/>
                <w:right w:val="none" w:sz="0" w:space="0" w:color="auto"/>
              </w:divBdr>
              <w:divsChild>
                <w:div w:id="7062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2637">
          <w:marLeft w:val="0"/>
          <w:marRight w:val="0"/>
          <w:marTop w:val="0"/>
          <w:marBottom w:val="600"/>
          <w:divBdr>
            <w:top w:val="none" w:sz="0" w:space="0" w:color="auto"/>
            <w:left w:val="none" w:sz="0" w:space="0" w:color="auto"/>
            <w:bottom w:val="none" w:sz="0" w:space="0" w:color="auto"/>
            <w:right w:val="none" w:sz="0" w:space="0" w:color="auto"/>
          </w:divBdr>
        </w:div>
      </w:divsChild>
    </w:div>
    <w:div w:id="1311716786">
      <w:marLeft w:val="0"/>
      <w:marRight w:val="0"/>
      <w:marTop w:val="0"/>
      <w:marBottom w:val="0"/>
      <w:divBdr>
        <w:top w:val="none" w:sz="0" w:space="0" w:color="auto"/>
        <w:left w:val="none" w:sz="0" w:space="0" w:color="auto"/>
        <w:bottom w:val="none" w:sz="0" w:space="0" w:color="auto"/>
        <w:right w:val="none" w:sz="0" w:space="0" w:color="auto"/>
      </w:divBdr>
      <w:divsChild>
        <w:div w:id="2066491715">
          <w:marLeft w:val="0"/>
          <w:marRight w:val="0"/>
          <w:marTop w:val="432"/>
          <w:marBottom w:val="0"/>
          <w:divBdr>
            <w:top w:val="none" w:sz="0" w:space="0" w:color="auto"/>
            <w:left w:val="none" w:sz="0" w:space="0" w:color="auto"/>
            <w:bottom w:val="none" w:sz="0" w:space="0" w:color="auto"/>
            <w:right w:val="none" w:sz="0" w:space="0" w:color="auto"/>
          </w:divBdr>
        </w:div>
        <w:div w:id="89353269">
          <w:marLeft w:val="0"/>
          <w:marRight w:val="0"/>
          <w:marTop w:val="0"/>
          <w:marBottom w:val="0"/>
          <w:divBdr>
            <w:top w:val="none" w:sz="0" w:space="0" w:color="auto"/>
            <w:left w:val="none" w:sz="0" w:space="0" w:color="auto"/>
            <w:bottom w:val="none" w:sz="0" w:space="0" w:color="auto"/>
            <w:right w:val="none" w:sz="0" w:space="0" w:color="auto"/>
          </w:divBdr>
        </w:div>
        <w:div w:id="1218667239">
          <w:marLeft w:val="0"/>
          <w:marRight w:val="0"/>
          <w:marTop w:val="0"/>
          <w:marBottom w:val="600"/>
          <w:divBdr>
            <w:top w:val="none" w:sz="0" w:space="0" w:color="auto"/>
            <w:left w:val="none" w:sz="0" w:space="0" w:color="auto"/>
            <w:bottom w:val="none" w:sz="0" w:space="0" w:color="auto"/>
            <w:right w:val="none" w:sz="0" w:space="0" w:color="auto"/>
          </w:divBdr>
        </w:div>
      </w:divsChild>
    </w:div>
    <w:div w:id="1383552802">
      <w:marLeft w:val="0"/>
      <w:marRight w:val="0"/>
      <w:marTop w:val="0"/>
      <w:marBottom w:val="0"/>
      <w:divBdr>
        <w:top w:val="none" w:sz="0" w:space="0" w:color="auto"/>
        <w:left w:val="none" w:sz="0" w:space="0" w:color="auto"/>
        <w:bottom w:val="none" w:sz="0" w:space="0" w:color="auto"/>
        <w:right w:val="none" w:sz="0" w:space="0" w:color="auto"/>
      </w:divBdr>
      <w:divsChild>
        <w:div w:id="1422019751">
          <w:marLeft w:val="0"/>
          <w:marRight w:val="0"/>
          <w:marTop w:val="432"/>
          <w:marBottom w:val="0"/>
          <w:divBdr>
            <w:top w:val="none" w:sz="0" w:space="0" w:color="auto"/>
            <w:left w:val="none" w:sz="0" w:space="0" w:color="auto"/>
            <w:bottom w:val="none" w:sz="0" w:space="0" w:color="auto"/>
            <w:right w:val="none" w:sz="0" w:space="0" w:color="auto"/>
          </w:divBdr>
        </w:div>
        <w:div w:id="1712877690">
          <w:marLeft w:val="0"/>
          <w:marRight w:val="0"/>
          <w:marTop w:val="0"/>
          <w:marBottom w:val="0"/>
          <w:divBdr>
            <w:top w:val="none" w:sz="0" w:space="0" w:color="auto"/>
            <w:left w:val="none" w:sz="0" w:space="0" w:color="auto"/>
            <w:bottom w:val="none" w:sz="0" w:space="0" w:color="auto"/>
            <w:right w:val="none" w:sz="0" w:space="0" w:color="auto"/>
          </w:divBdr>
        </w:div>
        <w:div w:id="611010077">
          <w:marLeft w:val="0"/>
          <w:marRight w:val="0"/>
          <w:marTop w:val="0"/>
          <w:marBottom w:val="600"/>
          <w:divBdr>
            <w:top w:val="none" w:sz="0" w:space="0" w:color="auto"/>
            <w:left w:val="none" w:sz="0" w:space="0" w:color="auto"/>
            <w:bottom w:val="none" w:sz="0" w:space="0" w:color="auto"/>
            <w:right w:val="none" w:sz="0" w:space="0" w:color="auto"/>
          </w:divBdr>
        </w:div>
      </w:divsChild>
    </w:div>
    <w:div w:id="1398894070">
      <w:marLeft w:val="0"/>
      <w:marRight w:val="0"/>
      <w:marTop w:val="0"/>
      <w:marBottom w:val="0"/>
      <w:divBdr>
        <w:top w:val="none" w:sz="0" w:space="0" w:color="auto"/>
        <w:left w:val="none" w:sz="0" w:space="0" w:color="auto"/>
        <w:bottom w:val="none" w:sz="0" w:space="0" w:color="auto"/>
        <w:right w:val="none" w:sz="0" w:space="0" w:color="auto"/>
      </w:divBdr>
      <w:divsChild>
        <w:div w:id="372192591">
          <w:marLeft w:val="0"/>
          <w:marRight w:val="0"/>
          <w:marTop w:val="432"/>
          <w:marBottom w:val="0"/>
          <w:divBdr>
            <w:top w:val="none" w:sz="0" w:space="0" w:color="auto"/>
            <w:left w:val="none" w:sz="0" w:space="0" w:color="auto"/>
            <w:bottom w:val="none" w:sz="0" w:space="0" w:color="auto"/>
            <w:right w:val="none" w:sz="0" w:space="0" w:color="auto"/>
          </w:divBdr>
        </w:div>
        <w:div w:id="1683627765">
          <w:marLeft w:val="0"/>
          <w:marRight w:val="0"/>
          <w:marTop w:val="0"/>
          <w:marBottom w:val="0"/>
          <w:divBdr>
            <w:top w:val="none" w:sz="0" w:space="0" w:color="auto"/>
            <w:left w:val="none" w:sz="0" w:space="0" w:color="auto"/>
            <w:bottom w:val="none" w:sz="0" w:space="0" w:color="auto"/>
            <w:right w:val="none" w:sz="0" w:space="0" w:color="auto"/>
          </w:divBdr>
          <w:divsChild>
            <w:div w:id="4023586">
              <w:marLeft w:val="0"/>
              <w:marRight w:val="0"/>
              <w:marTop w:val="0"/>
              <w:marBottom w:val="0"/>
              <w:divBdr>
                <w:top w:val="none" w:sz="0" w:space="0" w:color="auto"/>
                <w:left w:val="none" w:sz="0" w:space="0" w:color="auto"/>
                <w:bottom w:val="none" w:sz="0" w:space="0" w:color="auto"/>
                <w:right w:val="none" w:sz="0" w:space="0" w:color="auto"/>
              </w:divBdr>
              <w:divsChild>
                <w:div w:id="526024566">
                  <w:marLeft w:val="0"/>
                  <w:marRight w:val="0"/>
                  <w:marTop w:val="0"/>
                  <w:marBottom w:val="0"/>
                  <w:divBdr>
                    <w:top w:val="none" w:sz="0" w:space="0" w:color="auto"/>
                    <w:left w:val="none" w:sz="0" w:space="0" w:color="auto"/>
                    <w:bottom w:val="none" w:sz="0" w:space="0" w:color="auto"/>
                    <w:right w:val="none" w:sz="0" w:space="0" w:color="auto"/>
                  </w:divBdr>
                </w:div>
              </w:divsChild>
            </w:div>
            <w:div w:id="1113327612">
              <w:marLeft w:val="0"/>
              <w:marRight w:val="0"/>
              <w:marTop w:val="0"/>
              <w:marBottom w:val="0"/>
              <w:divBdr>
                <w:top w:val="none" w:sz="0" w:space="0" w:color="auto"/>
                <w:left w:val="none" w:sz="0" w:space="0" w:color="auto"/>
                <w:bottom w:val="none" w:sz="0" w:space="0" w:color="auto"/>
                <w:right w:val="none" w:sz="0" w:space="0" w:color="auto"/>
              </w:divBdr>
              <w:divsChild>
                <w:div w:id="1770806824">
                  <w:marLeft w:val="0"/>
                  <w:marRight w:val="0"/>
                  <w:marTop w:val="0"/>
                  <w:marBottom w:val="0"/>
                  <w:divBdr>
                    <w:top w:val="none" w:sz="0" w:space="0" w:color="auto"/>
                    <w:left w:val="none" w:sz="0" w:space="0" w:color="auto"/>
                    <w:bottom w:val="none" w:sz="0" w:space="0" w:color="auto"/>
                    <w:right w:val="none" w:sz="0" w:space="0" w:color="auto"/>
                  </w:divBdr>
                </w:div>
              </w:divsChild>
            </w:div>
            <w:div w:id="1851066103">
              <w:marLeft w:val="0"/>
              <w:marRight w:val="0"/>
              <w:marTop w:val="0"/>
              <w:marBottom w:val="0"/>
              <w:divBdr>
                <w:top w:val="none" w:sz="0" w:space="0" w:color="auto"/>
                <w:left w:val="none" w:sz="0" w:space="0" w:color="auto"/>
                <w:bottom w:val="none" w:sz="0" w:space="0" w:color="auto"/>
                <w:right w:val="none" w:sz="0" w:space="0" w:color="auto"/>
              </w:divBdr>
              <w:divsChild>
                <w:div w:id="1409619398">
                  <w:marLeft w:val="0"/>
                  <w:marRight w:val="0"/>
                  <w:marTop w:val="0"/>
                  <w:marBottom w:val="0"/>
                  <w:divBdr>
                    <w:top w:val="none" w:sz="0" w:space="0" w:color="auto"/>
                    <w:left w:val="none" w:sz="0" w:space="0" w:color="auto"/>
                    <w:bottom w:val="none" w:sz="0" w:space="0" w:color="auto"/>
                    <w:right w:val="none" w:sz="0" w:space="0" w:color="auto"/>
                  </w:divBdr>
                </w:div>
              </w:divsChild>
            </w:div>
            <w:div w:id="745418659">
              <w:marLeft w:val="0"/>
              <w:marRight w:val="0"/>
              <w:marTop w:val="0"/>
              <w:marBottom w:val="0"/>
              <w:divBdr>
                <w:top w:val="none" w:sz="0" w:space="0" w:color="auto"/>
                <w:left w:val="none" w:sz="0" w:space="0" w:color="auto"/>
                <w:bottom w:val="none" w:sz="0" w:space="0" w:color="auto"/>
                <w:right w:val="none" w:sz="0" w:space="0" w:color="auto"/>
              </w:divBdr>
              <w:divsChild>
                <w:div w:id="1258172731">
                  <w:marLeft w:val="0"/>
                  <w:marRight w:val="0"/>
                  <w:marTop w:val="0"/>
                  <w:marBottom w:val="0"/>
                  <w:divBdr>
                    <w:top w:val="none" w:sz="0" w:space="0" w:color="auto"/>
                    <w:left w:val="none" w:sz="0" w:space="0" w:color="auto"/>
                    <w:bottom w:val="none" w:sz="0" w:space="0" w:color="auto"/>
                    <w:right w:val="none" w:sz="0" w:space="0" w:color="auto"/>
                  </w:divBdr>
                </w:div>
              </w:divsChild>
            </w:div>
            <w:div w:id="1798598524">
              <w:marLeft w:val="0"/>
              <w:marRight w:val="0"/>
              <w:marTop w:val="0"/>
              <w:marBottom w:val="0"/>
              <w:divBdr>
                <w:top w:val="none" w:sz="0" w:space="0" w:color="auto"/>
                <w:left w:val="none" w:sz="0" w:space="0" w:color="auto"/>
                <w:bottom w:val="none" w:sz="0" w:space="0" w:color="auto"/>
                <w:right w:val="none" w:sz="0" w:space="0" w:color="auto"/>
              </w:divBdr>
              <w:divsChild>
                <w:div w:id="122893455">
                  <w:marLeft w:val="0"/>
                  <w:marRight w:val="0"/>
                  <w:marTop w:val="0"/>
                  <w:marBottom w:val="0"/>
                  <w:divBdr>
                    <w:top w:val="none" w:sz="0" w:space="0" w:color="auto"/>
                    <w:left w:val="none" w:sz="0" w:space="0" w:color="auto"/>
                    <w:bottom w:val="none" w:sz="0" w:space="0" w:color="auto"/>
                    <w:right w:val="none" w:sz="0" w:space="0" w:color="auto"/>
                  </w:divBdr>
                </w:div>
              </w:divsChild>
            </w:div>
            <w:div w:id="1061833029">
              <w:marLeft w:val="0"/>
              <w:marRight w:val="0"/>
              <w:marTop w:val="0"/>
              <w:marBottom w:val="0"/>
              <w:divBdr>
                <w:top w:val="none" w:sz="0" w:space="0" w:color="auto"/>
                <w:left w:val="none" w:sz="0" w:space="0" w:color="auto"/>
                <w:bottom w:val="none" w:sz="0" w:space="0" w:color="auto"/>
                <w:right w:val="none" w:sz="0" w:space="0" w:color="auto"/>
              </w:divBdr>
              <w:divsChild>
                <w:div w:id="2139301375">
                  <w:marLeft w:val="0"/>
                  <w:marRight w:val="0"/>
                  <w:marTop w:val="0"/>
                  <w:marBottom w:val="0"/>
                  <w:divBdr>
                    <w:top w:val="none" w:sz="0" w:space="0" w:color="auto"/>
                    <w:left w:val="none" w:sz="0" w:space="0" w:color="auto"/>
                    <w:bottom w:val="none" w:sz="0" w:space="0" w:color="auto"/>
                    <w:right w:val="none" w:sz="0" w:space="0" w:color="auto"/>
                  </w:divBdr>
                </w:div>
              </w:divsChild>
            </w:div>
            <w:div w:id="1218973571">
              <w:marLeft w:val="0"/>
              <w:marRight w:val="0"/>
              <w:marTop w:val="0"/>
              <w:marBottom w:val="0"/>
              <w:divBdr>
                <w:top w:val="none" w:sz="0" w:space="0" w:color="auto"/>
                <w:left w:val="none" w:sz="0" w:space="0" w:color="auto"/>
                <w:bottom w:val="none" w:sz="0" w:space="0" w:color="auto"/>
                <w:right w:val="none" w:sz="0" w:space="0" w:color="auto"/>
              </w:divBdr>
              <w:divsChild>
                <w:div w:id="19173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7462">
          <w:marLeft w:val="0"/>
          <w:marRight w:val="0"/>
          <w:marTop w:val="0"/>
          <w:marBottom w:val="600"/>
          <w:divBdr>
            <w:top w:val="none" w:sz="0" w:space="0" w:color="auto"/>
            <w:left w:val="none" w:sz="0" w:space="0" w:color="auto"/>
            <w:bottom w:val="none" w:sz="0" w:space="0" w:color="auto"/>
            <w:right w:val="none" w:sz="0" w:space="0" w:color="auto"/>
          </w:divBdr>
        </w:div>
      </w:divsChild>
    </w:div>
    <w:div w:id="1430346270">
      <w:marLeft w:val="0"/>
      <w:marRight w:val="0"/>
      <w:marTop w:val="0"/>
      <w:marBottom w:val="0"/>
      <w:divBdr>
        <w:top w:val="none" w:sz="0" w:space="0" w:color="auto"/>
        <w:left w:val="none" w:sz="0" w:space="0" w:color="auto"/>
        <w:bottom w:val="none" w:sz="0" w:space="0" w:color="auto"/>
        <w:right w:val="none" w:sz="0" w:space="0" w:color="auto"/>
      </w:divBdr>
      <w:divsChild>
        <w:div w:id="1639338047">
          <w:marLeft w:val="0"/>
          <w:marRight w:val="0"/>
          <w:marTop w:val="432"/>
          <w:marBottom w:val="0"/>
          <w:divBdr>
            <w:top w:val="none" w:sz="0" w:space="0" w:color="auto"/>
            <w:left w:val="none" w:sz="0" w:space="0" w:color="auto"/>
            <w:bottom w:val="none" w:sz="0" w:space="0" w:color="auto"/>
            <w:right w:val="none" w:sz="0" w:space="0" w:color="auto"/>
          </w:divBdr>
        </w:div>
        <w:div w:id="538082709">
          <w:marLeft w:val="0"/>
          <w:marRight w:val="0"/>
          <w:marTop w:val="0"/>
          <w:marBottom w:val="0"/>
          <w:divBdr>
            <w:top w:val="none" w:sz="0" w:space="0" w:color="auto"/>
            <w:left w:val="none" w:sz="0" w:space="0" w:color="auto"/>
            <w:bottom w:val="none" w:sz="0" w:space="0" w:color="auto"/>
            <w:right w:val="none" w:sz="0" w:space="0" w:color="auto"/>
          </w:divBdr>
        </w:div>
        <w:div w:id="1907491912">
          <w:marLeft w:val="0"/>
          <w:marRight w:val="0"/>
          <w:marTop w:val="0"/>
          <w:marBottom w:val="600"/>
          <w:divBdr>
            <w:top w:val="none" w:sz="0" w:space="0" w:color="auto"/>
            <w:left w:val="none" w:sz="0" w:space="0" w:color="auto"/>
            <w:bottom w:val="none" w:sz="0" w:space="0" w:color="auto"/>
            <w:right w:val="none" w:sz="0" w:space="0" w:color="auto"/>
          </w:divBdr>
        </w:div>
      </w:divsChild>
    </w:div>
    <w:div w:id="1455445097">
      <w:marLeft w:val="0"/>
      <w:marRight w:val="0"/>
      <w:marTop w:val="0"/>
      <w:marBottom w:val="0"/>
      <w:divBdr>
        <w:top w:val="none" w:sz="0" w:space="0" w:color="auto"/>
        <w:left w:val="none" w:sz="0" w:space="0" w:color="auto"/>
        <w:bottom w:val="none" w:sz="0" w:space="0" w:color="auto"/>
        <w:right w:val="none" w:sz="0" w:space="0" w:color="auto"/>
      </w:divBdr>
      <w:divsChild>
        <w:div w:id="1545672364">
          <w:marLeft w:val="0"/>
          <w:marRight w:val="0"/>
          <w:marTop w:val="432"/>
          <w:marBottom w:val="0"/>
          <w:divBdr>
            <w:top w:val="none" w:sz="0" w:space="0" w:color="auto"/>
            <w:left w:val="none" w:sz="0" w:space="0" w:color="auto"/>
            <w:bottom w:val="none" w:sz="0" w:space="0" w:color="auto"/>
            <w:right w:val="none" w:sz="0" w:space="0" w:color="auto"/>
          </w:divBdr>
        </w:div>
        <w:div w:id="1352681230">
          <w:marLeft w:val="0"/>
          <w:marRight w:val="0"/>
          <w:marTop w:val="0"/>
          <w:marBottom w:val="0"/>
          <w:divBdr>
            <w:top w:val="none" w:sz="0" w:space="0" w:color="auto"/>
            <w:left w:val="none" w:sz="0" w:space="0" w:color="auto"/>
            <w:bottom w:val="none" w:sz="0" w:space="0" w:color="auto"/>
            <w:right w:val="none" w:sz="0" w:space="0" w:color="auto"/>
          </w:divBdr>
        </w:div>
        <w:div w:id="2028554070">
          <w:marLeft w:val="0"/>
          <w:marRight w:val="0"/>
          <w:marTop w:val="0"/>
          <w:marBottom w:val="600"/>
          <w:divBdr>
            <w:top w:val="none" w:sz="0" w:space="0" w:color="auto"/>
            <w:left w:val="none" w:sz="0" w:space="0" w:color="auto"/>
            <w:bottom w:val="none" w:sz="0" w:space="0" w:color="auto"/>
            <w:right w:val="none" w:sz="0" w:space="0" w:color="auto"/>
          </w:divBdr>
        </w:div>
      </w:divsChild>
    </w:div>
    <w:div w:id="1465273771">
      <w:marLeft w:val="0"/>
      <w:marRight w:val="0"/>
      <w:marTop w:val="0"/>
      <w:marBottom w:val="0"/>
      <w:divBdr>
        <w:top w:val="none" w:sz="0" w:space="0" w:color="auto"/>
        <w:left w:val="none" w:sz="0" w:space="0" w:color="auto"/>
        <w:bottom w:val="none" w:sz="0" w:space="0" w:color="auto"/>
        <w:right w:val="none" w:sz="0" w:space="0" w:color="auto"/>
      </w:divBdr>
      <w:divsChild>
        <w:div w:id="498496636">
          <w:marLeft w:val="0"/>
          <w:marRight w:val="0"/>
          <w:marTop w:val="432"/>
          <w:marBottom w:val="0"/>
          <w:divBdr>
            <w:top w:val="none" w:sz="0" w:space="0" w:color="auto"/>
            <w:left w:val="none" w:sz="0" w:space="0" w:color="auto"/>
            <w:bottom w:val="none" w:sz="0" w:space="0" w:color="auto"/>
            <w:right w:val="none" w:sz="0" w:space="0" w:color="auto"/>
          </w:divBdr>
        </w:div>
        <w:div w:id="1735659281">
          <w:marLeft w:val="0"/>
          <w:marRight w:val="0"/>
          <w:marTop w:val="0"/>
          <w:marBottom w:val="0"/>
          <w:divBdr>
            <w:top w:val="none" w:sz="0" w:space="0" w:color="auto"/>
            <w:left w:val="none" w:sz="0" w:space="0" w:color="auto"/>
            <w:bottom w:val="none" w:sz="0" w:space="0" w:color="auto"/>
            <w:right w:val="none" w:sz="0" w:space="0" w:color="auto"/>
          </w:divBdr>
        </w:div>
        <w:div w:id="2141654946">
          <w:marLeft w:val="0"/>
          <w:marRight w:val="0"/>
          <w:marTop w:val="0"/>
          <w:marBottom w:val="600"/>
          <w:divBdr>
            <w:top w:val="none" w:sz="0" w:space="0" w:color="auto"/>
            <w:left w:val="none" w:sz="0" w:space="0" w:color="auto"/>
            <w:bottom w:val="none" w:sz="0" w:space="0" w:color="auto"/>
            <w:right w:val="none" w:sz="0" w:space="0" w:color="auto"/>
          </w:divBdr>
        </w:div>
      </w:divsChild>
    </w:div>
    <w:div w:id="1606157199">
      <w:marLeft w:val="0"/>
      <w:marRight w:val="0"/>
      <w:marTop w:val="0"/>
      <w:marBottom w:val="0"/>
      <w:divBdr>
        <w:top w:val="none" w:sz="0" w:space="0" w:color="auto"/>
        <w:left w:val="none" w:sz="0" w:space="0" w:color="auto"/>
        <w:bottom w:val="none" w:sz="0" w:space="0" w:color="auto"/>
        <w:right w:val="none" w:sz="0" w:space="0" w:color="auto"/>
      </w:divBdr>
      <w:divsChild>
        <w:div w:id="929122434">
          <w:marLeft w:val="0"/>
          <w:marRight w:val="0"/>
          <w:marTop w:val="432"/>
          <w:marBottom w:val="0"/>
          <w:divBdr>
            <w:top w:val="none" w:sz="0" w:space="0" w:color="auto"/>
            <w:left w:val="none" w:sz="0" w:space="0" w:color="auto"/>
            <w:bottom w:val="none" w:sz="0" w:space="0" w:color="auto"/>
            <w:right w:val="none" w:sz="0" w:space="0" w:color="auto"/>
          </w:divBdr>
        </w:div>
        <w:div w:id="795367950">
          <w:marLeft w:val="0"/>
          <w:marRight w:val="0"/>
          <w:marTop w:val="0"/>
          <w:marBottom w:val="0"/>
          <w:divBdr>
            <w:top w:val="none" w:sz="0" w:space="0" w:color="auto"/>
            <w:left w:val="none" w:sz="0" w:space="0" w:color="auto"/>
            <w:bottom w:val="none" w:sz="0" w:space="0" w:color="auto"/>
            <w:right w:val="none" w:sz="0" w:space="0" w:color="auto"/>
          </w:divBdr>
        </w:div>
        <w:div w:id="1779326071">
          <w:marLeft w:val="0"/>
          <w:marRight w:val="0"/>
          <w:marTop w:val="0"/>
          <w:marBottom w:val="600"/>
          <w:divBdr>
            <w:top w:val="none" w:sz="0" w:space="0" w:color="auto"/>
            <w:left w:val="none" w:sz="0" w:space="0" w:color="auto"/>
            <w:bottom w:val="none" w:sz="0" w:space="0" w:color="auto"/>
            <w:right w:val="none" w:sz="0" w:space="0" w:color="auto"/>
          </w:divBdr>
        </w:div>
      </w:divsChild>
    </w:div>
    <w:div w:id="1672023772">
      <w:marLeft w:val="0"/>
      <w:marRight w:val="0"/>
      <w:marTop w:val="0"/>
      <w:marBottom w:val="0"/>
      <w:divBdr>
        <w:top w:val="none" w:sz="0" w:space="0" w:color="auto"/>
        <w:left w:val="none" w:sz="0" w:space="0" w:color="auto"/>
        <w:bottom w:val="none" w:sz="0" w:space="0" w:color="auto"/>
        <w:right w:val="none" w:sz="0" w:space="0" w:color="auto"/>
      </w:divBdr>
      <w:divsChild>
        <w:div w:id="1831600868">
          <w:marLeft w:val="0"/>
          <w:marRight w:val="0"/>
          <w:marTop w:val="432"/>
          <w:marBottom w:val="0"/>
          <w:divBdr>
            <w:top w:val="none" w:sz="0" w:space="0" w:color="auto"/>
            <w:left w:val="none" w:sz="0" w:space="0" w:color="auto"/>
            <w:bottom w:val="none" w:sz="0" w:space="0" w:color="auto"/>
            <w:right w:val="none" w:sz="0" w:space="0" w:color="auto"/>
          </w:divBdr>
        </w:div>
        <w:div w:id="1447894271">
          <w:marLeft w:val="0"/>
          <w:marRight w:val="0"/>
          <w:marTop w:val="0"/>
          <w:marBottom w:val="0"/>
          <w:divBdr>
            <w:top w:val="none" w:sz="0" w:space="0" w:color="auto"/>
            <w:left w:val="none" w:sz="0" w:space="0" w:color="auto"/>
            <w:bottom w:val="none" w:sz="0" w:space="0" w:color="auto"/>
            <w:right w:val="none" w:sz="0" w:space="0" w:color="auto"/>
          </w:divBdr>
          <w:divsChild>
            <w:div w:id="1161311419">
              <w:marLeft w:val="0"/>
              <w:marRight w:val="0"/>
              <w:marTop w:val="0"/>
              <w:marBottom w:val="0"/>
              <w:divBdr>
                <w:top w:val="none" w:sz="0" w:space="0" w:color="auto"/>
                <w:left w:val="none" w:sz="0" w:space="0" w:color="auto"/>
                <w:bottom w:val="none" w:sz="0" w:space="0" w:color="auto"/>
                <w:right w:val="none" w:sz="0" w:space="0" w:color="auto"/>
              </w:divBdr>
              <w:divsChild>
                <w:div w:id="2005010788">
                  <w:marLeft w:val="0"/>
                  <w:marRight w:val="0"/>
                  <w:marTop w:val="0"/>
                  <w:marBottom w:val="0"/>
                  <w:divBdr>
                    <w:top w:val="none" w:sz="0" w:space="0" w:color="auto"/>
                    <w:left w:val="none" w:sz="0" w:space="0" w:color="auto"/>
                    <w:bottom w:val="none" w:sz="0" w:space="0" w:color="auto"/>
                    <w:right w:val="none" w:sz="0" w:space="0" w:color="auto"/>
                  </w:divBdr>
                </w:div>
              </w:divsChild>
            </w:div>
            <w:div w:id="619533281">
              <w:marLeft w:val="0"/>
              <w:marRight w:val="0"/>
              <w:marTop w:val="0"/>
              <w:marBottom w:val="0"/>
              <w:divBdr>
                <w:top w:val="none" w:sz="0" w:space="0" w:color="auto"/>
                <w:left w:val="none" w:sz="0" w:space="0" w:color="auto"/>
                <w:bottom w:val="none" w:sz="0" w:space="0" w:color="auto"/>
                <w:right w:val="none" w:sz="0" w:space="0" w:color="auto"/>
              </w:divBdr>
              <w:divsChild>
                <w:div w:id="182939303">
                  <w:marLeft w:val="0"/>
                  <w:marRight w:val="0"/>
                  <w:marTop w:val="0"/>
                  <w:marBottom w:val="0"/>
                  <w:divBdr>
                    <w:top w:val="none" w:sz="0" w:space="0" w:color="auto"/>
                    <w:left w:val="none" w:sz="0" w:space="0" w:color="auto"/>
                    <w:bottom w:val="none" w:sz="0" w:space="0" w:color="auto"/>
                    <w:right w:val="none" w:sz="0" w:space="0" w:color="auto"/>
                  </w:divBdr>
                </w:div>
              </w:divsChild>
            </w:div>
            <w:div w:id="338583112">
              <w:marLeft w:val="0"/>
              <w:marRight w:val="0"/>
              <w:marTop w:val="0"/>
              <w:marBottom w:val="0"/>
              <w:divBdr>
                <w:top w:val="none" w:sz="0" w:space="0" w:color="auto"/>
                <w:left w:val="none" w:sz="0" w:space="0" w:color="auto"/>
                <w:bottom w:val="none" w:sz="0" w:space="0" w:color="auto"/>
                <w:right w:val="none" w:sz="0" w:space="0" w:color="auto"/>
              </w:divBdr>
              <w:divsChild>
                <w:div w:id="1914778658">
                  <w:marLeft w:val="0"/>
                  <w:marRight w:val="0"/>
                  <w:marTop w:val="0"/>
                  <w:marBottom w:val="0"/>
                  <w:divBdr>
                    <w:top w:val="none" w:sz="0" w:space="0" w:color="auto"/>
                    <w:left w:val="none" w:sz="0" w:space="0" w:color="auto"/>
                    <w:bottom w:val="none" w:sz="0" w:space="0" w:color="auto"/>
                    <w:right w:val="none" w:sz="0" w:space="0" w:color="auto"/>
                  </w:divBdr>
                </w:div>
              </w:divsChild>
            </w:div>
            <w:div w:id="1405252122">
              <w:marLeft w:val="0"/>
              <w:marRight w:val="0"/>
              <w:marTop w:val="0"/>
              <w:marBottom w:val="0"/>
              <w:divBdr>
                <w:top w:val="none" w:sz="0" w:space="0" w:color="auto"/>
                <w:left w:val="none" w:sz="0" w:space="0" w:color="auto"/>
                <w:bottom w:val="none" w:sz="0" w:space="0" w:color="auto"/>
                <w:right w:val="none" w:sz="0" w:space="0" w:color="auto"/>
              </w:divBdr>
              <w:divsChild>
                <w:div w:id="423457749">
                  <w:marLeft w:val="0"/>
                  <w:marRight w:val="0"/>
                  <w:marTop w:val="0"/>
                  <w:marBottom w:val="0"/>
                  <w:divBdr>
                    <w:top w:val="none" w:sz="0" w:space="0" w:color="auto"/>
                    <w:left w:val="none" w:sz="0" w:space="0" w:color="auto"/>
                    <w:bottom w:val="none" w:sz="0" w:space="0" w:color="auto"/>
                    <w:right w:val="none" w:sz="0" w:space="0" w:color="auto"/>
                  </w:divBdr>
                </w:div>
              </w:divsChild>
            </w:div>
            <w:div w:id="1129666920">
              <w:marLeft w:val="0"/>
              <w:marRight w:val="0"/>
              <w:marTop w:val="0"/>
              <w:marBottom w:val="0"/>
              <w:divBdr>
                <w:top w:val="none" w:sz="0" w:space="0" w:color="auto"/>
                <w:left w:val="none" w:sz="0" w:space="0" w:color="auto"/>
                <w:bottom w:val="none" w:sz="0" w:space="0" w:color="auto"/>
                <w:right w:val="none" w:sz="0" w:space="0" w:color="auto"/>
              </w:divBdr>
              <w:divsChild>
                <w:div w:id="70473692">
                  <w:marLeft w:val="0"/>
                  <w:marRight w:val="0"/>
                  <w:marTop w:val="0"/>
                  <w:marBottom w:val="0"/>
                  <w:divBdr>
                    <w:top w:val="none" w:sz="0" w:space="0" w:color="auto"/>
                    <w:left w:val="none" w:sz="0" w:space="0" w:color="auto"/>
                    <w:bottom w:val="none" w:sz="0" w:space="0" w:color="auto"/>
                    <w:right w:val="none" w:sz="0" w:space="0" w:color="auto"/>
                  </w:divBdr>
                </w:div>
              </w:divsChild>
            </w:div>
            <w:div w:id="50269384">
              <w:marLeft w:val="0"/>
              <w:marRight w:val="0"/>
              <w:marTop w:val="0"/>
              <w:marBottom w:val="0"/>
              <w:divBdr>
                <w:top w:val="none" w:sz="0" w:space="0" w:color="auto"/>
                <w:left w:val="none" w:sz="0" w:space="0" w:color="auto"/>
                <w:bottom w:val="none" w:sz="0" w:space="0" w:color="auto"/>
                <w:right w:val="none" w:sz="0" w:space="0" w:color="auto"/>
              </w:divBdr>
              <w:divsChild>
                <w:div w:id="152181748">
                  <w:marLeft w:val="0"/>
                  <w:marRight w:val="0"/>
                  <w:marTop w:val="0"/>
                  <w:marBottom w:val="0"/>
                  <w:divBdr>
                    <w:top w:val="none" w:sz="0" w:space="0" w:color="auto"/>
                    <w:left w:val="none" w:sz="0" w:space="0" w:color="auto"/>
                    <w:bottom w:val="none" w:sz="0" w:space="0" w:color="auto"/>
                    <w:right w:val="none" w:sz="0" w:space="0" w:color="auto"/>
                  </w:divBdr>
                </w:div>
              </w:divsChild>
            </w:div>
            <w:div w:id="562060335">
              <w:marLeft w:val="0"/>
              <w:marRight w:val="0"/>
              <w:marTop w:val="0"/>
              <w:marBottom w:val="0"/>
              <w:divBdr>
                <w:top w:val="none" w:sz="0" w:space="0" w:color="auto"/>
                <w:left w:val="none" w:sz="0" w:space="0" w:color="auto"/>
                <w:bottom w:val="none" w:sz="0" w:space="0" w:color="auto"/>
                <w:right w:val="none" w:sz="0" w:space="0" w:color="auto"/>
              </w:divBdr>
              <w:divsChild>
                <w:div w:id="16955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328">
          <w:marLeft w:val="0"/>
          <w:marRight w:val="0"/>
          <w:marTop w:val="0"/>
          <w:marBottom w:val="600"/>
          <w:divBdr>
            <w:top w:val="none" w:sz="0" w:space="0" w:color="auto"/>
            <w:left w:val="none" w:sz="0" w:space="0" w:color="auto"/>
            <w:bottom w:val="none" w:sz="0" w:space="0" w:color="auto"/>
            <w:right w:val="none" w:sz="0" w:space="0" w:color="auto"/>
          </w:divBdr>
        </w:div>
      </w:divsChild>
    </w:div>
    <w:div w:id="1866601637">
      <w:marLeft w:val="0"/>
      <w:marRight w:val="0"/>
      <w:marTop w:val="0"/>
      <w:marBottom w:val="0"/>
      <w:divBdr>
        <w:top w:val="none" w:sz="0" w:space="0" w:color="auto"/>
        <w:left w:val="none" w:sz="0" w:space="0" w:color="auto"/>
        <w:bottom w:val="none" w:sz="0" w:space="0" w:color="auto"/>
        <w:right w:val="none" w:sz="0" w:space="0" w:color="auto"/>
      </w:divBdr>
      <w:divsChild>
        <w:div w:id="23796538">
          <w:marLeft w:val="0"/>
          <w:marRight w:val="0"/>
          <w:marTop w:val="432"/>
          <w:marBottom w:val="0"/>
          <w:divBdr>
            <w:top w:val="none" w:sz="0" w:space="0" w:color="auto"/>
            <w:left w:val="none" w:sz="0" w:space="0" w:color="auto"/>
            <w:bottom w:val="none" w:sz="0" w:space="0" w:color="auto"/>
            <w:right w:val="none" w:sz="0" w:space="0" w:color="auto"/>
          </w:divBdr>
        </w:div>
        <w:div w:id="519395377">
          <w:marLeft w:val="0"/>
          <w:marRight w:val="0"/>
          <w:marTop w:val="0"/>
          <w:marBottom w:val="0"/>
          <w:divBdr>
            <w:top w:val="none" w:sz="0" w:space="0" w:color="auto"/>
            <w:left w:val="none" w:sz="0" w:space="0" w:color="auto"/>
            <w:bottom w:val="none" w:sz="0" w:space="0" w:color="auto"/>
            <w:right w:val="none" w:sz="0" w:space="0" w:color="auto"/>
          </w:divBdr>
        </w:div>
        <w:div w:id="1895307048">
          <w:marLeft w:val="0"/>
          <w:marRight w:val="0"/>
          <w:marTop w:val="0"/>
          <w:marBottom w:val="600"/>
          <w:divBdr>
            <w:top w:val="none" w:sz="0" w:space="0" w:color="auto"/>
            <w:left w:val="none" w:sz="0" w:space="0" w:color="auto"/>
            <w:bottom w:val="none" w:sz="0" w:space="0" w:color="auto"/>
            <w:right w:val="none" w:sz="0" w:space="0" w:color="auto"/>
          </w:divBdr>
        </w:div>
      </w:divsChild>
    </w:div>
    <w:div w:id="1873881606">
      <w:marLeft w:val="0"/>
      <w:marRight w:val="0"/>
      <w:marTop w:val="0"/>
      <w:marBottom w:val="0"/>
      <w:divBdr>
        <w:top w:val="none" w:sz="0" w:space="0" w:color="auto"/>
        <w:left w:val="none" w:sz="0" w:space="0" w:color="auto"/>
        <w:bottom w:val="none" w:sz="0" w:space="0" w:color="auto"/>
        <w:right w:val="none" w:sz="0" w:space="0" w:color="auto"/>
      </w:divBdr>
      <w:divsChild>
        <w:div w:id="1172180801">
          <w:marLeft w:val="0"/>
          <w:marRight w:val="0"/>
          <w:marTop w:val="432"/>
          <w:marBottom w:val="0"/>
          <w:divBdr>
            <w:top w:val="none" w:sz="0" w:space="0" w:color="auto"/>
            <w:left w:val="none" w:sz="0" w:space="0" w:color="auto"/>
            <w:bottom w:val="none" w:sz="0" w:space="0" w:color="auto"/>
            <w:right w:val="none" w:sz="0" w:space="0" w:color="auto"/>
          </w:divBdr>
        </w:div>
        <w:div w:id="1501502803">
          <w:marLeft w:val="0"/>
          <w:marRight w:val="0"/>
          <w:marTop w:val="0"/>
          <w:marBottom w:val="0"/>
          <w:divBdr>
            <w:top w:val="none" w:sz="0" w:space="0" w:color="auto"/>
            <w:left w:val="none" w:sz="0" w:space="0" w:color="auto"/>
            <w:bottom w:val="none" w:sz="0" w:space="0" w:color="auto"/>
            <w:right w:val="none" w:sz="0" w:space="0" w:color="auto"/>
          </w:divBdr>
          <w:divsChild>
            <w:div w:id="2093310217">
              <w:marLeft w:val="0"/>
              <w:marRight w:val="0"/>
              <w:marTop w:val="0"/>
              <w:marBottom w:val="0"/>
              <w:divBdr>
                <w:top w:val="none" w:sz="0" w:space="0" w:color="auto"/>
                <w:left w:val="none" w:sz="0" w:space="0" w:color="auto"/>
                <w:bottom w:val="none" w:sz="0" w:space="0" w:color="auto"/>
                <w:right w:val="none" w:sz="0" w:space="0" w:color="auto"/>
              </w:divBdr>
              <w:divsChild>
                <w:div w:id="1095250173">
                  <w:marLeft w:val="0"/>
                  <w:marRight w:val="0"/>
                  <w:marTop w:val="0"/>
                  <w:marBottom w:val="0"/>
                  <w:divBdr>
                    <w:top w:val="none" w:sz="0" w:space="0" w:color="auto"/>
                    <w:left w:val="none" w:sz="0" w:space="0" w:color="auto"/>
                    <w:bottom w:val="none" w:sz="0" w:space="0" w:color="auto"/>
                    <w:right w:val="none" w:sz="0" w:space="0" w:color="auto"/>
                  </w:divBdr>
                </w:div>
              </w:divsChild>
            </w:div>
            <w:div w:id="1792480035">
              <w:marLeft w:val="0"/>
              <w:marRight w:val="0"/>
              <w:marTop w:val="0"/>
              <w:marBottom w:val="0"/>
              <w:divBdr>
                <w:top w:val="none" w:sz="0" w:space="0" w:color="auto"/>
                <w:left w:val="none" w:sz="0" w:space="0" w:color="auto"/>
                <w:bottom w:val="none" w:sz="0" w:space="0" w:color="auto"/>
                <w:right w:val="none" w:sz="0" w:space="0" w:color="auto"/>
              </w:divBdr>
              <w:divsChild>
                <w:div w:id="1303543122">
                  <w:marLeft w:val="0"/>
                  <w:marRight w:val="0"/>
                  <w:marTop w:val="0"/>
                  <w:marBottom w:val="0"/>
                  <w:divBdr>
                    <w:top w:val="none" w:sz="0" w:space="0" w:color="auto"/>
                    <w:left w:val="none" w:sz="0" w:space="0" w:color="auto"/>
                    <w:bottom w:val="none" w:sz="0" w:space="0" w:color="auto"/>
                    <w:right w:val="none" w:sz="0" w:space="0" w:color="auto"/>
                  </w:divBdr>
                </w:div>
              </w:divsChild>
            </w:div>
            <w:div w:id="1805346233">
              <w:marLeft w:val="0"/>
              <w:marRight w:val="0"/>
              <w:marTop w:val="0"/>
              <w:marBottom w:val="0"/>
              <w:divBdr>
                <w:top w:val="none" w:sz="0" w:space="0" w:color="auto"/>
                <w:left w:val="none" w:sz="0" w:space="0" w:color="auto"/>
                <w:bottom w:val="none" w:sz="0" w:space="0" w:color="auto"/>
                <w:right w:val="none" w:sz="0" w:space="0" w:color="auto"/>
              </w:divBdr>
              <w:divsChild>
                <w:div w:id="626669538">
                  <w:marLeft w:val="0"/>
                  <w:marRight w:val="0"/>
                  <w:marTop w:val="0"/>
                  <w:marBottom w:val="0"/>
                  <w:divBdr>
                    <w:top w:val="none" w:sz="0" w:space="0" w:color="auto"/>
                    <w:left w:val="none" w:sz="0" w:space="0" w:color="auto"/>
                    <w:bottom w:val="none" w:sz="0" w:space="0" w:color="auto"/>
                    <w:right w:val="none" w:sz="0" w:space="0" w:color="auto"/>
                  </w:divBdr>
                </w:div>
              </w:divsChild>
            </w:div>
            <w:div w:id="2066174626">
              <w:marLeft w:val="0"/>
              <w:marRight w:val="0"/>
              <w:marTop w:val="0"/>
              <w:marBottom w:val="0"/>
              <w:divBdr>
                <w:top w:val="none" w:sz="0" w:space="0" w:color="auto"/>
                <w:left w:val="none" w:sz="0" w:space="0" w:color="auto"/>
                <w:bottom w:val="none" w:sz="0" w:space="0" w:color="auto"/>
                <w:right w:val="none" w:sz="0" w:space="0" w:color="auto"/>
              </w:divBdr>
              <w:divsChild>
                <w:div w:id="4401078">
                  <w:marLeft w:val="0"/>
                  <w:marRight w:val="0"/>
                  <w:marTop w:val="0"/>
                  <w:marBottom w:val="0"/>
                  <w:divBdr>
                    <w:top w:val="none" w:sz="0" w:space="0" w:color="auto"/>
                    <w:left w:val="none" w:sz="0" w:space="0" w:color="auto"/>
                    <w:bottom w:val="none" w:sz="0" w:space="0" w:color="auto"/>
                    <w:right w:val="none" w:sz="0" w:space="0" w:color="auto"/>
                  </w:divBdr>
                </w:div>
              </w:divsChild>
            </w:div>
            <w:div w:id="311258743">
              <w:marLeft w:val="0"/>
              <w:marRight w:val="0"/>
              <w:marTop w:val="0"/>
              <w:marBottom w:val="0"/>
              <w:divBdr>
                <w:top w:val="none" w:sz="0" w:space="0" w:color="auto"/>
                <w:left w:val="none" w:sz="0" w:space="0" w:color="auto"/>
                <w:bottom w:val="none" w:sz="0" w:space="0" w:color="auto"/>
                <w:right w:val="none" w:sz="0" w:space="0" w:color="auto"/>
              </w:divBdr>
              <w:divsChild>
                <w:div w:id="850072347">
                  <w:marLeft w:val="0"/>
                  <w:marRight w:val="0"/>
                  <w:marTop w:val="0"/>
                  <w:marBottom w:val="0"/>
                  <w:divBdr>
                    <w:top w:val="none" w:sz="0" w:space="0" w:color="auto"/>
                    <w:left w:val="none" w:sz="0" w:space="0" w:color="auto"/>
                    <w:bottom w:val="none" w:sz="0" w:space="0" w:color="auto"/>
                    <w:right w:val="none" w:sz="0" w:space="0" w:color="auto"/>
                  </w:divBdr>
                </w:div>
              </w:divsChild>
            </w:div>
            <w:div w:id="523597095">
              <w:marLeft w:val="0"/>
              <w:marRight w:val="0"/>
              <w:marTop w:val="0"/>
              <w:marBottom w:val="0"/>
              <w:divBdr>
                <w:top w:val="none" w:sz="0" w:space="0" w:color="auto"/>
                <w:left w:val="none" w:sz="0" w:space="0" w:color="auto"/>
                <w:bottom w:val="none" w:sz="0" w:space="0" w:color="auto"/>
                <w:right w:val="none" w:sz="0" w:space="0" w:color="auto"/>
              </w:divBdr>
              <w:divsChild>
                <w:div w:id="2124105373">
                  <w:marLeft w:val="0"/>
                  <w:marRight w:val="0"/>
                  <w:marTop w:val="0"/>
                  <w:marBottom w:val="0"/>
                  <w:divBdr>
                    <w:top w:val="none" w:sz="0" w:space="0" w:color="auto"/>
                    <w:left w:val="none" w:sz="0" w:space="0" w:color="auto"/>
                    <w:bottom w:val="none" w:sz="0" w:space="0" w:color="auto"/>
                    <w:right w:val="none" w:sz="0" w:space="0" w:color="auto"/>
                  </w:divBdr>
                </w:div>
              </w:divsChild>
            </w:div>
            <w:div w:id="898248196">
              <w:marLeft w:val="0"/>
              <w:marRight w:val="0"/>
              <w:marTop w:val="0"/>
              <w:marBottom w:val="0"/>
              <w:divBdr>
                <w:top w:val="none" w:sz="0" w:space="0" w:color="auto"/>
                <w:left w:val="none" w:sz="0" w:space="0" w:color="auto"/>
                <w:bottom w:val="none" w:sz="0" w:space="0" w:color="auto"/>
                <w:right w:val="none" w:sz="0" w:space="0" w:color="auto"/>
              </w:divBdr>
              <w:divsChild>
                <w:div w:id="2002658037">
                  <w:marLeft w:val="0"/>
                  <w:marRight w:val="0"/>
                  <w:marTop w:val="0"/>
                  <w:marBottom w:val="0"/>
                  <w:divBdr>
                    <w:top w:val="none" w:sz="0" w:space="0" w:color="auto"/>
                    <w:left w:val="none" w:sz="0" w:space="0" w:color="auto"/>
                    <w:bottom w:val="none" w:sz="0" w:space="0" w:color="auto"/>
                    <w:right w:val="none" w:sz="0" w:space="0" w:color="auto"/>
                  </w:divBdr>
                </w:div>
              </w:divsChild>
            </w:div>
            <w:div w:id="1740247387">
              <w:marLeft w:val="0"/>
              <w:marRight w:val="0"/>
              <w:marTop w:val="0"/>
              <w:marBottom w:val="0"/>
              <w:divBdr>
                <w:top w:val="none" w:sz="0" w:space="0" w:color="auto"/>
                <w:left w:val="none" w:sz="0" w:space="0" w:color="auto"/>
                <w:bottom w:val="none" w:sz="0" w:space="0" w:color="auto"/>
                <w:right w:val="none" w:sz="0" w:space="0" w:color="auto"/>
              </w:divBdr>
              <w:divsChild>
                <w:div w:id="339049220">
                  <w:marLeft w:val="0"/>
                  <w:marRight w:val="0"/>
                  <w:marTop w:val="0"/>
                  <w:marBottom w:val="0"/>
                  <w:divBdr>
                    <w:top w:val="none" w:sz="0" w:space="0" w:color="auto"/>
                    <w:left w:val="none" w:sz="0" w:space="0" w:color="auto"/>
                    <w:bottom w:val="none" w:sz="0" w:space="0" w:color="auto"/>
                    <w:right w:val="none" w:sz="0" w:space="0" w:color="auto"/>
                  </w:divBdr>
                </w:div>
              </w:divsChild>
            </w:div>
            <w:div w:id="762844083">
              <w:marLeft w:val="0"/>
              <w:marRight w:val="0"/>
              <w:marTop w:val="0"/>
              <w:marBottom w:val="0"/>
              <w:divBdr>
                <w:top w:val="none" w:sz="0" w:space="0" w:color="auto"/>
                <w:left w:val="none" w:sz="0" w:space="0" w:color="auto"/>
                <w:bottom w:val="none" w:sz="0" w:space="0" w:color="auto"/>
                <w:right w:val="none" w:sz="0" w:space="0" w:color="auto"/>
              </w:divBdr>
              <w:divsChild>
                <w:div w:id="1294559134">
                  <w:marLeft w:val="0"/>
                  <w:marRight w:val="0"/>
                  <w:marTop w:val="0"/>
                  <w:marBottom w:val="0"/>
                  <w:divBdr>
                    <w:top w:val="none" w:sz="0" w:space="0" w:color="auto"/>
                    <w:left w:val="none" w:sz="0" w:space="0" w:color="auto"/>
                    <w:bottom w:val="none" w:sz="0" w:space="0" w:color="auto"/>
                    <w:right w:val="none" w:sz="0" w:space="0" w:color="auto"/>
                  </w:divBdr>
                </w:div>
              </w:divsChild>
            </w:div>
            <w:div w:id="186138299">
              <w:marLeft w:val="0"/>
              <w:marRight w:val="0"/>
              <w:marTop w:val="0"/>
              <w:marBottom w:val="0"/>
              <w:divBdr>
                <w:top w:val="none" w:sz="0" w:space="0" w:color="auto"/>
                <w:left w:val="none" w:sz="0" w:space="0" w:color="auto"/>
                <w:bottom w:val="none" w:sz="0" w:space="0" w:color="auto"/>
                <w:right w:val="none" w:sz="0" w:space="0" w:color="auto"/>
              </w:divBdr>
              <w:divsChild>
                <w:div w:id="1018461717">
                  <w:marLeft w:val="0"/>
                  <w:marRight w:val="0"/>
                  <w:marTop w:val="0"/>
                  <w:marBottom w:val="0"/>
                  <w:divBdr>
                    <w:top w:val="none" w:sz="0" w:space="0" w:color="auto"/>
                    <w:left w:val="none" w:sz="0" w:space="0" w:color="auto"/>
                    <w:bottom w:val="none" w:sz="0" w:space="0" w:color="auto"/>
                    <w:right w:val="none" w:sz="0" w:space="0" w:color="auto"/>
                  </w:divBdr>
                </w:div>
              </w:divsChild>
            </w:div>
            <w:div w:id="1578320082">
              <w:marLeft w:val="0"/>
              <w:marRight w:val="0"/>
              <w:marTop w:val="0"/>
              <w:marBottom w:val="0"/>
              <w:divBdr>
                <w:top w:val="none" w:sz="0" w:space="0" w:color="auto"/>
                <w:left w:val="none" w:sz="0" w:space="0" w:color="auto"/>
                <w:bottom w:val="none" w:sz="0" w:space="0" w:color="auto"/>
                <w:right w:val="none" w:sz="0" w:space="0" w:color="auto"/>
              </w:divBdr>
              <w:divsChild>
                <w:div w:id="702291402">
                  <w:marLeft w:val="0"/>
                  <w:marRight w:val="0"/>
                  <w:marTop w:val="0"/>
                  <w:marBottom w:val="0"/>
                  <w:divBdr>
                    <w:top w:val="none" w:sz="0" w:space="0" w:color="auto"/>
                    <w:left w:val="none" w:sz="0" w:space="0" w:color="auto"/>
                    <w:bottom w:val="none" w:sz="0" w:space="0" w:color="auto"/>
                    <w:right w:val="none" w:sz="0" w:space="0" w:color="auto"/>
                  </w:divBdr>
                </w:div>
              </w:divsChild>
            </w:div>
            <w:div w:id="786389422">
              <w:marLeft w:val="0"/>
              <w:marRight w:val="0"/>
              <w:marTop w:val="0"/>
              <w:marBottom w:val="0"/>
              <w:divBdr>
                <w:top w:val="none" w:sz="0" w:space="0" w:color="auto"/>
                <w:left w:val="none" w:sz="0" w:space="0" w:color="auto"/>
                <w:bottom w:val="none" w:sz="0" w:space="0" w:color="auto"/>
                <w:right w:val="none" w:sz="0" w:space="0" w:color="auto"/>
              </w:divBdr>
              <w:divsChild>
                <w:div w:id="1355422116">
                  <w:marLeft w:val="0"/>
                  <w:marRight w:val="0"/>
                  <w:marTop w:val="0"/>
                  <w:marBottom w:val="0"/>
                  <w:divBdr>
                    <w:top w:val="none" w:sz="0" w:space="0" w:color="auto"/>
                    <w:left w:val="none" w:sz="0" w:space="0" w:color="auto"/>
                    <w:bottom w:val="none" w:sz="0" w:space="0" w:color="auto"/>
                    <w:right w:val="none" w:sz="0" w:space="0" w:color="auto"/>
                  </w:divBdr>
                </w:div>
              </w:divsChild>
            </w:div>
            <w:div w:id="725222621">
              <w:marLeft w:val="0"/>
              <w:marRight w:val="0"/>
              <w:marTop w:val="0"/>
              <w:marBottom w:val="0"/>
              <w:divBdr>
                <w:top w:val="none" w:sz="0" w:space="0" w:color="auto"/>
                <w:left w:val="none" w:sz="0" w:space="0" w:color="auto"/>
                <w:bottom w:val="none" w:sz="0" w:space="0" w:color="auto"/>
                <w:right w:val="none" w:sz="0" w:space="0" w:color="auto"/>
              </w:divBdr>
              <w:divsChild>
                <w:div w:id="437258629">
                  <w:marLeft w:val="0"/>
                  <w:marRight w:val="0"/>
                  <w:marTop w:val="0"/>
                  <w:marBottom w:val="0"/>
                  <w:divBdr>
                    <w:top w:val="none" w:sz="0" w:space="0" w:color="auto"/>
                    <w:left w:val="none" w:sz="0" w:space="0" w:color="auto"/>
                    <w:bottom w:val="none" w:sz="0" w:space="0" w:color="auto"/>
                    <w:right w:val="none" w:sz="0" w:space="0" w:color="auto"/>
                  </w:divBdr>
                </w:div>
              </w:divsChild>
            </w:div>
            <w:div w:id="1759400951">
              <w:marLeft w:val="0"/>
              <w:marRight w:val="0"/>
              <w:marTop w:val="0"/>
              <w:marBottom w:val="0"/>
              <w:divBdr>
                <w:top w:val="none" w:sz="0" w:space="0" w:color="auto"/>
                <w:left w:val="none" w:sz="0" w:space="0" w:color="auto"/>
                <w:bottom w:val="none" w:sz="0" w:space="0" w:color="auto"/>
                <w:right w:val="none" w:sz="0" w:space="0" w:color="auto"/>
              </w:divBdr>
              <w:divsChild>
                <w:div w:id="363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4139">
          <w:marLeft w:val="0"/>
          <w:marRight w:val="0"/>
          <w:marTop w:val="0"/>
          <w:marBottom w:val="600"/>
          <w:divBdr>
            <w:top w:val="none" w:sz="0" w:space="0" w:color="auto"/>
            <w:left w:val="none" w:sz="0" w:space="0" w:color="auto"/>
            <w:bottom w:val="none" w:sz="0" w:space="0" w:color="auto"/>
            <w:right w:val="none" w:sz="0" w:space="0" w:color="auto"/>
          </w:divBdr>
        </w:div>
      </w:divsChild>
    </w:div>
    <w:div w:id="1879778043">
      <w:marLeft w:val="0"/>
      <w:marRight w:val="0"/>
      <w:marTop w:val="0"/>
      <w:marBottom w:val="0"/>
      <w:divBdr>
        <w:top w:val="none" w:sz="0" w:space="0" w:color="auto"/>
        <w:left w:val="none" w:sz="0" w:space="0" w:color="auto"/>
        <w:bottom w:val="none" w:sz="0" w:space="0" w:color="auto"/>
        <w:right w:val="none" w:sz="0" w:space="0" w:color="auto"/>
      </w:divBdr>
      <w:divsChild>
        <w:div w:id="1099518882">
          <w:marLeft w:val="0"/>
          <w:marRight w:val="0"/>
          <w:marTop w:val="432"/>
          <w:marBottom w:val="0"/>
          <w:divBdr>
            <w:top w:val="none" w:sz="0" w:space="0" w:color="auto"/>
            <w:left w:val="none" w:sz="0" w:space="0" w:color="auto"/>
            <w:bottom w:val="none" w:sz="0" w:space="0" w:color="auto"/>
            <w:right w:val="none" w:sz="0" w:space="0" w:color="auto"/>
          </w:divBdr>
        </w:div>
        <w:div w:id="368727410">
          <w:marLeft w:val="0"/>
          <w:marRight w:val="0"/>
          <w:marTop w:val="0"/>
          <w:marBottom w:val="0"/>
          <w:divBdr>
            <w:top w:val="none" w:sz="0" w:space="0" w:color="auto"/>
            <w:left w:val="none" w:sz="0" w:space="0" w:color="auto"/>
            <w:bottom w:val="none" w:sz="0" w:space="0" w:color="auto"/>
            <w:right w:val="none" w:sz="0" w:space="0" w:color="auto"/>
          </w:divBdr>
        </w:div>
        <w:div w:id="551043153">
          <w:marLeft w:val="0"/>
          <w:marRight w:val="0"/>
          <w:marTop w:val="0"/>
          <w:marBottom w:val="600"/>
          <w:divBdr>
            <w:top w:val="none" w:sz="0" w:space="0" w:color="auto"/>
            <w:left w:val="none" w:sz="0" w:space="0" w:color="auto"/>
            <w:bottom w:val="none" w:sz="0" w:space="0" w:color="auto"/>
            <w:right w:val="none" w:sz="0" w:space="0" w:color="auto"/>
          </w:divBdr>
        </w:div>
      </w:divsChild>
    </w:div>
    <w:div w:id="1893423686">
      <w:marLeft w:val="0"/>
      <w:marRight w:val="0"/>
      <w:marTop w:val="0"/>
      <w:marBottom w:val="0"/>
      <w:divBdr>
        <w:top w:val="none" w:sz="0" w:space="0" w:color="auto"/>
        <w:left w:val="none" w:sz="0" w:space="0" w:color="auto"/>
        <w:bottom w:val="none" w:sz="0" w:space="0" w:color="auto"/>
        <w:right w:val="none" w:sz="0" w:space="0" w:color="auto"/>
      </w:divBdr>
      <w:divsChild>
        <w:div w:id="1654947763">
          <w:marLeft w:val="0"/>
          <w:marRight w:val="0"/>
          <w:marTop w:val="432"/>
          <w:marBottom w:val="0"/>
          <w:divBdr>
            <w:top w:val="none" w:sz="0" w:space="0" w:color="auto"/>
            <w:left w:val="none" w:sz="0" w:space="0" w:color="auto"/>
            <w:bottom w:val="none" w:sz="0" w:space="0" w:color="auto"/>
            <w:right w:val="none" w:sz="0" w:space="0" w:color="auto"/>
          </w:divBdr>
        </w:div>
        <w:div w:id="229777727">
          <w:marLeft w:val="0"/>
          <w:marRight w:val="0"/>
          <w:marTop w:val="0"/>
          <w:marBottom w:val="0"/>
          <w:divBdr>
            <w:top w:val="none" w:sz="0" w:space="0" w:color="auto"/>
            <w:left w:val="none" w:sz="0" w:space="0" w:color="auto"/>
            <w:bottom w:val="none" w:sz="0" w:space="0" w:color="auto"/>
            <w:right w:val="none" w:sz="0" w:space="0" w:color="auto"/>
          </w:divBdr>
          <w:divsChild>
            <w:div w:id="812021856">
              <w:marLeft w:val="0"/>
              <w:marRight w:val="0"/>
              <w:marTop w:val="0"/>
              <w:marBottom w:val="0"/>
              <w:divBdr>
                <w:top w:val="none" w:sz="0" w:space="0" w:color="auto"/>
                <w:left w:val="none" w:sz="0" w:space="0" w:color="auto"/>
                <w:bottom w:val="none" w:sz="0" w:space="0" w:color="auto"/>
                <w:right w:val="none" w:sz="0" w:space="0" w:color="auto"/>
              </w:divBdr>
              <w:divsChild>
                <w:div w:id="521624313">
                  <w:marLeft w:val="0"/>
                  <w:marRight w:val="0"/>
                  <w:marTop w:val="0"/>
                  <w:marBottom w:val="0"/>
                  <w:divBdr>
                    <w:top w:val="none" w:sz="0" w:space="0" w:color="auto"/>
                    <w:left w:val="none" w:sz="0" w:space="0" w:color="auto"/>
                    <w:bottom w:val="none" w:sz="0" w:space="0" w:color="auto"/>
                    <w:right w:val="none" w:sz="0" w:space="0" w:color="auto"/>
                  </w:divBdr>
                </w:div>
              </w:divsChild>
            </w:div>
            <w:div w:id="277027523">
              <w:marLeft w:val="0"/>
              <w:marRight w:val="0"/>
              <w:marTop w:val="0"/>
              <w:marBottom w:val="0"/>
              <w:divBdr>
                <w:top w:val="none" w:sz="0" w:space="0" w:color="auto"/>
                <w:left w:val="none" w:sz="0" w:space="0" w:color="auto"/>
                <w:bottom w:val="none" w:sz="0" w:space="0" w:color="auto"/>
                <w:right w:val="none" w:sz="0" w:space="0" w:color="auto"/>
              </w:divBdr>
              <w:divsChild>
                <w:div w:id="813571772">
                  <w:marLeft w:val="0"/>
                  <w:marRight w:val="0"/>
                  <w:marTop w:val="0"/>
                  <w:marBottom w:val="0"/>
                  <w:divBdr>
                    <w:top w:val="none" w:sz="0" w:space="0" w:color="auto"/>
                    <w:left w:val="none" w:sz="0" w:space="0" w:color="auto"/>
                    <w:bottom w:val="none" w:sz="0" w:space="0" w:color="auto"/>
                    <w:right w:val="none" w:sz="0" w:space="0" w:color="auto"/>
                  </w:divBdr>
                </w:div>
              </w:divsChild>
            </w:div>
            <w:div w:id="1676376976">
              <w:marLeft w:val="0"/>
              <w:marRight w:val="0"/>
              <w:marTop w:val="0"/>
              <w:marBottom w:val="0"/>
              <w:divBdr>
                <w:top w:val="none" w:sz="0" w:space="0" w:color="auto"/>
                <w:left w:val="none" w:sz="0" w:space="0" w:color="auto"/>
                <w:bottom w:val="none" w:sz="0" w:space="0" w:color="auto"/>
                <w:right w:val="none" w:sz="0" w:space="0" w:color="auto"/>
              </w:divBdr>
              <w:divsChild>
                <w:div w:id="786461373">
                  <w:marLeft w:val="0"/>
                  <w:marRight w:val="0"/>
                  <w:marTop w:val="0"/>
                  <w:marBottom w:val="0"/>
                  <w:divBdr>
                    <w:top w:val="none" w:sz="0" w:space="0" w:color="auto"/>
                    <w:left w:val="none" w:sz="0" w:space="0" w:color="auto"/>
                    <w:bottom w:val="none" w:sz="0" w:space="0" w:color="auto"/>
                    <w:right w:val="none" w:sz="0" w:space="0" w:color="auto"/>
                  </w:divBdr>
                </w:div>
              </w:divsChild>
            </w:div>
            <w:div w:id="2042630364">
              <w:marLeft w:val="0"/>
              <w:marRight w:val="0"/>
              <w:marTop w:val="0"/>
              <w:marBottom w:val="0"/>
              <w:divBdr>
                <w:top w:val="none" w:sz="0" w:space="0" w:color="auto"/>
                <w:left w:val="none" w:sz="0" w:space="0" w:color="auto"/>
                <w:bottom w:val="none" w:sz="0" w:space="0" w:color="auto"/>
                <w:right w:val="none" w:sz="0" w:space="0" w:color="auto"/>
              </w:divBdr>
              <w:divsChild>
                <w:div w:id="1742144412">
                  <w:marLeft w:val="0"/>
                  <w:marRight w:val="0"/>
                  <w:marTop w:val="0"/>
                  <w:marBottom w:val="0"/>
                  <w:divBdr>
                    <w:top w:val="none" w:sz="0" w:space="0" w:color="auto"/>
                    <w:left w:val="none" w:sz="0" w:space="0" w:color="auto"/>
                    <w:bottom w:val="none" w:sz="0" w:space="0" w:color="auto"/>
                    <w:right w:val="none" w:sz="0" w:space="0" w:color="auto"/>
                  </w:divBdr>
                </w:div>
              </w:divsChild>
            </w:div>
            <w:div w:id="2123761800">
              <w:marLeft w:val="0"/>
              <w:marRight w:val="0"/>
              <w:marTop w:val="0"/>
              <w:marBottom w:val="0"/>
              <w:divBdr>
                <w:top w:val="none" w:sz="0" w:space="0" w:color="auto"/>
                <w:left w:val="none" w:sz="0" w:space="0" w:color="auto"/>
                <w:bottom w:val="none" w:sz="0" w:space="0" w:color="auto"/>
                <w:right w:val="none" w:sz="0" w:space="0" w:color="auto"/>
              </w:divBdr>
              <w:divsChild>
                <w:div w:id="1576012754">
                  <w:marLeft w:val="0"/>
                  <w:marRight w:val="0"/>
                  <w:marTop w:val="0"/>
                  <w:marBottom w:val="0"/>
                  <w:divBdr>
                    <w:top w:val="none" w:sz="0" w:space="0" w:color="auto"/>
                    <w:left w:val="none" w:sz="0" w:space="0" w:color="auto"/>
                    <w:bottom w:val="none" w:sz="0" w:space="0" w:color="auto"/>
                    <w:right w:val="none" w:sz="0" w:space="0" w:color="auto"/>
                  </w:divBdr>
                </w:div>
              </w:divsChild>
            </w:div>
            <w:div w:id="525101992">
              <w:marLeft w:val="0"/>
              <w:marRight w:val="0"/>
              <w:marTop w:val="0"/>
              <w:marBottom w:val="0"/>
              <w:divBdr>
                <w:top w:val="none" w:sz="0" w:space="0" w:color="auto"/>
                <w:left w:val="none" w:sz="0" w:space="0" w:color="auto"/>
                <w:bottom w:val="none" w:sz="0" w:space="0" w:color="auto"/>
                <w:right w:val="none" w:sz="0" w:space="0" w:color="auto"/>
              </w:divBdr>
              <w:divsChild>
                <w:div w:id="1651323548">
                  <w:marLeft w:val="0"/>
                  <w:marRight w:val="0"/>
                  <w:marTop w:val="0"/>
                  <w:marBottom w:val="0"/>
                  <w:divBdr>
                    <w:top w:val="none" w:sz="0" w:space="0" w:color="auto"/>
                    <w:left w:val="none" w:sz="0" w:space="0" w:color="auto"/>
                    <w:bottom w:val="none" w:sz="0" w:space="0" w:color="auto"/>
                    <w:right w:val="none" w:sz="0" w:space="0" w:color="auto"/>
                  </w:divBdr>
                </w:div>
              </w:divsChild>
            </w:div>
            <w:div w:id="304355653">
              <w:marLeft w:val="0"/>
              <w:marRight w:val="0"/>
              <w:marTop w:val="0"/>
              <w:marBottom w:val="0"/>
              <w:divBdr>
                <w:top w:val="none" w:sz="0" w:space="0" w:color="auto"/>
                <w:left w:val="none" w:sz="0" w:space="0" w:color="auto"/>
                <w:bottom w:val="none" w:sz="0" w:space="0" w:color="auto"/>
                <w:right w:val="none" w:sz="0" w:space="0" w:color="auto"/>
              </w:divBdr>
              <w:divsChild>
                <w:div w:id="807359244">
                  <w:marLeft w:val="0"/>
                  <w:marRight w:val="0"/>
                  <w:marTop w:val="0"/>
                  <w:marBottom w:val="0"/>
                  <w:divBdr>
                    <w:top w:val="none" w:sz="0" w:space="0" w:color="auto"/>
                    <w:left w:val="none" w:sz="0" w:space="0" w:color="auto"/>
                    <w:bottom w:val="none" w:sz="0" w:space="0" w:color="auto"/>
                    <w:right w:val="none" w:sz="0" w:space="0" w:color="auto"/>
                  </w:divBdr>
                </w:div>
              </w:divsChild>
            </w:div>
            <w:div w:id="1896548306">
              <w:marLeft w:val="0"/>
              <w:marRight w:val="0"/>
              <w:marTop w:val="0"/>
              <w:marBottom w:val="0"/>
              <w:divBdr>
                <w:top w:val="none" w:sz="0" w:space="0" w:color="auto"/>
                <w:left w:val="none" w:sz="0" w:space="0" w:color="auto"/>
                <w:bottom w:val="none" w:sz="0" w:space="0" w:color="auto"/>
                <w:right w:val="none" w:sz="0" w:space="0" w:color="auto"/>
              </w:divBdr>
              <w:divsChild>
                <w:div w:id="2093814795">
                  <w:marLeft w:val="0"/>
                  <w:marRight w:val="0"/>
                  <w:marTop w:val="0"/>
                  <w:marBottom w:val="0"/>
                  <w:divBdr>
                    <w:top w:val="none" w:sz="0" w:space="0" w:color="auto"/>
                    <w:left w:val="none" w:sz="0" w:space="0" w:color="auto"/>
                    <w:bottom w:val="none" w:sz="0" w:space="0" w:color="auto"/>
                    <w:right w:val="none" w:sz="0" w:space="0" w:color="auto"/>
                  </w:divBdr>
                </w:div>
              </w:divsChild>
            </w:div>
            <w:div w:id="79330670">
              <w:marLeft w:val="0"/>
              <w:marRight w:val="0"/>
              <w:marTop w:val="0"/>
              <w:marBottom w:val="0"/>
              <w:divBdr>
                <w:top w:val="none" w:sz="0" w:space="0" w:color="auto"/>
                <w:left w:val="none" w:sz="0" w:space="0" w:color="auto"/>
                <w:bottom w:val="none" w:sz="0" w:space="0" w:color="auto"/>
                <w:right w:val="none" w:sz="0" w:space="0" w:color="auto"/>
              </w:divBdr>
              <w:divsChild>
                <w:div w:id="81490048">
                  <w:marLeft w:val="0"/>
                  <w:marRight w:val="0"/>
                  <w:marTop w:val="0"/>
                  <w:marBottom w:val="0"/>
                  <w:divBdr>
                    <w:top w:val="none" w:sz="0" w:space="0" w:color="auto"/>
                    <w:left w:val="none" w:sz="0" w:space="0" w:color="auto"/>
                    <w:bottom w:val="none" w:sz="0" w:space="0" w:color="auto"/>
                    <w:right w:val="none" w:sz="0" w:space="0" w:color="auto"/>
                  </w:divBdr>
                </w:div>
              </w:divsChild>
            </w:div>
            <w:div w:id="970327125">
              <w:marLeft w:val="0"/>
              <w:marRight w:val="0"/>
              <w:marTop w:val="0"/>
              <w:marBottom w:val="0"/>
              <w:divBdr>
                <w:top w:val="none" w:sz="0" w:space="0" w:color="auto"/>
                <w:left w:val="none" w:sz="0" w:space="0" w:color="auto"/>
                <w:bottom w:val="none" w:sz="0" w:space="0" w:color="auto"/>
                <w:right w:val="none" w:sz="0" w:space="0" w:color="auto"/>
              </w:divBdr>
              <w:divsChild>
                <w:div w:id="401949098">
                  <w:marLeft w:val="0"/>
                  <w:marRight w:val="0"/>
                  <w:marTop w:val="0"/>
                  <w:marBottom w:val="0"/>
                  <w:divBdr>
                    <w:top w:val="none" w:sz="0" w:space="0" w:color="auto"/>
                    <w:left w:val="none" w:sz="0" w:space="0" w:color="auto"/>
                    <w:bottom w:val="none" w:sz="0" w:space="0" w:color="auto"/>
                    <w:right w:val="none" w:sz="0" w:space="0" w:color="auto"/>
                  </w:divBdr>
                </w:div>
              </w:divsChild>
            </w:div>
            <w:div w:id="103308305">
              <w:marLeft w:val="0"/>
              <w:marRight w:val="0"/>
              <w:marTop w:val="0"/>
              <w:marBottom w:val="0"/>
              <w:divBdr>
                <w:top w:val="none" w:sz="0" w:space="0" w:color="auto"/>
                <w:left w:val="none" w:sz="0" w:space="0" w:color="auto"/>
                <w:bottom w:val="none" w:sz="0" w:space="0" w:color="auto"/>
                <w:right w:val="none" w:sz="0" w:space="0" w:color="auto"/>
              </w:divBdr>
              <w:divsChild>
                <w:div w:id="1121657071">
                  <w:marLeft w:val="0"/>
                  <w:marRight w:val="0"/>
                  <w:marTop w:val="0"/>
                  <w:marBottom w:val="0"/>
                  <w:divBdr>
                    <w:top w:val="none" w:sz="0" w:space="0" w:color="auto"/>
                    <w:left w:val="none" w:sz="0" w:space="0" w:color="auto"/>
                    <w:bottom w:val="none" w:sz="0" w:space="0" w:color="auto"/>
                    <w:right w:val="none" w:sz="0" w:space="0" w:color="auto"/>
                  </w:divBdr>
                </w:div>
              </w:divsChild>
            </w:div>
            <w:div w:id="579559121">
              <w:marLeft w:val="0"/>
              <w:marRight w:val="0"/>
              <w:marTop w:val="0"/>
              <w:marBottom w:val="0"/>
              <w:divBdr>
                <w:top w:val="none" w:sz="0" w:space="0" w:color="auto"/>
                <w:left w:val="none" w:sz="0" w:space="0" w:color="auto"/>
                <w:bottom w:val="none" w:sz="0" w:space="0" w:color="auto"/>
                <w:right w:val="none" w:sz="0" w:space="0" w:color="auto"/>
              </w:divBdr>
              <w:divsChild>
                <w:div w:id="755901296">
                  <w:marLeft w:val="0"/>
                  <w:marRight w:val="0"/>
                  <w:marTop w:val="0"/>
                  <w:marBottom w:val="0"/>
                  <w:divBdr>
                    <w:top w:val="none" w:sz="0" w:space="0" w:color="auto"/>
                    <w:left w:val="none" w:sz="0" w:space="0" w:color="auto"/>
                    <w:bottom w:val="none" w:sz="0" w:space="0" w:color="auto"/>
                    <w:right w:val="none" w:sz="0" w:space="0" w:color="auto"/>
                  </w:divBdr>
                </w:div>
              </w:divsChild>
            </w:div>
            <w:div w:id="127356753">
              <w:marLeft w:val="0"/>
              <w:marRight w:val="0"/>
              <w:marTop w:val="0"/>
              <w:marBottom w:val="0"/>
              <w:divBdr>
                <w:top w:val="none" w:sz="0" w:space="0" w:color="auto"/>
                <w:left w:val="none" w:sz="0" w:space="0" w:color="auto"/>
                <w:bottom w:val="none" w:sz="0" w:space="0" w:color="auto"/>
                <w:right w:val="none" w:sz="0" w:space="0" w:color="auto"/>
              </w:divBdr>
              <w:divsChild>
                <w:div w:id="152530862">
                  <w:marLeft w:val="0"/>
                  <w:marRight w:val="0"/>
                  <w:marTop w:val="0"/>
                  <w:marBottom w:val="0"/>
                  <w:divBdr>
                    <w:top w:val="none" w:sz="0" w:space="0" w:color="auto"/>
                    <w:left w:val="none" w:sz="0" w:space="0" w:color="auto"/>
                    <w:bottom w:val="none" w:sz="0" w:space="0" w:color="auto"/>
                    <w:right w:val="none" w:sz="0" w:space="0" w:color="auto"/>
                  </w:divBdr>
                </w:div>
              </w:divsChild>
            </w:div>
            <w:div w:id="2083410613">
              <w:marLeft w:val="0"/>
              <w:marRight w:val="0"/>
              <w:marTop w:val="0"/>
              <w:marBottom w:val="0"/>
              <w:divBdr>
                <w:top w:val="none" w:sz="0" w:space="0" w:color="auto"/>
                <w:left w:val="none" w:sz="0" w:space="0" w:color="auto"/>
                <w:bottom w:val="none" w:sz="0" w:space="0" w:color="auto"/>
                <w:right w:val="none" w:sz="0" w:space="0" w:color="auto"/>
              </w:divBdr>
              <w:divsChild>
                <w:div w:id="2063165537">
                  <w:marLeft w:val="0"/>
                  <w:marRight w:val="0"/>
                  <w:marTop w:val="0"/>
                  <w:marBottom w:val="0"/>
                  <w:divBdr>
                    <w:top w:val="none" w:sz="0" w:space="0" w:color="auto"/>
                    <w:left w:val="none" w:sz="0" w:space="0" w:color="auto"/>
                    <w:bottom w:val="none" w:sz="0" w:space="0" w:color="auto"/>
                    <w:right w:val="none" w:sz="0" w:space="0" w:color="auto"/>
                  </w:divBdr>
                </w:div>
              </w:divsChild>
            </w:div>
            <w:div w:id="818885874">
              <w:marLeft w:val="0"/>
              <w:marRight w:val="0"/>
              <w:marTop w:val="0"/>
              <w:marBottom w:val="0"/>
              <w:divBdr>
                <w:top w:val="none" w:sz="0" w:space="0" w:color="auto"/>
                <w:left w:val="none" w:sz="0" w:space="0" w:color="auto"/>
                <w:bottom w:val="none" w:sz="0" w:space="0" w:color="auto"/>
                <w:right w:val="none" w:sz="0" w:space="0" w:color="auto"/>
              </w:divBdr>
              <w:divsChild>
                <w:div w:id="287856160">
                  <w:marLeft w:val="0"/>
                  <w:marRight w:val="0"/>
                  <w:marTop w:val="0"/>
                  <w:marBottom w:val="0"/>
                  <w:divBdr>
                    <w:top w:val="none" w:sz="0" w:space="0" w:color="auto"/>
                    <w:left w:val="none" w:sz="0" w:space="0" w:color="auto"/>
                    <w:bottom w:val="none" w:sz="0" w:space="0" w:color="auto"/>
                    <w:right w:val="none" w:sz="0" w:space="0" w:color="auto"/>
                  </w:divBdr>
                </w:div>
              </w:divsChild>
            </w:div>
            <w:div w:id="1642420819">
              <w:marLeft w:val="0"/>
              <w:marRight w:val="0"/>
              <w:marTop w:val="0"/>
              <w:marBottom w:val="0"/>
              <w:divBdr>
                <w:top w:val="none" w:sz="0" w:space="0" w:color="auto"/>
                <w:left w:val="none" w:sz="0" w:space="0" w:color="auto"/>
                <w:bottom w:val="none" w:sz="0" w:space="0" w:color="auto"/>
                <w:right w:val="none" w:sz="0" w:space="0" w:color="auto"/>
              </w:divBdr>
              <w:divsChild>
                <w:div w:id="975724717">
                  <w:marLeft w:val="0"/>
                  <w:marRight w:val="0"/>
                  <w:marTop w:val="0"/>
                  <w:marBottom w:val="0"/>
                  <w:divBdr>
                    <w:top w:val="none" w:sz="0" w:space="0" w:color="auto"/>
                    <w:left w:val="none" w:sz="0" w:space="0" w:color="auto"/>
                    <w:bottom w:val="none" w:sz="0" w:space="0" w:color="auto"/>
                    <w:right w:val="none" w:sz="0" w:space="0" w:color="auto"/>
                  </w:divBdr>
                </w:div>
              </w:divsChild>
            </w:div>
            <w:div w:id="1770814481">
              <w:marLeft w:val="0"/>
              <w:marRight w:val="0"/>
              <w:marTop w:val="0"/>
              <w:marBottom w:val="0"/>
              <w:divBdr>
                <w:top w:val="none" w:sz="0" w:space="0" w:color="auto"/>
                <w:left w:val="none" w:sz="0" w:space="0" w:color="auto"/>
                <w:bottom w:val="none" w:sz="0" w:space="0" w:color="auto"/>
                <w:right w:val="none" w:sz="0" w:space="0" w:color="auto"/>
              </w:divBdr>
              <w:divsChild>
                <w:div w:id="1354577509">
                  <w:marLeft w:val="0"/>
                  <w:marRight w:val="0"/>
                  <w:marTop w:val="0"/>
                  <w:marBottom w:val="0"/>
                  <w:divBdr>
                    <w:top w:val="none" w:sz="0" w:space="0" w:color="auto"/>
                    <w:left w:val="none" w:sz="0" w:space="0" w:color="auto"/>
                    <w:bottom w:val="none" w:sz="0" w:space="0" w:color="auto"/>
                    <w:right w:val="none" w:sz="0" w:space="0" w:color="auto"/>
                  </w:divBdr>
                </w:div>
              </w:divsChild>
            </w:div>
            <w:div w:id="1889875456">
              <w:marLeft w:val="0"/>
              <w:marRight w:val="0"/>
              <w:marTop w:val="0"/>
              <w:marBottom w:val="0"/>
              <w:divBdr>
                <w:top w:val="none" w:sz="0" w:space="0" w:color="auto"/>
                <w:left w:val="none" w:sz="0" w:space="0" w:color="auto"/>
                <w:bottom w:val="none" w:sz="0" w:space="0" w:color="auto"/>
                <w:right w:val="none" w:sz="0" w:space="0" w:color="auto"/>
              </w:divBdr>
              <w:divsChild>
                <w:div w:id="1351028493">
                  <w:marLeft w:val="0"/>
                  <w:marRight w:val="0"/>
                  <w:marTop w:val="0"/>
                  <w:marBottom w:val="0"/>
                  <w:divBdr>
                    <w:top w:val="none" w:sz="0" w:space="0" w:color="auto"/>
                    <w:left w:val="none" w:sz="0" w:space="0" w:color="auto"/>
                    <w:bottom w:val="none" w:sz="0" w:space="0" w:color="auto"/>
                    <w:right w:val="none" w:sz="0" w:space="0" w:color="auto"/>
                  </w:divBdr>
                </w:div>
              </w:divsChild>
            </w:div>
            <w:div w:id="1160342774">
              <w:marLeft w:val="0"/>
              <w:marRight w:val="0"/>
              <w:marTop w:val="0"/>
              <w:marBottom w:val="0"/>
              <w:divBdr>
                <w:top w:val="none" w:sz="0" w:space="0" w:color="auto"/>
                <w:left w:val="none" w:sz="0" w:space="0" w:color="auto"/>
                <w:bottom w:val="none" w:sz="0" w:space="0" w:color="auto"/>
                <w:right w:val="none" w:sz="0" w:space="0" w:color="auto"/>
              </w:divBdr>
              <w:divsChild>
                <w:div w:id="743258118">
                  <w:marLeft w:val="0"/>
                  <w:marRight w:val="0"/>
                  <w:marTop w:val="0"/>
                  <w:marBottom w:val="0"/>
                  <w:divBdr>
                    <w:top w:val="none" w:sz="0" w:space="0" w:color="auto"/>
                    <w:left w:val="none" w:sz="0" w:space="0" w:color="auto"/>
                    <w:bottom w:val="none" w:sz="0" w:space="0" w:color="auto"/>
                    <w:right w:val="none" w:sz="0" w:space="0" w:color="auto"/>
                  </w:divBdr>
                </w:div>
              </w:divsChild>
            </w:div>
            <w:div w:id="1450783927">
              <w:marLeft w:val="0"/>
              <w:marRight w:val="0"/>
              <w:marTop w:val="0"/>
              <w:marBottom w:val="0"/>
              <w:divBdr>
                <w:top w:val="none" w:sz="0" w:space="0" w:color="auto"/>
                <w:left w:val="none" w:sz="0" w:space="0" w:color="auto"/>
                <w:bottom w:val="none" w:sz="0" w:space="0" w:color="auto"/>
                <w:right w:val="none" w:sz="0" w:space="0" w:color="auto"/>
              </w:divBdr>
              <w:divsChild>
                <w:div w:id="1211654466">
                  <w:marLeft w:val="0"/>
                  <w:marRight w:val="0"/>
                  <w:marTop w:val="0"/>
                  <w:marBottom w:val="0"/>
                  <w:divBdr>
                    <w:top w:val="none" w:sz="0" w:space="0" w:color="auto"/>
                    <w:left w:val="none" w:sz="0" w:space="0" w:color="auto"/>
                    <w:bottom w:val="none" w:sz="0" w:space="0" w:color="auto"/>
                    <w:right w:val="none" w:sz="0" w:space="0" w:color="auto"/>
                  </w:divBdr>
                </w:div>
              </w:divsChild>
            </w:div>
            <w:div w:id="1808859596">
              <w:marLeft w:val="0"/>
              <w:marRight w:val="0"/>
              <w:marTop w:val="0"/>
              <w:marBottom w:val="0"/>
              <w:divBdr>
                <w:top w:val="none" w:sz="0" w:space="0" w:color="auto"/>
                <w:left w:val="none" w:sz="0" w:space="0" w:color="auto"/>
                <w:bottom w:val="none" w:sz="0" w:space="0" w:color="auto"/>
                <w:right w:val="none" w:sz="0" w:space="0" w:color="auto"/>
              </w:divBdr>
              <w:divsChild>
                <w:div w:id="1741756240">
                  <w:marLeft w:val="0"/>
                  <w:marRight w:val="0"/>
                  <w:marTop w:val="0"/>
                  <w:marBottom w:val="0"/>
                  <w:divBdr>
                    <w:top w:val="none" w:sz="0" w:space="0" w:color="auto"/>
                    <w:left w:val="none" w:sz="0" w:space="0" w:color="auto"/>
                    <w:bottom w:val="none" w:sz="0" w:space="0" w:color="auto"/>
                    <w:right w:val="none" w:sz="0" w:space="0" w:color="auto"/>
                  </w:divBdr>
                </w:div>
              </w:divsChild>
            </w:div>
            <w:div w:id="907036620">
              <w:marLeft w:val="0"/>
              <w:marRight w:val="0"/>
              <w:marTop w:val="0"/>
              <w:marBottom w:val="0"/>
              <w:divBdr>
                <w:top w:val="none" w:sz="0" w:space="0" w:color="auto"/>
                <w:left w:val="none" w:sz="0" w:space="0" w:color="auto"/>
                <w:bottom w:val="none" w:sz="0" w:space="0" w:color="auto"/>
                <w:right w:val="none" w:sz="0" w:space="0" w:color="auto"/>
              </w:divBdr>
              <w:divsChild>
                <w:div w:id="2141342423">
                  <w:marLeft w:val="0"/>
                  <w:marRight w:val="0"/>
                  <w:marTop w:val="0"/>
                  <w:marBottom w:val="0"/>
                  <w:divBdr>
                    <w:top w:val="none" w:sz="0" w:space="0" w:color="auto"/>
                    <w:left w:val="none" w:sz="0" w:space="0" w:color="auto"/>
                    <w:bottom w:val="none" w:sz="0" w:space="0" w:color="auto"/>
                    <w:right w:val="none" w:sz="0" w:space="0" w:color="auto"/>
                  </w:divBdr>
                </w:div>
              </w:divsChild>
            </w:div>
            <w:div w:id="254214457">
              <w:marLeft w:val="0"/>
              <w:marRight w:val="0"/>
              <w:marTop w:val="0"/>
              <w:marBottom w:val="0"/>
              <w:divBdr>
                <w:top w:val="none" w:sz="0" w:space="0" w:color="auto"/>
                <w:left w:val="none" w:sz="0" w:space="0" w:color="auto"/>
                <w:bottom w:val="none" w:sz="0" w:space="0" w:color="auto"/>
                <w:right w:val="none" w:sz="0" w:space="0" w:color="auto"/>
              </w:divBdr>
              <w:divsChild>
                <w:div w:id="1752238915">
                  <w:marLeft w:val="0"/>
                  <w:marRight w:val="0"/>
                  <w:marTop w:val="0"/>
                  <w:marBottom w:val="0"/>
                  <w:divBdr>
                    <w:top w:val="none" w:sz="0" w:space="0" w:color="auto"/>
                    <w:left w:val="none" w:sz="0" w:space="0" w:color="auto"/>
                    <w:bottom w:val="none" w:sz="0" w:space="0" w:color="auto"/>
                    <w:right w:val="none" w:sz="0" w:space="0" w:color="auto"/>
                  </w:divBdr>
                </w:div>
              </w:divsChild>
            </w:div>
            <w:div w:id="1254169816">
              <w:marLeft w:val="0"/>
              <w:marRight w:val="0"/>
              <w:marTop w:val="0"/>
              <w:marBottom w:val="0"/>
              <w:divBdr>
                <w:top w:val="none" w:sz="0" w:space="0" w:color="auto"/>
                <w:left w:val="none" w:sz="0" w:space="0" w:color="auto"/>
                <w:bottom w:val="none" w:sz="0" w:space="0" w:color="auto"/>
                <w:right w:val="none" w:sz="0" w:space="0" w:color="auto"/>
              </w:divBdr>
              <w:divsChild>
                <w:div w:id="1797600572">
                  <w:marLeft w:val="0"/>
                  <w:marRight w:val="0"/>
                  <w:marTop w:val="0"/>
                  <w:marBottom w:val="0"/>
                  <w:divBdr>
                    <w:top w:val="none" w:sz="0" w:space="0" w:color="auto"/>
                    <w:left w:val="none" w:sz="0" w:space="0" w:color="auto"/>
                    <w:bottom w:val="none" w:sz="0" w:space="0" w:color="auto"/>
                    <w:right w:val="none" w:sz="0" w:space="0" w:color="auto"/>
                  </w:divBdr>
                </w:div>
              </w:divsChild>
            </w:div>
            <w:div w:id="967860370">
              <w:marLeft w:val="0"/>
              <w:marRight w:val="0"/>
              <w:marTop w:val="0"/>
              <w:marBottom w:val="0"/>
              <w:divBdr>
                <w:top w:val="none" w:sz="0" w:space="0" w:color="auto"/>
                <w:left w:val="none" w:sz="0" w:space="0" w:color="auto"/>
                <w:bottom w:val="none" w:sz="0" w:space="0" w:color="auto"/>
                <w:right w:val="none" w:sz="0" w:space="0" w:color="auto"/>
              </w:divBdr>
              <w:divsChild>
                <w:div w:id="3293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0262">
          <w:marLeft w:val="0"/>
          <w:marRight w:val="0"/>
          <w:marTop w:val="0"/>
          <w:marBottom w:val="600"/>
          <w:divBdr>
            <w:top w:val="none" w:sz="0" w:space="0" w:color="auto"/>
            <w:left w:val="none" w:sz="0" w:space="0" w:color="auto"/>
            <w:bottom w:val="none" w:sz="0" w:space="0" w:color="auto"/>
            <w:right w:val="none" w:sz="0" w:space="0" w:color="auto"/>
          </w:divBdr>
        </w:div>
      </w:divsChild>
    </w:div>
    <w:div w:id="1908414320">
      <w:marLeft w:val="0"/>
      <w:marRight w:val="0"/>
      <w:marTop w:val="0"/>
      <w:marBottom w:val="0"/>
      <w:divBdr>
        <w:top w:val="none" w:sz="0" w:space="0" w:color="auto"/>
        <w:left w:val="none" w:sz="0" w:space="0" w:color="auto"/>
        <w:bottom w:val="none" w:sz="0" w:space="0" w:color="auto"/>
        <w:right w:val="none" w:sz="0" w:space="0" w:color="auto"/>
      </w:divBdr>
      <w:divsChild>
        <w:div w:id="92938332">
          <w:marLeft w:val="0"/>
          <w:marRight w:val="0"/>
          <w:marTop w:val="432"/>
          <w:marBottom w:val="0"/>
          <w:divBdr>
            <w:top w:val="none" w:sz="0" w:space="0" w:color="auto"/>
            <w:left w:val="none" w:sz="0" w:space="0" w:color="auto"/>
            <w:bottom w:val="none" w:sz="0" w:space="0" w:color="auto"/>
            <w:right w:val="none" w:sz="0" w:space="0" w:color="auto"/>
          </w:divBdr>
        </w:div>
        <w:div w:id="1784762621">
          <w:marLeft w:val="0"/>
          <w:marRight w:val="0"/>
          <w:marTop w:val="0"/>
          <w:marBottom w:val="0"/>
          <w:divBdr>
            <w:top w:val="none" w:sz="0" w:space="0" w:color="auto"/>
            <w:left w:val="none" w:sz="0" w:space="0" w:color="auto"/>
            <w:bottom w:val="none" w:sz="0" w:space="0" w:color="auto"/>
            <w:right w:val="none" w:sz="0" w:space="0" w:color="auto"/>
          </w:divBdr>
        </w:div>
        <w:div w:id="731656775">
          <w:marLeft w:val="0"/>
          <w:marRight w:val="0"/>
          <w:marTop w:val="0"/>
          <w:marBottom w:val="600"/>
          <w:divBdr>
            <w:top w:val="none" w:sz="0" w:space="0" w:color="auto"/>
            <w:left w:val="none" w:sz="0" w:space="0" w:color="auto"/>
            <w:bottom w:val="none" w:sz="0" w:space="0" w:color="auto"/>
            <w:right w:val="none" w:sz="0" w:space="0" w:color="auto"/>
          </w:divBdr>
        </w:div>
      </w:divsChild>
    </w:div>
    <w:div w:id="1916167312">
      <w:marLeft w:val="0"/>
      <w:marRight w:val="0"/>
      <w:marTop w:val="0"/>
      <w:marBottom w:val="0"/>
      <w:divBdr>
        <w:top w:val="none" w:sz="0" w:space="0" w:color="auto"/>
        <w:left w:val="none" w:sz="0" w:space="0" w:color="auto"/>
        <w:bottom w:val="none" w:sz="0" w:space="0" w:color="auto"/>
        <w:right w:val="none" w:sz="0" w:space="0" w:color="auto"/>
      </w:divBdr>
      <w:divsChild>
        <w:div w:id="140469725">
          <w:marLeft w:val="0"/>
          <w:marRight w:val="0"/>
          <w:marTop w:val="432"/>
          <w:marBottom w:val="0"/>
          <w:divBdr>
            <w:top w:val="none" w:sz="0" w:space="0" w:color="auto"/>
            <w:left w:val="none" w:sz="0" w:space="0" w:color="auto"/>
            <w:bottom w:val="none" w:sz="0" w:space="0" w:color="auto"/>
            <w:right w:val="none" w:sz="0" w:space="0" w:color="auto"/>
          </w:divBdr>
        </w:div>
        <w:div w:id="1938757603">
          <w:marLeft w:val="0"/>
          <w:marRight w:val="0"/>
          <w:marTop w:val="0"/>
          <w:marBottom w:val="0"/>
          <w:divBdr>
            <w:top w:val="none" w:sz="0" w:space="0" w:color="auto"/>
            <w:left w:val="none" w:sz="0" w:space="0" w:color="auto"/>
            <w:bottom w:val="none" w:sz="0" w:space="0" w:color="auto"/>
            <w:right w:val="none" w:sz="0" w:space="0" w:color="auto"/>
          </w:divBdr>
        </w:div>
        <w:div w:id="2092582349">
          <w:marLeft w:val="0"/>
          <w:marRight w:val="0"/>
          <w:marTop w:val="0"/>
          <w:marBottom w:val="600"/>
          <w:divBdr>
            <w:top w:val="none" w:sz="0" w:space="0" w:color="auto"/>
            <w:left w:val="none" w:sz="0" w:space="0" w:color="auto"/>
            <w:bottom w:val="none" w:sz="0" w:space="0" w:color="auto"/>
            <w:right w:val="none" w:sz="0" w:space="0" w:color="auto"/>
          </w:divBdr>
        </w:div>
      </w:divsChild>
    </w:div>
    <w:div w:id="1950815177">
      <w:marLeft w:val="0"/>
      <w:marRight w:val="0"/>
      <w:marTop w:val="0"/>
      <w:marBottom w:val="0"/>
      <w:divBdr>
        <w:top w:val="none" w:sz="0" w:space="0" w:color="auto"/>
        <w:left w:val="none" w:sz="0" w:space="0" w:color="auto"/>
        <w:bottom w:val="none" w:sz="0" w:space="0" w:color="auto"/>
        <w:right w:val="none" w:sz="0" w:space="0" w:color="auto"/>
      </w:divBdr>
      <w:divsChild>
        <w:div w:id="824705039">
          <w:marLeft w:val="0"/>
          <w:marRight w:val="0"/>
          <w:marTop w:val="432"/>
          <w:marBottom w:val="0"/>
          <w:divBdr>
            <w:top w:val="none" w:sz="0" w:space="0" w:color="auto"/>
            <w:left w:val="none" w:sz="0" w:space="0" w:color="auto"/>
            <w:bottom w:val="none" w:sz="0" w:space="0" w:color="auto"/>
            <w:right w:val="none" w:sz="0" w:space="0" w:color="auto"/>
          </w:divBdr>
        </w:div>
        <w:div w:id="229730392">
          <w:marLeft w:val="0"/>
          <w:marRight w:val="0"/>
          <w:marTop w:val="0"/>
          <w:marBottom w:val="0"/>
          <w:divBdr>
            <w:top w:val="none" w:sz="0" w:space="0" w:color="auto"/>
            <w:left w:val="none" w:sz="0" w:space="0" w:color="auto"/>
            <w:bottom w:val="none" w:sz="0" w:space="0" w:color="auto"/>
            <w:right w:val="none" w:sz="0" w:space="0" w:color="auto"/>
          </w:divBdr>
          <w:divsChild>
            <w:div w:id="602228687">
              <w:marLeft w:val="0"/>
              <w:marRight w:val="0"/>
              <w:marTop w:val="0"/>
              <w:marBottom w:val="0"/>
              <w:divBdr>
                <w:top w:val="none" w:sz="0" w:space="0" w:color="auto"/>
                <w:left w:val="none" w:sz="0" w:space="0" w:color="auto"/>
                <w:bottom w:val="none" w:sz="0" w:space="0" w:color="auto"/>
                <w:right w:val="none" w:sz="0" w:space="0" w:color="auto"/>
              </w:divBdr>
              <w:divsChild>
                <w:div w:id="1169443613">
                  <w:marLeft w:val="0"/>
                  <w:marRight w:val="0"/>
                  <w:marTop w:val="0"/>
                  <w:marBottom w:val="0"/>
                  <w:divBdr>
                    <w:top w:val="none" w:sz="0" w:space="0" w:color="auto"/>
                    <w:left w:val="none" w:sz="0" w:space="0" w:color="auto"/>
                    <w:bottom w:val="none" w:sz="0" w:space="0" w:color="auto"/>
                    <w:right w:val="none" w:sz="0" w:space="0" w:color="auto"/>
                  </w:divBdr>
                </w:div>
              </w:divsChild>
            </w:div>
            <w:div w:id="1837725512">
              <w:marLeft w:val="0"/>
              <w:marRight w:val="0"/>
              <w:marTop w:val="0"/>
              <w:marBottom w:val="0"/>
              <w:divBdr>
                <w:top w:val="none" w:sz="0" w:space="0" w:color="auto"/>
                <w:left w:val="none" w:sz="0" w:space="0" w:color="auto"/>
                <w:bottom w:val="none" w:sz="0" w:space="0" w:color="auto"/>
                <w:right w:val="none" w:sz="0" w:space="0" w:color="auto"/>
              </w:divBdr>
              <w:divsChild>
                <w:div w:id="1758139413">
                  <w:marLeft w:val="0"/>
                  <w:marRight w:val="0"/>
                  <w:marTop w:val="0"/>
                  <w:marBottom w:val="0"/>
                  <w:divBdr>
                    <w:top w:val="none" w:sz="0" w:space="0" w:color="auto"/>
                    <w:left w:val="none" w:sz="0" w:space="0" w:color="auto"/>
                    <w:bottom w:val="none" w:sz="0" w:space="0" w:color="auto"/>
                    <w:right w:val="none" w:sz="0" w:space="0" w:color="auto"/>
                  </w:divBdr>
                </w:div>
              </w:divsChild>
            </w:div>
            <w:div w:id="264773099">
              <w:marLeft w:val="0"/>
              <w:marRight w:val="0"/>
              <w:marTop w:val="0"/>
              <w:marBottom w:val="0"/>
              <w:divBdr>
                <w:top w:val="none" w:sz="0" w:space="0" w:color="auto"/>
                <w:left w:val="none" w:sz="0" w:space="0" w:color="auto"/>
                <w:bottom w:val="none" w:sz="0" w:space="0" w:color="auto"/>
                <w:right w:val="none" w:sz="0" w:space="0" w:color="auto"/>
              </w:divBdr>
              <w:divsChild>
                <w:div w:id="836270612">
                  <w:marLeft w:val="0"/>
                  <w:marRight w:val="0"/>
                  <w:marTop w:val="0"/>
                  <w:marBottom w:val="0"/>
                  <w:divBdr>
                    <w:top w:val="none" w:sz="0" w:space="0" w:color="auto"/>
                    <w:left w:val="none" w:sz="0" w:space="0" w:color="auto"/>
                    <w:bottom w:val="none" w:sz="0" w:space="0" w:color="auto"/>
                    <w:right w:val="none" w:sz="0" w:space="0" w:color="auto"/>
                  </w:divBdr>
                </w:div>
              </w:divsChild>
            </w:div>
            <w:div w:id="1092821983">
              <w:marLeft w:val="0"/>
              <w:marRight w:val="0"/>
              <w:marTop w:val="0"/>
              <w:marBottom w:val="0"/>
              <w:divBdr>
                <w:top w:val="none" w:sz="0" w:space="0" w:color="auto"/>
                <w:left w:val="none" w:sz="0" w:space="0" w:color="auto"/>
                <w:bottom w:val="none" w:sz="0" w:space="0" w:color="auto"/>
                <w:right w:val="none" w:sz="0" w:space="0" w:color="auto"/>
              </w:divBdr>
              <w:divsChild>
                <w:div w:id="1458259991">
                  <w:marLeft w:val="0"/>
                  <w:marRight w:val="0"/>
                  <w:marTop w:val="0"/>
                  <w:marBottom w:val="0"/>
                  <w:divBdr>
                    <w:top w:val="none" w:sz="0" w:space="0" w:color="auto"/>
                    <w:left w:val="none" w:sz="0" w:space="0" w:color="auto"/>
                    <w:bottom w:val="none" w:sz="0" w:space="0" w:color="auto"/>
                    <w:right w:val="none" w:sz="0" w:space="0" w:color="auto"/>
                  </w:divBdr>
                </w:div>
              </w:divsChild>
            </w:div>
            <w:div w:id="468595004">
              <w:marLeft w:val="0"/>
              <w:marRight w:val="0"/>
              <w:marTop w:val="0"/>
              <w:marBottom w:val="0"/>
              <w:divBdr>
                <w:top w:val="none" w:sz="0" w:space="0" w:color="auto"/>
                <w:left w:val="none" w:sz="0" w:space="0" w:color="auto"/>
                <w:bottom w:val="none" w:sz="0" w:space="0" w:color="auto"/>
                <w:right w:val="none" w:sz="0" w:space="0" w:color="auto"/>
              </w:divBdr>
              <w:divsChild>
                <w:div w:id="570505384">
                  <w:marLeft w:val="0"/>
                  <w:marRight w:val="0"/>
                  <w:marTop w:val="0"/>
                  <w:marBottom w:val="0"/>
                  <w:divBdr>
                    <w:top w:val="none" w:sz="0" w:space="0" w:color="auto"/>
                    <w:left w:val="none" w:sz="0" w:space="0" w:color="auto"/>
                    <w:bottom w:val="none" w:sz="0" w:space="0" w:color="auto"/>
                    <w:right w:val="none" w:sz="0" w:space="0" w:color="auto"/>
                  </w:divBdr>
                </w:div>
              </w:divsChild>
            </w:div>
            <w:div w:id="425272698">
              <w:marLeft w:val="0"/>
              <w:marRight w:val="0"/>
              <w:marTop w:val="0"/>
              <w:marBottom w:val="0"/>
              <w:divBdr>
                <w:top w:val="none" w:sz="0" w:space="0" w:color="auto"/>
                <w:left w:val="none" w:sz="0" w:space="0" w:color="auto"/>
                <w:bottom w:val="none" w:sz="0" w:space="0" w:color="auto"/>
                <w:right w:val="none" w:sz="0" w:space="0" w:color="auto"/>
              </w:divBdr>
              <w:divsChild>
                <w:div w:id="1341004115">
                  <w:marLeft w:val="0"/>
                  <w:marRight w:val="0"/>
                  <w:marTop w:val="0"/>
                  <w:marBottom w:val="0"/>
                  <w:divBdr>
                    <w:top w:val="none" w:sz="0" w:space="0" w:color="auto"/>
                    <w:left w:val="none" w:sz="0" w:space="0" w:color="auto"/>
                    <w:bottom w:val="none" w:sz="0" w:space="0" w:color="auto"/>
                    <w:right w:val="none" w:sz="0" w:space="0" w:color="auto"/>
                  </w:divBdr>
                </w:div>
              </w:divsChild>
            </w:div>
            <w:div w:id="522864674">
              <w:marLeft w:val="0"/>
              <w:marRight w:val="0"/>
              <w:marTop w:val="0"/>
              <w:marBottom w:val="0"/>
              <w:divBdr>
                <w:top w:val="none" w:sz="0" w:space="0" w:color="auto"/>
                <w:left w:val="none" w:sz="0" w:space="0" w:color="auto"/>
                <w:bottom w:val="none" w:sz="0" w:space="0" w:color="auto"/>
                <w:right w:val="none" w:sz="0" w:space="0" w:color="auto"/>
              </w:divBdr>
              <w:divsChild>
                <w:div w:id="15510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388">
          <w:marLeft w:val="0"/>
          <w:marRight w:val="0"/>
          <w:marTop w:val="0"/>
          <w:marBottom w:val="600"/>
          <w:divBdr>
            <w:top w:val="none" w:sz="0" w:space="0" w:color="auto"/>
            <w:left w:val="none" w:sz="0" w:space="0" w:color="auto"/>
            <w:bottom w:val="none" w:sz="0" w:space="0" w:color="auto"/>
            <w:right w:val="none" w:sz="0" w:space="0" w:color="auto"/>
          </w:divBdr>
        </w:div>
      </w:divsChild>
    </w:div>
    <w:div w:id="1995722529">
      <w:marLeft w:val="0"/>
      <w:marRight w:val="0"/>
      <w:marTop w:val="0"/>
      <w:marBottom w:val="0"/>
      <w:divBdr>
        <w:top w:val="none" w:sz="0" w:space="0" w:color="auto"/>
        <w:left w:val="none" w:sz="0" w:space="0" w:color="auto"/>
        <w:bottom w:val="none" w:sz="0" w:space="0" w:color="auto"/>
        <w:right w:val="none" w:sz="0" w:space="0" w:color="auto"/>
      </w:divBdr>
      <w:divsChild>
        <w:div w:id="1493524893">
          <w:marLeft w:val="0"/>
          <w:marRight w:val="0"/>
          <w:marTop w:val="432"/>
          <w:marBottom w:val="0"/>
          <w:divBdr>
            <w:top w:val="none" w:sz="0" w:space="0" w:color="auto"/>
            <w:left w:val="none" w:sz="0" w:space="0" w:color="auto"/>
            <w:bottom w:val="none" w:sz="0" w:space="0" w:color="auto"/>
            <w:right w:val="none" w:sz="0" w:space="0" w:color="auto"/>
          </w:divBdr>
        </w:div>
        <w:div w:id="1620332287">
          <w:marLeft w:val="0"/>
          <w:marRight w:val="0"/>
          <w:marTop w:val="0"/>
          <w:marBottom w:val="0"/>
          <w:divBdr>
            <w:top w:val="none" w:sz="0" w:space="0" w:color="auto"/>
            <w:left w:val="none" w:sz="0" w:space="0" w:color="auto"/>
            <w:bottom w:val="none" w:sz="0" w:space="0" w:color="auto"/>
            <w:right w:val="none" w:sz="0" w:space="0" w:color="auto"/>
          </w:divBdr>
        </w:div>
        <w:div w:id="788014983">
          <w:marLeft w:val="0"/>
          <w:marRight w:val="0"/>
          <w:marTop w:val="0"/>
          <w:marBottom w:val="600"/>
          <w:divBdr>
            <w:top w:val="none" w:sz="0" w:space="0" w:color="auto"/>
            <w:left w:val="none" w:sz="0" w:space="0" w:color="auto"/>
            <w:bottom w:val="none" w:sz="0" w:space="0" w:color="auto"/>
            <w:right w:val="none" w:sz="0" w:space="0" w:color="auto"/>
          </w:divBdr>
        </w:div>
      </w:divsChild>
    </w:div>
    <w:div w:id="1999843552">
      <w:marLeft w:val="0"/>
      <w:marRight w:val="0"/>
      <w:marTop w:val="0"/>
      <w:marBottom w:val="0"/>
      <w:divBdr>
        <w:top w:val="none" w:sz="0" w:space="0" w:color="auto"/>
        <w:left w:val="none" w:sz="0" w:space="0" w:color="auto"/>
        <w:bottom w:val="none" w:sz="0" w:space="0" w:color="auto"/>
        <w:right w:val="none" w:sz="0" w:space="0" w:color="auto"/>
      </w:divBdr>
      <w:divsChild>
        <w:div w:id="460611001">
          <w:marLeft w:val="0"/>
          <w:marRight w:val="0"/>
          <w:marTop w:val="432"/>
          <w:marBottom w:val="0"/>
          <w:divBdr>
            <w:top w:val="none" w:sz="0" w:space="0" w:color="auto"/>
            <w:left w:val="none" w:sz="0" w:space="0" w:color="auto"/>
            <w:bottom w:val="none" w:sz="0" w:space="0" w:color="auto"/>
            <w:right w:val="none" w:sz="0" w:space="0" w:color="auto"/>
          </w:divBdr>
        </w:div>
        <w:div w:id="648173604">
          <w:marLeft w:val="0"/>
          <w:marRight w:val="0"/>
          <w:marTop w:val="0"/>
          <w:marBottom w:val="0"/>
          <w:divBdr>
            <w:top w:val="none" w:sz="0" w:space="0" w:color="auto"/>
            <w:left w:val="none" w:sz="0" w:space="0" w:color="auto"/>
            <w:bottom w:val="none" w:sz="0" w:space="0" w:color="auto"/>
            <w:right w:val="none" w:sz="0" w:space="0" w:color="auto"/>
          </w:divBdr>
        </w:div>
        <w:div w:id="295068599">
          <w:marLeft w:val="0"/>
          <w:marRight w:val="0"/>
          <w:marTop w:val="0"/>
          <w:marBottom w:val="600"/>
          <w:divBdr>
            <w:top w:val="none" w:sz="0" w:space="0" w:color="auto"/>
            <w:left w:val="none" w:sz="0" w:space="0" w:color="auto"/>
            <w:bottom w:val="none" w:sz="0" w:space="0" w:color="auto"/>
            <w:right w:val="none" w:sz="0" w:space="0" w:color="auto"/>
          </w:divBdr>
        </w:div>
      </w:divsChild>
    </w:div>
    <w:div w:id="2041856309">
      <w:marLeft w:val="0"/>
      <w:marRight w:val="0"/>
      <w:marTop w:val="0"/>
      <w:marBottom w:val="0"/>
      <w:divBdr>
        <w:top w:val="none" w:sz="0" w:space="0" w:color="auto"/>
        <w:left w:val="none" w:sz="0" w:space="0" w:color="auto"/>
        <w:bottom w:val="none" w:sz="0" w:space="0" w:color="auto"/>
        <w:right w:val="none" w:sz="0" w:space="0" w:color="auto"/>
      </w:divBdr>
      <w:divsChild>
        <w:div w:id="1396665063">
          <w:marLeft w:val="0"/>
          <w:marRight w:val="0"/>
          <w:marTop w:val="432"/>
          <w:marBottom w:val="0"/>
          <w:divBdr>
            <w:top w:val="none" w:sz="0" w:space="0" w:color="auto"/>
            <w:left w:val="none" w:sz="0" w:space="0" w:color="auto"/>
            <w:bottom w:val="none" w:sz="0" w:space="0" w:color="auto"/>
            <w:right w:val="none" w:sz="0" w:space="0" w:color="auto"/>
          </w:divBdr>
        </w:div>
        <w:div w:id="1806967603">
          <w:marLeft w:val="0"/>
          <w:marRight w:val="0"/>
          <w:marTop w:val="0"/>
          <w:marBottom w:val="0"/>
          <w:divBdr>
            <w:top w:val="none" w:sz="0" w:space="0" w:color="auto"/>
            <w:left w:val="none" w:sz="0" w:space="0" w:color="auto"/>
            <w:bottom w:val="none" w:sz="0" w:space="0" w:color="auto"/>
            <w:right w:val="none" w:sz="0" w:space="0" w:color="auto"/>
          </w:divBdr>
          <w:divsChild>
            <w:div w:id="1427267495">
              <w:marLeft w:val="0"/>
              <w:marRight w:val="0"/>
              <w:marTop w:val="0"/>
              <w:marBottom w:val="0"/>
              <w:divBdr>
                <w:top w:val="none" w:sz="0" w:space="0" w:color="auto"/>
                <w:left w:val="none" w:sz="0" w:space="0" w:color="auto"/>
                <w:bottom w:val="none" w:sz="0" w:space="0" w:color="auto"/>
                <w:right w:val="none" w:sz="0" w:space="0" w:color="auto"/>
              </w:divBdr>
              <w:divsChild>
                <w:div w:id="1209956619">
                  <w:marLeft w:val="0"/>
                  <w:marRight w:val="0"/>
                  <w:marTop w:val="0"/>
                  <w:marBottom w:val="0"/>
                  <w:divBdr>
                    <w:top w:val="none" w:sz="0" w:space="0" w:color="auto"/>
                    <w:left w:val="none" w:sz="0" w:space="0" w:color="auto"/>
                    <w:bottom w:val="none" w:sz="0" w:space="0" w:color="auto"/>
                    <w:right w:val="none" w:sz="0" w:space="0" w:color="auto"/>
                  </w:divBdr>
                </w:div>
              </w:divsChild>
            </w:div>
            <w:div w:id="1321737175">
              <w:marLeft w:val="0"/>
              <w:marRight w:val="0"/>
              <w:marTop w:val="0"/>
              <w:marBottom w:val="0"/>
              <w:divBdr>
                <w:top w:val="none" w:sz="0" w:space="0" w:color="auto"/>
                <w:left w:val="none" w:sz="0" w:space="0" w:color="auto"/>
                <w:bottom w:val="none" w:sz="0" w:space="0" w:color="auto"/>
                <w:right w:val="none" w:sz="0" w:space="0" w:color="auto"/>
              </w:divBdr>
              <w:divsChild>
                <w:div w:id="1051226706">
                  <w:marLeft w:val="0"/>
                  <w:marRight w:val="0"/>
                  <w:marTop w:val="0"/>
                  <w:marBottom w:val="0"/>
                  <w:divBdr>
                    <w:top w:val="none" w:sz="0" w:space="0" w:color="auto"/>
                    <w:left w:val="none" w:sz="0" w:space="0" w:color="auto"/>
                    <w:bottom w:val="none" w:sz="0" w:space="0" w:color="auto"/>
                    <w:right w:val="none" w:sz="0" w:space="0" w:color="auto"/>
                  </w:divBdr>
                </w:div>
              </w:divsChild>
            </w:div>
            <w:div w:id="432946287">
              <w:marLeft w:val="0"/>
              <w:marRight w:val="0"/>
              <w:marTop w:val="0"/>
              <w:marBottom w:val="0"/>
              <w:divBdr>
                <w:top w:val="none" w:sz="0" w:space="0" w:color="auto"/>
                <w:left w:val="none" w:sz="0" w:space="0" w:color="auto"/>
                <w:bottom w:val="none" w:sz="0" w:space="0" w:color="auto"/>
                <w:right w:val="none" w:sz="0" w:space="0" w:color="auto"/>
              </w:divBdr>
              <w:divsChild>
                <w:div w:id="329985855">
                  <w:marLeft w:val="0"/>
                  <w:marRight w:val="0"/>
                  <w:marTop w:val="0"/>
                  <w:marBottom w:val="0"/>
                  <w:divBdr>
                    <w:top w:val="none" w:sz="0" w:space="0" w:color="auto"/>
                    <w:left w:val="none" w:sz="0" w:space="0" w:color="auto"/>
                    <w:bottom w:val="none" w:sz="0" w:space="0" w:color="auto"/>
                    <w:right w:val="none" w:sz="0" w:space="0" w:color="auto"/>
                  </w:divBdr>
                </w:div>
              </w:divsChild>
            </w:div>
            <w:div w:id="794787497">
              <w:marLeft w:val="0"/>
              <w:marRight w:val="0"/>
              <w:marTop w:val="0"/>
              <w:marBottom w:val="0"/>
              <w:divBdr>
                <w:top w:val="none" w:sz="0" w:space="0" w:color="auto"/>
                <w:left w:val="none" w:sz="0" w:space="0" w:color="auto"/>
                <w:bottom w:val="none" w:sz="0" w:space="0" w:color="auto"/>
                <w:right w:val="none" w:sz="0" w:space="0" w:color="auto"/>
              </w:divBdr>
              <w:divsChild>
                <w:div w:id="412436162">
                  <w:marLeft w:val="0"/>
                  <w:marRight w:val="0"/>
                  <w:marTop w:val="0"/>
                  <w:marBottom w:val="0"/>
                  <w:divBdr>
                    <w:top w:val="none" w:sz="0" w:space="0" w:color="auto"/>
                    <w:left w:val="none" w:sz="0" w:space="0" w:color="auto"/>
                    <w:bottom w:val="none" w:sz="0" w:space="0" w:color="auto"/>
                    <w:right w:val="none" w:sz="0" w:space="0" w:color="auto"/>
                  </w:divBdr>
                </w:div>
              </w:divsChild>
            </w:div>
            <w:div w:id="1404792633">
              <w:marLeft w:val="0"/>
              <w:marRight w:val="0"/>
              <w:marTop w:val="0"/>
              <w:marBottom w:val="0"/>
              <w:divBdr>
                <w:top w:val="none" w:sz="0" w:space="0" w:color="auto"/>
                <w:left w:val="none" w:sz="0" w:space="0" w:color="auto"/>
                <w:bottom w:val="none" w:sz="0" w:space="0" w:color="auto"/>
                <w:right w:val="none" w:sz="0" w:space="0" w:color="auto"/>
              </w:divBdr>
              <w:divsChild>
                <w:div w:id="897516450">
                  <w:marLeft w:val="0"/>
                  <w:marRight w:val="0"/>
                  <w:marTop w:val="0"/>
                  <w:marBottom w:val="0"/>
                  <w:divBdr>
                    <w:top w:val="none" w:sz="0" w:space="0" w:color="auto"/>
                    <w:left w:val="none" w:sz="0" w:space="0" w:color="auto"/>
                    <w:bottom w:val="none" w:sz="0" w:space="0" w:color="auto"/>
                    <w:right w:val="none" w:sz="0" w:space="0" w:color="auto"/>
                  </w:divBdr>
                </w:div>
              </w:divsChild>
            </w:div>
            <w:div w:id="1198278236">
              <w:marLeft w:val="0"/>
              <w:marRight w:val="0"/>
              <w:marTop w:val="0"/>
              <w:marBottom w:val="0"/>
              <w:divBdr>
                <w:top w:val="none" w:sz="0" w:space="0" w:color="auto"/>
                <w:left w:val="none" w:sz="0" w:space="0" w:color="auto"/>
                <w:bottom w:val="none" w:sz="0" w:space="0" w:color="auto"/>
                <w:right w:val="none" w:sz="0" w:space="0" w:color="auto"/>
              </w:divBdr>
              <w:divsChild>
                <w:div w:id="2054190484">
                  <w:marLeft w:val="0"/>
                  <w:marRight w:val="0"/>
                  <w:marTop w:val="0"/>
                  <w:marBottom w:val="0"/>
                  <w:divBdr>
                    <w:top w:val="none" w:sz="0" w:space="0" w:color="auto"/>
                    <w:left w:val="none" w:sz="0" w:space="0" w:color="auto"/>
                    <w:bottom w:val="none" w:sz="0" w:space="0" w:color="auto"/>
                    <w:right w:val="none" w:sz="0" w:space="0" w:color="auto"/>
                  </w:divBdr>
                </w:div>
              </w:divsChild>
            </w:div>
            <w:div w:id="193009330">
              <w:marLeft w:val="0"/>
              <w:marRight w:val="0"/>
              <w:marTop w:val="0"/>
              <w:marBottom w:val="0"/>
              <w:divBdr>
                <w:top w:val="none" w:sz="0" w:space="0" w:color="auto"/>
                <w:left w:val="none" w:sz="0" w:space="0" w:color="auto"/>
                <w:bottom w:val="none" w:sz="0" w:space="0" w:color="auto"/>
                <w:right w:val="none" w:sz="0" w:space="0" w:color="auto"/>
              </w:divBdr>
              <w:divsChild>
                <w:div w:id="1666980783">
                  <w:marLeft w:val="0"/>
                  <w:marRight w:val="0"/>
                  <w:marTop w:val="0"/>
                  <w:marBottom w:val="0"/>
                  <w:divBdr>
                    <w:top w:val="none" w:sz="0" w:space="0" w:color="auto"/>
                    <w:left w:val="none" w:sz="0" w:space="0" w:color="auto"/>
                    <w:bottom w:val="none" w:sz="0" w:space="0" w:color="auto"/>
                    <w:right w:val="none" w:sz="0" w:space="0" w:color="auto"/>
                  </w:divBdr>
                </w:div>
              </w:divsChild>
            </w:div>
            <w:div w:id="45106543">
              <w:marLeft w:val="0"/>
              <w:marRight w:val="0"/>
              <w:marTop w:val="0"/>
              <w:marBottom w:val="0"/>
              <w:divBdr>
                <w:top w:val="none" w:sz="0" w:space="0" w:color="auto"/>
                <w:left w:val="none" w:sz="0" w:space="0" w:color="auto"/>
                <w:bottom w:val="none" w:sz="0" w:space="0" w:color="auto"/>
                <w:right w:val="none" w:sz="0" w:space="0" w:color="auto"/>
              </w:divBdr>
              <w:divsChild>
                <w:div w:id="988897313">
                  <w:marLeft w:val="0"/>
                  <w:marRight w:val="0"/>
                  <w:marTop w:val="0"/>
                  <w:marBottom w:val="0"/>
                  <w:divBdr>
                    <w:top w:val="none" w:sz="0" w:space="0" w:color="auto"/>
                    <w:left w:val="none" w:sz="0" w:space="0" w:color="auto"/>
                    <w:bottom w:val="none" w:sz="0" w:space="0" w:color="auto"/>
                    <w:right w:val="none" w:sz="0" w:space="0" w:color="auto"/>
                  </w:divBdr>
                </w:div>
              </w:divsChild>
            </w:div>
            <w:div w:id="1068649829">
              <w:marLeft w:val="0"/>
              <w:marRight w:val="0"/>
              <w:marTop w:val="0"/>
              <w:marBottom w:val="0"/>
              <w:divBdr>
                <w:top w:val="none" w:sz="0" w:space="0" w:color="auto"/>
                <w:left w:val="none" w:sz="0" w:space="0" w:color="auto"/>
                <w:bottom w:val="none" w:sz="0" w:space="0" w:color="auto"/>
                <w:right w:val="none" w:sz="0" w:space="0" w:color="auto"/>
              </w:divBdr>
              <w:divsChild>
                <w:div w:id="2118671835">
                  <w:marLeft w:val="0"/>
                  <w:marRight w:val="0"/>
                  <w:marTop w:val="0"/>
                  <w:marBottom w:val="0"/>
                  <w:divBdr>
                    <w:top w:val="none" w:sz="0" w:space="0" w:color="auto"/>
                    <w:left w:val="none" w:sz="0" w:space="0" w:color="auto"/>
                    <w:bottom w:val="none" w:sz="0" w:space="0" w:color="auto"/>
                    <w:right w:val="none" w:sz="0" w:space="0" w:color="auto"/>
                  </w:divBdr>
                </w:div>
              </w:divsChild>
            </w:div>
            <w:div w:id="1162233367">
              <w:marLeft w:val="0"/>
              <w:marRight w:val="0"/>
              <w:marTop w:val="0"/>
              <w:marBottom w:val="0"/>
              <w:divBdr>
                <w:top w:val="none" w:sz="0" w:space="0" w:color="auto"/>
                <w:left w:val="none" w:sz="0" w:space="0" w:color="auto"/>
                <w:bottom w:val="none" w:sz="0" w:space="0" w:color="auto"/>
                <w:right w:val="none" w:sz="0" w:space="0" w:color="auto"/>
              </w:divBdr>
              <w:divsChild>
                <w:div w:id="939415553">
                  <w:marLeft w:val="0"/>
                  <w:marRight w:val="0"/>
                  <w:marTop w:val="0"/>
                  <w:marBottom w:val="0"/>
                  <w:divBdr>
                    <w:top w:val="none" w:sz="0" w:space="0" w:color="auto"/>
                    <w:left w:val="none" w:sz="0" w:space="0" w:color="auto"/>
                    <w:bottom w:val="none" w:sz="0" w:space="0" w:color="auto"/>
                    <w:right w:val="none" w:sz="0" w:space="0" w:color="auto"/>
                  </w:divBdr>
                </w:div>
              </w:divsChild>
            </w:div>
            <w:div w:id="1688287851">
              <w:marLeft w:val="0"/>
              <w:marRight w:val="0"/>
              <w:marTop w:val="0"/>
              <w:marBottom w:val="0"/>
              <w:divBdr>
                <w:top w:val="none" w:sz="0" w:space="0" w:color="auto"/>
                <w:left w:val="none" w:sz="0" w:space="0" w:color="auto"/>
                <w:bottom w:val="none" w:sz="0" w:space="0" w:color="auto"/>
                <w:right w:val="none" w:sz="0" w:space="0" w:color="auto"/>
              </w:divBdr>
              <w:divsChild>
                <w:div w:id="54164948">
                  <w:marLeft w:val="0"/>
                  <w:marRight w:val="0"/>
                  <w:marTop w:val="0"/>
                  <w:marBottom w:val="0"/>
                  <w:divBdr>
                    <w:top w:val="none" w:sz="0" w:space="0" w:color="auto"/>
                    <w:left w:val="none" w:sz="0" w:space="0" w:color="auto"/>
                    <w:bottom w:val="none" w:sz="0" w:space="0" w:color="auto"/>
                    <w:right w:val="none" w:sz="0" w:space="0" w:color="auto"/>
                  </w:divBdr>
                </w:div>
              </w:divsChild>
            </w:div>
            <w:div w:id="1748263229">
              <w:marLeft w:val="0"/>
              <w:marRight w:val="0"/>
              <w:marTop w:val="0"/>
              <w:marBottom w:val="0"/>
              <w:divBdr>
                <w:top w:val="none" w:sz="0" w:space="0" w:color="auto"/>
                <w:left w:val="none" w:sz="0" w:space="0" w:color="auto"/>
                <w:bottom w:val="none" w:sz="0" w:space="0" w:color="auto"/>
                <w:right w:val="none" w:sz="0" w:space="0" w:color="auto"/>
              </w:divBdr>
              <w:divsChild>
                <w:div w:id="679816398">
                  <w:marLeft w:val="0"/>
                  <w:marRight w:val="0"/>
                  <w:marTop w:val="0"/>
                  <w:marBottom w:val="0"/>
                  <w:divBdr>
                    <w:top w:val="none" w:sz="0" w:space="0" w:color="auto"/>
                    <w:left w:val="none" w:sz="0" w:space="0" w:color="auto"/>
                    <w:bottom w:val="none" w:sz="0" w:space="0" w:color="auto"/>
                    <w:right w:val="none" w:sz="0" w:space="0" w:color="auto"/>
                  </w:divBdr>
                </w:div>
              </w:divsChild>
            </w:div>
            <w:div w:id="1769226783">
              <w:marLeft w:val="0"/>
              <w:marRight w:val="0"/>
              <w:marTop w:val="0"/>
              <w:marBottom w:val="0"/>
              <w:divBdr>
                <w:top w:val="none" w:sz="0" w:space="0" w:color="auto"/>
                <w:left w:val="none" w:sz="0" w:space="0" w:color="auto"/>
                <w:bottom w:val="none" w:sz="0" w:space="0" w:color="auto"/>
                <w:right w:val="none" w:sz="0" w:space="0" w:color="auto"/>
              </w:divBdr>
              <w:divsChild>
                <w:div w:id="1169519713">
                  <w:marLeft w:val="0"/>
                  <w:marRight w:val="0"/>
                  <w:marTop w:val="0"/>
                  <w:marBottom w:val="0"/>
                  <w:divBdr>
                    <w:top w:val="none" w:sz="0" w:space="0" w:color="auto"/>
                    <w:left w:val="none" w:sz="0" w:space="0" w:color="auto"/>
                    <w:bottom w:val="none" w:sz="0" w:space="0" w:color="auto"/>
                    <w:right w:val="none" w:sz="0" w:space="0" w:color="auto"/>
                  </w:divBdr>
                </w:div>
              </w:divsChild>
            </w:div>
            <w:div w:id="668366801">
              <w:marLeft w:val="0"/>
              <w:marRight w:val="0"/>
              <w:marTop w:val="0"/>
              <w:marBottom w:val="0"/>
              <w:divBdr>
                <w:top w:val="none" w:sz="0" w:space="0" w:color="auto"/>
                <w:left w:val="none" w:sz="0" w:space="0" w:color="auto"/>
                <w:bottom w:val="none" w:sz="0" w:space="0" w:color="auto"/>
                <w:right w:val="none" w:sz="0" w:space="0" w:color="auto"/>
              </w:divBdr>
              <w:divsChild>
                <w:div w:id="1123963607">
                  <w:marLeft w:val="0"/>
                  <w:marRight w:val="0"/>
                  <w:marTop w:val="0"/>
                  <w:marBottom w:val="0"/>
                  <w:divBdr>
                    <w:top w:val="none" w:sz="0" w:space="0" w:color="auto"/>
                    <w:left w:val="none" w:sz="0" w:space="0" w:color="auto"/>
                    <w:bottom w:val="none" w:sz="0" w:space="0" w:color="auto"/>
                    <w:right w:val="none" w:sz="0" w:space="0" w:color="auto"/>
                  </w:divBdr>
                </w:div>
              </w:divsChild>
            </w:div>
            <w:div w:id="869147743">
              <w:marLeft w:val="0"/>
              <w:marRight w:val="0"/>
              <w:marTop w:val="0"/>
              <w:marBottom w:val="0"/>
              <w:divBdr>
                <w:top w:val="none" w:sz="0" w:space="0" w:color="auto"/>
                <w:left w:val="none" w:sz="0" w:space="0" w:color="auto"/>
                <w:bottom w:val="none" w:sz="0" w:space="0" w:color="auto"/>
                <w:right w:val="none" w:sz="0" w:space="0" w:color="auto"/>
              </w:divBdr>
              <w:divsChild>
                <w:div w:id="1266499059">
                  <w:marLeft w:val="0"/>
                  <w:marRight w:val="0"/>
                  <w:marTop w:val="0"/>
                  <w:marBottom w:val="0"/>
                  <w:divBdr>
                    <w:top w:val="none" w:sz="0" w:space="0" w:color="auto"/>
                    <w:left w:val="none" w:sz="0" w:space="0" w:color="auto"/>
                    <w:bottom w:val="none" w:sz="0" w:space="0" w:color="auto"/>
                    <w:right w:val="none" w:sz="0" w:space="0" w:color="auto"/>
                  </w:divBdr>
                </w:div>
              </w:divsChild>
            </w:div>
            <w:div w:id="1521895695">
              <w:marLeft w:val="0"/>
              <w:marRight w:val="0"/>
              <w:marTop w:val="0"/>
              <w:marBottom w:val="0"/>
              <w:divBdr>
                <w:top w:val="none" w:sz="0" w:space="0" w:color="auto"/>
                <w:left w:val="none" w:sz="0" w:space="0" w:color="auto"/>
                <w:bottom w:val="none" w:sz="0" w:space="0" w:color="auto"/>
                <w:right w:val="none" w:sz="0" w:space="0" w:color="auto"/>
              </w:divBdr>
              <w:divsChild>
                <w:div w:id="1351491131">
                  <w:marLeft w:val="0"/>
                  <w:marRight w:val="0"/>
                  <w:marTop w:val="0"/>
                  <w:marBottom w:val="0"/>
                  <w:divBdr>
                    <w:top w:val="none" w:sz="0" w:space="0" w:color="auto"/>
                    <w:left w:val="none" w:sz="0" w:space="0" w:color="auto"/>
                    <w:bottom w:val="none" w:sz="0" w:space="0" w:color="auto"/>
                    <w:right w:val="none" w:sz="0" w:space="0" w:color="auto"/>
                  </w:divBdr>
                </w:div>
              </w:divsChild>
            </w:div>
            <w:div w:id="631983598">
              <w:marLeft w:val="0"/>
              <w:marRight w:val="0"/>
              <w:marTop w:val="0"/>
              <w:marBottom w:val="0"/>
              <w:divBdr>
                <w:top w:val="none" w:sz="0" w:space="0" w:color="auto"/>
                <w:left w:val="none" w:sz="0" w:space="0" w:color="auto"/>
                <w:bottom w:val="none" w:sz="0" w:space="0" w:color="auto"/>
                <w:right w:val="none" w:sz="0" w:space="0" w:color="auto"/>
              </w:divBdr>
              <w:divsChild>
                <w:div w:id="1599562413">
                  <w:marLeft w:val="0"/>
                  <w:marRight w:val="0"/>
                  <w:marTop w:val="0"/>
                  <w:marBottom w:val="0"/>
                  <w:divBdr>
                    <w:top w:val="none" w:sz="0" w:space="0" w:color="auto"/>
                    <w:left w:val="none" w:sz="0" w:space="0" w:color="auto"/>
                    <w:bottom w:val="none" w:sz="0" w:space="0" w:color="auto"/>
                    <w:right w:val="none" w:sz="0" w:space="0" w:color="auto"/>
                  </w:divBdr>
                </w:div>
              </w:divsChild>
            </w:div>
            <w:div w:id="819152058">
              <w:marLeft w:val="0"/>
              <w:marRight w:val="0"/>
              <w:marTop w:val="0"/>
              <w:marBottom w:val="0"/>
              <w:divBdr>
                <w:top w:val="none" w:sz="0" w:space="0" w:color="auto"/>
                <w:left w:val="none" w:sz="0" w:space="0" w:color="auto"/>
                <w:bottom w:val="none" w:sz="0" w:space="0" w:color="auto"/>
                <w:right w:val="none" w:sz="0" w:space="0" w:color="auto"/>
              </w:divBdr>
              <w:divsChild>
                <w:div w:id="812983443">
                  <w:marLeft w:val="0"/>
                  <w:marRight w:val="0"/>
                  <w:marTop w:val="0"/>
                  <w:marBottom w:val="0"/>
                  <w:divBdr>
                    <w:top w:val="none" w:sz="0" w:space="0" w:color="auto"/>
                    <w:left w:val="none" w:sz="0" w:space="0" w:color="auto"/>
                    <w:bottom w:val="none" w:sz="0" w:space="0" w:color="auto"/>
                    <w:right w:val="none" w:sz="0" w:space="0" w:color="auto"/>
                  </w:divBdr>
                </w:div>
              </w:divsChild>
            </w:div>
            <w:div w:id="587620494">
              <w:marLeft w:val="0"/>
              <w:marRight w:val="0"/>
              <w:marTop w:val="0"/>
              <w:marBottom w:val="0"/>
              <w:divBdr>
                <w:top w:val="none" w:sz="0" w:space="0" w:color="auto"/>
                <w:left w:val="none" w:sz="0" w:space="0" w:color="auto"/>
                <w:bottom w:val="none" w:sz="0" w:space="0" w:color="auto"/>
                <w:right w:val="none" w:sz="0" w:space="0" w:color="auto"/>
              </w:divBdr>
              <w:divsChild>
                <w:div w:id="898857733">
                  <w:marLeft w:val="0"/>
                  <w:marRight w:val="0"/>
                  <w:marTop w:val="0"/>
                  <w:marBottom w:val="0"/>
                  <w:divBdr>
                    <w:top w:val="none" w:sz="0" w:space="0" w:color="auto"/>
                    <w:left w:val="none" w:sz="0" w:space="0" w:color="auto"/>
                    <w:bottom w:val="none" w:sz="0" w:space="0" w:color="auto"/>
                    <w:right w:val="none" w:sz="0" w:space="0" w:color="auto"/>
                  </w:divBdr>
                </w:div>
              </w:divsChild>
            </w:div>
            <w:div w:id="208223274">
              <w:marLeft w:val="0"/>
              <w:marRight w:val="0"/>
              <w:marTop w:val="0"/>
              <w:marBottom w:val="0"/>
              <w:divBdr>
                <w:top w:val="none" w:sz="0" w:space="0" w:color="auto"/>
                <w:left w:val="none" w:sz="0" w:space="0" w:color="auto"/>
                <w:bottom w:val="none" w:sz="0" w:space="0" w:color="auto"/>
                <w:right w:val="none" w:sz="0" w:space="0" w:color="auto"/>
              </w:divBdr>
              <w:divsChild>
                <w:div w:id="1448966596">
                  <w:marLeft w:val="0"/>
                  <w:marRight w:val="0"/>
                  <w:marTop w:val="0"/>
                  <w:marBottom w:val="0"/>
                  <w:divBdr>
                    <w:top w:val="none" w:sz="0" w:space="0" w:color="auto"/>
                    <w:left w:val="none" w:sz="0" w:space="0" w:color="auto"/>
                    <w:bottom w:val="none" w:sz="0" w:space="0" w:color="auto"/>
                    <w:right w:val="none" w:sz="0" w:space="0" w:color="auto"/>
                  </w:divBdr>
                </w:div>
              </w:divsChild>
            </w:div>
            <w:div w:id="596409515">
              <w:marLeft w:val="0"/>
              <w:marRight w:val="0"/>
              <w:marTop w:val="0"/>
              <w:marBottom w:val="0"/>
              <w:divBdr>
                <w:top w:val="none" w:sz="0" w:space="0" w:color="auto"/>
                <w:left w:val="none" w:sz="0" w:space="0" w:color="auto"/>
                <w:bottom w:val="none" w:sz="0" w:space="0" w:color="auto"/>
                <w:right w:val="none" w:sz="0" w:space="0" w:color="auto"/>
              </w:divBdr>
              <w:divsChild>
                <w:div w:id="686561719">
                  <w:marLeft w:val="0"/>
                  <w:marRight w:val="0"/>
                  <w:marTop w:val="0"/>
                  <w:marBottom w:val="0"/>
                  <w:divBdr>
                    <w:top w:val="none" w:sz="0" w:space="0" w:color="auto"/>
                    <w:left w:val="none" w:sz="0" w:space="0" w:color="auto"/>
                    <w:bottom w:val="none" w:sz="0" w:space="0" w:color="auto"/>
                    <w:right w:val="none" w:sz="0" w:space="0" w:color="auto"/>
                  </w:divBdr>
                </w:div>
              </w:divsChild>
            </w:div>
            <w:div w:id="2077237172">
              <w:marLeft w:val="0"/>
              <w:marRight w:val="0"/>
              <w:marTop w:val="0"/>
              <w:marBottom w:val="0"/>
              <w:divBdr>
                <w:top w:val="none" w:sz="0" w:space="0" w:color="auto"/>
                <w:left w:val="none" w:sz="0" w:space="0" w:color="auto"/>
                <w:bottom w:val="none" w:sz="0" w:space="0" w:color="auto"/>
                <w:right w:val="none" w:sz="0" w:space="0" w:color="auto"/>
              </w:divBdr>
              <w:divsChild>
                <w:div w:id="1484657685">
                  <w:marLeft w:val="0"/>
                  <w:marRight w:val="0"/>
                  <w:marTop w:val="0"/>
                  <w:marBottom w:val="0"/>
                  <w:divBdr>
                    <w:top w:val="none" w:sz="0" w:space="0" w:color="auto"/>
                    <w:left w:val="none" w:sz="0" w:space="0" w:color="auto"/>
                    <w:bottom w:val="none" w:sz="0" w:space="0" w:color="auto"/>
                    <w:right w:val="none" w:sz="0" w:space="0" w:color="auto"/>
                  </w:divBdr>
                </w:div>
              </w:divsChild>
            </w:div>
            <w:div w:id="967249101">
              <w:marLeft w:val="0"/>
              <w:marRight w:val="0"/>
              <w:marTop w:val="0"/>
              <w:marBottom w:val="0"/>
              <w:divBdr>
                <w:top w:val="none" w:sz="0" w:space="0" w:color="auto"/>
                <w:left w:val="none" w:sz="0" w:space="0" w:color="auto"/>
                <w:bottom w:val="none" w:sz="0" w:space="0" w:color="auto"/>
                <w:right w:val="none" w:sz="0" w:space="0" w:color="auto"/>
              </w:divBdr>
              <w:divsChild>
                <w:div w:id="1372732034">
                  <w:marLeft w:val="0"/>
                  <w:marRight w:val="0"/>
                  <w:marTop w:val="0"/>
                  <w:marBottom w:val="0"/>
                  <w:divBdr>
                    <w:top w:val="none" w:sz="0" w:space="0" w:color="auto"/>
                    <w:left w:val="none" w:sz="0" w:space="0" w:color="auto"/>
                    <w:bottom w:val="none" w:sz="0" w:space="0" w:color="auto"/>
                    <w:right w:val="none" w:sz="0" w:space="0" w:color="auto"/>
                  </w:divBdr>
                </w:div>
              </w:divsChild>
            </w:div>
            <w:div w:id="1832914740">
              <w:marLeft w:val="0"/>
              <w:marRight w:val="0"/>
              <w:marTop w:val="0"/>
              <w:marBottom w:val="0"/>
              <w:divBdr>
                <w:top w:val="none" w:sz="0" w:space="0" w:color="auto"/>
                <w:left w:val="none" w:sz="0" w:space="0" w:color="auto"/>
                <w:bottom w:val="none" w:sz="0" w:space="0" w:color="auto"/>
                <w:right w:val="none" w:sz="0" w:space="0" w:color="auto"/>
              </w:divBdr>
              <w:divsChild>
                <w:div w:id="1591041527">
                  <w:marLeft w:val="0"/>
                  <w:marRight w:val="0"/>
                  <w:marTop w:val="0"/>
                  <w:marBottom w:val="0"/>
                  <w:divBdr>
                    <w:top w:val="none" w:sz="0" w:space="0" w:color="auto"/>
                    <w:left w:val="none" w:sz="0" w:space="0" w:color="auto"/>
                    <w:bottom w:val="none" w:sz="0" w:space="0" w:color="auto"/>
                    <w:right w:val="none" w:sz="0" w:space="0" w:color="auto"/>
                  </w:divBdr>
                </w:div>
              </w:divsChild>
            </w:div>
            <w:div w:id="830026876">
              <w:marLeft w:val="0"/>
              <w:marRight w:val="0"/>
              <w:marTop w:val="0"/>
              <w:marBottom w:val="0"/>
              <w:divBdr>
                <w:top w:val="none" w:sz="0" w:space="0" w:color="auto"/>
                <w:left w:val="none" w:sz="0" w:space="0" w:color="auto"/>
                <w:bottom w:val="none" w:sz="0" w:space="0" w:color="auto"/>
                <w:right w:val="none" w:sz="0" w:space="0" w:color="auto"/>
              </w:divBdr>
              <w:divsChild>
                <w:div w:id="1195771702">
                  <w:marLeft w:val="0"/>
                  <w:marRight w:val="0"/>
                  <w:marTop w:val="0"/>
                  <w:marBottom w:val="0"/>
                  <w:divBdr>
                    <w:top w:val="none" w:sz="0" w:space="0" w:color="auto"/>
                    <w:left w:val="none" w:sz="0" w:space="0" w:color="auto"/>
                    <w:bottom w:val="none" w:sz="0" w:space="0" w:color="auto"/>
                    <w:right w:val="none" w:sz="0" w:space="0" w:color="auto"/>
                  </w:divBdr>
                </w:div>
              </w:divsChild>
            </w:div>
            <w:div w:id="449203363">
              <w:marLeft w:val="0"/>
              <w:marRight w:val="0"/>
              <w:marTop w:val="0"/>
              <w:marBottom w:val="0"/>
              <w:divBdr>
                <w:top w:val="none" w:sz="0" w:space="0" w:color="auto"/>
                <w:left w:val="none" w:sz="0" w:space="0" w:color="auto"/>
                <w:bottom w:val="none" w:sz="0" w:space="0" w:color="auto"/>
                <w:right w:val="none" w:sz="0" w:space="0" w:color="auto"/>
              </w:divBdr>
              <w:divsChild>
                <w:div w:id="343092728">
                  <w:marLeft w:val="0"/>
                  <w:marRight w:val="0"/>
                  <w:marTop w:val="0"/>
                  <w:marBottom w:val="0"/>
                  <w:divBdr>
                    <w:top w:val="none" w:sz="0" w:space="0" w:color="auto"/>
                    <w:left w:val="none" w:sz="0" w:space="0" w:color="auto"/>
                    <w:bottom w:val="none" w:sz="0" w:space="0" w:color="auto"/>
                    <w:right w:val="none" w:sz="0" w:space="0" w:color="auto"/>
                  </w:divBdr>
                </w:div>
              </w:divsChild>
            </w:div>
            <w:div w:id="729579398">
              <w:marLeft w:val="0"/>
              <w:marRight w:val="0"/>
              <w:marTop w:val="0"/>
              <w:marBottom w:val="0"/>
              <w:divBdr>
                <w:top w:val="none" w:sz="0" w:space="0" w:color="auto"/>
                <w:left w:val="none" w:sz="0" w:space="0" w:color="auto"/>
                <w:bottom w:val="none" w:sz="0" w:space="0" w:color="auto"/>
                <w:right w:val="none" w:sz="0" w:space="0" w:color="auto"/>
              </w:divBdr>
              <w:divsChild>
                <w:div w:id="2069378296">
                  <w:marLeft w:val="0"/>
                  <w:marRight w:val="0"/>
                  <w:marTop w:val="0"/>
                  <w:marBottom w:val="0"/>
                  <w:divBdr>
                    <w:top w:val="none" w:sz="0" w:space="0" w:color="auto"/>
                    <w:left w:val="none" w:sz="0" w:space="0" w:color="auto"/>
                    <w:bottom w:val="none" w:sz="0" w:space="0" w:color="auto"/>
                    <w:right w:val="none" w:sz="0" w:space="0" w:color="auto"/>
                  </w:divBdr>
                </w:div>
              </w:divsChild>
            </w:div>
            <w:div w:id="1250506054">
              <w:marLeft w:val="0"/>
              <w:marRight w:val="0"/>
              <w:marTop w:val="0"/>
              <w:marBottom w:val="0"/>
              <w:divBdr>
                <w:top w:val="none" w:sz="0" w:space="0" w:color="auto"/>
                <w:left w:val="none" w:sz="0" w:space="0" w:color="auto"/>
                <w:bottom w:val="none" w:sz="0" w:space="0" w:color="auto"/>
                <w:right w:val="none" w:sz="0" w:space="0" w:color="auto"/>
              </w:divBdr>
              <w:divsChild>
                <w:div w:id="19111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50369">
      <w:marLeft w:val="0"/>
      <w:marRight w:val="0"/>
      <w:marTop w:val="0"/>
      <w:marBottom w:val="0"/>
      <w:divBdr>
        <w:top w:val="none" w:sz="0" w:space="0" w:color="auto"/>
        <w:left w:val="none" w:sz="0" w:space="0" w:color="auto"/>
        <w:bottom w:val="none" w:sz="0" w:space="0" w:color="auto"/>
        <w:right w:val="none" w:sz="0" w:space="0" w:color="auto"/>
      </w:divBdr>
      <w:divsChild>
        <w:div w:id="397098338">
          <w:marLeft w:val="0"/>
          <w:marRight w:val="0"/>
          <w:marTop w:val="432"/>
          <w:marBottom w:val="0"/>
          <w:divBdr>
            <w:top w:val="none" w:sz="0" w:space="0" w:color="auto"/>
            <w:left w:val="none" w:sz="0" w:space="0" w:color="auto"/>
            <w:bottom w:val="none" w:sz="0" w:space="0" w:color="auto"/>
            <w:right w:val="none" w:sz="0" w:space="0" w:color="auto"/>
          </w:divBdr>
        </w:div>
        <w:div w:id="1056926415">
          <w:marLeft w:val="0"/>
          <w:marRight w:val="0"/>
          <w:marTop w:val="0"/>
          <w:marBottom w:val="0"/>
          <w:divBdr>
            <w:top w:val="none" w:sz="0" w:space="0" w:color="auto"/>
            <w:left w:val="none" w:sz="0" w:space="0" w:color="auto"/>
            <w:bottom w:val="none" w:sz="0" w:space="0" w:color="auto"/>
            <w:right w:val="none" w:sz="0" w:space="0" w:color="auto"/>
          </w:divBdr>
          <w:divsChild>
            <w:div w:id="182477064">
              <w:marLeft w:val="0"/>
              <w:marRight w:val="0"/>
              <w:marTop w:val="0"/>
              <w:marBottom w:val="0"/>
              <w:divBdr>
                <w:top w:val="none" w:sz="0" w:space="0" w:color="auto"/>
                <w:left w:val="none" w:sz="0" w:space="0" w:color="auto"/>
                <w:bottom w:val="none" w:sz="0" w:space="0" w:color="auto"/>
                <w:right w:val="none" w:sz="0" w:space="0" w:color="auto"/>
              </w:divBdr>
              <w:divsChild>
                <w:div w:id="1944456163">
                  <w:marLeft w:val="0"/>
                  <w:marRight w:val="0"/>
                  <w:marTop w:val="0"/>
                  <w:marBottom w:val="0"/>
                  <w:divBdr>
                    <w:top w:val="none" w:sz="0" w:space="0" w:color="auto"/>
                    <w:left w:val="none" w:sz="0" w:space="0" w:color="auto"/>
                    <w:bottom w:val="none" w:sz="0" w:space="0" w:color="auto"/>
                    <w:right w:val="none" w:sz="0" w:space="0" w:color="auto"/>
                  </w:divBdr>
                </w:div>
              </w:divsChild>
            </w:div>
            <w:div w:id="1574897442">
              <w:marLeft w:val="0"/>
              <w:marRight w:val="0"/>
              <w:marTop w:val="0"/>
              <w:marBottom w:val="0"/>
              <w:divBdr>
                <w:top w:val="none" w:sz="0" w:space="0" w:color="auto"/>
                <w:left w:val="none" w:sz="0" w:space="0" w:color="auto"/>
                <w:bottom w:val="none" w:sz="0" w:space="0" w:color="auto"/>
                <w:right w:val="none" w:sz="0" w:space="0" w:color="auto"/>
              </w:divBdr>
              <w:divsChild>
                <w:div w:id="557207336">
                  <w:marLeft w:val="0"/>
                  <w:marRight w:val="0"/>
                  <w:marTop w:val="0"/>
                  <w:marBottom w:val="0"/>
                  <w:divBdr>
                    <w:top w:val="none" w:sz="0" w:space="0" w:color="auto"/>
                    <w:left w:val="none" w:sz="0" w:space="0" w:color="auto"/>
                    <w:bottom w:val="none" w:sz="0" w:space="0" w:color="auto"/>
                    <w:right w:val="none" w:sz="0" w:space="0" w:color="auto"/>
                  </w:divBdr>
                </w:div>
              </w:divsChild>
            </w:div>
            <w:div w:id="2055421915">
              <w:marLeft w:val="0"/>
              <w:marRight w:val="0"/>
              <w:marTop w:val="0"/>
              <w:marBottom w:val="0"/>
              <w:divBdr>
                <w:top w:val="none" w:sz="0" w:space="0" w:color="auto"/>
                <w:left w:val="none" w:sz="0" w:space="0" w:color="auto"/>
                <w:bottom w:val="none" w:sz="0" w:space="0" w:color="auto"/>
                <w:right w:val="none" w:sz="0" w:space="0" w:color="auto"/>
              </w:divBdr>
              <w:divsChild>
                <w:div w:id="940719121">
                  <w:marLeft w:val="0"/>
                  <w:marRight w:val="0"/>
                  <w:marTop w:val="0"/>
                  <w:marBottom w:val="0"/>
                  <w:divBdr>
                    <w:top w:val="none" w:sz="0" w:space="0" w:color="auto"/>
                    <w:left w:val="none" w:sz="0" w:space="0" w:color="auto"/>
                    <w:bottom w:val="none" w:sz="0" w:space="0" w:color="auto"/>
                    <w:right w:val="none" w:sz="0" w:space="0" w:color="auto"/>
                  </w:divBdr>
                </w:div>
              </w:divsChild>
            </w:div>
            <w:div w:id="1957636811">
              <w:marLeft w:val="0"/>
              <w:marRight w:val="0"/>
              <w:marTop w:val="0"/>
              <w:marBottom w:val="0"/>
              <w:divBdr>
                <w:top w:val="none" w:sz="0" w:space="0" w:color="auto"/>
                <w:left w:val="none" w:sz="0" w:space="0" w:color="auto"/>
                <w:bottom w:val="none" w:sz="0" w:space="0" w:color="auto"/>
                <w:right w:val="none" w:sz="0" w:space="0" w:color="auto"/>
              </w:divBdr>
              <w:divsChild>
                <w:div w:id="1282418850">
                  <w:marLeft w:val="0"/>
                  <w:marRight w:val="0"/>
                  <w:marTop w:val="0"/>
                  <w:marBottom w:val="0"/>
                  <w:divBdr>
                    <w:top w:val="none" w:sz="0" w:space="0" w:color="auto"/>
                    <w:left w:val="none" w:sz="0" w:space="0" w:color="auto"/>
                    <w:bottom w:val="none" w:sz="0" w:space="0" w:color="auto"/>
                    <w:right w:val="none" w:sz="0" w:space="0" w:color="auto"/>
                  </w:divBdr>
                </w:div>
              </w:divsChild>
            </w:div>
            <w:div w:id="156847874">
              <w:marLeft w:val="0"/>
              <w:marRight w:val="0"/>
              <w:marTop w:val="0"/>
              <w:marBottom w:val="0"/>
              <w:divBdr>
                <w:top w:val="none" w:sz="0" w:space="0" w:color="auto"/>
                <w:left w:val="none" w:sz="0" w:space="0" w:color="auto"/>
                <w:bottom w:val="none" w:sz="0" w:space="0" w:color="auto"/>
                <w:right w:val="none" w:sz="0" w:space="0" w:color="auto"/>
              </w:divBdr>
              <w:divsChild>
                <w:div w:id="808596691">
                  <w:marLeft w:val="0"/>
                  <w:marRight w:val="0"/>
                  <w:marTop w:val="0"/>
                  <w:marBottom w:val="0"/>
                  <w:divBdr>
                    <w:top w:val="none" w:sz="0" w:space="0" w:color="auto"/>
                    <w:left w:val="none" w:sz="0" w:space="0" w:color="auto"/>
                    <w:bottom w:val="none" w:sz="0" w:space="0" w:color="auto"/>
                    <w:right w:val="none" w:sz="0" w:space="0" w:color="auto"/>
                  </w:divBdr>
                </w:div>
              </w:divsChild>
            </w:div>
            <w:div w:id="1683968026">
              <w:marLeft w:val="0"/>
              <w:marRight w:val="0"/>
              <w:marTop w:val="0"/>
              <w:marBottom w:val="0"/>
              <w:divBdr>
                <w:top w:val="none" w:sz="0" w:space="0" w:color="auto"/>
                <w:left w:val="none" w:sz="0" w:space="0" w:color="auto"/>
                <w:bottom w:val="none" w:sz="0" w:space="0" w:color="auto"/>
                <w:right w:val="none" w:sz="0" w:space="0" w:color="auto"/>
              </w:divBdr>
              <w:divsChild>
                <w:div w:id="395518511">
                  <w:marLeft w:val="0"/>
                  <w:marRight w:val="0"/>
                  <w:marTop w:val="0"/>
                  <w:marBottom w:val="0"/>
                  <w:divBdr>
                    <w:top w:val="none" w:sz="0" w:space="0" w:color="auto"/>
                    <w:left w:val="none" w:sz="0" w:space="0" w:color="auto"/>
                    <w:bottom w:val="none" w:sz="0" w:space="0" w:color="auto"/>
                    <w:right w:val="none" w:sz="0" w:space="0" w:color="auto"/>
                  </w:divBdr>
                </w:div>
              </w:divsChild>
            </w:div>
            <w:div w:id="586233383">
              <w:marLeft w:val="0"/>
              <w:marRight w:val="0"/>
              <w:marTop w:val="0"/>
              <w:marBottom w:val="0"/>
              <w:divBdr>
                <w:top w:val="none" w:sz="0" w:space="0" w:color="auto"/>
                <w:left w:val="none" w:sz="0" w:space="0" w:color="auto"/>
                <w:bottom w:val="none" w:sz="0" w:space="0" w:color="auto"/>
                <w:right w:val="none" w:sz="0" w:space="0" w:color="auto"/>
              </w:divBdr>
              <w:divsChild>
                <w:div w:id="2225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9057">
          <w:marLeft w:val="0"/>
          <w:marRight w:val="0"/>
          <w:marTop w:val="0"/>
          <w:marBottom w:val="600"/>
          <w:divBdr>
            <w:top w:val="none" w:sz="0" w:space="0" w:color="auto"/>
            <w:left w:val="none" w:sz="0" w:space="0" w:color="auto"/>
            <w:bottom w:val="none" w:sz="0" w:space="0" w:color="auto"/>
            <w:right w:val="none" w:sz="0" w:space="0" w:color="auto"/>
          </w:divBdr>
        </w:div>
      </w:divsChild>
    </w:div>
    <w:div w:id="2146001831">
      <w:marLeft w:val="0"/>
      <w:marRight w:val="0"/>
      <w:marTop w:val="0"/>
      <w:marBottom w:val="0"/>
      <w:divBdr>
        <w:top w:val="none" w:sz="0" w:space="0" w:color="auto"/>
        <w:left w:val="none" w:sz="0" w:space="0" w:color="auto"/>
        <w:bottom w:val="none" w:sz="0" w:space="0" w:color="auto"/>
        <w:right w:val="none" w:sz="0" w:space="0" w:color="auto"/>
      </w:divBdr>
      <w:divsChild>
        <w:div w:id="2127581995">
          <w:marLeft w:val="0"/>
          <w:marRight w:val="0"/>
          <w:marTop w:val="432"/>
          <w:marBottom w:val="0"/>
          <w:divBdr>
            <w:top w:val="none" w:sz="0" w:space="0" w:color="auto"/>
            <w:left w:val="none" w:sz="0" w:space="0" w:color="auto"/>
            <w:bottom w:val="none" w:sz="0" w:space="0" w:color="auto"/>
            <w:right w:val="none" w:sz="0" w:space="0" w:color="auto"/>
          </w:divBdr>
        </w:div>
        <w:div w:id="842207236">
          <w:marLeft w:val="0"/>
          <w:marRight w:val="0"/>
          <w:marTop w:val="0"/>
          <w:marBottom w:val="0"/>
          <w:divBdr>
            <w:top w:val="none" w:sz="0" w:space="0" w:color="auto"/>
            <w:left w:val="none" w:sz="0" w:space="0" w:color="auto"/>
            <w:bottom w:val="none" w:sz="0" w:space="0" w:color="auto"/>
            <w:right w:val="none" w:sz="0" w:space="0" w:color="auto"/>
          </w:divBdr>
        </w:div>
        <w:div w:id="1794249859">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mb-20220331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20331xex31d2.htm" TargetMode="External"/><Relationship Id="rId5" Type="http://schemas.openxmlformats.org/officeDocument/2006/relationships/hyperlink" Target="tmb-20220331xex31d1.htm" TargetMode="External"/><Relationship Id="rId4" Type="http://schemas.openxmlformats.org/officeDocument/2006/relationships/hyperlink" Target="tmb-20220331xex10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26869</Words>
  <Characters>153158</Characters>
  <Application>Microsoft Office Word</Application>
  <DocSecurity>0</DocSecurity>
  <Lines>1276</Lines>
  <Paragraphs>359</Paragraphs>
  <ScaleCrop>false</ScaleCrop>
  <Company/>
  <LinksUpToDate>false</LinksUpToDate>
  <CharactersWithSpaces>179668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